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rPr>
          <w:rFonts w:ascii="仿宋_GB2312" w:hAnsi="仿宋_GB2312" w:eastAsia="仿宋_GB2312" w:cs="仿宋_GB2312"/>
          <w:color w:val="auto"/>
          <w:sz w:val="36"/>
          <w:szCs w:val="36"/>
        </w:rPr>
      </w:pPr>
    </w:p>
    <w:p>
      <w:pPr>
        <w:adjustRightInd w:val="0"/>
        <w:snapToGrid w:val="0"/>
        <w:jc w:val="center"/>
        <w:outlineLvl w:val="0"/>
        <w:rPr>
          <w:rFonts w:eastAsia="方正小标宋_GBK"/>
          <w:bCs/>
          <w:color w:val="auto"/>
          <w:sz w:val="72"/>
          <w:szCs w:val="72"/>
        </w:rPr>
      </w:pPr>
      <w:bookmarkStart w:id="0" w:name="_Toc30957"/>
      <w:r>
        <w:rPr>
          <w:rFonts w:eastAsia="方正小标宋_GBK"/>
          <w:bCs/>
          <w:color w:val="auto"/>
          <w:sz w:val="72"/>
          <w:szCs w:val="72"/>
        </w:rPr>
        <w:t>建设项目环境影响报告表</w:t>
      </w:r>
      <w:bookmarkEnd w:id="0"/>
    </w:p>
    <w:p>
      <w:pPr>
        <w:adjustRightInd w:val="0"/>
        <w:snapToGrid w:val="0"/>
        <w:spacing w:before="192" w:beforeLines="80"/>
        <w:jc w:val="center"/>
        <w:rPr>
          <w:rFonts w:eastAsia="楷体_GB2312"/>
          <w:bCs/>
          <w:color w:val="auto"/>
          <w:sz w:val="48"/>
          <w:szCs w:val="48"/>
        </w:rPr>
      </w:pPr>
      <w:r>
        <w:rPr>
          <w:rFonts w:eastAsia="楷体_GB2312"/>
          <w:bCs/>
          <w:color w:val="auto"/>
          <w:sz w:val="48"/>
          <w:szCs w:val="48"/>
        </w:rPr>
        <w:t>（污染影响类）</w:t>
      </w:r>
    </w:p>
    <w:p>
      <w:pPr>
        <w:adjustRightInd w:val="0"/>
        <w:snapToGrid w:val="0"/>
        <w:spacing w:line="288" w:lineRule="auto"/>
        <w:jc w:val="center"/>
        <w:outlineLvl w:val="0"/>
        <w:rPr>
          <w:rFonts w:eastAsia="华文仿宋"/>
          <w:color w:val="auto"/>
          <w:kern w:val="44"/>
          <w:sz w:val="44"/>
          <w:szCs w:val="44"/>
        </w:rPr>
      </w:pPr>
      <w:bookmarkStart w:id="1" w:name="_Toc24556"/>
      <w:r>
        <w:rPr>
          <w:rFonts w:eastAsia="华文仿宋"/>
          <w:color w:val="auto"/>
          <w:kern w:val="44"/>
          <w:sz w:val="44"/>
          <w:szCs w:val="44"/>
        </w:rPr>
        <w:t>（</w:t>
      </w:r>
      <w:r>
        <w:rPr>
          <w:rFonts w:hint="eastAsia" w:eastAsia="华文仿宋"/>
          <w:color w:val="auto"/>
          <w:kern w:val="44"/>
          <w:sz w:val="44"/>
          <w:szCs w:val="44"/>
          <w:lang w:val="en-US" w:eastAsia="zh-CN"/>
        </w:rPr>
        <w:t>公示</w:t>
      </w:r>
      <w:r>
        <w:rPr>
          <w:rFonts w:eastAsia="华文仿宋"/>
          <w:color w:val="auto"/>
          <w:kern w:val="44"/>
          <w:sz w:val="44"/>
          <w:szCs w:val="44"/>
        </w:rPr>
        <w:t>本）</w:t>
      </w:r>
      <w:bookmarkEnd w:id="1"/>
    </w:p>
    <w:p>
      <w:pPr>
        <w:jc w:val="center"/>
        <w:rPr>
          <w:rFonts w:eastAsia="仿宋"/>
          <w:color w:val="auto"/>
          <w:sz w:val="52"/>
          <w:szCs w:val="52"/>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ind w:firstLine="1040"/>
        <w:rPr>
          <w:rFonts w:eastAsia="仿宋"/>
          <w:color w:val="auto"/>
          <w:sz w:val="44"/>
          <w:szCs w:val="44"/>
        </w:rPr>
      </w:pPr>
    </w:p>
    <w:p>
      <w:pPr>
        <w:adjustRightInd w:val="0"/>
        <w:snapToGrid w:val="0"/>
        <w:spacing w:line="288" w:lineRule="auto"/>
        <w:ind w:left="1800" w:hanging="1800" w:hangingChars="500"/>
        <w:jc w:val="left"/>
        <w:outlineLvl w:val="0"/>
        <w:rPr>
          <w:rFonts w:eastAsia="仿宋_GB2312"/>
          <w:color w:val="auto"/>
          <w:sz w:val="36"/>
          <w:szCs w:val="36"/>
          <w:u w:val="single"/>
        </w:rPr>
      </w:pPr>
      <w:bookmarkStart w:id="2" w:name="_Toc28989"/>
      <w:r>
        <w:rPr>
          <w:rFonts w:eastAsia="仿宋_GB2312"/>
          <w:color w:val="auto"/>
          <w:sz w:val="36"/>
          <w:szCs w:val="36"/>
        </w:rPr>
        <w:t>项目名称：</w:t>
      </w:r>
      <w:bookmarkEnd w:id="2"/>
      <w:r>
        <w:rPr>
          <w:rFonts w:hint="eastAsia" w:eastAsia="仿宋_GB2312"/>
          <w:color w:val="auto"/>
          <w:sz w:val="36"/>
          <w:szCs w:val="36"/>
          <w:u w:val="single"/>
        </w:rPr>
        <w:t>玛纳斯县新疆卓兴有限公司年产4000万个纸质蛋托项目</w:t>
      </w:r>
    </w:p>
    <w:p>
      <w:pPr>
        <w:adjustRightInd w:val="0"/>
        <w:snapToGrid w:val="0"/>
        <w:spacing w:line="288" w:lineRule="auto"/>
        <w:jc w:val="left"/>
        <w:rPr>
          <w:rFonts w:hint="eastAsia" w:eastAsia="仿宋_GB2312"/>
          <w:color w:val="auto"/>
          <w:sz w:val="36"/>
          <w:szCs w:val="36"/>
          <w:u w:val="single"/>
          <w:lang w:val="en-US" w:eastAsia="zh-CN"/>
        </w:rPr>
      </w:pPr>
      <w:r>
        <w:rPr>
          <w:rFonts w:eastAsia="仿宋_GB2312"/>
          <w:color w:val="auto"/>
          <w:sz w:val="36"/>
          <w:szCs w:val="36"/>
        </w:rPr>
        <w:t>建设单位（盖章）：</w:t>
      </w:r>
      <w:r>
        <w:rPr>
          <w:rFonts w:hint="eastAsia" w:eastAsia="仿宋_GB2312"/>
          <w:color w:val="auto"/>
          <w:sz w:val="36"/>
          <w:szCs w:val="36"/>
          <w:u w:val="single"/>
          <w:lang w:val="en-US" w:eastAsia="zh-CN"/>
        </w:rPr>
        <w:t xml:space="preserve">   </w:t>
      </w:r>
      <w:r>
        <w:rPr>
          <w:rFonts w:hint="eastAsia" w:eastAsia="仿宋_GB2312"/>
          <w:color w:val="auto"/>
          <w:sz w:val="36"/>
          <w:szCs w:val="36"/>
          <w:u w:val="single"/>
        </w:rPr>
        <w:t>新疆卓兴</w:t>
      </w:r>
      <w:r>
        <w:rPr>
          <w:rFonts w:hint="eastAsia" w:eastAsia="仿宋_GB2312"/>
          <w:color w:val="auto"/>
          <w:sz w:val="36"/>
          <w:szCs w:val="36"/>
          <w:u w:val="single"/>
          <w:lang w:val="en-US" w:eastAsia="zh-CN"/>
        </w:rPr>
        <w:t>纸业</w:t>
      </w:r>
      <w:r>
        <w:rPr>
          <w:rFonts w:hint="eastAsia" w:eastAsia="仿宋_GB2312"/>
          <w:color w:val="auto"/>
          <w:sz w:val="36"/>
          <w:szCs w:val="36"/>
          <w:u w:val="single"/>
        </w:rPr>
        <w:t>有限公司</w:t>
      </w:r>
      <w:r>
        <w:rPr>
          <w:rFonts w:hint="eastAsia" w:eastAsia="仿宋_GB2312"/>
          <w:color w:val="auto"/>
          <w:sz w:val="36"/>
          <w:szCs w:val="36"/>
          <w:u w:val="single"/>
          <w:lang w:val="en-US" w:eastAsia="zh-CN"/>
        </w:rPr>
        <w:t xml:space="preserve">       </w:t>
      </w:r>
    </w:p>
    <w:p>
      <w:pPr>
        <w:adjustRightInd w:val="0"/>
        <w:snapToGrid w:val="0"/>
        <w:spacing w:line="288" w:lineRule="auto"/>
        <w:jc w:val="left"/>
        <w:rPr>
          <w:rFonts w:eastAsia="仿宋_GB2312"/>
          <w:color w:val="auto"/>
          <w:sz w:val="36"/>
          <w:szCs w:val="36"/>
          <w:u w:val="single"/>
        </w:rPr>
      </w:pPr>
      <w:r>
        <w:rPr>
          <w:rFonts w:eastAsia="仿宋_GB2312"/>
          <w:color w:val="auto"/>
          <w:sz w:val="36"/>
          <w:szCs w:val="36"/>
        </w:rPr>
        <w:t>编制日期：</w:t>
      </w:r>
      <w:r>
        <w:rPr>
          <w:rFonts w:eastAsia="仿宋_GB2312"/>
          <w:color w:val="auto"/>
          <w:sz w:val="36"/>
          <w:szCs w:val="36"/>
          <w:u w:val="single"/>
        </w:rPr>
        <w:t xml:space="preserve">       </w:t>
      </w:r>
      <w:r>
        <w:rPr>
          <w:rFonts w:hint="eastAsia" w:eastAsia="仿宋_GB2312"/>
          <w:color w:val="auto"/>
          <w:sz w:val="36"/>
          <w:szCs w:val="36"/>
          <w:u w:val="single"/>
        </w:rPr>
        <w:t xml:space="preserve">    </w:t>
      </w:r>
      <w:r>
        <w:rPr>
          <w:rFonts w:eastAsia="仿宋_GB2312"/>
          <w:color w:val="auto"/>
          <w:sz w:val="36"/>
          <w:szCs w:val="36"/>
          <w:u w:val="single"/>
        </w:rPr>
        <w:t xml:space="preserve"> 2023年</w:t>
      </w:r>
      <w:r>
        <w:rPr>
          <w:rFonts w:hint="eastAsia" w:eastAsia="仿宋_GB2312"/>
          <w:color w:val="auto"/>
          <w:sz w:val="36"/>
          <w:szCs w:val="36"/>
          <w:u w:val="single"/>
          <w:lang w:val="en-US" w:eastAsia="zh-CN"/>
        </w:rPr>
        <w:t>12</w:t>
      </w:r>
      <w:r>
        <w:rPr>
          <w:rFonts w:eastAsia="仿宋_GB2312"/>
          <w:color w:val="auto"/>
          <w:sz w:val="36"/>
          <w:szCs w:val="36"/>
          <w:u w:val="single"/>
        </w:rPr>
        <w:t xml:space="preserve">月   </w:t>
      </w:r>
      <w:r>
        <w:rPr>
          <w:rFonts w:hint="eastAsia" w:eastAsia="仿宋_GB2312"/>
          <w:color w:val="auto"/>
          <w:sz w:val="36"/>
          <w:szCs w:val="36"/>
          <w:u w:val="single"/>
        </w:rPr>
        <w:t xml:space="preserve">      </w:t>
      </w:r>
      <w:r>
        <w:rPr>
          <w:rFonts w:eastAsia="仿宋_GB2312"/>
          <w:color w:val="auto"/>
          <w:sz w:val="36"/>
          <w:szCs w:val="36"/>
          <w:u w:val="single"/>
        </w:rPr>
        <w:t xml:space="preserve"> </w:t>
      </w:r>
      <w:r>
        <w:rPr>
          <w:rFonts w:hint="eastAsia" w:eastAsia="仿宋_GB2312"/>
          <w:color w:val="auto"/>
          <w:sz w:val="36"/>
          <w:szCs w:val="36"/>
          <w:u w:val="single"/>
        </w:rPr>
        <w:t xml:space="preserve"> </w:t>
      </w:r>
      <w:r>
        <w:rPr>
          <w:rFonts w:eastAsia="仿宋_GB2312"/>
          <w:color w:val="auto"/>
          <w:sz w:val="36"/>
          <w:szCs w:val="36"/>
          <w:u w:val="single"/>
        </w:rPr>
        <w:t xml:space="preserve">     </w:t>
      </w:r>
    </w:p>
    <w:p>
      <w:pPr>
        <w:adjustRightInd w:val="0"/>
        <w:snapToGrid w:val="0"/>
        <w:spacing w:line="288" w:lineRule="auto"/>
        <w:jc w:val="left"/>
        <w:rPr>
          <w:rFonts w:eastAsia="仿宋_GB2312"/>
          <w:color w:val="auto"/>
          <w:sz w:val="36"/>
          <w:szCs w:val="36"/>
          <w:u w:val="single"/>
        </w:rPr>
      </w:pPr>
      <w:bookmarkStart w:id="3" w:name="_Hlk57884087"/>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p>
      <w:pPr>
        <w:adjustRightInd w:val="0"/>
        <w:snapToGrid w:val="0"/>
        <w:spacing w:line="288" w:lineRule="auto"/>
        <w:ind w:firstLine="1040"/>
        <w:rPr>
          <w:rFonts w:eastAsia="仿宋_GB2312"/>
          <w:color w:val="auto"/>
          <w:sz w:val="36"/>
          <w:szCs w:val="36"/>
        </w:rPr>
      </w:pPr>
    </w:p>
    <w:bookmarkEnd w:id="3"/>
    <w:p>
      <w:pPr>
        <w:adjustRightInd w:val="0"/>
        <w:snapToGrid w:val="0"/>
        <w:spacing w:line="288" w:lineRule="auto"/>
        <w:jc w:val="center"/>
        <w:outlineLvl w:val="0"/>
        <w:rPr>
          <w:rFonts w:eastAsia="楷体_GB2312"/>
          <w:color w:val="auto"/>
          <w:sz w:val="36"/>
          <w:szCs w:val="36"/>
        </w:rPr>
        <w:sectPr>
          <w:footerReference r:id="rId3" w:type="default"/>
          <w:footerReference r:id="rId4" w:type="even"/>
          <w:pgSz w:w="11906" w:h="16838"/>
          <w:pgMar w:top="1701" w:right="1531" w:bottom="1701" w:left="1531" w:header="851" w:footer="1077" w:gutter="0"/>
          <w:pgBorders>
            <w:top w:val="none" w:sz="0" w:space="0"/>
            <w:left w:val="none" w:sz="0" w:space="0"/>
            <w:bottom w:val="none" w:sz="0" w:space="0"/>
            <w:right w:val="none" w:sz="0" w:space="0"/>
          </w:pgBorders>
          <w:cols w:space="720" w:num="1"/>
          <w:docGrid w:linePitch="312" w:charSpace="0"/>
        </w:sectPr>
      </w:pPr>
      <w:bookmarkStart w:id="4" w:name="_Toc19530"/>
      <w:r>
        <w:rPr>
          <w:rFonts w:eastAsia="楷体_GB2312"/>
          <w:color w:val="auto"/>
          <w:sz w:val="36"/>
          <w:szCs w:val="36"/>
        </w:rPr>
        <w:t>中华人民共和国生态环境部制</w:t>
      </w:r>
      <w:bookmarkEnd w:id="4"/>
    </w:p>
    <w:sdt>
      <w:sdtPr>
        <w:rPr>
          <w:rFonts w:ascii="宋体" w:hAnsi="宋体"/>
          <w:color w:val="auto"/>
        </w:rPr>
        <w:id w:val="147478432"/>
        <w15:color w:val="DBDBDB"/>
        <w:docPartObj>
          <w:docPartGallery w:val="Table of Contents"/>
          <w:docPartUnique/>
        </w:docPartObj>
      </w:sdtPr>
      <w:sdtEndPr>
        <w:rPr>
          <w:rFonts w:hint="eastAsia" w:ascii="黑体" w:hAnsi="黑体" w:eastAsia="黑体"/>
          <w:snapToGrid w:val="0"/>
          <w:color w:val="auto"/>
          <w:kern w:val="0"/>
          <w:sz w:val="24"/>
          <w:szCs w:val="30"/>
        </w:rPr>
      </w:sdtEndPr>
      <w:sdtContent>
        <w:p>
          <w:pPr>
            <w:jc w:val="center"/>
            <w:rPr>
              <w:color w:val="auto"/>
            </w:rPr>
          </w:pPr>
          <w:r>
            <w:rPr>
              <w:color w:val="auto"/>
              <w:sz w:val="28"/>
              <w:szCs w:val="28"/>
            </w:rPr>
            <w:t>目录</w:t>
          </w:r>
        </w:p>
        <w:p>
          <w:pPr>
            <w:pStyle w:val="93"/>
            <w:tabs>
              <w:tab w:val="right" w:leader="dot" w:pos="8844"/>
            </w:tabs>
            <w:rPr>
              <w:color w:val="auto"/>
            </w:rPr>
          </w:pPr>
          <w:r>
            <w:rPr>
              <w:rFonts w:eastAsia="黑体"/>
              <w:snapToGrid w:val="0"/>
              <w:color w:val="auto"/>
              <w:sz w:val="30"/>
              <w:szCs w:val="30"/>
            </w:rPr>
            <w:fldChar w:fldCharType="begin"/>
          </w:r>
          <w:r>
            <w:rPr>
              <w:rFonts w:eastAsia="黑体"/>
              <w:snapToGrid w:val="0"/>
              <w:color w:val="auto"/>
              <w:sz w:val="30"/>
              <w:szCs w:val="30"/>
            </w:rPr>
            <w:instrText xml:space="preserve">TOC \o "1-1" \h \u </w:instrText>
          </w:r>
          <w:r>
            <w:rPr>
              <w:rFonts w:eastAsia="黑体"/>
              <w:snapToGrid w:val="0"/>
              <w:color w:val="auto"/>
              <w:sz w:val="30"/>
              <w:szCs w:val="30"/>
            </w:rPr>
            <w:fldChar w:fldCharType="separate"/>
          </w:r>
        </w:p>
        <w:p>
          <w:pPr>
            <w:pStyle w:val="93"/>
            <w:tabs>
              <w:tab w:val="right" w:leader="dot" w:pos="8844"/>
            </w:tabs>
            <w:spacing w:line="360" w:lineRule="auto"/>
            <w:rPr>
              <w:color w:val="auto"/>
              <w:sz w:val="24"/>
              <w:szCs w:val="24"/>
            </w:rPr>
          </w:pPr>
          <w:r>
            <w:rPr>
              <w:color w:val="auto"/>
            </w:rPr>
            <w:fldChar w:fldCharType="begin"/>
          </w:r>
          <w:r>
            <w:rPr>
              <w:color w:val="auto"/>
            </w:rPr>
            <w:instrText xml:space="preserve"> HYPERLINK \l "_Toc10321" </w:instrText>
          </w:r>
          <w:r>
            <w:rPr>
              <w:color w:val="auto"/>
            </w:rPr>
            <w:fldChar w:fldCharType="separate"/>
          </w:r>
          <w:r>
            <w:rPr>
              <w:snapToGrid w:val="0"/>
              <w:color w:val="auto"/>
              <w:sz w:val="24"/>
              <w:szCs w:val="24"/>
            </w:rPr>
            <w:t>一、建设项目基本情况</w:t>
          </w:r>
          <w:r>
            <w:rPr>
              <w:color w:val="auto"/>
              <w:sz w:val="24"/>
              <w:szCs w:val="24"/>
            </w:rPr>
            <w:tab/>
          </w:r>
          <w:r>
            <w:rPr>
              <w:color w:val="auto"/>
              <w:sz w:val="24"/>
              <w:szCs w:val="24"/>
            </w:rPr>
            <w:fldChar w:fldCharType="begin"/>
          </w:r>
          <w:r>
            <w:rPr>
              <w:color w:val="auto"/>
              <w:sz w:val="24"/>
              <w:szCs w:val="24"/>
            </w:rPr>
            <w:instrText xml:space="preserve"> PAGEREF _Toc10321 \h </w:instrText>
          </w:r>
          <w:r>
            <w:rPr>
              <w:color w:val="auto"/>
              <w:sz w:val="24"/>
              <w:szCs w:val="24"/>
            </w:rPr>
            <w:fldChar w:fldCharType="separate"/>
          </w:r>
          <w:r>
            <w:rPr>
              <w:color w:val="auto"/>
              <w:sz w:val="24"/>
              <w:szCs w:val="24"/>
            </w:rPr>
            <w:t>1</w:t>
          </w:r>
          <w:r>
            <w:rPr>
              <w:color w:val="auto"/>
              <w:sz w:val="24"/>
              <w:szCs w:val="24"/>
            </w:rPr>
            <w:fldChar w:fldCharType="end"/>
          </w:r>
          <w:r>
            <w:rPr>
              <w:color w:val="auto"/>
              <w:sz w:val="24"/>
              <w:szCs w:val="24"/>
            </w:rPr>
            <w:fldChar w:fldCharType="end"/>
          </w:r>
        </w:p>
        <w:p>
          <w:pPr>
            <w:pStyle w:val="93"/>
            <w:tabs>
              <w:tab w:val="right" w:leader="dot" w:pos="8844"/>
            </w:tabs>
            <w:spacing w:line="360" w:lineRule="auto"/>
            <w:rPr>
              <w:color w:val="auto"/>
              <w:sz w:val="24"/>
              <w:szCs w:val="24"/>
            </w:rPr>
          </w:pPr>
          <w:r>
            <w:rPr>
              <w:color w:val="auto"/>
            </w:rPr>
            <w:fldChar w:fldCharType="begin"/>
          </w:r>
          <w:r>
            <w:rPr>
              <w:color w:val="auto"/>
            </w:rPr>
            <w:instrText xml:space="preserve"> HYPERLINK \l "_Toc15907" </w:instrText>
          </w:r>
          <w:r>
            <w:rPr>
              <w:color w:val="auto"/>
            </w:rPr>
            <w:fldChar w:fldCharType="separate"/>
          </w:r>
          <w:r>
            <w:rPr>
              <w:snapToGrid w:val="0"/>
              <w:color w:val="auto"/>
              <w:sz w:val="24"/>
              <w:szCs w:val="24"/>
            </w:rPr>
            <w:t>二、建设项目工程分析</w:t>
          </w:r>
          <w:r>
            <w:rPr>
              <w:color w:val="auto"/>
              <w:sz w:val="24"/>
              <w:szCs w:val="24"/>
            </w:rPr>
            <w:tab/>
          </w:r>
          <w:r>
            <w:rPr>
              <w:color w:val="auto"/>
              <w:sz w:val="24"/>
              <w:szCs w:val="24"/>
            </w:rPr>
            <w:fldChar w:fldCharType="begin"/>
          </w:r>
          <w:r>
            <w:rPr>
              <w:color w:val="auto"/>
              <w:sz w:val="24"/>
              <w:szCs w:val="24"/>
            </w:rPr>
            <w:instrText xml:space="preserve"> PAGEREF _Toc15907 \h </w:instrText>
          </w:r>
          <w:r>
            <w:rPr>
              <w:color w:val="auto"/>
              <w:sz w:val="24"/>
              <w:szCs w:val="24"/>
            </w:rPr>
            <w:fldChar w:fldCharType="separate"/>
          </w:r>
          <w:r>
            <w:rPr>
              <w:color w:val="auto"/>
              <w:sz w:val="24"/>
              <w:szCs w:val="24"/>
            </w:rPr>
            <w:t>8</w:t>
          </w:r>
          <w:r>
            <w:rPr>
              <w:color w:val="auto"/>
              <w:sz w:val="24"/>
              <w:szCs w:val="24"/>
            </w:rPr>
            <w:fldChar w:fldCharType="end"/>
          </w:r>
          <w:r>
            <w:rPr>
              <w:color w:val="auto"/>
              <w:sz w:val="24"/>
              <w:szCs w:val="24"/>
            </w:rPr>
            <w:fldChar w:fldCharType="end"/>
          </w:r>
        </w:p>
        <w:p>
          <w:pPr>
            <w:pStyle w:val="93"/>
            <w:tabs>
              <w:tab w:val="right" w:leader="dot" w:pos="8844"/>
            </w:tabs>
            <w:spacing w:line="360" w:lineRule="auto"/>
            <w:rPr>
              <w:color w:val="auto"/>
              <w:sz w:val="24"/>
              <w:szCs w:val="24"/>
            </w:rPr>
          </w:pPr>
          <w:r>
            <w:rPr>
              <w:color w:val="auto"/>
            </w:rPr>
            <w:fldChar w:fldCharType="begin"/>
          </w:r>
          <w:r>
            <w:rPr>
              <w:color w:val="auto"/>
            </w:rPr>
            <w:instrText xml:space="preserve"> HYPERLINK \l "_Toc27304" </w:instrText>
          </w:r>
          <w:r>
            <w:rPr>
              <w:color w:val="auto"/>
            </w:rPr>
            <w:fldChar w:fldCharType="separate"/>
          </w:r>
          <w:r>
            <w:rPr>
              <w:snapToGrid w:val="0"/>
              <w:color w:val="auto"/>
              <w:sz w:val="24"/>
              <w:szCs w:val="24"/>
            </w:rPr>
            <w:t>三、区域环境质量现状、环境保护目标及评价标准</w:t>
          </w:r>
          <w:r>
            <w:rPr>
              <w:color w:val="auto"/>
              <w:sz w:val="24"/>
              <w:szCs w:val="24"/>
            </w:rPr>
            <w:tab/>
          </w:r>
          <w:r>
            <w:rPr>
              <w:color w:val="auto"/>
              <w:sz w:val="24"/>
              <w:szCs w:val="24"/>
            </w:rPr>
            <w:fldChar w:fldCharType="begin"/>
          </w:r>
          <w:r>
            <w:rPr>
              <w:color w:val="auto"/>
              <w:sz w:val="24"/>
              <w:szCs w:val="24"/>
            </w:rPr>
            <w:instrText xml:space="preserve"> PAGEREF _Toc27304 \h </w:instrText>
          </w:r>
          <w:r>
            <w:rPr>
              <w:color w:val="auto"/>
              <w:sz w:val="24"/>
              <w:szCs w:val="24"/>
            </w:rPr>
            <w:fldChar w:fldCharType="separate"/>
          </w:r>
          <w:r>
            <w:rPr>
              <w:color w:val="auto"/>
              <w:sz w:val="24"/>
              <w:szCs w:val="24"/>
            </w:rPr>
            <w:t>16</w:t>
          </w:r>
          <w:r>
            <w:rPr>
              <w:color w:val="auto"/>
              <w:sz w:val="24"/>
              <w:szCs w:val="24"/>
            </w:rPr>
            <w:fldChar w:fldCharType="end"/>
          </w:r>
          <w:r>
            <w:rPr>
              <w:color w:val="auto"/>
              <w:sz w:val="24"/>
              <w:szCs w:val="24"/>
            </w:rPr>
            <w:fldChar w:fldCharType="end"/>
          </w:r>
        </w:p>
        <w:p>
          <w:pPr>
            <w:pStyle w:val="93"/>
            <w:tabs>
              <w:tab w:val="right" w:leader="dot" w:pos="8844"/>
            </w:tabs>
            <w:spacing w:line="360" w:lineRule="auto"/>
            <w:rPr>
              <w:color w:val="auto"/>
              <w:sz w:val="24"/>
              <w:szCs w:val="24"/>
            </w:rPr>
          </w:pPr>
          <w:r>
            <w:rPr>
              <w:color w:val="auto"/>
            </w:rPr>
            <w:fldChar w:fldCharType="begin"/>
          </w:r>
          <w:r>
            <w:rPr>
              <w:color w:val="auto"/>
            </w:rPr>
            <w:instrText xml:space="preserve"> HYPERLINK \l "_Toc6170" </w:instrText>
          </w:r>
          <w:r>
            <w:rPr>
              <w:color w:val="auto"/>
            </w:rPr>
            <w:fldChar w:fldCharType="separate"/>
          </w:r>
          <w:r>
            <w:rPr>
              <w:snapToGrid w:val="0"/>
              <w:color w:val="auto"/>
              <w:sz w:val="24"/>
              <w:szCs w:val="24"/>
            </w:rPr>
            <w:t>四、主要环境影响和保护措施</w:t>
          </w:r>
          <w:r>
            <w:rPr>
              <w:color w:val="auto"/>
              <w:sz w:val="24"/>
              <w:szCs w:val="24"/>
            </w:rPr>
            <w:tab/>
          </w:r>
          <w:r>
            <w:rPr>
              <w:color w:val="auto"/>
              <w:sz w:val="24"/>
              <w:szCs w:val="24"/>
            </w:rPr>
            <w:fldChar w:fldCharType="begin"/>
          </w:r>
          <w:r>
            <w:rPr>
              <w:color w:val="auto"/>
              <w:sz w:val="24"/>
              <w:szCs w:val="24"/>
            </w:rPr>
            <w:instrText xml:space="preserve"> PAGEREF _Toc6170 \h </w:instrText>
          </w:r>
          <w:r>
            <w:rPr>
              <w:color w:val="auto"/>
              <w:sz w:val="24"/>
              <w:szCs w:val="24"/>
            </w:rPr>
            <w:fldChar w:fldCharType="separate"/>
          </w:r>
          <w:r>
            <w:rPr>
              <w:color w:val="auto"/>
              <w:sz w:val="24"/>
              <w:szCs w:val="24"/>
            </w:rPr>
            <w:t>21</w:t>
          </w:r>
          <w:r>
            <w:rPr>
              <w:color w:val="auto"/>
              <w:sz w:val="24"/>
              <w:szCs w:val="24"/>
            </w:rPr>
            <w:fldChar w:fldCharType="end"/>
          </w:r>
          <w:r>
            <w:rPr>
              <w:color w:val="auto"/>
              <w:sz w:val="24"/>
              <w:szCs w:val="24"/>
            </w:rPr>
            <w:fldChar w:fldCharType="end"/>
          </w:r>
        </w:p>
        <w:p>
          <w:pPr>
            <w:pStyle w:val="93"/>
            <w:tabs>
              <w:tab w:val="right" w:leader="dot" w:pos="8844"/>
            </w:tabs>
            <w:spacing w:line="360" w:lineRule="auto"/>
            <w:rPr>
              <w:color w:val="auto"/>
              <w:sz w:val="24"/>
              <w:szCs w:val="24"/>
            </w:rPr>
          </w:pPr>
          <w:r>
            <w:rPr>
              <w:color w:val="auto"/>
            </w:rPr>
            <w:fldChar w:fldCharType="begin"/>
          </w:r>
          <w:r>
            <w:rPr>
              <w:color w:val="auto"/>
            </w:rPr>
            <w:instrText xml:space="preserve"> HYPERLINK \l "_Toc16370" </w:instrText>
          </w:r>
          <w:r>
            <w:rPr>
              <w:color w:val="auto"/>
            </w:rPr>
            <w:fldChar w:fldCharType="separate"/>
          </w:r>
          <w:r>
            <w:rPr>
              <w:snapToGrid w:val="0"/>
              <w:color w:val="auto"/>
              <w:sz w:val="24"/>
              <w:szCs w:val="24"/>
            </w:rPr>
            <w:t>五、环境保护措施监督检查清单</w:t>
          </w:r>
          <w:r>
            <w:rPr>
              <w:color w:val="auto"/>
              <w:sz w:val="24"/>
              <w:szCs w:val="24"/>
            </w:rPr>
            <w:tab/>
          </w:r>
          <w:r>
            <w:rPr>
              <w:color w:val="auto"/>
              <w:sz w:val="24"/>
              <w:szCs w:val="24"/>
            </w:rPr>
            <w:fldChar w:fldCharType="begin"/>
          </w:r>
          <w:r>
            <w:rPr>
              <w:color w:val="auto"/>
              <w:sz w:val="24"/>
              <w:szCs w:val="24"/>
            </w:rPr>
            <w:instrText xml:space="preserve"> PAGEREF _Toc16370 \h </w:instrText>
          </w:r>
          <w:r>
            <w:rPr>
              <w:color w:val="auto"/>
              <w:sz w:val="24"/>
              <w:szCs w:val="24"/>
            </w:rPr>
            <w:fldChar w:fldCharType="separate"/>
          </w:r>
          <w:r>
            <w:rPr>
              <w:color w:val="auto"/>
              <w:sz w:val="24"/>
              <w:szCs w:val="24"/>
            </w:rPr>
            <w:t>33</w:t>
          </w:r>
          <w:r>
            <w:rPr>
              <w:color w:val="auto"/>
              <w:sz w:val="24"/>
              <w:szCs w:val="24"/>
            </w:rPr>
            <w:fldChar w:fldCharType="end"/>
          </w:r>
          <w:r>
            <w:rPr>
              <w:color w:val="auto"/>
              <w:sz w:val="24"/>
              <w:szCs w:val="24"/>
            </w:rPr>
            <w:fldChar w:fldCharType="end"/>
          </w:r>
        </w:p>
        <w:p>
          <w:pPr>
            <w:pStyle w:val="93"/>
            <w:tabs>
              <w:tab w:val="right" w:leader="dot" w:pos="8844"/>
            </w:tabs>
            <w:spacing w:line="360" w:lineRule="auto"/>
            <w:rPr>
              <w:color w:val="auto"/>
            </w:rPr>
          </w:pPr>
          <w:r>
            <w:rPr>
              <w:color w:val="auto"/>
            </w:rPr>
            <w:fldChar w:fldCharType="begin"/>
          </w:r>
          <w:r>
            <w:rPr>
              <w:color w:val="auto"/>
            </w:rPr>
            <w:instrText xml:space="preserve"> HYPERLINK \l "_Toc7247" </w:instrText>
          </w:r>
          <w:r>
            <w:rPr>
              <w:color w:val="auto"/>
            </w:rPr>
            <w:fldChar w:fldCharType="separate"/>
          </w:r>
          <w:r>
            <w:rPr>
              <w:snapToGrid w:val="0"/>
              <w:color w:val="auto"/>
              <w:sz w:val="24"/>
              <w:szCs w:val="24"/>
            </w:rPr>
            <w:t>六、结论</w:t>
          </w:r>
          <w:r>
            <w:rPr>
              <w:color w:val="auto"/>
              <w:sz w:val="24"/>
              <w:szCs w:val="24"/>
            </w:rPr>
            <w:tab/>
          </w:r>
          <w:r>
            <w:rPr>
              <w:color w:val="auto"/>
              <w:sz w:val="24"/>
              <w:szCs w:val="24"/>
            </w:rPr>
            <w:fldChar w:fldCharType="begin"/>
          </w:r>
          <w:r>
            <w:rPr>
              <w:color w:val="auto"/>
              <w:sz w:val="24"/>
              <w:szCs w:val="24"/>
            </w:rPr>
            <w:instrText xml:space="preserve"> PAGEREF _Toc7247 \h </w:instrText>
          </w:r>
          <w:r>
            <w:rPr>
              <w:color w:val="auto"/>
              <w:sz w:val="24"/>
              <w:szCs w:val="24"/>
            </w:rPr>
            <w:fldChar w:fldCharType="separate"/>
          </w:r>
          <w:r>
            <w:rPr>
              <w:color w:val="auto"/>
              <w:sz w:val="24"/>
              <w:szCs w:val="24"/>
            </w:rPr>
            <w:t>35</w:t>
          </w:r>
          <w:r>
            <w:rPr>
              <w:color w:val="auto"/>
              <w:sz w:val="24"/>
              <w:szCs w:val="24"/>
            </w:rPr>
            <w:fldChar w:fldCharType="end"/>
          </w:r>
          <w:r>
            <w:rPr>
              <w:color w:val="auto"/>
              <w:sz w:val="24"/>
              <w:szCs w:val="24"/>
            </w:rPr>
            <w:fldChar w:fldCharType="end"/>
          </w:r>
        </w:p>
        <w:p>
          <w:pPr>
            <w:pStyle w:val="93"/>
            <w:tabs>
              <w:tab w:val="right" w:leader="dot" w:pos="8844"/>
            </w:tabs>
            <w:rPr>
              <w:color w:val="auto"/>
            </w:rPr>
          </w:pPr>
        </w:p>
        <w:p>
          <w:pPr>
            <w:pStyle w:val="20"/>
            <w:jc w:val="both"/>
            <w:rPr>
              <w:color w:val="auto"/>
            </w:rPr>
          </w:pPr>
          <w:r>
            <w:rPr>
              <w:rFonts w:ascii="Times New Roman" w:hAnsi="Times New Roman" w:eastAsia="黑体"/>
              <w:snapToGrid w:val="0"/>
              <w:color w:val="auto"/>
              <w:szCs w:val="30"/>
            </w:rPr>
            <w:fldChar w:fldCharType="end"/>
          </w:r>
        </w:p>
      </w:sdtContent>
    </w:sdt>
    <w:p>
      <w:pPr>
        <w:pStyle w:val="20"/>
        <w:jc w:val="both"/>
        <w:rPr>
          <w:rFonts w:hint="eastAsia"/>
          <w:b/>
          <w:bCs/>
          <w:color w:val="auto"/>
        </w:rPr>
        <w:sectPr>
          <w:footerReference r:id="rId5"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spacing w:line="360" w:lineRule="auto"/>
        <w:rPr>
          <w:b/>
          <w:bCs/>
          <w:color w:val="auto"/>
          <w:highlight w:val="none"/>
        </w:rPr>
      </w:pPr>
      <w:r>
        <w:rPr>
          <w:rFonts w:hint="eastAsia"/>
          <w:b/>
          <w:bCs/>
          <w:color w:val="auto"/>
          <w:highlight w:val="none"/>
        </w:rPr>
        <w:t>附图：</w:t>
      </w:r>
    </w:p>
    <w:p>
      <w:pPr>
        <w:spacing w:line="360" w:lineRule="auto"/>
        <w:ind w:firstLine="420" w:firstLineChars="200"/>
        <w:rPr>
          <w:color w:val="auto"/>
          <w:highlight w:val="none"/>
        </w:rPr>
      </w:pPr>
      <w:r>
        <w:rPr>
          <w:rFonts w:hint="eastAsia"/>
          <w:color w:val="auto"/>
          <w:highlight w:val="none"/>
        </w:rPr>
        <w:t>附图1  地理位置图</w:t>
      </w:r>
    </w:p>
    <w:p>
      <w:pPr>
        <w:spacing w:line="360" w:lineRule="auto"/>
        <w:ind w:firstLine="420" w:firstLineChars="200"/>
        <w:rPr>
          <w:rFonts w:hint="eastAsia"/>
          <w:color w:val="auto"/>
          <w:highlight w:val="none"/>
        </w:rPr>
      </w:pPr>
      <w:r>
        <w:rPr>
          <w:rFonts w:hint="eastAsia"/>
          <w:color w:val="auto"/>
          <w:highlight w:val="none"/>
        </w:rPr>
        <w:t xml:space="preserve">附图2 </w:t>
      </w:r>
      <w:r>
        <w:rPr>
          <w:rFonts w:hint="eastAsia"/>
          <w:color w:val="auto"/>
          <w:highlight w:val="none"/>
          <w:lang w:val="en-US" w:eastAsia="zh-CN"/>
        </w:rPr>
        <w:t xml:space="preserve"> </w:t>
      </w:r>
      <w:r>
        <w:rPr>
          <w:rFonts w:hint="eastAsia"/>
          <w:color w:val="auto"/>
          <w:highlight w:val="none"/>
        </w:rPr>
        <w:t>项目环境管控单元图</w:t>
      </w:r>
    </w:p>
    <w:p>
      <w:pPr>
        <w:spacing w:line="360" w:lineRule="auto"/>
        <w:ind w:firstLine="420" w:firstLineChars="200"/>
        <w:rPr>
          <w:rFonts w:hint="eastAsia"/>
          <w:color w:val="auto"/>
          <w:highlight w:val="none"/>
        </w:rPr>
      </w:pPr>
      <w:r>
        <w:rPr>
          <w:rFonts w:hint="eastAsia"/>
          <w:color w:val="auto"/>
          <w:highlight w:val="none"/>
        </w:rPr>
        <w:t>附图</w:t>
      </w:r>
      <w:r>
        <w:rPr>
          <w:rFonts w:hint="eastAsia"/>
          <w:color w:val="auto"/>
          <w:highlight w:val="none"/>
          <w:lang w:val="en-US" w:eastAsia="zh-CN"/>
        </w:rPr>
        <w:t>3</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外环境关系图</w:t>
      </w:r>
    </w:p>
    <w:p>
      <w:pPr>
        <w:spacing w:line="360" w:lineRule="auto"/>
        <w:ind w:firstLine="420" w:firstLineChars="200"/>
        <w:rPr>
          <w:rFonts w:hint="eastAsia"/>
          <w:color w:val="auto"/>
          <w:highlight w:val="none"/>
        </w:rPr>
      </w:pPr>
      <w:r>
        <w:rPr>
          <w:rFonts w:hint="eastAsia"/>
          <w:color w:val="auto"/>
          <w:highlight w:val="none"/>
        </w:rPr>
        <w:t>附图</w:t>
      </w:r>
      <w:r>
        <w:rPr>
          <w:rFonts w:hint="eastAsia"/>
          <w:color w:val="auto"/>
          <w:highlight w:val="none"/>
          <w:lang w:val="en-US" w:eastAsia="zh-CN"/>
        </w:rPr>
        <w:t>4</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厂区平面布置图</w:t>
      </w:r>
    </w:p>
    <w:p>
      <w:pPr>
        <w:spacing w:line="360" w:lineRule="auto"/>
        <w:ind w:firstLine="420" w:firstLineChars="200"/>
        <w:rPr>
          <w:rFonts w:hint="default" w:eastAsia="宋体"/>
          <w:color w:val="auto"/>
          <w:highlight w:val="none"/>
          <w:lang w:val="en-US" w:eastAsia="zh-CN"/>
        </w:rPr>
      </w:pPr>
      <w:r>
        <w:rPr>
          <w:rFonts w:hint="eastAsia"/>
          <w:color w:val="auto"/>
          <w:highlight w:val="none"/>
          <w:lang w:val="en-US" w:eastAsia="zh-CN"/>
        </w:rPr>
        <w:t>附图5  生产车间平面布置图</w:t>
      </w:r>
    </w:p>
    <w:p>
      <w:pPr>
        <w:spacing w:line="360" w:lineRule="auto"/>
        <w:ind w:firstLine="420" w:firstLineChars="200"/>
        <w:rPr>
          <w:rFonts w:hint="eastAsia"/>
          <w:color w:val="auto"/>
          <w:highlight w:val="none"/>
        </w:rPr>
      </w:pPr>
      <w:r>
        <w:rPr>
          <w:rFonts w:hint="eastAsia"/>
          <w:color w:val="auto"/>
          <w:highlight w:val="none"/>
        </w:rPr>
        <w:t>附图</w:t>
      </w:r>
      <w:r>
        <w:rPr>
          <w:rFonts w:hint="eastAsia"/>
          <w:color w:val="auto"/>
          <w:highlight w:val="none"/>
          <w:lang w:val="en-US" w:eastAsia="zh-CN"/>
        </w:rPr>
        <w:t>6</w:t>
      </w:r>
      <w:r>
        <w:rPr>
          <w:rFonts w:hint="eastAsia"/>
          <w:color w:val="auto"/>
          <w:highlight w:val="none"/>
        </w:rPr>
        <w:t xml:space="preserve">-1 </w:t>
      </w:r>
      <w:r>
        <w:rPr>
          <w:rFonts w:hint="eastAsia"/>
          <w:color w:val="auto"/>
          <w:highlight w:val="none"/>
          <w:lang w:val="en-US" w:eastAsia="zh-CN"/>
        </w:rPr>
        <w:t xml:space="preserve"> </w:t>
      </w:r>
      <w:r>
        <w:rPr>
          <w:rFonts w:hint="eastAsia"/>
          <w:color w:val="auto"/>
          <w:highlight w:val="none"/>
        </w:rPr>
        <w:t>分区防渗图（一）</w:t>
      </w:r>
    </w:p>
    <w:p>
      <w:pPr>
        <w:spacing w:line="360" w:lineRule="auto"/>
        <w:ind w:firstLine="420" w:firstLineChars="200"/>
        <w:rPr>
          <w:rFonts w:hint="eastAsia"/>
          <w:color w:val="auto"/>
          <w:highlight w:val="none"/>
          <w:lang w:val="en-US" w:eastAsia="zh-CN"/>
        </w:rPr>
      </w:pPr>
      <w:r>
        <w:rPr>
          <w:rFonts w:hint="eastAsia"/>
          <w:color w:val="auto"/>
          <w:highlight w:val="none"/>
          <w:lang w:val="en-US" w:eastAsia="zh-CN"/>
        </w:rPr>
        <w:t>附图6-2  分区防渗图（二）</w:t>
      </w:r>
    </w:p>
    <w:p>
      <w:pPr>
        <w:spacing w:line="360" w:lineRule="auto"/>
        <w:ind w:firstLine="420" w:firstLineChars="200"/>
        <w:rPr>
          <w:rFonts w:hint="default"/>
          <w:color w:val="auto"/>
          <w:highlight w:val="none"/>
          <w:lang w:val="en-US" w:eastAsia="zh-CN"/>
        </w:rPr>
      </w:pPr>
      <w:r>
        <w:rPr>
          <w:rFonts w:hint="eastAsia"/>
          <w:color w:val="auto"/>
          <w:highlight w:val="none"/>
          <w:lang w:val="en-US" w:eastAsia="zh-CN"/>
        </w:rPr>
        <w:t>附图7  现场勘察影像</w:t>
      </w:r>
    </w:p>
    <w:p>
      <w:pPr>
        <w:spacing w:line="360" w:lineRule="auto"/>
        <w:ind w:firstLine="211" w:firstLineChars="100"/>
        <w:rPr>
          <w:b/>
          <w:bCs/>
          <w:color w:val="auto"/>
          <w:highlight w:val="none"/>
        </w:rPr>
      </w:pPr>
      <w:r>
        <w:rPr>
          <w:rFonts w:hint="eastAsia"/>
          <w:b/>
          <w:bCs/>
          <w:color w:val="auto"/>
          <w:highlight w:val="none"/>
        </w:rPr>
        <w:t>附件：</w:t>
      </w:r>
    </w:p>
    <w:p>
      <w:pPr>
        <w:spacing w:line="360" w:lineRule="auto"/>
        <w:ind w:firstLine="420" w:firstLineChars="200"/>
        <w:rPr>
          <w:rFonts w:hint="default" w:eastAsia="宋体"/>
          <w:color w:val="auto"/>
          <w:highlight w:val="none"/>
          <w:lang w:val="en-US" w:eastAsia="zh-CN"/>
        </w:rPr>
      </w:pPr>
      <w:r>
        <w:rPr>
          <w:rFonts w:hint="eastAsia"/>
          <w:color w:val="auto"/>
          <w:highlight w:val="none"/>
          <w:lang w:val="en-US" w:eastAsia="zh-CN"/>
        </w:rPr>
        <w:t>附件1  委托书</w:t>
      </w:r>
    </w:p>
    <w:p>
      <w:pPr>
        <w:spacing w:line="360" w:lineRule="auto"/>
        <w:ind w:firstLine="420" w:firstLineChars="200"/>
        <w:rPr>
          <w:color w:val="auto"/>
          <w:highlight w:val="none"/>
        </w:rPr>
      </w:pPr>
      <w:r>
        <w:rPr>
          <w:rFonts w:hint="eastAsia"/>
          <w:color w:val="auto"/>
          <w:highlight w:val="none"/>
        </w:rPr>
        <w:t>附件</w:t>
      </w:r>
      <w:r>
        <w:rPr>
          <w:rFonts w:hint="eastAsia"/>
          <w:color w:val="auto"/>
          <w:highlight w:val="none"/>
          <w:lang w:val="en-US" w:eastAsia="zh-CN"/>
        </w:rPr>
        <w:t>2</w:t>
      </w:r>
      <w:r>
        <w:rPr>
          <w:rFonts w:hint="eastAsia"/>
          <w:color w:val="auto"/>
          <w:highlight w:val="none"/>
        </w:rPr>
        <w:t xml:space="preserve">  立项文件</w:t>
      </w:r>
    </w:p>
    <w:p>
      <w:pPr>
        <w:spacing w:line="360" w:lineRule="auto"/>
        <w:ind w:firstLine="420" w:firstLineChars="200"/>
        <w:outlineLvl w:val="0"/>
        <w:rPr>
          <w:rFonts w:hint="eastAsia"/>
          <w:color w:val="auto"/>
          <w:highlight w:val="none"/>
        </w:rPr>
      </w:pPr>
      <w:bookmarkStart w:id="5" w:name="_Toc842"/>
      <w:r>
        <w:rPr>
          <w:rFonts w:hint="eastAsia"/>
          <w:color w:val="auto"/>
          <w:highlight w:val="none"/>
        </w:rPr>
        <w:t>附件</w:t>
      </w:r>
      <w:r>
        <w:rPr>
          <w:rFonts w:hint="eastAsia"/>
          <w:color w:val="auto"/>
          <w:highlight w:val="none"/>
          <w:lang w:val="en-US" w:eastAsia="zh-CN"/>
        </w:rPr>
        <w:t>3</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租赁合同</w:t>
      </w:r>
    </w:p>
    <w:p>
      <w:pPr>
        <w:spacing w:line="360" w:lineRule="auto"/>
        <w:ind w:firstLine="420" w:firstLineChars="200"/>
        <w:outlineLvl w:val="0"/>
        <w:rPr>
          <w:rFonts w:hint="eastAsia"/>
          <w:color w:val="auto"/>
          <w:highlight w:val="none"/>
        </w:rPr>
      </w:pPr>
      <w:r>
        <w:rPr>
          <w:rFonts w:hint="eastAsia"/>
          <w:color w:val="auto"/>
          <w:highlight w:val="none"/>
        </w:rPr>
        <w:t>附件</w:t>
      </w:r>
      <w:r>
        <w:rPr>
          <w:rFonts w:hint="eastAsia"/>
          <w:color w:val="auto"/>
          <w:highlight w:val="none"/>
          <w:lang w:val="en-US" w:eastAsia="zh-CN"/>
        </w:rPr>
        <w:t>4</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营业执照</w:t>
      </w:r>
    </w:p>
    <w:p>
      <w:pPr>
        <w:spacing w:line="360" w:lineRule="auto"/>
        <w:ind w:firstLine="420" w:firstLineChars="200"/>
        <w:outlineLvl w:val="0"/>
        <w:rPr>
          <w:rFonts w:hint="eastAsia"/>
          <w:color w:val="auto"/>
          <w:highlight w:val="none"/>
        </w:rPr>
      </w:pPr>
      <w:r>
        <w:rPr>
          <w:rFonts w:hint="eastAsia"/>
          <w:color w:val="auto"/>
          <w:highlight w:val="none"/>
        </w:rPr>
        <w:t>附件</w:t>
      </w:r>
      <w:r>
        <w:rPr>
          <w:rFonts w:hint="eastAsia"/>
          <w:color w:val="auto"/>
          <w:highlight w:val="none"/>
          <w:lang w:val="en-US" w:eastAsia="zh-CN"/>
        </w:rPr>
        <w:t>5</w:t>
      </w:r>
      <w:r>
        <w:rPr>
          <w:rFonts w:hint="eastAsia"/>
          <w:color w:val="auto"/>
          <w:highlight w:val="none"/>
        </w:rPr>
        <w:t xml:space="preserve"> </w:t>
      </w:r>
      <w:r>
        <w:rPr>
          <w:rFonts w:hint="eastAsia"/>
          <w:color w:val="auto"/>
          <w:highlight w:val="none"/>
          <w:lang w:val="en-US" w:eastAsia="zh-CN"/>
        </w:rPr>
        <w:t xml:space="preserve"> </w:t>
      </w:r>
      <w:r>
        <w:rPr>
          <w:rFonts w:hint="eastAsia"/>
          <w:color w:val="auto"/>
          <w:highlight w:val="none"/>
        </w:rPr>
        <w:t>监测报告</w:t>
      </w:r>
    </w:p>
    <w:p>
      <w:pPr>
        <w:spacing w:line="360" w:lineRule="auto"/>
        <w:ind w:firstLine="420" w:firstLineChars="200"/>
        <w:outlineLvl w:val="0"/>
        <w:rPr>
          <w:rFonts w:hint="eastAsia"/>
          <w:color w:val="auto"/>
          <w:highlight w:val="yellow"/>
        </w:rPr>
      </w:pPr>
    </w:p>
    <w:p>
      <w:pPr>
        <w:spacing w:line="360" w:lineRule="auto"/>
        <w:ind w:firstLine="420" w:firstLineChars="200"/>
        <w:outlineLvl w:val="0"/>
        <w:rPr>
          <w:rFonts w:hint="eastAsia"/>
          <w:color w:val="auto"/>
          <w:highlight w:val="yellow"/>
        </w:rPr>
      </w:pPr>
    </w:p>
    <w:p>
      <w:pPr>
        <w:spacing w:line="360" w:lineRule="auto"/>
        <w:ind w:firstLine="420" w:firstLineChars="200"/>
        <w:outlineLvl w:val="0"/>
        <w:rPr>
          <w:rFonts w:hint="eastAsia"/>
          <w:color w:val="auto"/>
          <w:highlight w:val="yellow"/>
        </w:rPr>
      </w:pPr>
    </w:p>
    <w:bookmarkEnd w:id="5"/>
    <w:p>
      <w:pPr>
        <w:pStyle w:val="20"/>
        <w:jc w:val="center"/>
        <w:rPr>
          <w:rFonts w:ascii="黑体" w:hAnsi="黑体" w:eastAsia="黑体"/>
          <w:snapToGrid w:val="0"/>
          <w:color w:val="auto"/>
          <w:sz w:val="30"/>
          <w:szCs w:val="30"/>
        </w:rPr>
        <w:sectPr>
          <w:footerReference r:id="rId6" w:type="default"/>
          <w:pgSz w:w="11906" w:h="16838"/>
          <w:pgMar w:top="1701" w:right="1531" w:bottom="1701" w:left="1531" w:header="851" w:footer="1077" w:gutter="0"/>
          <w:pgBorders>
            <w:top w:val="none" w:sz="0" w:space="0"/>
            <w:left w:val="none" w:sz="0" w:space="0"/>
            <w:bottom w:val="none" w:sz="0" w:space="0"/>
            <w:right w:val="none" w:sz="0" w:space="0"/>
          </w:pgBorders>
          <w:pgNumType w:start="1"/>
          <w:cols w:space="720" w:num="1"/>
          <w:docGrid w:linePitch="312" w:charSpace="0"/>
        </w:sectPr>
      </w:pPr>
    </w:p>
    <w:p>
      <w:pPr>
        <w:pStyle w:val="20"/>
        <w:jc w:val="center"/>
        <w:outlineLvl w:val="0"/>
        <w:rPr>
          <w:rFonts w:ascii="黑体" w:hAnsi="黑体" w:eastAsia="黑体"/>
          <w:snapToGrid w:val="0"/>
          <w:color w:val="auto"/>
          <w:sz w:val="30"/>
          <w:szCs w:val="30"/>
        </w:rPr>
      </w:pPr>
      <w:bookmarkStart w:id="6" w:name="_Toc10321"/>
      <w:r>
        <w:rPr>
          <w:rFonts w:hint="eastAsia" w:ascii="黑体" w:hAnsi="黑体" w:eastAsia="黑体"/>
          <w:snapToGrid w:val="0"/>
          <w:color w:val="auto"/>
          <w:sz w:val="30"/>
          <w:szCs w:val="30"/>
        </w:rPr>
        <w:t>一、建设项目基本情况</w:t>
      </w:r>
      <w:bookmarkEnd w:id="6"/>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0" w:type="dxa"/>
          <w:bottom w:w="0" w:type="dxa"/>
          <w:right w:w="0" w:type="dxa"/>
        </w:tblCellMar>
      </w:tblPr>
      <w:tblGrid>
        <w:gridCol w:w="1081"/>
        <w:gridCol w:w="2617"/>
        <w:gridCol w:w="1657"/>
        <w:gridCol w:w="351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497" w:hRule="atLeast"/>
          <w:jc w:val="center"/>
        </w:trPr>
        <w:tc>
          <w:tcPr>
            <w:tcW w:w="1081" w:type="dxa"/>
            <w:tcMar>
              <w:top w:w="16" w:type="dxa"/>
              <w:left w:w="16" w:type="dxa"/>
              <w:right w:w="16" w:type="dxa"/>
            </w:tcMar>
            <w:vAlign w:val="center"/>
          </w:tcPr>
          <w:p>
            <w:pPr>
              <w:adjustRightInd w:val="0"/>
              <w:snapToGrid w:val="0"/>
              <w:jc w:val="center"/>
              <w:rPr>
                <w:color w:val="auto"/>
                <w:szCs w:val="21"/>
              </w:rPr>
            </w:pPr>
            <w:r>
              <w:rPr>
                <w:color w:val="auto"/>
                <w:szCs w:val="21"/>
              </w:rPr>
              <w:t>建设项目名称</w:t>
            </w:r>
          </w:p>
        </w:tc>
        <w:tc>
          <w:tcPr>
            <w:tcW w:w="7789" w:type="dxa"/>
            <w:gridSpan w:val="3"/>
            <w:vAlign w:val="center"/>
          </w:tcPr>
          <w:p>
            <w:pPr>
              <w:adjustRightInd w:val="0"/>
              <w:snapToGrid w:val="0"/>
              <w:jc w:val="center"/>
              <w:rPr>
                <w:color w:val="auto"/>
                <w:szCs w:val="21"/>
              </w:rPr>
            </w:pPr>
            <w:r>
              <w:rPr>
                <w:rFonts w:hint="eastAsia"/>
                <w:color w:val="auto"/>
                <w:szCs w:val="21"/>
              </w:rPr>
              <w:t>玛纳斯县新疆卓兴有限公司年产4000万个纸质蛋托项目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1" w:type="dxa"/>
            <w:tcMar>
              <w:top w:w="16" w:type="dxa"/>
              <w:left w:w="16" w:type="dxa"/>
              <w:right w:w="16" w:type="dxa"/>
            </w:tcMar>
            <w:vAlign w:val="center"/>
          </w:tcPr>
          <w:p>
            <w:pPr>
              <w:adjustRightInd w:val="0"/>
              <w:snapToGrid w:val="0"/>
              <w:jc w:val="center"/>
              <w:rPr>
                <w:color w:val="auto"/>
                <w:szCs w:val="21"/>
              </w:rPr>
            </w:pPr>
            <w:r>
              <w:rPr>
                <w:color w:val="auto"/>
                <w:szCs w:val="21"/>
              </w:rPr>
              <w:t>项目代码</w:t>
            </w:r>
          </w:p>
        </w:tc>
        <w:tc>
          <w:tcPr>
            <w:tcW w:w="7789" w:type="dxa"/>
            <w:gridSpan w:val="3"/>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2210-652324-21-01-687315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1" w:type="dxa"/>
            <w:tcMar>
              <w:top w:w="16" w:type="dxa"/>
              <w:left w:w="16" w:type="dxa"/>
              <w:right w:w="16" w:type="dxa"/>
            </w:tcMar>
            <w:vAlign w:val="center"/>
          </w:tcPr>
          <w:p>
            <w:pPr>
              <w:adjustRightInd w:val="0"/>
              <w:snapToGrid w:val="0"/>
              <w:jc w:val="center"/>
              <w:rPr>
                <w:color w:val="auto"/>
                <w:szCs w:val="21"/>
              </w:rPr>
            </w:pPr>
            <w:r>
              <w:rPr>
                <w:color w:val="auto"/>
                <w:szCs w:val="21"/>
              </w:rPr>
              <w:t>建设单位联系人</w:t>
            </w:r>
          </w:p>
        </w:tc>
        <w:tc>
          <w:tcPr>
            <w:tcW w:w="2617"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w:t>
            </w:r>
          </w:p>
        </w:tc>
        <w:tc>
          <w:tcPr>
            <w:tcW w:w="1657" w:type="dxa"/>
            <w:vAlign w:val="center"/>
          </w:tcPr>
          <w:p>
            <w:pPr>
              <w:adjustRightInd w:val="0"/>
              <w:snapToGrid w:val="0"/>
              <w:jc w:val="center"/>
              <w:rPr>
                <w:color w:val="auto"/>
                <w:szCs w:val="21"/>
              </w:rPr>
            </w:pPr>
            <w:r>
              <w:rPr>
                <w:color w:val="auto"/>
                <w:szCs w:val="21"/>
              </w:rPr>
              <w:t>联系方式</w:t>
            </w:r>
          </w:p>
        </w:tc>
        <w:tc>
          <w:tcPr>
            <w:tcW w:w="3515"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1" w:type="dxa"/>
            <w:tcMar>
              <w:top w:w="16" w:type="dxa"/>
              <w:left w:w="16" w:type="dxa"/>
              <w:right w:w="16" w:type="dxa"/>
            </w:tcMar>
            <w:vAlign w:val="center"/>
          </w:tcPr>
          <w:p>
            <w:pPr>
              <w:adjustRightInd w:val="0"/>
              <w:snapToGrid w:val="0"/>
              <w:jc w:val="center"/>
              <w:rPr>
                <w:color w:val="auto"/>
                <w:szCs w:val="21"/>
              </w:rPr>
            </w:pPr>
            <w:r>
              <w:rPr>
                <w:color w:val="auto"/>
                <w:szCs w:val="21"/>
              </w:rPr>
              <w:t>建设地点</w:t>
            </w:r>
          </w:p>
        </w:tc>
        <w:tc>
          <w:tcPr>
            <w:tcW w:w="7789" w:type="dxa"/>
            <w:gridSpan w:val="3"/>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新疆昌吉回族自治州玛纳</w:t>
            </w:r>
            <w:bookmarkStart w:id="18" w:name="_GoBack"/>
            <w:bookmarkEnd w:id="18"/>
            <w:r>
              <w:rPr>
                <w:rFonts w:hint="eastAsia"/>
                <w:color w:val="auto"/>
                <w:szCs w:val="21"/>
                <w:lang w:val="en-US" w:eastAsia="zh-CN"/>
              </w:rPr>
              <w:t>斯县兰州湾镇</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1" w:type="dxa"/>
            <w:tcMar>
              <w:top w:w="16" w:type="dxa"/>
              <w:left w:w="16" w:type="dxa"/>
              <w:right w:w="16" w:type="dxa"/>
            </w:tcMar>
            <w:vAlign w:val="center"/>
          </w:tcPr>
          <w:p>
            <w:pPr>
              <w:adjustRightInd w:val="0"/>
              <w:snapToGrid w:val="0"/>
              <w:jc w:val="center"/>
              <w:rPr>
                <w:color w:val="auto"/>
                <w:szCs w:val="21"/>
              </w:rPr>
            </w:pPr>
            <w:r>
              <w:rPr>
                <w:color w:val="auto"/>
                <w:szCs w:val="21"/>
              </w:rPr>
              <w:t>地理坐标</w:t>
            </w:r>
          </w:p>
        </w:tc>
        <w:tc>
          <w:tcPr>
            <w:tcW w:w="7789" w:type="dxa"/>
            <w:gridSpan w:val="3"/>
            <w:vAlign w:val="center"/>
          </w:tcPr>
          <w:p>
            <w:pPr>
              <w:jc w:val="center"/>
              <w:rPr>
                <w:color w:val="auto"/>
                <w:szCs w:val="21"/>
                <w:highlight w:val="yellow"/>
              </w:rPr>
            </w:pPr>
            <w:r>
              <w:rPr>
                <w:color w:val="auto"/>
                <w:szCs w:val="21"/>
              </w:rPr>
              <w:t>（</w:t>
            </w:r>
            <w:r>
              <w:rPr>
                <w:rFonts w:hint="eastAsia"/>
                <w:color w:val="auto"/>
                <w:szCs w:val="21"/>
                <w:u w:val="single"/>
              </w:rPr>
              <w:t xml:space="preserve"> </w:t>
            </w:r>
            <w:r>
              <w:rPr>
                <w:rFonts w:hint="eastAsia"/>
                <w:color w:val="auto"/>
                <w:szCs w:val="21"/>
                <w:u w:val="single"/>
                <w:lang w:val="en-US" w:eastAsia="zh-CN"/>
              </w:rPr>
              <w:t>86</w:t>
            </w:r>
            <w:r>
              <w:rPr>
                <w:rFonts w:hint="eastAsia"/>
                <w:color w:val="auto"/>
                <w:szCs w:val="21"/>
                <w:u w:val="single"/>
              </w:rPr>
              <w:t xml:space="preserve"> </w:t>
            </w:r>
            <w:r>
              <w:rPr>
                <w:color w:val="auto"/>
                <w:szCs w:val="21"/>
              </w:rPr>
              <w:t>度</w:t>
            </w:r>
            <w:r>
              <w:rPr>
                <w:color w:val="auto"/>
                <w:szCs w:val="21"/>
                <w:u w:val="single"/>
              </w:rPr>
              <w:t xml:space="preserve"> </w:t>
            </w:r>
            <w:r>
              <w:rPr>
                <w:rFonts w:hint="eastAsia"/>
                <w:color w:val="auto"/>
                <w:szCs w:val="21"/>
                <w:u w:val="single"/>
                <w:lang w:val="en-US" w:eastAsia="zh-CN"/>
              </w:rPr>
              <w:t>9</w:t>
            </w:r>
            <w:r>
              <w:rPr>
                <w:rFonts w:hint="eastAsia"/>
                <w:color w:val="auto"/>
                <w:szCs w:val="21"/>
                <w:u w:val="single"/>
              </w:rPr>
              <w:t xml:space="preserve"> </w:t>
            </w:r>
            <w:r>
              <w:rPr>
                <w:color w:val="auto"/>
                <w:szCs w:val="21"/>
              </w:rPr>
              <w:t>分</w:t>
            </w:r>
            <w:r>
              <w:rPr>
                <w:color w:val="auto"/>
                <w:szCs w:val="21"/>
                <w:u w:val="single"/>
              </w:rPr>
              <w:t xml:space="preserve"> </w:t>
            </w:r>
            <w:r>
              <w:rPr>
                <w:rFonts w:hint="eastAsia"/>
                <w:color w:val="auto"/>
                <w:szCs w:val="21"/>
                <w:u w:val="single"/>
                <w:lang w:val="en-US" w:eastAsia="zh-CN"/>
              </w:rPr>
              <w:t>54.730</w:t>
            </w:r>
            <w:r>
              <w:rPr>
                <w:color w:val="auto"/>
                <w:szCs w:val="21"/>
                <w:u w:val="single"/>
              </w:rPr>
              <w:t xml:space="preserve"> </w:t>
            </w:r>
            <w:r>
              <w:rPr>
                <w:color w:val="auto"/>
                <w:szCs w:val="21"/>
              </w:rPr>
              <w:t>秒</w:t>
            </w:r>
            <w:r>
              <w:rPr>
                <w:rFonts w:hint="eastAsia"/>
                <w:color w:val="auto"/>
                <w:szCs w:val="21"/>
              </w:rPr>
              <w:t xml:space="preserve"> </w:t>
            </w:r>
            <w:r>
              <w:rPr>
                <w:color w:val="auto"/>
                <w:szCs w:val="21"/>
              </w:rPr>
              <w:t>，</w:t>
            </w:r>
            <w:r>
              <w:rPr>
                <w:color w:val="auto"/>
                <w:szCs w:val="21"/>
                <w:u w:val="single"/>
              </w:rPr>
              <w:t xml:space="preserve"> </w:t>
            </w:r>
            <w:r>
              <w:rPr>
                <w:rFonts w:hint="eastAsia"/>
                <w:color w:val="auto"/>
                <w:szCs w:val="21"/>
                <w:u w:val="single"/>
                <w:lang w:val="en-US" w:eastAsia="zh-CN"/>
              </w:rPr>
              <w:t>44</w:t>
            </w:r>
            <w:r>
              <w:rPr>
                <w:color w:val="auto"/>
                <w:szCs w:val="21"/>
                <w:u w:val="single"/>
              </w:rPr>
              <w:t xml:space="preserve"> </w:t>
            </w:r>
            <w:r>
              <w:rPr>
                <w:color w:val="auto"/>
                <w:szCs w:val="21"/>
              </w:rPr>
              <w:t>度</w:t>
            </w:r>
            <w:r>
              <w:rPr>
                <w:color w:val="auto"/>
                <w:szCs w:val="21"/>
                <w:u w:val="single"/>
              </w:rPr>
              <w:t xml:space="preserve"> </w:t>
            </w:r>
            <w:r>
              <w:rPr>
                <w:rFonts w:hint="eastAsia"/>
                <w:color w:val="auto"/>
                <w:szCs w:val="21"/>
                <w:u w:val="single"/>
                <w:lang w:val="en-US" w:eastAsia="zh-CN"/>
              </w:rPr>
              <w:t>19</w:t>
            </w:r>
            <w:r>
              <w:rPr>
                <w:color w:val="auto"/>
                <w:szCs w:val="21"/>
                <w:u w:val="single"/>
              </w:rPr>
              <w:t xml:space="preserve"> </w:t>
            </w:r>
            <w:r>
              <w:rPr>
                <w:color w:val="auto"/>
                <w:szCs w:val="21"/>
              </w:rPr>
              <w:t>分</w:t>
            </w:r>
            <w:r>
              <w:rPr>
                <w:color w:val="auto"/>
                <w:szCs w:val="21"/>
                <w:u w:val="single"/>
              </w:rPr>
              <w:t xml:space="preserve"> </w:t>
            </w:r>
            <w:r>
              <w:rPr>
                <w:rFonts w:hint="eastAsia"/>
                <w:color w:val="auto"/>
                <w:szCs w:val="21"/>
                <w:u w:val="single"/>
                <w:lang w:val="en-US" w:eastAsia="zh-CN"/>
              </w:rPr>
              <w:t>49.242</w:t>
            </w:r>
            <w:r>
              <w:rPr>
                <w:color w:val="auto"/>
                <w:szCs w:val="21"/>
              </w:rPr>
              <w:t>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561" w:hRule="atLeast"/>
          <w:jc w:val="center"/>
        </w:trPr>
        <w:tc>
          <w:tcPr>
            <w:tcW w:w="1081" w:type="dxa"/>
            <w:tcMar>
              <w:top w:w="16" w:type="dxa"/>
              <w:left w:w="16" w:type="dxa"/>
              <w:right w:w="16" w:type="dxa"/>
            </w:tcMar>
            <w:vAlign w:val="center"/>
          </w:tcPr>
          <w:p>
            <w:pPr>
              <w:adjustRightInd w:val="0"/>
              <w:snapToGrid w:val="0"/>
              <w:jc w:val="center"/>
              <w:rPr>
                <w:color w:val="auto"/>
                <w:szCs w:val="21"/>
              </w:rPr>
            </w:pPr>
            <w:r>
              <w:rPr>
                <w:color w:val="auto"/>
                <w:szCs w:val="21"/>
              </w:rPr>
              <w:t>国民经济</w:t>
            </w:r>
          </w:p>
          <w:p>
            <w:pPr>
              <w:adjustRightInd w:val="0"/>
              <w:snapToGrid w:val="0"/>
              <w:jc w:val="center"/>
              <w:rPr>
                <w:color w:val="auto"/>
                <w:szCs w:val="21"/>
              </w:rPr>
            </w:pPr>
            <w:r>
              <w:rPr>
                <w:color w:val="auto"/>
                <w:szCs w:val="21"/>
              </w:rPr>
              <w:t>行业类别</w:t>
            </w:r>
          </w:p>
        </w:tc>
        <w:tc>
          <w:tcPr>
            <w:tcW w:w="2617" w:type="dxa"/>
            <w:vAlign w:val="center"/>
          </w:tcPr>
          <w:p>
            <w:pPr>
              <w:tabs>
                <w:tab w:val="left" w:pos="4506"/>
              </w:tabs>
              <w:adjustRightInd w:val="0"/>
              <w:snapToGrid w:val="0"/>
              <w:spacing w:line="360" w:lineRule="exact"/>
              <w:jc w:val="center"/>
              <w:rPr>
                <w:rFonts w:hint="default" w:eastAsia="宋体"/>
                <w:color w:val="auto"/>
                <w:szCs w:val="21"/>
                <w:lang w:val="en-US" w:eastAsia="zh-CN"/>
              </w:rPr>
            </w:pPr>
            <w:r>
              <w:rPr>
                <w:rFonts w:hint="eastAsia"/>
                <w:color w:val="auto"/>
                <w:szCs w:val="21"/>
              </w:rPr>
              <w:t>C</w:t>
            </w:r>
            <w:r>
              <w:rPr>
                <w:rFonts w:hint="eastAsia"/>
                <w:color w:val="auto"/>
                <w:szCs w:val="21"/>
                <w:lang w:val="en-US" w:eastAsia="zh-CN"/>
              </w:rPr>
              <w:t>2239 其他纸制品制造</w:t>
            </w:r>
          </w:p>
        </w:tc>
        <w:tc>
          <w:tcPr>
            <w:tcW w:w="1657" w:type="dxa"/>
            <w:vAlign w:val="center"/>
          </w:tcPr>
          <w:p>
            <w:pPr>
              <w:adjustRightInd w:val="0"/>
              <w:snapToGrid w:val="0"/>
              <w:jc w:val="center"/>
              <w:rPr>
                <w:color w:val="auto"/>
                <w:szCs w:val="21"/>
              </w:rPr>
            </w:pPr>
            <w:bookmarkStart w:id="7" w:name="_Hlk49843745"/>
            <w:r>
              <w:rPr>
                <w:color w:val="auto"/>
                <w:szCs w:val="21"/>
              </w:rPr>
              <w:t>建设项目</w:t>
            </w:r>
          </w:p>
          <w:p>
            <w:pPr>
              <w:adjustRightInd w:val="0"/>
              <w:snapToGrid w:val="0"/>
              <w:jc w:val="center"/>
              <w:rPr>
                <w:color w:val="auto"/>
                <w:szCs w:val="21"/>
              </w:rPr>
            </w:pPr>
            <w:r>
              <w:rPr>
                <w:color w:val="auto"/>
                <w:szCs w:val="21"/>
              </w:rPr>
              <w:t>行业类别</w:t>
            </w:r>
            <w:bookmarkEnd w:id="7"/>
          </w:p>
        </w:tc>
        <w:tc>
          <w:tcPr>
            <w:tcW w:w="3515" w:type="dxa"/>
            <w:vAlign w:val="center"/>
          </w:tcPr>
          <w:p>
            <w:pPr>
              <w:numPr>
                <w:ilvl w:val="0"/>
                <w:numId w:val="1"/>
              </w:numPr>
              <w:adjustRightInd w:val="0"/>
              <w:snapToGrid w:val="0"/>
              <w:jc w:val="center"/>
              <w:rPr>
                <w:rFonts w:hint="eastAsia"/>
                <w:color w:val="auto"/>
                <w:szCs w:val="21"/>
              </w:rPr>
            </w:pPr>
            <w:r>
              <w:rPr>
                <w:rFonts w:hint="eastAsia"/>
                <w:color w:val="auto"/>
                <w:szCs w:val="21"/>
              </w:rPr>
              <w:t>造纸和纸制品业 22</w:t>
            </w:r>
          </w:p>
          <w:p>
            <w:pPr>
              <w:numPr>
                <w:ilvl w:val="0"/>
                <w:numId w:val="0"/>
              </w:numPr>
              <w:adjustRightInd w:val="0"/>
              <w:snapToGrid w:val="0"/>
              <w:jc w:val="center"/>
              <w:rPr>
                <w:rFonts w:hint="eastAsia"/>
                <w:color w:val="auto"/>
                <w:szCs w:val="21"/>
              </w:rPr>
            </w:pPr>
            <w:r>
              <w:rPr>
                <w:rFonts w:hint="eastAsia"/>
                <w:color w:val="auto"/>
                <w:szCs w:val="21"/>
                <w:lang w:val="en-US" w:eastAsia="zh-CN"/>
              </w:rPr>
              <w:t>38 纸制品制造 有涂布、浸渍、印刷、粘胶工艺的</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1219" w:hRule="atLeast"/>
          <w:jc w:val="center"/>
        </w:trPr>
        <w:tc>
          <w:tcPr>
            <w:tcW w:w="1081" w:type="dxa"/>
            <w:tcMar>
              <w:top w:w="16" w:type="dxa"/>
              <w:left w:w="16" w:type="dxa"/>
              <w:right w:w="16" w:type="dxa"/>
            </w:tcMar>
            <w:vAlign w:val="center"/>
          </w:tcPr>
          <w:p>
            <w:pPr>
              <w:adjustRightInd w:val="0"/>
              <w:snapToGrid w:val="0"/>
              <w:jc w:val="center"/>
              <w:rPr>
                <w:color w:val="auto"/>
                <w:szCs w:val="21"/>
              </w:rPr>
            </w:pPr>
            <w:r>
              <w:rPr>
                <w:color w:val="auto"/>
                <w:szCs w:val="21"/>
              </w:rPr>
              <w:t>建设性质</w:t>
            </w:r>
          </w:p>
        </w:tc>
        <w:tc>
          <w:tcPr>
            <w:tcW w:w="2617" w:type="dxa"/>
            <w:vAlign w:val="center"/>
          </w:tcPr>
          <w:p>
            <w:pPr>
              <w:jc w:val="left"/>
              <w:rPr>
                <w:color w:val="auto"/>
                <w:szCs w:val="21"/>
              </w:rPr>
            </w:pPr>
            <w:r>
              <w:rPr>
                <w:rFonts w:hint="eastAsia"/>
                <w:color w:val="auto"/>
                <w:szCs w:val="21"/>
              </w:rPr>
              <w:sym w:font="Wingdings 2" w:char="0052"/>
            </w:r>
            <w:r>
              <w:rPr>
                <w:color w:val="auto"/>
                <w:szCs w:val="21"/>
              </w:rPr>
              <w:t>新建（迁建）</w:t>
            </w:r>
          </w:p>
          <w:p>
            <w:pPr>
              <w:jc w:val="left"/>
              <w:rPr>
                <w:color w:val="auto"/>
                <w:szCs w:val="21"/>
              </w:rPr>
            </w:pPr>
            <w:r>
              <w:rPr>
                <w:rFonts w:hint="eastAsia"/>
                <w:color w:val="auto"/>
                <w:szCs w:val="21"/>
              </w:rPr>
              <w:t>□</w:t>
            </w:r>
            <w:r>
              <w:rPr>
                <w:color w:val="auto"/>
                <w:szCs w:val="21"/>
              </w:rPr>
              <w:t>改建</w:t>
            </w:r>
          </w:p>
          <w:p>
            <w:pPr>
              <w:jc w:val="left"/>
              <w:rPr>
                <w:color w:val="auto"/>
                <w:szCs w:val="21"/>
              </w:rPr>
            </w:pPr>
            <w:r>
              <w:rPr>
                <w:rFonts w:hint="eastAsia"/>
                <w:color w:val="auto"/>
                <w:szCs w:val="21"/>
              </w:rPr>
              <w:t>□</w:t>
            </w:r>
            <w:r>
              <w:rPr>
                <w:color w:val="auto"/>
                <w:szCs w:val="21"/>
              </w:rPr>
              <w:t>扩建</w:t>
            </w:r>
          </w:p>
          <w:p>
            <w:pPr>
              <w:jc w:val="left"/>
              <w:rPr>
                <w:color w:val="auto"/>
                <w:szCs w:val="21"/>
              </w:rPr>
            </w:pPr>
            <w:r>
              <w:rPr>
                <w:rFonts w:hint="eastAsia"/>
                <w:color w:val="auto"/>
                <w:szCs w:val="21"/>
                <w:lang w:eastAsia="zh-CN"/>
              </w:rPr>
              <w:t>□</w:t>
            </w:r>
            <w:r>
              <w:rPr>
                <w:color w:val="auto"/>
                <w:szCs w:val="21"/>
              </w:rPr>
              <w:t>技术改造</w:t>
            </w:r>
          </w:p>
        </w:tc>
        <w:tc>
          <w:tcPr>
            <w:tcW w:w="1657" w:type="dxa"/>
            <w:vAlign w:val="center"/>
          </w:tcPr>
          <w:p>
            <w:pPr>
              <w:adjustRightInd w:val="0"/>
              <w:snapToGrid w:val="0"/>
              <w:jc w:val="center"/>
              <w:rPr>
                <w:color w:val="auto"/>
                <w:szCs w:val="21"/>
              </w:rPr>
            </w:pPr>
            <w:r>
              <w:rPr>
                <w:color w:val="auto"/>
                <w:szCs w:val="21"/>
              </w:rPr>
              <w:t>建设项目</w:t>
            </w:r>
          </w:p>
          <w:p>
            <w:pPr>
              <w:adjustRightInd w:val="0"/>
              <w:snapToGrid w:val="0"/>
              <w:jc w:val="center"/>
              <w:rPr>
                <w:color w:val="auto"/>
                <w:szCs w:val="21"/>
              </w:rPr>
            </w:pPr>
            <w:r>
              <w:rPr>
                <w:color w:val="auto"/>
                <w:szCs w:val="21"/>
              </w:rPr>
              <w:t>申报情形</w:t>
            </w:r>
          </w:p>
        </w:tc>
        <w:tc>
          <w:tcPr>
            <w:tcW w:w="3515" w:type="dxa"/>
            <w:vAlign w:val="center"/>
          </w:tcPr>
          <w:p>
            <w:pPr>
              <w:jc w:val="left"/>
              <w:rPr>
                <w:color w:val="auto"/>
                <w:szCs w:val="21"/>
              </w:rPr>
            </w:pPr>
            <w:r>
              <w:rPr>
                <w:rFonts w:hint="eastAsia"/>
                <w:color w:val="auto"/>
                <w:szCs w:val="21"/>
              </w:rPr>
              <w:t>☑</w:t>
            </w:r>
            <w:r>
              <w:rPr>
                <w:color w:val="auto"/>
                <w:szCs w:val="21"/>
              </w:rPr>
              <w:t xml:space="preserve">首次申报项目             </w:t>
            </w:r>
          </w:p>
          <w:p>
            <w:pPr>
              <w:jc w:val="left"/>
              <w:rPr>
                <w:color w:val="auto"/>
                <w:szCs w:val="21"/>
              </w:rPr>
            </w:pPr>
            <w:r>
              <w:rPr>
                <w:rFonts w:hint="eastAsia"/>
                <w:color w:val="auto"/>
                <w:szCs w:val="21"/>
              </w:rPr>
              <w:t>□</w:t>
            </w:r>
            <w:r>
              <w:rPr>
                <w:color w:val="auto"/>
                <w:szCs w:val="21"/>
              </w:rPr>
              <w:t>不予批准后再次申报项目</w:t>
            </w:r>
          </w:p>
          <w:p>
            <w:pPr>
              <w:jc w:val="left"/>
              <w:rPr>
                <w:color w:val="auto"/>
                <w:szCs w:val="21"/>
              </w:rPr>
            </w:pPr>
            <w:r>
              <w:rPr>
                <w:rFonts w:hint="eastAsia"/>
                <w:color w:val="auto"/>
                <w:szCs w:val="21"/>
              </w:rPr>
              <w:t>□</w:t>
            </w:r>
            <w:r>
              <w:rPr>
                <w:color w:val="auto"/>
                <w:szCs w:val="21"/>
              </w:rPr>
              <w:t xml:space="preserve">超五年重新审核项目     </w:t>
            </w:r>
          </w:p>
          <w:p>
            <w:pPr>
              <w:jc w:val="left"/>
              <w:rPr>
                <w:color w:val="auto"/>
                <w:szCs w:val="21"/>
              </w:rPr>
            </w:pPr>
            <w:r>
              <w:rPr>
                <w:rFonts w:hint="eastAsia"/>
                <w:color w:val="auto"/>
                <w:szCs w:val="21"/>
              </w:rPr>
              <w:t>□</w:t>
            </w:r>
            <w:r>
              <w:rPr>
                <w:color w:val="auto"/>
                <w:szCs w:val="21"/>
              </w:rPr>
              <w:t>重大变动重新报批项目</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851" w:hRule="atLeast"/>
          <w:jc w:val="center"/>
        </w:trPr>
        <w:tc>
          <w:tcPr>
            <w:tcW w:w="1081" w:type="dxa"/>
            <w:tcMar>
              <w:top w:w="16" w:type="dxa"/>
              <w:left w:w="16" w:type="dxa"/>
              <w:right w:w="16" w:type="dxa"/>
            </w:tcMar>
            <w:vAlign w:val="center"/>
          </w:tcPr>
          <w:p>
            <w:pPr>
              <w:adjustRightInd w:val="0"/>
              <w:snapToGrid w:val="0"/>
              <w:jc w:val="center"/>
              <w:rPr>
                <w:color w:val="auto"/>
                <w:szCs w:val="21"/>
              </w:rPr>
            </w:pPr>
            <w:r>
              <w:rPr>
                <w:color w:val="auto"/>
                <w:szCs w:val="21"/>
              </w:rPr>
              <w:t>项目审批（核准/</w:t>
            </w:r>
          </w:p>
          <w:p>
            <w:pPr>
              <w:adjustRightInd w:val="0"/>
              <w:snapToGrid w:val="0"/>
              <w:jc w:val="center"/>
              <w:rPr>
                <w:color w:val="auto"/>
                <w:szCs w:val="21"/>
              </w:rPr>
            </w:pPr>
            <w:r>
              <w:rPr>
                <w:color w:val="auto"/>
                <w:szCs w:val="21"/>
              </w:rPr>
              <w:t>备案）部门（选填）</w:t>
            </w:r>
          </w:p>
        </w:tc>
        <w:tc>
          <w:tcPr>
            <w:tcW w:w="2617"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玛纳斯县发展和改革委员会</w:t>
            </w:r>
          </w:p>
        </w:tc>
        <w:tc>
          <w:tcPr>
            <w:tcW w:w="1657" w:type="dxa"/>
            <w:vAlign w:val="center"/>
          </w:tcPr>
          <w:p>
            <w:pPr>
              <w:adjustRightInd w:val="0"/>
              <w:snapToGrid w:val="0"/>
              <w:jc w:val="center"/>
              <w:rPr>
                <w:color w:val="auto"/>
                <w:szCs w:val="21"/>
              </w:rPr>
            </w:pPr>
            <w:r>
              <w:rPr>
                <w:color w:val="auto"/>
                <w:szCs w:val="21"/>
              </w:rPr>
              <w:t>项目审批（核准/</w:t>
            </w:r>
          </w:p>
          <w:p>
            <w:pPr>
              <w:adjustRightInd w:val="0"/>
              <w:snapToGrid w:val="0"/>
              <w:jc w:val="center"/>
              <w:rPr>
                <w:color w:val="auto"/>
                <w:szCs w:val="21"/>
              </w:rPr>
            </w:pPr>
            <w:r>
              <w:rPr>
                <w:color w:val="auto"/>
                <w:szCs w:val="21"/>
              </w:rPr>
              <w:t>备案）文号（选填）</w:t>
            </w:r>
          </w:p>
        </w:tc>
        <w:tc>
          <w:tcPr>
            <w:tcW w:w="3515"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玛发改[2022]338号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1" w:type="dxa"/>
            <w:tcMar>
              <w:top w:w="16" w:type="dxa"/>
              <w:left w:w="16" w:type="dxa"/>
              <w:right w:w="16" w:type="dxa"/>
            </w:tcMar>
            <w:vAlign w:val="center"/>
          </w:tcPr>
          <w:p>
            <w:pPr>
              <w:adjustRightInd w:val="0"/>
              <w:snapToGrid w:val="0"/>
              <w:jc w:val="center"/>
              <w:rPr>
                <w:color w:val="auto"/>
                <w:szCs w:val="21"/>
              </w:rPr>
            </w:pPr>
            <w:r>
              <w:rPr>
                <w:color w:val="auto"/>
                <w:szCs w:val="21"/>
              </w:rPr>
              <w:t>总投资（万元）</w:t>
            </w:r>
          </w:p>
        </w:tc>
        <w:tc>
          <w:tcPr>
            <w:tcW w:w="2617"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680</w:t>
            </w:r>
          </w:p>
        </w:tc>
        <w:tc>
          <w:tcPr>
            <w:tcW w:w="1657" w:type="dxa"/>
            <w:tcMar>
              <w:top w:w="16" w:type="dxa"/>
              <w:left w:w="16" w:type="dxa"/>
              <w:right w:w="16" w:type="dxa"/>
            </w:tcMar>
            <w:vAlign w:val="center"/>
          </w:tcPr>
          <w:p>
            <w:pPr>
              <w:adjustRightInd w:val="0"/>
              <w:snapToGrid w:val="0"/>
              <w:jc w:val="center"/>
              <w:rPr>
                <w:color w:val="auto"/>
                <w:szCs w:val="21"/>
              </w:rPr>
            </w:pPr>
            <w:r>
              <w:rPr>
                <w:color w:val="auto"/>
                <w:szCs w:val="21"/>
              </w:rPr>
              <w:t>环保投资（万元）</w:t>
            </w:r>
          </w:p>
        </w:tc>
        <w:tc>
          <w:tcPr>
            <w:tcW w:w="3515" w:type="dxa"/>
            <w:vAlign w:val="center"/>
          </w:tcPr>
          <w:p>
            <w:pPr>
              <w:adjustRightInd w:val="0"/>
              <w:snapToGrid w:val="0"/>
              <w:jc w:val="center"/>
              <w:rPr>
                <w:rFonts w:hint="default" w:eastAsia="宋体"/>
                <w:color w:val="auto"/>
                <w:szCs w:val="21"/>
                <w:lang w:val="en-US" w:eastAsia="zh-CN"/>
              </w:rPr>
            </w:pPr>
            <w:r>
              <w:rPr>
                <w:rFonts w:hint="eastAsia"/>
                <w:color w:val="auto"/>
                <w:szCs w:val="21"/>
                <w:highlight w:val="none"/>
                <w:lang w:val="en-US" w:eastAsia="zh-CN"/>
              </w:rPr>
              <w:t>30.5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1" w:type="dxa"/>
            <w:tcMar>
              <w:top w:w="16" w:type="dxa"/>
              <w:left w:w="16" w:type="dxa"/>
              <w:right w:w="16" w:type="dxa"/>
            </w:tcMar>
            <w:vAlign w:val="center"/>
          </w:tcPr>
          <w:p>
            <w:pPr>
              <w:adjustRightInd w:val="0"/>
              <w:snapToGrid w:val="0"/>
              <w:jc w:val="center"/>
              <w:rPr>
                <w:color w:val="auto"/>
                <w:szCs w:val="21"/>
              </w:rPr>
            </w:pPr>
            <w:r>
              <w:rPr>
                <w:color w:val="auto"/>
                <w:szCs w:val="21"/>
              </w:rPr>
              <w:t>环保投资占比（%）</w:t>
            </w:r>
          </w:p>
        </w:tc>
        <w:tc>
          <w:tcPr>
            <w:tcW w:w="2617" w:type="dxa"/>
            <w:vAlign w:val="center"/>
          </w:tcPr>
          <w:p>
            <w:pPr>
              <w:adjustRightInd w:val="0"/>
              <w:snapToGrid w:val="0"/>
              <w:jc w:val="center"/>
              <w:rPr>
                <w:rFonts w:hint="default" w:eastAsia="宋体"/>
                <w:color w:val="auto"/>
                <w:szCs w:val="21"/>
                <w:lang w:val="en-US" w:eastAsia="zh-CN"/>
              </w:rPr>
            </w:pPr>
            <w:r>
              <w:rPr>
                <w:rFonts w:hint="eastAsia"/>
                <w:color w:val="auto"/>
                <w:szCs w:val="21"/>
                <w:highlight w:val="none"/>
                <w:lang w:val="en-US" w:eastAsia="zh-CN"/>
              </w:rPr>
              <w:t>4.49</w:t>
            </w:r>
          </w:p>
        </w:tc>
        <w:tc>
          <w:tcPr>
            <w:tcW w:w="1657" w:type="dxa"/>
            <w:tcMar>
              <w:top w:w="16" w:type="dxa"/>
              <w:left w:w="16" w:type="dxa"/>
              <w:right w:w="16" w:type="dxa"/>
            </w:tcMar>
            <w:vAlign w:val="center"/>
          </w:tcPr>
          <w:p>
            <w:pPr>
              <w:adjustRightInd w:val="0"/>
              <w:snapToGrid w:val="0"/>
              <w:jc w:val="center"/>
              <w:rPr>
                <w:color w:val="auto"/>
                <w:szCs w:val="21"/>
              </w:rPr>
            </w:pPr>
            <w:r>
              <w:rPr>
                <w:color w:val="auto"/>
                <w:szCs w:val="21"/>
              </w:rPr>
              <w:t>施工工期</w:t>
            </w:r>
          </w:p>
        </w:tc>
        <w:tc>
          <w:tcPr>
            <w:tcW w:w="3515" w:type="dxa"/>
            <w:vAlign w:val="center"/>
          </w:tcPr>
          <w:p>
            <w:pPr>
              <w:adjustRightInd w:val="0"/>
              <w:snapToGrid w:val="0"/>
              <w:jc w:val="center"/>
              <w:rPr>
                <w:color w:val="auto"/>
                <w:szCs w:val="21"/>
              </w:rPr>
            </w:pPr>
            <w:r>
              <w:rPr>
                <w:rFonts w:hint="eastAsia"/>
                <w:color w:val="auto"/>
                <w:szCs w:val="21"/>
                <w:lang w:val="en-US" w:eastAsia="zh-CN"/>
              </w:rPr>
              <w:t>6</w:t>
            </w:r>
            <w:r>
              <w:rPr>
                <w:rFonts w:hint="eastAsia"/>
                <w:color w:val="auto"/>
                <w:szCs w:val="21"/>
              </w:rPr>
              <w:t>个月</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rHeight w:val="497" w:hRule="atLeast"/>
          <w:jc w:val="center"/>
        </w:trPr>
        <w:tc>
          <w:tcPr>
            <w:tcW w:w="1081" w:type="dxa"/>
            <w:tcMar>
              <w:top w:w="16" w:type="dxa"/>
              <w:left w:w="16" w:type="dxa"/>
              <w:right w:w="16" w:type="dxa"/>
            </w:tcMar>
            <w:vAlign w:val="center"/>
          </w:tcPr>
          <w:p>
            <w:pPr>
              <w:adjustRightInd w:val="0"/>
              <w:snapToGrid w:val="0"/>
              <w:jc w:val="center"/>
              <w:rPr>
                <w:color w:val="auto"/>
                <w:szCs w:val="21"/>
              </w:rPr>
            </w:pPr>
            <w:r>
              <w:rPr>
                <w:color w:val="auto"/>
                <w:szCs w:val="21"/>
              </w:rPr>
              <w:t>是否开工建设</w:t>
            </w:r>
          </w:p>
        </w:tc>
        <w:tc>
          <w:tcPr>
            <w:tcW w:w="2617" w:type="dxa"/>
            <w:vAlign w:val="center"/>
          </w:tcPr>
          <w:p>
            <w:pPr>
              <w:adjustRightInd w:val="0"/>
              <w:snapToGrid w:val="0"/>
              <w:rPr>
                <w:color w:val="auto"/>
                <w:szCs w:val="21"/>
              </w:rPr>
            </w:pPr>
            <w:r>
              <w:rPr>
                <w:rFonts w:hint="eastAsia"/>
                <w:color w:val="auto"/>
                <w:szCs w:val="21"/>
              </w:rPr>
              <w:t>☑</w:t>
            </w:r>
            <w:r>
              <w:rPr>
                <w:color w:val="auto"/>
                <w:szCs w:val="21"/>
              </w:rPr>
              <w:t>否</w:t>
            </w:r>
          </w:p>
          <w:p>
            <w:pPr>
              <w:adjustRightInd w:val="0"/>
              <w:snapToGrid w:val="0"/>
              <w:rPr>
                <w:color w:val="auto"/>
                <w:szCs w:val="21"/>
              </w:rPr>
            </w:pPr>
            <w:r>
              <w:rPr>
                <w:rFonts w:hint="eastAsia"/>
                <w:color w:val="auto"/>
                <w:szCs w:val="21"/>
              </w:rPr>
              <w:t>□</w:t>
            </w:r>
            <w:r>
              <w:rPr>
                <w:color w:val="auto"/>
                <w:szCs w:val="21"/>
              </w:rPr>
              <w:t>是：</w:t>
            </w:r>
            <w:r>
              <w:rPr>
                <w:color w:val="auto"/>
                <w:szCs w:val="21"/>
                <w:u w:val="single"/>
              </w:rPr>
              <w:t xml:space="preserve">             </w:t>
            </w:r>
          </w:p>
        </w:tc>
        <w:tc>
          <w:tcPr>
            <w:tcW w:w="1657" w:type="dxa"/>
            <w:tcMar>
              <w:top w:w="16" w:type="dxa"/>
              <w:left w:w="16" w:type="dxa"/>
              <w:right w:w="16" w:type="dxa"/>
            </w:tcMar>
            <w:vAlign w:val="center"/>
          </w:tcPr>
          <w:p>
            <w:pPr>
              <w:adjustRightInd w:val="0"/>
              <w:snapToGrid w:val="0"/>
              <w:jc w:val="center"/>
              <w:rPr>
                <w:color w:val="auto"/>
                <w:spacing w:val="-6"/>
                <w:szCs w:val="21"/>
              </w:rPr>
            </w:pPr>
            <w:r>
              <w:rPr>
                <w:color w:val="auto"/>
                <w:spacing w:val="-6"/>
                <w:szCs w:val="21"/>
              </w:rPr>
              <w:t>用地（用海）</w:t>
            </w:r>
          </w:p>
          <w:p>
            <w:pPr>
              <w:adjustRightInd w:val="0"/>
              <w:snapToGrid w:val="0"/>
              <w:jc w:val="center"/>
              <w:rPr>
                <w:color w:val="auto"/>
                <w:szCs w:val="21"/>
              </w:rPr>
            </w:pPr>
            <w:r>
              <w:rPr>
                <w:color w:val="auto"/>
                <w:spacing w:val="-6"/>
                <w:szCs w:val="21"/>
              </w:rPr>
              <w:t>面积（m</w:t>
            </w:r>
            <w:r>
              <w:rPr>
                <w:color w:val="auto"/>
                <w:spacing w:val="-6"/>
                <w:szCs w:val="21"/>
                <w:vertAlign w:val="superscript"/>
              </w:rPr>
              <w:t>2</w:t>
            </w:r>
            <w:r>
              <w:rPr>
                <w:color w:val="auto"/>
                <w:spacing w:val="-6"/>
                <w:szCs w:val="21"/>
              </w:rPr>
              <w:t>）</w:t>
            </w:r>
          </w:p>
        </w:tc>
        <w:tc>
          <w:tcPr>
            <w:tcW w:w="3515" w:type="dxa"/>
            <w:vAlign w:val="center"/>
          </w:tcPr>
          <w:p>
            <w:pPr>
              <w:adjustRightInd w:val="0"/>
              <w:snapToGrid w:val="0"/>
              <w:jc w:val="center"/>
              <w:rPr>
                <w:rFonts w:hint="default" w:eastAsia="宋体"/>
                <w:color w:val="auto"/>
                <w:szCs w:val="21"/>
                <w:lang w:val="en-US" w:eastAsia="zh-CN"/>
              </w:rPr>
            </w:pPr>
            <w:r>
              <w:rPr>
                <w:rFonts w:hint="eastAsia"/>
                <w:color w:val="auto"/>
                <w:szCs w:val="21"/>
                <w:lang w:val="en-US" w:eastAsia="zh-CN"/>
              </w:rPr>
              <w:t>9000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1" w:type="dxa"/>
            <w:vAlign w:val="center"/>
          </w:tcPr>
          <w:p>
            <w:pPr>
              <w:autoSpaceDE w:val="0"/>
              <w:autoSpaceDN w:val="0"/>
              <w:adjustRightInd w:val="0"/>
              <w:snapToGrid w:val="0"/>
              <w:jc w:val="center"/>
              <w:rPr>
                <w:color w:val="auto"/>
                <w:kern w:val="0"/>
                <w:szCs w:val="21"/>
              </w:rPr>
            </w:pPr>
            <w:r>
              <w:rPr>
                <w:color w:val="auto"/>
                <w:kern w:val="0"/>
                <w:szCs w:val="21"/>
              </w:rPr>
              <w:t>专项评价设置情况</w:t>
            </w:r>
          </w:p>
        </w:tc>
        <w:tc>
          <w:tcPr>
            <w:tcW w:w="7789" w:type="dxa"/>
            <w:gridSpan w:val="3"/>
            <w:vAlign w:val="center"/>
          </w:tcPr>
          <w:p>
            <w:pPr>
              <w:autoSpaceDE w:val="0"/>
              <w:autoSpaceDN w:val="0"/>
              <w:adjustRightInd w:val="0"/>
              <w:snapToGrid w:val="0"/>
              <w:spacing w:line="360" w:lineRule="auto"/>
              <w:ind w:firstLine="420" w:firstLineChars="200"/>
              <w:jc w:val="left"/>
              <w:rPr>
                <w:color w:val="auto"/>
                <w:kern w:val="0"/>
                <w:szCs w:val="21"/>
              </w:rPr>
            </w:pPr>
            <w:r>
              <w:rPr>
                <w:rFonts w:hint="eastAsia"/>
                <w:color w:val="auto"/>
                <w:kern w:val="0"/>
                <w:szCs w:val="21"/>
              </w:rPr>
              <w:t>根据《建设项目环境影响报告表编制技术指南（污染影响类）（试行）》，本项目专项评价设置情况见下表：</w:t>
            </w:r>
          </w:p>
          <w:p>
            <w:pPr>
              <w:autoSpaceDE w:val="0"/>
              <w:autoSpaceDN w:val="0"/>
              <w:adjustRightInd w:val="0"/>
              <w:snapToGrid w:val="0"/>
              <w:spacing w:line="360" w:lineRule="auto"/>
              <w:jc w:val="center"/>
              <w:rPr>
                <w:b/>
                <w:bCs/>
                <w:color w:val="auto"/>
                <w:kern w:val="0"/>
                <w:sz w:val="18"/>
                <w:szCs w:val="18"/>
              </w:rPr>
            </w:pPr>
            <w:r>
              <w:rPr>
                <w:b/>
                <w:bCs/>
                <w:color w:val="auto"/>
                <w:kern w:val="0"/>
                <w:sz w:val="18"/>
                <w:szCs w:val="18"/>
              </w:rPr>
              <w:t>表1-1  专项评价设置原则表</w:t>
            </w:r>
          </w:p>
          <w:tbl>
            <w:tblPr>
              <w:tblStyle w:val="25"/>
              <w:tblW w:w="7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0"/>
              <w:gridCol w:w="3138"/>
              <w:gridCol w:w="2759"/>
              <w:gridCol w:w="8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autoSpaceDE w:val="0"/>
                    <w:autoSpaceDN w:val="0"/>
                    <w:adjustRightInd w:val="0"/>
                    <w:snapToGrid w:val="0"/>
                    <w:spacing w:line="320" w:lineRule="exact"/>
                    <w:jc w:val="center"/>
                    <w:rPr>
                      <w:color w:val="auto"/>
                      <w:kern w:val="0"/>
                      <w:sz w:val="18"/>
                      <w:szCs w:val="18"/>
                    </w:rPr>
                  </w:pPr>
                  <w:r>
                    <w:rPr>
                      <w:rFonts w:hint="eastAsia"/>
                      <w:color w:val="auto"/>
                      <w:kern w:val="0"/>
                      <w:sz w:val="18"/>
                      <w:szCs w:val="18"/>
                    </w:rPr>
                    <w:t>专项评价的类别</w:t>
                  </w:r>
                </w:p>
              </w:tc>
              <w:tc>
                <w:tcPr>
                  <w:tcW w:w="3138" w:type="dxa"/>
                  <w:vAlign w:val="center"/>
                </w:tcPr>
                <w:p>
                  <w:pPr>
                    <w:autoSpaceDE w:val="0"/>
                    <w:autoSpaceDN w:val="0"/>
                    <w:adjustRightInd w:val="0"/>
                    <w:snapToGrid w:val="0"/>
                    <w:spacing w:line="320" w:lineRule="exact"/>
                    <w:jc w:val="center"/>
                    <w:rPr>
                      <w:color w:val="auto"/>
                      <w:kern w:val="0"/>
                      <w:sz w:val="18"/>
                      <w:szCs w:val="18"/>
                    </w:rPr>
                  </w:pPr>
                  <w:r>
                    <w:rPr>
                      <w:rFonts w:hint="eastAsia"/>
                      <w:color w:val="auto"/>
                      <w:kern w:val="0"/>
                      <w:sz w:val="18"/>
                      <w:szCs w:val="18"/>
                    </w:rPr>
                    <w:t>涉及项目类别</w:t>
                  </w:r>
                </w:p>
              </w:tc>
              <w:tc>
                <w:tcPr>
                  <w:tcW w:w="2759" w:type="dxa"/>
                  <w:vAlign w:val="center"/>
                </w:tcPr>
                <w:p>
                  <w:pPr>
                    <w:spacing w:line="320" w:lineRule="exact"/>
                    <w:jc w:val="center"/>
                    <w:rPr>
                      <w:color w:val="auto"/>
                      <w:sz w:val="18"/>
                      <w:szCs w:val="18"/>
                    </w:rPr>
                  </w:pPr>
                  <w:r>
                    <w:rPr>
                      <w:rFonts w:hint="eastAsia"/>
                      <w:color w:val="auto"/>
                      <w:sz w:val="18"/>
                      <w:szCs w:val="18"/>
                    </w:rPr>
                    <w:t>本项目</w:t>
                  </w:r>
                </w:p>
              </w:tc>
              <w:tc>
                <w:tcPr>
                  <w:tcW w:w="811" w:type="dxa"/>
                  <w:vAlign w:val="center"/>
                </w:tcPr>
                <w:p>
                  <w:pPr>
                    <w:spacing w:line="320" w:lineRule="exact"/>
                    <w:jc w:val="center"/>
                    <w:rPr>
                      <w:color w:val="auto"/>
                      <w:sz w:val="18"/>
                      <w:szCs w:val="18"/>
                    </w:rPr>
                  </w:pPr>
                  <w:r>
                    <w:rPr>
                      <w:rFonts w:hint="eastAsia"/>
                      <w:color w:val="auto"/>
                      <w:sz w:val="18"/>
                      <w:szCs w:val="18"/>
                    </w:rPr>
                    <w:t>是否专项评价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spacing w:line="320" w:lineRule="exact"/>
                    <w:jc w:val="center"/>
                    <w:rPr>
                      <w:color w:val="auto"/>
                      <w:sz w:val="18"/>
                      <w:szCs w:val="18"/>
                    </w:rPr>
                  </w:pPr>
                  <w:r>
                    <w:rPr>
                      <w:rFonts w:hint="eastAsia"/>
                      <w:color w:val="auto"/>
                      <w:sz w:val="18"/>
                      <w:szCs w:val="18"/>
                    </w:rPr>
                    <w:t>大气</w:t>
                  </w:r>
                </w:p>
              </w:tc>
              <w:tc>
                <w:tcPr>
                  <w:tcW w:w="3138" w:type="dxa"/>
                  <w:vAlign w:val="center"/>
                </w:tcPr>
                <w:p>
                  <w:pPr>
                    <w:spacing w:line="320" w:lineRule="exact"/>
                    <w:jc w:val="left"/>
                    <w:rPr>
                      <w:color w:val="auto"/>
                      <w:sz w:val="18"/>
                      <w:szCs w:val="18"/>
                    </w:rPr>
                  </w:pPr>
                  <w:r>
                    <w:rPr>
                      <w:rFonts w:hint="eastAsia"/>
                      <w:color w:val="auto"/>
                      <w:sz w:val="18"/>
                      <w:szCs w:val="18"/>
                    </w:rPr>
                    <w:t>排放废气含有有毒有害物、二噁英、苯并[a]芘、氰化物、氯气且厂界外500米范围内有环境空气保护目标的建设项目</w:t>
                  </w:r>
                </w:p>
              </w:tc>
              <w:tc>
                <w:tcPr>
                  <w:tcW w:w="2759" w:type="dxa"/>
                  <w:vAlign w:val="center"/>
                </w:tcPr>
                <w:p>
                  <w:pPr>
                    <w:spacing w:line="320" w:lineRule="exact"/>
                    <w:jc w:val="left"/>
                    <w:rPr>
                      <w:color w:val="auto"/>
                      <w:sz w:val="18"/>
                      <w:szCs w:val="18"/>
                    </w:rPr>
                  </w:pPr>
                  <w:r>
                    <w:rPr>
                      <w:rFonts w:hint="eastAsia"/>
                      <w:color w:val="auto"/>
                      <w:sz w:val="18"/>
                      <w:szCs w:val="18"/>
                    </w:rPr>
                    <w:t>本项目废气污染物主要为颗粒物、SO</w:t>
                  </w:r>
                  <w:r>
                    <w:rPr>
                      <w:rFonts w:hint="eastAsia"/>
                      <w:color w:val="auto"/>
                      <w:sz w:val="18"/>
                      <w:szCs w:val="18"/>
                      <w:vertAlign w:val="subscript"/>
                    </w:rPr>
                    <w:t>2</w:t>
                  </w:r>
                  <w:r>
                    <w:rPr>
                      <w:rFonts w:hint="eastAsia"/>
                      <w:color w:val="auto"/>
                      <w:sz w:val="18"/>
                      <w:szCs w:val="18"/>
                    </w:rPr>
                    <w:t>、NO</w:t>
                  </w:r>
                  <w:r>
                    <w:rPr>
                      <w:rFonts w:hint="eastAsia"/>
                      <w:color w:val="auto"/>
                      <w:sz w:val="18"/>
                      <w:szCs w:val="18"/>
                      <w:vertAlign w:val="subscript"/>
                    </w:rPr>
                    <w:t>X</w:t>
                  </w:r>
                  <w:r>
                    <w:rPr>
                      <w:rFonts w:hint="eastAsia"/>
                      <w:color w:val="auto"/>
                      <w:sz w:val="18"/>
                      <w:szCs w:val="18"/>
                    </w:rPr>
                    <w:t>。不涉及列入《有毒有害大气污染物名录（2018年）》中的有毒有害物质。</w:t>
                  </w:r>
                </w:p>
              </w:tc>
              <w:tc>
                <w:tcPr>
                  <w:tcW w:w="811" w:type="dxa"/>
                  <w:vAlign w:val="center"/>
                </w:tcPr>
                <w:p>
                  <w:pPr>
                    <w:spacing w:line="320" w:lineRule="exact"/>
                    <w:jc w:val="center"/>
                    <w:rPr>
                      <w:color w:val="auto"/>
                      <w:sz w:val="18"/>
                      <w:szCs w:val="18"/>
                    </w:rPr>
                  </w:pPr>
                  <w:r>
                    <w:rPr>
                      <w:rFonts w:hint="eastAsia"/>
                      <w:color w:val="auto"/>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restart"/>
                  <w:vAlign w:val="center"/>
                </w:tcPr>
                <w:p>
                  <w:pPr>
                    <w:spacing w:line="320" w:lineRule="exact"/>
                    <w:jc w:val="center"/>
                    <w:rPr>
                      <w:color w:val="auto"/>
                      <w:sz w:val="18"/>
                      <w:szCs w:val="18"/>
                    </w:rPr>
                  </w:pPr>
                  <w:r>
                    <w:rPr>
                      <w:rFonts w:hint="eastAsia"/>
                      <w:color w:val="auto"/>
                      <w:sz w:val="18"/>
                      <w:szCs w:val="18"/>
                    </w:rPr>
                    <w:t>地表水</w:t>
                  </w:r>
                </w:p>
              </w:tc>
              <w:tc>
                <w:tcPr>
                  <w:tcW w:w="3138" w:type="dxa"/>
                  <w:vAlign w:val="center"/>
                </w:tcPr>
                <w:p>
                  <w:pPr>
                    <w:spacing w:line="320" w:lineRule="exact"/>
                    <w:jc w:val="left"/>
                    <w:rPr>
                      <w:color w:val="auto"/>
                      <w:sz w:val="18"/>
                      <w:szCs w:val="18"/>
                    </w:rPr>
                  </w:pPr>
                  <w:r>
                    <w:rPr>
                      <w:rFonts w:hint="eastAsia"/>
                      <w:color w:val="auto"/>
                      <w:sz w:val="18"/>
                      <w:szCs w:val="18"/>
                    </w:rPr>
                    <w:t>新增工业废水直排建设项目（槽罐车外送污水处理厂的除外）</w:t>
                  </w:r>
                </w:p>
              </w:tc>
              <w:tc>
                <w:tcPr>
                  <w:tcW w:w="2759" w:type="dxa"/>
                  <w:vMerge w:val="restart"/>
                  <w:vAlign w:val="center"/>
                </w:tcPr>
                <w:p>
                  <w:pPr>
                    <w:spacing w:line="320" w:lineRule="exact"/>
                    <w:jc w:val="left"/>
                    <w:rPr>
                      <w:color w:val="auto"/>
                      <w:sz w:val="18"/>
                      <w:szCs w:val="18"/>
                    </w:rPr>
                  </w:pPr>
                  <w:r>
                    <w:rPr>
                      <w:rFonts w:hint="eastAsia"/>
                      <w:color w:val="auto"/>
                      <w:sz w:val="18"/>
                      <w:szCs w:val="18"/>
                      <w:highlight w:val="none"/>
                    </w:rPr>
                    <w:t>项目</w:t>
                  </w:r>
                  <w:r>
                    <w:rPr>
                      <w:rFonts w:hint="eastAsia"/>
                      <w:color w:val="auto"/>
                      <w:sz w:val="18"/>
                      <w:szCs w:val="18"/>
                      <w:highlight w:val="none"/>
                      <w:lang w:val="en-US" w:eastAsia="zh-CN"/>
                    </w:rPr>
                    <w:t>生产废水回用，生活废水直接排入市政污水管网，最终进入玛纳斯县污水处理厂</w:t>
                  </w:r>
                  <w:r>
                    <w:rPr>
                      <w:rFonts w:hint="eastAsia"/>
                      <w:color w:val="auto"/>
                      <w:sz w:val="18"/>
                      <w:szCs w:val="18"/>
                      <w:highlight w:val="none"/>
                    </w:rPr>
                    <w:t>。不涉及新增工业废水直排。</w:t>
                  </w:r>
                </w:p>
              </w:tc>
              <w:tc>
                <w:tcPr>
                  <w:tcW w:w="811" w:type="dxa"/>
                  <w:vMerge w:val="restart"/>
                  <w:vAlign w:val="center"/>
                </w:tcPr>
                <w:p>
                  <w:pPr>
                    <w:spacing w:line="320" w:lineRule="exact"/>
                    <w:jc w:val="center"/>
                    <w:rPr>
                      <w:color w:val="auto"/>
                      <w:sz w:val="18"/>
                      <w:szCs w:val="18"/>
                    </w:rPr>
                  </w:pPr>
                  <w:r>
                    <w:rPr>
                      <w:rFonts w:hint="eastAsia"/>
                      <w:color w:val="auto"/>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Merge w:val="continue"/>
                  <w:vAlign w:val="center"/>
                </w:tcPr>
                <w:p>
                  <w:pPr>
                    <w:spacing w:line="320" w:lineRule="exact"/>
                    <w:jc w:val="center"/>
                    <w:rPr>
                      <w:color w:val="auto"/>
                      <w:sz w:val="18"/>
                      <w:szCs w:val="18"/>
                    </w:rPr>
                  </w:pPr>
                </w:p>
              </w:tc>
              <w:tc>
                <w:tcPr>
                  <w:tcW w:w="3138" w:type="dxa"/>
                  <w:vAlign w:val="center"/>
                </w:tcPr>
                <w:p>
                  <w:pPr>
                    <w:spacing w:line="320" w:lineRule="exact"/>
                    <w:jc w:val="left"/>
                    <w:rPr>
                      <w:color w:val="auto"/>
                      <w:sz w:val="18"/>
                      <w:szCs w:val="18"/>
                    </w:rPr>
                  </w:pPr>
                  <w:r>
                    <w:rPr>
                      <w:rFonts w:hint="eastAsia"/>
                      <w:color w:val="auto"/>
                      <w:sz w:val="18"/>
                      <w:szCs w:val="18"/>
                    </w:rPr>
                    <w:t>新增废水直接排放的污水集中处理厂</w:t>
                  </w:r>
                </w:p>
              </w:tc>
              <w:tc>
                <w:tcPr>
                  <w:tcW w:w="2759" w:type="dxa"/>
                  <w:vMerge w:val="continue"/>
                  <w:vAlign w:val="center"/>
                </w:tcPr>
                <w:p>
                  <w:pPr>
                    <w:spacing w:line="320" w:lineRule="exact"/>
                    <w:jc w:val="center"/>
                    <w:rPr>
                      <w:color w:val="auto"/>
                      <w:sz w:val="18"/>
                      <w:szCs w:val="18"/>
                    </w:rPr>
                  </w:pPr>
                </w:p>
              </w:tc>
              <w:tc>
                <w:tcPr>
                  <w:tcW w:w="811" w:type="dxa"/>
                  <w:vMerge w:val="continue"/>
                  <w:vAlign w:val="center"/>
                </w:tcPr>
                <w:p>
                  <w:pPr>
                    <w:spacing w:line="320" w:lineRule="exact"/>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spacing w:line="320" w:lineRule="exact"/>
                    <w:jc w:val="center"/>
                    <w:rPr>
                      <w:color w:val="auto"/>
                      <w:sz w:val="18"/>
                      <w:szCs w:val="18"/>
                    </w:rPr>
                  </w:pPr>
                  <w:r>
                    <w:rPr>
                      <w:rFonts w:hint="eastAsia"/>
                      <w:color w:val="auto"/>
                      <w:sz w:val="18"/>
                      <w:szCs w:val="18"/>
                    </w:rPr>
                    <w:t>环境风险</w:t>
                  </w:r>
                </w:p>
              </w:tc>
              <w:tc>
                <w:tcPr>
                  <w:tcW w:w="3138" w:type="dxa"/>
                  <w:vAlign w:val="center"/>
                </w:tcPr>
                <w:p>
                  <w:pPr>
                    <w:spacing w:line="320" w:lineRule="exact"/>
                    <w:jc w:val="left"/>
                    <w:rPr>
                      <w:color w:val="auto"/>
                      <w:sz w:val="18"/>
                      <w:szCs w:val="18"/>
                    </w:rPr>
                  </w:pPr>
                  <w:r>
                    <w:rPr>
                      <w:rFonts w:hint="eastAsia"/>
                      <w:color w:val="auto"/>
                      <w:sz w:val="18"/>
                      <w:szCs w:val="18"/>
                    </w:rPr>
                    <w:t>有毒有害和易燃易爆危险物质存储量超过临界量的建设项目</w:t>
                  </w:r>
                </w:p>
              </w:tc>
              <w:tc>
                <w:tcPr>
                  <w:tcW w:w="2759"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不涉及</w:t>
                  </w:r>
                </w:p>
              </w:tc>
              <w:tc>
                <w:tcPr>
                  <w:tcW w:w="811" w:type="dxa"/>
                  <w:vAlign w:val="center"/>
                </w:tcPr>
                <w:p>
                  <w:pPr>
                    <w:spacing w:line="320" w:lineRule="exact"/>
                    <w:jc w:val="center"/>
                    <w:rPr>
                      <w:color w:val="auto"/>
                      <w:sz w:val="18"/>
                      <w:szCs w:val="18"/>
                    </w:rPr>
                  </w:pPr>
                  <w:r>
                    <w:rPr>
                      <w:rFonts w:hint="eastAsia"/>
                      <w:color w:val="auto"/>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spacing w:line="320" w:lineRule="exact"/>
                    <w:jc w:val="center"/>
                    <w:rPr>
                      <w:color w:val="auto"/>
                      <w:sz w:val="18"/>
                      <w:szCs w:val="18"/>
                    </w:rPr>
                  </w:pPr>
                  <w:r>
                    <w:rPr>
                      <w:rFonts w:hint="eastAsia"/>
                      <w:color w:val="auto"/>
                      <w:sz w:val="18"/>
                      <w:szCs w:val="18"/>
                    </w:rPr>
                    <w:t>生态</w:t>
                  </w:r>
                </w:p>
              </w:tc>
              <w:tc>
                <w:tcPr>
                  <w:tcW w:w="3138" w:type="dxa"/>
                  <w:vAlign w:val="center"/>
                </w:tcPr>
                <w:p>
                  <w:pPr>
                    <w:spacing w:line="320" w:lineRule="exact"/>
                    <w:jc w:val="left"/>
                    <w:rPr>
                      <w:color w:val="auto"/>
                      <w:sz w:val="18"/>
                      <w:szCs w:val="18"/>
                    </w:rPr>
                  </w:pPr>
                  <w:r>
                    <w:rPr>
                      <w:rFonts w:hint="eastAsia"/>
                      <w:color w:val="auto"/>
                      <w:sz w:val="18"/>
                      <w:szCs w:val="18"/>
                    </w:rPr>
                    <w:t>取水口下游500米范围内有重要水生生物的自然产卵场、索饵场、越冬场和洄游通道的新增河道取水的污染类建设项目</w:t>
                  </w:r>
                </w:p>
              </w:tc>
              <w:tc>
                <w:tcPr>
                  <w:tcW w:w="2759" w:type="dxa"/>
                  <w:vAlign w:val="center"/>
                </w:tcPr>
                <w:p>
                  <w:pPr>
                    <w:spacing w:line="320" w:lineRule="exact"/>
                    <w:jc w:val="center"/>
                    <w:rPr>
                      <w:color w:val="auto"/>
                      <w:sz w:val="18"/>
                      <w:szCs w:val="18"/>
                    </w:rPr>
                  </w:pPr>
                  <w:r>
                    <w:rPr>
                      <w:rFonts w:hint="eastAsia"/>
                      <w:color w:val="auto"/>
                      <w:sz w:val="18"/>
                      <w:szCs w:val="18"/>
                    </w:rPr>
                    <w:t>不涉及</w:t>
                  </w:r>
                </w:p>
              </w:tc>
              <w:tc>
                <w:tcPr>
                  <w:tcW w:w="811" w:type="dxa"/>
                  <w:vAlign w:val="center"/>
                </w:tcPr>
                <w:p>
                  <w:pPr>
                    <w:spacing w:line="320" w:lineRule="exact"/>
                    <w:jc w:val="center"/>
                    <w:rPr>
                      <w:color w:val="auto"/>
                      <w:sz w:val="18"/>
                      <w:szCs w:val="18"/>
                    </w:rPr>
                  </w:pPr>
                  <w:r>
                    <w:rPr>
                      <w:rFonts w:hint="eastAsia"/>
                      <w:color w:val="auto"/>
                      <w:sz w:val="18"/>
                      <w:szCs w:val="18"/>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90" w:type="dxa"/>
                  <w:vAlign w:val="center"/>
                </w:tcPr>
                <w:p>
                  <w:pPr>
                    <w:spacing w:line="320" w:lineRule="exact"/>
                    <w:jc w:val="center"/>
                    <w:rPr>
                      <w:color w:val="auto"/>
                      <w:sz w:val="18"/>
                      <w:szCs w:val="18"/>
                    </w:rPr>
                  </w:pPr>
                  <w:r>
                    <w:rPr>
                      <w:rFonts w:hint="eastAsia"/>
                      <w:color w:val="auto"/>
                      <w:sz w:val="18"/>
                      <w:szCs w:val="18"/>
                    </w:rPr>
                    <w:t>海洋</w:t>
                  </w:r>
                </w:p>
              </w:tc>
              <w:tc>
                <w:tcPr>
                  <w:tcW w:w="3138" w:type="dxa"/>
                  <w:vAlign w:val="center"/>
                </w:tcPr>
                <w:p>
                  <w:pPr>
                    <w:spacing w:line="320" w:lineRule="exact"/>
                    <w:jc w:val="left"/>
                    <w:rPr>
                      <w:color w:val="auto"/>
                      <w:sz w:val="18"/>
                      <w:szCs w:val="18"/>
                    </w:rPr>
                  </w:pPr>
                  <w:r>
                    <w:rPr>
                      <w:rFonts w:hint="eastAsia"/>
                      <w:color w:val="auto"/>
                      <w:sz w:val="18"/>
                      <w:szCs w:val="18"/>
                    </w:rPr>
                    <w:t>直接向海排放污染物的海洋工程建设项目</w:t>
                  </w:r>
                </w:p>
              </w:tc>
              <w:tc>
                <w:tcPr>
                  <w:tcW w:w="2759" w:type="dxa"/>
                  <w:vAlign w:val="center"/>
                </w:tcPr>
                <w:p>
                  <w:pPr>
                    <w:spacing w:line="320" w:lineRule="exact"/>
                    <w:jc w:val="center"/>
                    <w:rPr>
                      <w:color w:val="auto"/>
                      <w:sz w:val="18"/>
                      <w:szCs w:val="18"/>
                    </w:rPr>
                  </w:pPr>
                  <w:r>
                    <w:rPr>
                      <w:rFonts w:hint="eastAsia"/>
                      <w:color w:val="auto"/>
                      <w:sz w:val="18"/>
                      <w:szCs w:val="18"/>
                    </w:rPr>
                    <w:t>不涉及</w:t>
                  </w:r>
                </w:p>
              </w:tc>
              <w:tc>
                <w:tcPr>
                  <w:tcW w:w="811" w:type="dxa"/>
                  <w:vAlign w:val="center"/>
                </w:tcPr>
                <w:p>
                  <w:pPr>
                    <w:spacing w:line="320" w:lineRule="exact"/>
                    <w:jc w:val="center"/>
                    <w:rPr>
                      <w:color w:val="auto"/>
                      <w:sz w:val="18"/>
                      <w:szCs w:val="18"/>
                    </w:rPr>
                  </w:pPr>
                  <w:r>
                    <w:rPr>
                      <w:rFonts w:hint="eastAsia"/>
                      <w:color w:val="auto"/>
                      <w:sz w:val="18"/>
                      <w:szCs w:val="18"/>
                    </w:rPr>
                    <w:t>否</w:t>
                  </w:r>
                </w:p>
              </w:tc>
            </w:tr>
          </w:tbl>
          <w:p>
            <w:pPr>
              <w:autoSpaceDE w:val="0"/>
              <w:autoSpaceDN w:val="0"/>
              <w:adjustRightInd w:val="0"/>
              <w:snapToGrid w:val="0"/>
              <w:spacing w:line="360" w:lineRule="auto"/>
              <w:ind w:firstLine="420" w:firstLineChars="200"/>
              <w:jc w:val="left"/>
              <w:rPr>
                <w:color w:val="auto"/>
                <w:kern w:val="0"/>
                <w:szCs w:val="21"/>
              </w:rPr>
            </w:pPr>
            <w:r>
              <w:rPr>
                <w:rFonts w:hint="eastAsia"/>
                <w:color w:val="auto"/>
                <w:kern w:val="0"/>
                <w:szCs w:val="21"/>
              </w:rPr>
              <w:t>因此，本项目</w:t>
            </w:r>
            <w:r>
              <w:rPr>
                <w:rFonts w:hint="eastAsia"/>
                <w:color w:val="auto"/>
                <w:kern w:val="0"/>
                <w:szCs w:val="21"/>
                <w:lang w:val="en-US" w:eastAsia="zh-CN"/>
              </w:rPr>
              <w:t>不</w:t>
            </w:r>
            <w:r>
              <w:rPr>
                <w:rFonts w:hint="eastAsia"/>
                <w:color w:val="auto"/>
                <w:kern w:val="0"/>
                <w:szCs w:val="21"/>
              </w:rPr>
              <w:t>开展专项评价工作。</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56" w:hRule="atLeast"/>
          <w:jc w:val="center"/>
        </w:trPr>
        <w:tc>
          <w:tcPr>
            <w:tcW w:w="1081" w:type="dxa"/>
            <w:vAlign w:val="center"/>
          </w:tcPr>
          <w:p>
            <w:pPr>
              <w:autoSpaceDE w:val="0"/>
              <w:autoSpaceDN w:val="0"/>
              <w:adjustRightInd w:val="0"/>
              <w:snapToGrid w:val="0"/>
              <w:jc w:val="center"/>
              <w:rPr>
                <w:color w:val="auto"/>
                <w:kern w:val="0"/>
                <w:szCs w:val="21"/>
              </w:rPr>
            </w:pPr>
            <w:r>
              <w:rPr>
                <w:color w:val="auto"/>
                <w:szCs w:val="21"/>
              </w:rPr>
              <w:t>规划情况</w:t>
            </w:r>
          </w:p>
        </w:tc>
        <w:tc>
          <w:tcPr>
            <w:tcW w:w="7789" w:type="dxa"/>
            <w:gridSpan w:val="3"/>
            <w:vAlign w:val="center"/>
          </w:tcPr>
          <w:p>
            <w:pPr>
              <w:autoSpaceDE w:val="0"/>
              <w:autoSpaceDN w:val="0"/>
              <w:adjustRightInd w:val="0"/>
              <w:snapToGrid w:val="0"/>
              <w:spacing w:line="360" w:lineRule="auto"/>
              <w:ind w:firstLine="420" w:firstLineChars="200"/>
              <w:jc w:val="left"/>
              <w:rPr>
                <w:rFonts w:hint="eastAsia" w:eastAsia="宋体"/>
                <w:color w:val="auto"/>
                <w:kern w:val="0"/>
                <w:szCs w:val="21"/>
                <w:lang w:val="en-US" w:eastAsia="zh-CN"/>
              </w:rPr>
            </w:pPr>
            <w:r>
              <w:rPr>
                <w:rFonts w:hint="eastAsia"/>
                <w:color w:val="auto"/>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1" w:type="dxa"/>
            <w:vAlign w:val="center"/>
          </w:tcPr>
          <w:p>
            <w:pPr>
              <w:adjustRightInd w:val="0"/>
              <w:snapToGrid w:val="0"/>
              <w:jc w:val="center"/>
              <w:rPr>
                <w:color w:val="auto"/>
                <w:szCs w:val="21"/>
              </w:rPr>
            </w:pPr>
            <w:r>
              <w:rPr>
                <w:color w:val="auto"/>
                <w:szCs w:val="21"/>
              </w:rPr>
              <w:t>规划环境影响</w:t>
            </w:r>
          </w:p>
          <w:p>
            <w:pPr>
              <w:adjustRightInd w:val="0"/>
              <w:snapToGrid w:val="0"/>
              <w:jc w:val="center"/>
              <w:rPr>
                <w:color w:val="auto"/>
                <w:kern w:val="0"/>
                <w:szCs w:val="21"/>
              </w:rPr>
            </w:pPr>
            <w:r>
              <w:rPr>
                <w:color w:val="auto"/>
                <w:szCs w:val="21"/>
              </w:rPr>
              <w:t>评价情况</w:t>
            </w:r>
          </w:p>
        </w:tc>
        <w:tc>
          <w:tcPr>
            <w:tcW w:w="7789" w:type="dxa"/>
            <w:gridSpan w:val="3"/>
            <w:vAlign w:val="center"/>
          </w:tcPr>
          <w:p>
            <w:pPr>
              <w:autoSpaceDE w:val="0"/>
              <w:autoSpaceDN w:val="0"/>
              <w:adjustRightInd w:val="0"/>
              <w:snapToGrid w:val="0"/>
              <w:spacing w:line="360" w:lineRule="auto"/>
              <w:ind w:firstLine="420" w:firstLineChars="200"/>
              <w:rPr>
                <w:rFonts w:hint="eastAsia" w:eastAsia="宋体"/>
                <w:color w:val="auto"/>
                <w:kern w:val="0"/>
                <w:szCs w:val="21"/>
                <w:lang w:val="en-US" w:eastAsia="zh-CN"/>
              </w:rPr>
            </w:pPr>
            <w:r>
              <w:rPr>
                <w:rFonts w:hint="eastAsia"/>
                <w:color w:val="auto"/>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21" w:hRule="atLeast"/>
          <w:jc w:val="center"/>
        </w:trPr>
        <w:tc>
          <w:tcPr>
            <w:tcW w:w="1081" w:type="dxa"/>
            <w:vAlign w:val="center"/>
          </w:tcPr>
          <w:p>
            <w:pPr>
              <w:autoSpaceDE w:val="0"/>
              <w:autoSpaceDN w:val="0"/>
              <w:adjustRightInd w:val="0"/>
              <w:snapToGrid w:val="0"/>
              <w:jc w:val="center"/>
              <w:rPr>
                <w:color w:val="auto"/>
                <w:kern w:val="0"/>
                <w:szCs w:val="21"/>
              </w:rPr>
            </w:pPr>
            <w:r>
              <w:rPr>
                <w:color w:val="auto"/>
                <w:kern w:val="0"/>
                <w:szCs w:val="21"/>
              </w:rPr>
              <w:t>规划及规划环境影响评价符合性分析</w:t>
            </w:r>
          </w:p>
        </w:tc>
        <w:tc>
          <w:tcPr>
            <w:tcW w:w="7789" w:type="dxa"/>
            <w:gridSpan w:val="3"/>
            <w:vAlign w:val="center"/>
          </w:tcPr>
          <w:p>
            <w:pPr>
              <w:spacing w:line="360" w:lineRule="auto"/>
              <w:ind w:firstLine="420" w:firstLineChars="200"/>
              <w:jc w:val="both"/>
              <w:rPr>
                <w:color w:val="auto"/>
                <w:kern w:val="0"/>
                <w:szCs w:val="21"/>
              </w:rPr>
            </w:pPr>
            <w:r>
              <w:rPr>
                <w:rFonts w:hint="eastAsia"/>
                <w:color w:val="auto"/>
                <w:kern w:val="0"/>
                <w:szCs w:val="21"/>
                <w:lang w:val="en-US" w:eastAsia="zh-CN"/>
              </w:rPr>
              <w:t>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925" w:hRule="atLeast"/>
          <w:jc w:val="center"/>
        </w:trPr>
        <w:tc>
          <w:tcPr>
            <w:tcW w:w="1081" w:type="dxa"/>
            <w:vAlign w:val="center"/>
          </w:tcPr>
          <w:p>
            <w:pPr>
              <w:autoSpaceDE w:val="0"/>
              <w:autoSpaceDN w:val="0"/>
              <w:adjustRightInd w:val="0"/>
              <w:snapToGrid w:val="0"/>
              <w:jc w:val="center"/>
              <w:rPr>
                <w:color w:val="auto"/>
                <w:kern w:val="0"/>
                <w:szCs w:val="21"/>
              </w:rPr>
            </w:pPr>
            <w:r>
              <w:rPr>
                <w:color w:val="auto"/>
                <w:kern w:val="0"/>
                <w:szCs w:val="21"/>
              </w:rPr>
              <w:t>其他符合性分析</w:t>
            </w:r>
          </w:p>
        </w:tc>
        <w:tc>
          <w:tcPr>
            <w:tcW w:w="7789" w:type="dxa"/>
            <w:gridSpan w:val="3"/>
            <w:vAlign w:val="center"/>
          </w:tcPr>
          <w:p>
            <w:pPr>
              <w:autoSpaceDE w:val="0"/>
              <w:autoSpaceDN w:val="0"/>
              <w:adjustRightInd w:val="0"/>
              <w:snapToGrid w:val="0"/>
              <w:spacing w:line="360" w:lineRule="auto"/>
              <w:jc w:val="left"/>
              <w:rPr>
                <w:b/>
                <w:bCs/>
                <w:color w:val="auto"/>
                <w:kern w:val="0"/>
                <w:szCs w:val="21"/>
              </w:rPr>
            </w:pPr>
            <w:r>
              <w:rPr>
                <w:rFonts w:hint="eastAsia"/>
                <w:b/>
                <w:bCs/>
                <w:color w:val="auto"/>
                <w:kern w:val="0"/>
                <w:szCs w:val="21"/>
              </w:rPr>
              <w:t>1、产业政策符合性分析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color w:val="auto"/>
                <w:kern w:val="0"/>
                <w:szCs w:val="21"/>
              </w:rPr>
            </w:pPr>
            <w:r>
              <w:rPr>
                <w:rFonts w:hint="eastAsia"/>
                <w:color w:val="auto"/>
                <w:kern w:val="0"/>
                <w:szCs w:val="21"/>
              </w:rPr>
              <w:t>本项目为C2239其他纸制品制造项目，对照《产业结构调整指导目录（2019年本）》（2021年修订），“单条1万吨/年及以下、以废纸为原料的制浆生产线”属于淘汰类，本项目外购</w:t>
            </w:r>
            <w:r>
              <w:rPr>
                <w:rFonts w:hint="eastAsia"/>
                <w:color w:val="auto"/>
                <w:kern w:val="0"/>
                <w:szCs w:val="21"/>
                <w:lang w:val="en-US" w:eastAsia="zh-CN"/>
              </w:rPr>
              <w:t>废纸</w:t>
            </w:r>
            <w:r>
              <w:rPr>
                <w:rFonts w:hint="eastAsia"/>
                <w:color w:val="auto"/>
                <w:kern w:val="0"/>
                <w:szCs w:val="21"/>
              </w:rPr>
              <w:t>用于生产蛋托，不涉及纸浆制造，本项目不属于名录中限制及淘汰类项目，属于允许类；同时，本项目已取得玛纳斯县发展和改革委员会项目立项批复，项目统一代码为2210-652324-21-01-687315（见附件</w:t>
            </w:r>
            <w:r>
              <w:rPr>
                <w:rFonts w:hint="eastAsia"/>
                <w:color w:val="auto"/>
                <w:kern w:val="0"/>
                <w:szCs w:val="21"/>
                <w:lang w:val="en-US" w:eastAsia="zh-CN"/>
              </w:rPr>
              <w:t>1</w:t>
            </w:r>
            <w:r>
              <w:rPr>
                <w:rFonts w:hint="eastAsia"/>
                <w:color w:val="auto"/>
                <w:kern w:val="0"/>
                <w:szCs w:val="21"/>
              </w:rPr>
              <w:t>）。本项目原料为废牛皮纸，废瓦楞纸，书刊，报纸，办公废纸等无毒无害的生活、工业废纸，不接受沾染有毒有害的废纸，且对纸制品产品质量要求较低，无需对其进行脱墨处理，辅料为石粉，本项目仅利用废旧纸张，所有工序均不涉及造纸工艺。综上，本项目符合国家、地方产业政策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b/>
                <w:bCs/>
                <w:color w:val="auto"/>
                <w:kern w:val="0"/>
                <w:szCs w:val="21"/>
              </w:rPr>
            </w:pPr>
            <w:r>
              <w:rPr>
                <w:rFonts w:hint="eastAsia"/>
                <w:b/>
                <w:bCs/>
                <w:color w:val="auto"/>
                <w:kern w:val="0"/>
                <w:szCs w:val="21"/>
              </w:rPr>
              <w:t>2、土地利用符合性分析</w:t>
            </w:r>
          </w:p>
          <w:p>
            <w:pPr>
              <w:autoSpaceDE w:val="0"/>
              <w:autoSpaceDN w:val="0"/>
              <w:adjustRightInd w:val="0"/>
              <w:snapToGrid w:val="0"/>
              <w:spacing w:line="360" w:lineRule="auto"/>
              <w:ind w:firstLine="420" w:firstLineChars="200"/>
              <w:jc w:val="left"/>
              <w:rPr>
                <w:rFonts w:hint="default" w:eastAsia="宋体"/>
                <w:color w:val="auto"/>
                <w:kern w:val="0"/>
                <w:szCs w:val="21"/>
                <w:lang w:val="en-US" w:eastAsia="zh-CN"/>
              </w:rPr>
            </w:pPr>
            <w:r>
              <w:rPr>
                <w:rFonts w:hint="eastAsia"/>
                <w:color w:val="auto"/>
                <w:kern w:val="0"/>
                <w:szCs w:val="21"/>
              </w:rPr>
              <w:t>项目位于新疆昌吉回族自治州玛纳斯县兰州湾镇，</w:t>
            </w:r>
            <w:r>
              <w:rPr>
                <w:rFonts w:hint="eastAsia"/>
                <w:color w:val="auto"/>
                <w:kern w:val="0"/>
                <w:szCs w:val="21"/>
                <w:lang w:val="en-US" w:eastAsia="zh-CN"/>
              </w:rPr>
              <w:t>租用玛纳斯众利合纸制品有限公司现有场地、厂房进行建设，租赁合同见附件2。根据不动产权证（附件4），本项目用地性质为工业用地。</w:t>
            </w:r>
          </w:p>
          <w:p>
            <w:pPr>
              <w:autoSpaceDE w:val="0"/>
              <w:autoSpaceDN w:val="0"/>
              <w:adjustRightInd w:val="0"/>
              <w:snapToGrid w:val="0"/>
              <w:spacing w:line="360" w:lineRule="auto"/>
              <w:ind w:firstLine="420" w:firstLineChars="200"/>
              <w:jc w:val="left"/>
              <w:rPr>
                <w:b/>
                <w:bCs/>
                <w:color w:val="auto"/>
                <w:kern w:val="0"/>
                <w:szCs w:val="21"/>
              </w:rPr>
            </w:pPr>
            <w:r>
              <w:rPr>
                <w:rFonts w:hint="eastAsia"/>
                <w:color w:val="auto"/>
                <w:kern w:val="0"/>
                <w:szCs w:val="21"/>
              </w:rPr>
              <w:t>因此符合用地性质。</w:t>
            </w:r>
          </w:p>
          <w:p>
            <w:pPr>
              <w:autoSpaceDE w:val="0"/>
              <w:autoSpaceDN w:val="0"/>
              <w:adjustRightInd w:val="0"/>
              <w:snapToGrid w:val="0"/>
              <w:spacing w:line="360" w:lineRule="auto"/>
              <w:jc w:val="left"/>
              <w:rPr>
                <w:b/>
                <w:bCs/>
                <w:color w:val="auto"/>
                <w:kern w:val="0"/>
                <w:szCs w:val="21"/>
              </w:rPr>
            </w:pPr>
            <w:r>
              <w:rPr>
                <w:rFonts w:hint="eastAsia"/>
                <w:b/>
                <w:bCs/>
                <w:color w:val="auto"/>
                <w:kern w:val="0"/>
                <w:szCs w:val="21"/>
              </w:rPr>
              <w:t>3、“三线一单”符合性分析</w:t>
            </w:r>
          </w:p>
          <w:p>
            <w:pPr>
              <w:autoSpaceDE w:val="0"/>
              <w:autoSpaceDN w:val="0"/>
              <w:adjustRightInd w:val="0"/>
              <w:snapToGrid w:val="0"/>
              <w:spacing w:line="360" w:lineRule="auto"/>
              <w:ind w:firstLine="422" w:firstLineChars="200"/>
              <w:jc w:val="left"/>
              <w:rPr>
                <w:rFonts w:hint="eastAsia"/>
                <w:b/>
                <w:bCs/>
                <w:color w:val="auto"/>
                <w:kern w:val="0"/>
                <w:szCs w:val="21"/>
                <w:lang w:eastAsia="zh-CN"/>
              </w:rPr>
            </w:pPr>
            <w:r>
              <w:rPr>
                <w:rFonts w:hint="eastAsia"/>
                <w:b/>
                <w:bCs/>
                <w:color w:val="auto"/>
                <w:kern w:val="0"/>
                <w:szCs w:val="21"/>
                <w:lang w:eastAsia="zh-CN"/>
              </w:rPr>
              <w:t>（</w:t>
            </w:r>
            <w:r>
              <w:rPr>
                <w:rFonts w:hint="eastAsia"/>
                <w:b/>
                <w:bCs/>
                <w:color w:val="auto"/>
                <w:kern w:val="0"/>
                <w:szCs w:val="21"/>
                <w:lang w:val="en-US" w:eastAsia="zh-CN"/>
              </w:rPr>
              <w:t>1</w:t>
            </w:r>
            <w:r>
              <w:rPr>
                <w:rFonts w:hint="eastAsia"/>
                <w:b/>
                <w:bCs/>
                <w:color w:val="auto"/>
                <w:kern w:val="0"/>
                <w:szCs w:val="21"/>
                <w:lang w:eastAsia="zh-CN"/>
              </w:rPr>
              <w:t>）自治区管控要求</w:t>
            </w:r>
          </w:p>
          <w:p>
            <w:pPr>
              <w:autoSpaceDE w:val="0"/>
              <w:autoSpaceDN w:val="0"/>
              <w:adjustRightInd w:val="0"/>
              <w:snapToGrid w:val="0"/>
              <w:spacing w:line="360" w:lineRule="auto"/>
              <w:ind w:firstLine="420" w:firstLineChars="200"/>
              <w:jc w:val="left"/>
              <w:rPr>
                <w:rFonts w:hint="eastAsia"/>
                <w:color w:val="auto"/>
                <w:kern w:val="0"/>
                <w:szCs w:val="21"/>
                <w:lang w:eastAsia="zh-CN"/>
              </w:rPr>
            </w:pPr>
            <w:r>
              <w:rPr>
                <w:rFonts w:hint="eastAsia"/>
                <w:color w:val="auto"/>
                <w:kern w:val="0"/>
                <w:szCs w:val="21"/>
                <w:lang w:eastAsia="zh-CN"/>
              </w:rPr>
              <w:t>本项目与《关于印发&lt;新疆维吾尔自治区“三线一单”生态环境分区管控方案&gt;的通知》（新政发[2021]18号）中“三线一单”符合性分析见</w:t>
            </w:r>
            <w:r>
              <w:rPr>
                <w:rFonts w:hint="eastAsia"/>
                <w:color w:val="auto"/>
                <w:kern w:val="0"/>
                <w:szCs w:val="21"/>
                <w:lang w:val="en-US" w:eastAsia="zh-CN"/>
              </w:rPr>
              <w:t>下表</w:t>
            </w:r>
            <w:r>
              <w:rPr>
                <w:rFonts w:hint="eastAsia"/>
                <w:color w:val="auto"/>
                <w:kern w:val="0"/>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default" w:eastAsia="宋体"/>
                <w:b/>
                <w:bCs/>
                <w:color w:val="auto"/>
                <w:kern w:val="0"/>
                <w:sz w:val="18"/>
                <w:szCs w:val="18"/>
                <w:lang w:val="en-US" w:eastAsia="zh-CN"/>
              </w:rPr>
            </w:pPr>
            <w:r>
              <w:rPr>
                <w:rFonts w:hint="eastAsia"/>
                <w:b/>
                <w:bCs/>
                <w:color w:val="auto"/>
                <w:kern w:val="0"/>
                <w:sz w:val="18"/>
                <w:szCs w:val="18"/>
                <w:lang w:val="en-US" w:eastAsia="zh-CN"/>
              </w:rPr>
              <w:t>表1-1  与新政发[2021]18 号中“三线一单”符合性分析表</w:t>
            </w:r>
          </w:p>
          <w:tbl>
            <w:tblPr>
              <w:tblStyle w:val="25"/>
              <w:tblW w:w="7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6"/>
              <w:gridCol w:w="888"/>
              <w:gridCol w:w="3311"/>
              <w:gridCol w:w="1957"/>
              <w:gridCol w:w="8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6" w:type="dxa"/>
                  <w:vAlign w:val="center"/>
                </w:tcPr>
                <w:p>
                  <w:pPr>
                    <w:pStyle w:val="94"/>
                    <w:bidi w:val="0"/>
                    <w:jc w:val="center"/>
                    <w:rPr>
                      <w:rFonts w:hint="eastAsia"/>
                      <w:color w:val="auto"/>
                      <w:lang w:val="en-US" w:eastAsia="zh-CN"/>
                    </w:rPr>
                  </w:pPr>
                  <w:r>
                    <w:rPr>
                      <w:rFonts w:hint="eastAsia"/>
                      <w:color w:val="auto"/>
                      <w:lang w:val="en-US" w:eastAsia="zh-CN"/>
                    </w:rPr>
                    <w:t>序号</w:t>
                  </w:r>
                </w:p>
              </w:tc>
              <w:tc>
                <w:tcPr>
                  <w:tcW w:w="4199" w:type="dxa"/>
                  <w:gridSpan w:val="2"/>
                  <w:vAlign w:val="center"/>
                </w:tcPr>
                <w:p>
                  <w:pPr>
                    <w:pStyle w:val="94"/>
                    <w:bidi w:val="0"/>
                    <w:jc w:val="center"/>
                    <w:rPr>
                      <w:rFonts w:hint="eastAsia"/>
                      <w:color w:val="auto"/>
                    </w:rPr>
                  </w:pPr>
                  <w:r>
                    <w:rPr>
                      <w:rFonts w:hint="eastAsia"/>
                      <w:color w:val="auto"/>
                    </w:rPr>
                    <w:t>新政发[2021]18号要求</w:t>
                  </w:r>
                </w:p>
              </w:tc>
              <w:tc>
                <w:tcPr>
                  <w:tcW w:w="1957" w:type="dxa"/>
                  <w:vAlign w:val="center"/>
                </w:tcPr>
                <w:p>
                  <w:pPr>
                    <w:pStyle w:val="94"/>
                    <w:bidi w:val="0"/>
                    <w:jc w:val="center"/>
                    <w:rPr>
                      <w:rFonts w:hint="eastAsia"/>
                      <w:color w:val="auto"/>
                    </w:rPr>
                  </w:pPr>
                  <w:r>
                    <w:rPr>
                      <w:rFonts w:hint="eastAsia"/>
                      <w:color w:val="auto"/>
                    </w:rPr>
                    <w:t>项目情况</w:t>
                  </w:r>
                </w:p>
              </w:tc>
              <w:tc>
                <w:tcPr>
                  <w:tcW w:w="841" w:type="dxa"/>
                  <w:vAlign w:val="center"/>
                </w:tcPr>
                <w:p>
                  <w:pPr>
                    <w:pStyle w:val="94"/>
                    <w:bidi w:val="0"/>
                    <w:jc w:val="center"/>
                    <w:rPr>
                      <w:rFonts w:hint="default" w:eastAsia="宋体"/>
                      <w:color w:val="auto"/>
                      <w:lang w:val="en-US" w:eastAsia="zh-CN"/>
                    </w:rPr>
                  </w:pPr>
                  <w:r>
                    <w:rPr>
                      <w:rFonts w:hint="eastAsia"/>
                      <w:color w:val="auto"/>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6" w:type="dxa"/>
                  <w:vAlign w:val="center"/>
                </w:tcPr>
                <w:p>
                  <w:pPr>
                    <w:pStyle w:val="94"/>
                    <w:bidi w:val="0"/>
                    <w:jc w:val="center"/>
                    <w:rPr>
                      <w:rFonts w:hint="eastAsia" w:eastAsia="宋体"/>
                      <w:color w:val="auto"/>
                      <w:lang w:val="en-US" w:eastAsia="zh-CN"/>
                    </w:rPr>
                  </w:pPr>
                  <w:r>
                    <w:rPr>
                      <w:rFonts w:hint="eastAsia"/>
                      <w:color w:val="auto"/>
                      <w:lang w:val="en-US" w:eastAsia="zh-CN"/>
                    </w:rPr>
                    <w:t>1</w:t>
                  </w:r>
                </w:p>
              </w:tc>
              <w:tc>
                <w:tcPr>
                  <w:tcW w:w="888" w:type="dxa"/>
                  <w:vAlign w:val="center"/>
                </w:tcPr>
                <w:p>
                  <w:pPr>
                    <w:pStyle w:val="94"/>
                    <w:bidi w:val="0"/>
                    <w:jc w:val="center"/>
                    <w:rPr>
                      <w:rFonts w:hint="default" w:eastAsia="宋体"/>
                      <w:color w:val="auto"/>
                      <w:lang w:val="en-US" w:eastAsia="zh-CN"/>
                    </w:rPr>
                  </w:pPr>
                  <w:r>
                    <w:rPr>
                      <w:rFonts w:hint="eastAsia"/>
                      <w:color w:val="auto"/>
                      <w:lang w:val="en-US" w:eastAsia="zh-CN"/>
                    </w:rPr>
                    <w:t>生态保护红线</w:t>
                  </w:r>
                </w:p>
              </w:tc>
              <w:tc>
                <w:tcPr>
                  <w:tcW w:w="3311" w:type="dxa"/>
                  <w:vAlign w:val="center"/>
                </w:tcPr>
                <w:p>
                  <w:pPr>
                    <w:pStyle w:val="94"/>
                    <w:bidi w:val="0"/>
                    <w:jc w:val="left"/>
                    <w:rPr>
                      <w:rFonts w:hint="eastAsia"/>
                      <w:color w:val="auto"/>
                    </w:rPr>
                  </w:pPr>
                  <w:r>
                    <w:rPr>
                      <w:rFonts w:hint="eastAsia"/>
                      <w:color w:val="auto"/>
                    </w:rPr>
                    <w:t>按照“生态功能不降低、面积不减少、性质不改变”的基本要求，对划定的生态保护红线实施严格管控，保障和维护国家生态安全的底线和生命线</w:t>
                  </w:r>
                </w:p>
              </w:tc>
              <w:tc>
                <w:tcPr>
                  <w:tcW w:w="1957" w:type="dxa"/>
                  <w:vAlign w:val="center"/>
                </w:tcPr>
                <w:p>
                  <w:pPr>
                    <w:pStyle w:val="94"/>
                    <w:bidi w:val="0"/>
                    <w:jc w:val="left"/>
                    <w:rPr>
                      <w:rFonts w:hint="eastAsia"/>
                      <w:color w:val="auto"/>
                    </w:rPr>
                  </w:pPr>
                  <w:r>
                    <w:rPr>
                      <w:rFonts w:hint="eastAsia"/>
                      <w:color w:val="auto"/>
                    </w:rPr>
                    <w:t>本项目周边无自然保护区、饮用水源保护区等生态保护目标，不占用生态红线，总体符合新疆生态保护红线规划要求。</w:t>
                  </w:r>
                </w:p>
              </w:tc>
              <w:tc>
                <w:tcPr>
                  <w:tcW w:w="841" w:type="dxa"/>
                  <w:vAlign w:val="center"/>
                </w:tcPr>
                <w:p>
                  <w:pPr>
                    <w:pStyle w:val="94"/>
                    <w:bidi w:val="0"/>
                    <w:jc w:val="center"/>
                    <w:rPr>
                      <w:rFonts w:hint="eastAsia" w:eastAsia="宋体"/>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6" w:type="dxa"/>
                  <w:vAlign w:val="center"/>
                </w:tcPr>
                <w:p>
                  <w:pPr>
                    <w:pStyle w:val="94"/>
                    <w:bidi w:val="0"/>
                    <w:jc w:val="center"/>
                    <w:rPr>
                      <w:rFonts w:hint="eastAsia" w:eastAsia="宋体"/>
                      <w:color w:val="auto"/>
                      <w:lang w:val="en-US" w:eastAsia="zh-CN"/>
                    </w:rPr>
                  </w:pPr>
                  <w:r>
                    <w:rPr>
                      <w:rFonts w:hint="eastAsia"/>
                      <w:color w:val="auto"/>
                      <w:lang w:val="en-US" w:eastAsia="zh-CN"/>
                    </w:rPr>
                    <w:t>2</w:t>
                  </w:r>
                </w:p>
              </w:tc>
              <w:tc>
                <w:tcPr>
                  <w:tcW w:w="888" w:type="dxa"/>
                  <w:vAlign w:val="center"/>
                </w:tcPr>
                <w:p>
                  <w:pPr>
                    <w:pStyle w:val="94"/>
                    <w:bidi w:val="0"/>
                    <w:jc w:val="center"/>
                    <w:rPr>
                      <w:rFonts w:hint="default" w:eastAsia="宋体"/>
                      <w:color w:val="auto"/>
                      <w:lang w:val="en-US" w:eastAsia="zh-CN"/>
                    </w:rPr>
                  </w:pPr>
                  <w:r>
                    <w:rPr>
                      <w:rFonts w:hint="eastAsia"/>
                      <w:color w:val="auto"/>
                      <w:lang w:val="en-US" w:eastAsia="zh-CN"/>
                    </w:rPr>
                    <w:t>资源利用上线</w:t>
                  </w:r>
                </w:p>
              </w:tc>
              <w:tc>
                <w:tcPr>
                  <w:tcW w:w="3311" w:type="dxa"/>
                  <w:vAlign w:val="center"/>
                </w:tcPr>
                <w:p>
                  <w:pPr>
                    <w:pStyle w:val="94"/>
                    <w:bidi w:val="0"/>
                    <w:jc w:val="left"/>
                    <w:rPr>
                      <w:rFonts w:hint="eastAsia"/>
                      <w:color w:val="auto"/>
                    </w:rPr>
                  </w:pPr>
                  <w:r>
                    <w:rPr>
                      <w:rFonts w:hint="eastAsia"/>
                      <w:color w:val="auto"/>
                    </w:rPr>
                    <w:t>强化节约集约利用，持续提升资源能源利用效率，水资源、土地资源、能源消耗等达到国家、自治区下达的总量和强度控制目标。加快区域低碳发展，积极推动乌鲁木齐市、昌吉市、伊宁市、和田市等4个国家级低碳试点城市发挥低碳试点示范和引领作用</w:t>
                  </w:r>
                </w:p>
              </w:tc>
              <w:tc>
                <w:tcPr>
                  <w:tcW w:w="1957" w:type="dxa"/>
                  <w:vAlign w:val="center"/>
                </w:tcPr>
                <w:p>
                  <w:pPr>
                    <w:pStyle w:val="94"/>
                    <w:bidi w:val="0"/>
                    <w:jc w:val="left"/>
                    <w:rPr>
                      <w:rFonts w:hint="eastAsia"/>
                      <w:color w:val="auto"/>
                    </w:rPr>
                  </w:pPr>
                  <w:r>
                    <w:rPr>
                      <w:rFonts w:hint="eastAsia"/>
                      <w:color w:val="auto"/>
                    </w:rPr>
                    <w:t>本项目水的消耗量相对区域资源利用总量较小，</w:t>
                  </w:r>
                  <w:r>
                    <w:rPr>
                      <w:rFonts w:hint="eastAsia"/>
                      <w:color w:val="auto"/>
                      <w:lang w:val="en-US" w:eastAsia="zh-CN"/>
                    </w:rPr>
                    <w:t>租用现有厂房及场地进行建设，</w:t>
                  </w:r>
                  <w:r>
                    <w:rPr>
                      <w:rFonts w:hint="eastAsia"/>
                      <w:color w:val="auto"/>
                    </w:rPr>
                    <w:t>符合资源利用上线要求。</w:t>
                  </w:r>
                </w:p>
              </w:tc>
              <w:tc>
                <w:tcPr>
                  <w:tcW w:w="841" w:type="dxa"/>
                  <w:vAlign w:val="center"/>
                </w:tcPr>
                <w:p>
                  <w:pPr>
                    <w:pStyle w:val="94"/>
                    <w:bidi w:val="0"/>
                    <w:jc w:val="cente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6" w:type="dxa"/>
                  <w:vAlign w:val="center"/>
                </w:tcPr>
                <w:p>
                  <w:pPr>
                    <w:pStyle w:val="94"/>
                    <w:bidi w:val="0"/>
                    <w:jc w:val="center"/>
                    <w:rPr>
                      <w:rFonts w:hint="eastAsia" w:eastAsia="宋体"/>
                      <w:color w:val="auto"/>
                      <w:lang w:val="en-US" w:eastAsia="zh-CN"/>
                    </w:rPr>
                  </w:pPr>
                  <w:r>
                    <w:rPr>
                      <w:rFonts w:hint="eastAsia"/>
                      <w:color w:val="auto"/>
                      <w:lang w:val="en-US" w:eastAsia="zh-CN"/>
                    </w:rPr>
                    <w:t>3</w:t>
                  </w:r>
                </w:p>
              </w:tc>
              <w:tc>
                <w:tcPr>
                  <w:tcW w:w="888" w:type="dxa"/>
                  <w:vAlign w:val="center"/>
                </w:tcPr>
                <w:p>
                  <w:pPr>
                    <w:pStyle w:val="94"/>
                    <w:bidi w:val="0"/>
                    <w:jc w:val="center"/>
                    <w:rPr>
                      <w:rFonts w:hint="eastAsia"/>
                      <w:color w:val="auto"/>
                    </w:rPr>
                  </w:pPr>
                  <w:r>
                    <w:rPr>
                      <w:rFonts w:hint="eastAsia"/>
                      <w:color w:val="auto"/>
                    </w:rPr>
                    <w:t>环境质量底线</w:t>
                  </w:r>
                </w:p>
              </w:tc>
              <w:tc>
                <w:tcPr>
                  <w:tcW w:w="3311" w:type="dxa"/>
                  <w:vAlign w:val="center"/>
                </w:tcPr>
                <w:p>
                  <w:pPr>
                    <w:pStyle w:val="94"/>
                    <w:bidi w:val="0"/>
                    <w:jc w:val="left"/>
                    <w:rPr>
                      <w:rFonts w:hint="eastAsia"/>
                      <w:color w:val="auto"/>
                    </w:rPr>
                  </w:pPr>
                  <w:r>
                    <w:rPr>
                      <w:rFonts w:hint="eastAsia"/>
                      <w:color w:val="auto"/>
                    </w:rPr>
                    <w:t>全区水环境质量持续改善，受污染地表水体得到有效治理，饮用水安全保障水平持续提升，地下水超采得到严格控制，地下水水质保持稳定；全区环境空气质量有所提升，重污染天数持续减少，已达标城市环境空气质量保持稳定，未达标城市环境空气质量持续改善，沙尘影响严重地区做好防风固沙、生态环境保护修复等工作；全区土壤环境质量保持稳定，污染地块安全利用水平稳中有升，土壤环境风险得到进一步管控</w:t>
                  </w:r>
                </w:p>
              </w:tc>
              <w:tc>
                <w:tcPr>
                  <w:tcW w:w="1957" w:type="dxa"/>
                  <w:vAlign w:val="center"/>
                </w:tcPr>
                <w:p>
                  <w:pPr>
                    <w:pStyle w:val="94"/>
                    <w:bidi w:val="0"/>
                    <w:jc w:val="left"/>
                    <w:rPr>
                      <w:rFonts w:hint="eastAsia"/>
                      <w:color w:val="auto"/>
                    </w:rPr>
                  </w:pPr>
                  <w:r>
                    <w:rPr>
                      <w:rFonts w:hint="eastAsia"/>
                      <w:color w:val="auto"/>
                    </w:rPr>
                    <w:t>本项目产生的废气、</w:t>
                  </w:r>
                  <w:r>
                    <w:rPr>
                      <w:rFonts w:hint="eastAsia"/>
                      <w:color w:val="auto"/>
                      <w:lang w:val="en-US" w:eastAsia="zh-CN"/>
                    </w:rPr>
                    <w:t>废气、</w:t>
                  </w:r>
                  <w:r>
                    <w:rPr>
                      <w:rFonts w:hint="eastAsia"/>
                      <w:color w:val="auto"/>
                    </w:rPr>
                    <w:t>噪声</w:t>
                  </w:r>
                  <w:r>
                    <w:rPr>
                      <w:rFonts w:hint="eastAsia"/>
                      <w:color w:val="auto"/>
                      <w:lang w:val="en-US" w:eastAsia="zh-CN"/>
                    </w:rPr>
                    <w:t>均</w:t>
                  </w:r>
                  <w:r>
                    <w:rPr>
                      <w:rFonts w:hint="eastAsia"/>
                      <w:color w:val="auto"/>
                    </w:rPr>
                    <w:t>得到妥善处置，项目对区域环境质量的影响较小，项目建设后不会突破环境质量底线。</w:t>
                  </w:r>
                </w:p>
              </w:tc>
              <w:tc>
                <w:tcPr>
                  <w:tcW w:w="841" w:type="dxa"/>
                  <w:vAlign w:val="center"/>
                </w:tcPr>
                <w:p>
                  <w:pPr>
                    <w:pStyle w:val="94"/>
                    <w:bidi w:val="0"/>
                    <w:jc w:val="center"/>
                    <w:rPr>
                      <w:rFonts w:hint="eastAsia"/>
                      <w:color w:val="auto"/>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rPr>
              <w:tc>
                <w:tcPr>
                  <w:tcW w:w="576" w:type="dxa"/>
                  <w:vAlign w:val="center"/>
                </w:tcPr>
                <w:p>
                  <w:pPr>
                    <w:pStyle w:val="94"/>
                    <w:bidi w:val="0"/>
                    <w:jc w:val="center"/>
                    <w:rPr>
                      <w:rFonts w:hint="eastAsia" w:eastAsia="宋体"/>
                      <w:color w:val="auto"/>
                      <w:lang w:val="en-US" w:eastAsia="zh-CN"/>
                    </w:rPr>
                  </w:pPr>
                  <w:r>
                    <w:rPr>
                      <w:rFonts w:hint="eastAsia"/>
                      <w:color w:val="auto"/>
                      <w:lang w:val="en-US" w:eastAsia="zh-CN"/>
                    </w:rPr>
                    <w:t>4</w:t>
                  </w:r>
                </w:p>
              </w:tc>
              <w:tc>
                <w:tcPr>
                  <w:tcW w:w="888" w:type="dxa"/>
                  <w:vAlign w:val="center"/>
                </w:tcPr>
                <w:p>
                  <w:pPr>
                    <w:pStyle w:val="94"/>
                    <w:bidi w:val="0"/>
                    <w:jc w:val="center"/>
                    <w:rPr>
                      <w:rFonts w:hint="default" w:eastAsia="宋体"/>
                      <w:color w:val="auto"/>
                      <w:lang w:val="en-US" w:eastAsia="zh-CN"/>
                    </w:rPr>
                  </w:pPr>
                  <w:r>
                    <w:rPr>
                      <w:rFonts w:hint="eastAsia"/>
                      <w:color w:val="auto"/>
                      <w:lang w:val="en-US" w:eastAsia="zh-CN"/>
                    </w:rPr>
                    <w:t>生态环境准入清单</w:t>
                  </w:r>
                </w:p>
              </w:tc>
              <w:tc>
                <w:tcPr>
                  <w:tcW w:w="3311" w:type="dxa"/>
                  <w:vAlign w:val="center"/>
                </w:tcPr>
                <w:p>
                  <w:pPr>
                    <w:pStyle w:val="94"/>
                    <w:bidi w:val="0"/>
                    <w:jc w:val="left"/>
                    <w:rPr>
                      <w:rFonts w:hint="eastAsia"/>
                      <w:color w:val="auto"/>
                    </w:rPr>
                  </w:pPr>
                  <w:r>
                    <w:rPr>
                      <w:rFonts w:hint="eastAsia"/>
                      <w:color w:val="auto"/>
                    </w:rPr>
                    <w:t>以环境管控单元为基础，从空间布局约</w:t>
                  </w:r>
                </w:p>
                <w:p>
                  <w:pPr>
                    <w:pStyle w:val="94"/>
                    <w:bidi w:val="0"/>
                    <w:jc w:val="left"/>
                    <w:rPr>
                      <w:rFonts w:hint="eastAsia"/>
                      <w:color w:val="auto"/>
                    </w:rPr>
                  </w:pPr>
                  <w:r>
                    <w:rPr>
                      <w:rFonts w:hint="eastAsia"/>
                      <w:color w:val="auto"/>
                    </w:rPr>
                    <w:t>束、污染物排放管控、环境风险防控和资源利用效率四个方面严格环境准入。基于新疆各地自然地理条件、资源环境禀赋、经济社会发展状况的差异性，将全区划分为七大片区。乌昌石片区重点突出大气污染治理、资源能源利用效率提升</w:t>
                  </w:r>
                </w:p>
              </w:tc>
              <w:tc>
                <w:tcPr>
                  <w:tcW w:w="1957" w:type="dxa"/>
                  <w:vAlign w:val="center"/>
                </w:tcPr>
                <w:p>
                  <w:pPr>
                    <w:pStyle w:val="94"/>
                    <w:bidi w:val="0"/>
                    <w:jc w:val="left"/>
                    <w:rPr>
                      <w:rFonts w:hint="eastAsia"/>
                      <w:color w:val="auto"/>
                    </w:rPr>
                  </w:pPr>
                  <w:r>
                    <w:rPr>
                      <w:rFonts w:hint="eastAsia"/>
                      <w:color w:val="auto"/>
                    </w:rPr>
                    <w:t>本项目位于玛纳斯县（一般管控单元）ZH65232430001，符合一般管控单元生态环境准入要求。</w:t>
                  </w:r>
                </w:p>
              </w:tc>
              <w:tc>
                <w:tcPr>
                  <w:tcW w:w="841" w:type="dxa"/>
                  <w:vAlign w:val="center"/>
                </w:tcPr>
                <w:p>
                  <w:pPr>
                    <w:pStyle w:val="94"/>
                    <w:bidi w:val="0"/>
                    <w:jc w:val="center"/>
                    <w:rPr>
                      <w:rFonts w:hint="eastAsia"/>
                      <w:color w:val="auto"/>
                    </w:rPr>
                  </w:pPr>
                  <w:r>
                    <w:rPr>
                      <w:rFonts w:hint="eastAsia"/>
                      <w:color w:val="auto"/>
                      <w:lang w:val="en-US" w:eastAsia="zh-CN"/>
                    </w:rPr>
                    <w:t>符合</w:t>
                  </w:r>
                </w:p>
              </w:tc>
            </w:tr>
          </w:tbl>
          <w:p>
            <w:pPr>
              <w:autoSpaceDE w:val="0"/>
              <w:autoSpaceDN w:val="0"/>
              <w:adjustRightInd w:val="0"/>
              <w:snapToGrid w:val="0"/>
              <w:spacing w:line="360" w:lineRule="auto"/>
              <w:ind w:firstLine="422" w:firstLineChars="200"/>
              <w:jc w:val="left"/>
              <w:rPr>
                <w:rFonts w:hint="eastAsia" w:eastAsia="宋体"/>
                <w:b/>
                <w:bCs/>
                <w:color w:val="auto"/>
                <w:kern w:val="0"/>
                <w:szCs w:val="21"/>
                <w:lang w:eastAsia="zh-CN"/>
              </w:rPr>
            </w:pPr>
            <w:r>
              <w:rPr>
                <w:rFonts w:hint="eastAsia"/>
                <w:b/>
                <w:bCs/>
                <w:color w:val="auto"/>
                <w:kern w:val="0"/>
                <w:szCs w:val="21"/>
                <w:lang w:eastAsia="zh-CN"/>
              </w:rPr>
              <w:t>（</w:t>
            </w:r>
            <w:r>
              <w:rPr>
                <w:rFonts w:hint="eastAsia"/>
                <w:b/>
                <w:bCs/>
                <w:color w:val="auto"/>
                <w:kern w:val="0"/>
                <w:szCs w:val="21"/>
                <w:lang w:val="en-US" w:eastAsia="zh-CN"/>
              </w:rPr>
              <w:t>2</w:t>
            </w:r>
            <w:r>
              <w:rPr>
                <w:rFonts w:hint="eastAsia"/>
                <w:b/>
                <w:bCs/>
                <w:color w:val="auto"/>
                <w:kern w:val="0"/>
                <w:szCs w:val="21"/>
                <w:lang w:eastAsia="zh-CN"/>
              </w:rPr>
              <w:t>）“七大片区”管控要求</w:t>
            </w:r>
          </w:p>
          <w:p>
            <w:pPr>
              <w:autoSpaceDE w:val="0"/>
              <w:autoSpaceDN w:val="0"/>
              <w:adjustRightInd w:val="0"/>
              <w:snapToGrid w:val="0"/>
              <w:spacing w:line="360" w:lineRule="auto"/>
              <w:ind w:firstLine="420" w:firstLineChars="200"/>
              <w:jc w:val="left"/>
              <w:rPr>
                <w:rFonts w:hint="eastAsia"/>
                <w:b w:val="0"/>
                <w:bCs w:val="0"/>
                <w:color w:val="auto"/>
                <w:kern w:val="0"/>
                <w:szCs w:val="21"/>
                <w:lang w:eastAsia="zh-CN"/>
              </w:rPr>
            </w:pPr>
            <w:r>
              <w:rPr>
                <w:rFonts w:hint="eastAsia"/>
                <w:b w:val="0"/>
                <w:bCs w:val="0"/>
                <w:color w:val="auto"/>
                <w:kern w:val="0"/>
                <w:szCs w:val="21"/>
                <w:lang w:eastAsia="zh-CN"/>
              </w:rPr>
              <w:t>本项目位于昌吉回族自治州，根据《新疆维吾尔自治区七大片区“三线一单”生态环境分区管控要求（2021年版）》（新环环评发[2021]162号），属于乌昌石片区，本项目与《新疆维吾尔自治区七大片区“三线一单”生态环境分区管控要求（2021 年版）》（新环环评发[2021]162号）中乌昌石片区管控要求符合性见</w:t>
            </w:r>
            <w:r>
              <w:rPr>
                <w:rFonts w:hint="eastAsia"/>
                <w:b w:val="0"/>
                <w:bCs w:val="0"/>
                <w:color w:val="auto"/>
                <w:kern w:val="0"/>
                <w:szCs w:val="21"/>
                <w:lang w:val="en-US" w:eastAsia="zh-CN"/>
              </w:rPr>
              <w:t>下表</w:t>
            </w:r>
            <w:r>
              <w:rPr>
                <w:rFonts w:hint="eastAsia"/>
                <w:b w:val="0"/>
                <w:bCs w:val="0"/>
                <w:color w:val="auto"/>
                <w:kern w:val="0"/>
                <w:szCs w:val="21"/>
                <w:lang w:eastAsia="zh-CN"/>
              </w:rPr>
              <w:t>。</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center"/>
              <w:textAlignment w:val="auto"/>
              <w:rPr>
                <w:rFonts w:hint="eastAsia"/>
                <w:b/>
                <w:bCs/>
                <w:color w:val="auto"/>
                <w:kern w:val="0"/>
                <w:sz w:val="18"/>
                <w:szCs w:val="18"/>
                <w:lang w:val="en-US" w:eastAsia="zh-CN"/>
              </w:rPr>
            </w:pPr>
            <w:r>
              <w:rPr>
                <w:rFonts w:hint="eastAsia"/>
                <w:b/>
                <w:bCs/>
                <w:color w:val="auto"/>
                <w:kern w:val="0"/>
                <w:sz w:val="18"/>
                <w:szCs w:val="18"/>
                <w:lang w:val="en-US" w:eastAsia="zh-CN"/>
              </w:rPr>
              <w:t>表1-2  与《新疆维吾尔自治区七大片区“三线一单”生态环境分区管控要求（2021年版）》（新环环评发[2021]162号）中乌昌石片区管控要求符合性分析</w:t>
            </w:r>
          </w:p>
          <w:tbl>
            <w:tblPr>
              <w:tblStyle w:val="25"/>
              <w:tblW w:w="7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9"/>
              <w:gridCol w:w="4388"/>
              <w:gridCol w:w="1689"/>
              <w:gridCol w:w="8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pStyle w:val="94"/>
                    <w:bidi w:val="0"/>
                    <w:jc w:val="center"/>
                    <w:rPr>
                      <w:rFonts w:hint="default"/>
                      <w:color w:val="auto"/>
                      <w:lang w:val="en-US" w:eastAsia="zh-CN"/>
                    </w:rPr>
                  </w:pPr>
                  <w:r>
                    <w:rPr>
                      <w:rFonts w:hint="eastAsia"/>
                      <w:color w:val="auto"/>
                      <w:lang w:val="en-US" w:eastAsia="zh-CN"/>
                    </w:rPr>
                    <w:t>序号</w:t>
                  </w:r>
                </w:p>
              </w:tc>
              <w:tc>
                <w:tcPr>
                  <w:tcW w:w="4388" w:type="dxa"/>
                  <w:vAlign w:val="center"/>
                </w:tcPr>
                <w:p>
                  <w:pPr>
                    <w:pStyle w:val="94"/>
                    <w:bidi w:val="0"/>
                    <w:jc w:val="center"/>
                    <w:rPr>
                      <w:rFonts w:hint="eastAsia"/>
                      <w:color w:val="auto"/>
                      <w:lang w:eastAsia="zh-CN"/>
                    </w:rPr>
                  </w:pPr>
                  <w:r>
                    <w:rPr>
                      <w:rFonts w:hint="eastAsia"/>
                      <w:color w:val="auto"/>
                      <w:lang w:eastAsia="zh-CN"/>
                    </w:rPr>
                    <w:t>新环环评发[2021]162号要求</w:t>
                  </w:r>
                </w:p>
              </w:tc>
              <w:tc>
                <w:tcPr>
                  <w:tcW w:w="1689" w:type="dxa"/>
                  <w:vAlign w:val="center"/>
                </w:tcPr>
                <w:p>
                  <w:pPr>
                    <w:pStyle w:val="94"/>
                    <w:bidi w:val="0"/>
                    <w:jc w:val="center"/>
                    <w:rPr>
                      <w:rFonts w:hint="default"/>
                      <w:color w:val="auto"/>
                      <w:lang w:val="en-US" w:eastAsia="zh-CN"/>
                    </w:rPr>
                  </w:pPr>
                  <w:r>
                    <w:rPr>
                      <w:rFonts w:hint="eastAsia"/>
                      <w:color w:val="auto"/>
                      <w:lang w:val="en-US" w:eastAsia="zh-CN"/>
                    </w:rPr>
                    <w:t>项目情况</w:t>
                  </w:r>
                </w:p>
              </w:tc>
              <w:tc>
                <w:tcPr>
                  <w:tcW w:w="877" w:type="dxa"/>
                  <w:vAlign w:val="center"/>
                </w:tcPr>
                <w:p>
                  <w:pPr>
                    <w:pStyle w:val="94"/>
                    <w:bidi w:val="0"/>
                    <w:jc w:val="center"/>
                    <w:rPr>
                      <w:rFonts w:hint="default"/>
                      <w:color w:val="auto"/>
                      <w:lang w:val="en-US" w:eastAsia="zh-CN"/>
                    </w:rPr>
                  </w:pPr>
                  <w:r>
                    <w:rPr>
                      <w:rFonts w:hint="eastAsia"/>
                      <w:color w:val="auto"/>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pStyle w:val="94"/>
                    <w:bidi w:val="0"/>
                    <w:jc w:val="center"/>
                    <w:rPr>
                      <w:rFonts w:hint="default"/>
                      <w:color w:val="auto"/>
                      <w:lang w:val="en-US" w:eastAsia="zh-CN"/>
                    </w:rPr>
                  </w:pPr>
                  <w:r>
                    <w:rPr>
                      <w:rFonts w:hint="eastAsia"/>
                      <w:color w:val="auto"/>
                      <w:lang w:val="en-US" w:eastAsia="zh-CN"/>
                    </w:rPr>
                    <w:t>1</w:t>
                  </w:r>
                </w:p>
              </w:tc>
              <w:tc>
                <w:tcPr>
                  <w:tcW w:w="4388" w:type="dxa"/>
                  <w:vAlign w:val="center"/>
                </w:tcPr>
                <w:p>
                  <w:pPr>
                    <w:pStyle w:val="94"/>
                    <w:bidi w:val="0"/>
                    <w:jc w:val="left"/>
                    <w:rPr>
                      <w:rFonts w:hint="eastAsia"/>
                      <w:color w:val="auto"/>
                      <w:lang w:eastAsia="zh-CN"/>
                    </w:rPr>
                  </w:pPr>
                  <w:r>
                    <w:rPr>
                      <w:rFonts w:hint="eastAsia"/>
                      <w:color w:val="auto"/>
                      <w:lang w:eastAsia="zh-CN"/>
                    </w:rPr>
                    <w:t>除国家规划项目外，乌鲁木齐市七区一县、昌吉市、阜康市、玛纳斯县、呼图壁县、沙湾市建成区及周边敏感区域内不再布局建设煤化工、电解铝、燃煤纯发电机组、金属硅、碳化硅、聚氯乙烯（电石法）、焦炭（含半焦）等新增产能项目，具备风光电清洁供暖建设条件的区域原则上不新批热电联产项目。坚持属地负责与区域大气污染联防联控相结合，以明显降低细颗粒物浓度为重点，协同推进“乌-昌-石”区域大气环境治理，强化与生产建设兵团第六师、第八师、第十一师、第十二师的同防同治，确保区域环境空气质量持续改善。所有新建、改建、扩建工业项目执行最严格的大气污染物排放标准。强化氮氧化物深度治理。强化挥发性有机物污染防治措施。推广使用低挥发性有机物原辅料，推动有条件的园区（工业集聚区）建设集中喷涂工程中心，配备高效治污设施，替代企业独立喷涂工序。</w:t>
                  </w:r>
                </w:p>
              </w:tc>
              <w:tc>
                <w:tcPr>
                  <w:tcW w:w="1689" w:type="dxa"/>
                  <w:vAlign w:val="center"/>
                </w:tcPr>
                <w:p>
                  <w:pPr>
                    <w:pStyle w:val="94"/>
                    <w:bidi w:val="0"/>
                    <w:jc w:val="left"/>
                    <w:rPr>
                      <w:rFonts w:hint="default"/>
                      <w:color w:val="auto"/>
                      <w:lang w:val="en-US" w:eastAsia="zh-CN"/>
                    </w:rPr>
                  </w:pPr>
                  <w:r>
                    <w:rPr>
                      <w:rFonts w:hint="eastAsia"/>
                      <w:color w:val="auto"/>
                      <w:lang w:val="en-US" w:eastAsia="zh-CN"/>
                    </w:rPr>
                    <w:t>本项目为纸质蛋托项目，不属于煤化工、电解铝、燃煤纯发电机组、金属硅、碳化硅、聚氯乙烯（电石法）、焦炭（含半焦）等新增产能项目，不属于热电联产项目，本项目废气采取措施后，对周边环境空气影响较小。</w:t>
                  </w:r>
                </w:p>
              </w:tc>
              <w:tc>
                <w:tcPr>
                  <w:tcW w:w="877" w:type="dxa"/>
                  <w:vAlign w:val="center"/>
                </w:tcPr>
                <w:p>
                  <w:pPr>
                    <w:pStyle w:val="94"/>
                    <w:bidi w:val="0"/>
                    <w:jc w:val="cente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pStyle w:val="94"/>
                    <w:bidi w:val="0"/>
                    <w:jc w:val="center"/>
                    <w:rPr>
                      <w:rFonts w:hint="default"/>
                      <w:color w:val="auto"/>
                      <w:lang w:val="en-US" w:eastAsia="zh-CN"/>
                    </w:rPr>
                  </w:pPr>
                  <w:r>
                    <w:rPr>
                      <w:rFonts w:hint="eastAsia"/>
                      <w:color w:val="auto"/>
                      <w:lang w:val="en-US" w:eastAsia="zh-CN"/>
                    </w:rPr>
                    <w:t>2</w:t>
                  </w:r>
                </w:p>
              </w:tc>
              <w:tc>
                <w:tcPr>
                  <w:tcW w:w="4388" w:type="dxa"/>
                  <w:vAlign w:val="center"/>
                </w:tcPr>
                <w:p>
                  <w:pPr>
                    <w:pStyle w:val="94"/>
                    <w:bidi w:val="0"/>
                    <w:jc w:val="left"/>
                    <w:rPr>
                      <w:rFonts w:hint="eastAsia"/>
                      <w:color w:val="auto"/>
                      <w:lang w:eastAsia="zh-CN"/>
                    </w:rPr>
                  </w:pPr>
                  <w:r>
                    <w:rPr>
                      <w:rFonts w:hint="eastAsia"/>
                      <w:color w:val="auto"/>
                      <w:lang w:eastAsia="zh-CN"/>
                    </w:rPr>
                    <w:t>强化企业清洁生产改造，推进节水型企业、节水型工业园区建设，提高资源集约节约利用水平。积极推进地下水超采治理，逐步压减地下水超采量，实现地下水采补平衡。</w:t>
                  </w:r>
                </w:p>
              </w:tc>
              <w:tc>
                <w:tcPr>
                  <w:tcW w:w="1689" w:type="dxa"/>
                  <w:vAlign w:val="center"/>
                </w:tcPr>
                <w:p>
                  <w:pPr>
                    <w:pStyle w:val="94"/>
                    <w:bidi w:val="0"/>
                    <w:jc w:val="left"/>
                    <w:rPr>
                      <w:rFonts w:hint="eastAsia"/>
                      <w:color w:val="auto"/>
                      <w:lang w:eastAsia="zh-CN"/>
                    </w:rPr>
                  </w:pPr>
                  <w:r>
                    <w:rPr>
                      <w:rFonts w:hint="eastAsia"/>
                      <w:color w:val="auto"/>
                      <w:lang w:eastAsia="zh-CN"/>
                    </w:rPr>
                    <w:t>本项目消耗新鲜水量较少；本项目不涉及地下水开采。</w:t>
                  </w:r>
                </w:p>
              </w:tc>
              <w:tc>
                <w:tcPr>
                  <w:tcW w:w="877" w:type="dxa"/>
                  <w:vAlign w:val="center"/>
                </w:tcPr>
                <w:p>
                  <w:pPr>
                    <w:pStyle w:val="94"/>
                    <w:bidi w:val="0"/>
                    <w:jc w:val="cente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pStyle w:val="94"/>
                    <w:bidi w:val="0"/>
                    <w:jc w:val="center"/>
                    <w:rPr>
                      <w:rFonts w:hint="default"/>
                      <w:color w:val="auto"/>
                      <w:lang w:val="en-US" w:eastAsia="zh-CN"/>
                    </w:rPr>
                  </w:pPr>
                  <w:r>
                    <w:rPr>
                      <w:rFonts w:hint="eastAsia"/>
                      <w:color w:val="auto"/>
                      <w:lang w:val="en-US" w:eastAsia="zh-CN"/>
                    </w:rPr>
                    <w:t>3</w:t>
                  </w:r>
                </w:p>
              </w:tc>
              <w:tc>
                <w:tcPr>
                  <w:tcW w:w="4388" w:type="dxa"/>
                  <w:vAlign w:val="center"/>
                </w:tcPr>
                <w:p>
                  <w:pPr>
                    <w:pStyle w:val="94"/>
                    <w:bidi w:val="0"/>
                    <w:jc w:val="left"/>
                    <w:rPr>
                      <w:rFonts w:hint="eastAsia"/>
                      <w:color w:val="auto"/>
                      <w:lang w:eastAsia="zh-CN"/>
                    </w:rPr>
                  </w:pPr>
                  <w:r>
                    <w:rPr>
                      <w:rFonts w:hint="eastAsia"/>
                      <w:color w:val="auto"/>
                      <w:lang w:eastAsia="zh-CN"/>
                    </w:rPr>
                    <w:t>强化油（气）资源开发区土壤环境污染综合整治。加强涉重金属行业污染防控与工业废物处理处置。</w:t>
                  </w:r>
                </w:p>
              </w:tc>
              <w:tc>
                <w:tcPr>
                  <w:tcW w:w="1689" w:type="dxa"/>
                  <w:vAlign w:val="center"/>
                </w:tcPr>
                <w:p>
                  <w:pPr>
                    <w:pStyle w:val="94"/>
                    <w:bidi w:val="0"/>
                    <w:jc w:val="left"/>
                    <w:rPr>
                      <w:rFonts w:hint="default"/>
                      <w:color w:val="auto"/>
                      <w:lang w:val="en-US" w:eastAsia="zh-CN"/>
                    </w:rPr>
                  </w:pPr>
                  <w:r>
                    <w:rPr>
                      <w:rFonts w:hint="eastAsia"/>
                      <w:color w:val="auto"/>
                      <w:lang w:val="en-US" w:eastAsia="zh-CN"/>
                    </w:rPr>
                    <w:t>本项目不属于油（气）资源开发区，不属于重金属行业</w:t>
                  </w:r>
                </w:p>
              </w:tc>
              <w:tc>
                <w:tcPr>
                  <w:tcW w:w="877" w:type="dxa"/>
                  <w:vAlign w:val="center"/>
                </w:tcPr>
                <w:p>
                  <w:pPr>
                    <w:pStyle w:val="94"/>
                    <w:bidi w:val="0"/>
                    <w:jc w:val="cente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19" w:type="dxa"/>
                  <w:vAlign w:val="center"/>
                </w:tcPr>
                <w:p>
                  <w:pPr>
                    <w:pStyle w:val="94"/>
                    <w:bidi w:val="0"/>
                    <w:jc w:val="center"/>
                    <w:rPr>
                      <w:rFonts w:hint="default"/>
                      <w:color w:val="auto"/>
                      <w:lang w:val="en-US" w:eastAsia="zh-CN"/>
                    </w:rPr>
                  </w:pPr>
                  <w:r>
                    <w:rPr>
                      <w:rFonts w:hint="eastAsia"/>
                      <w:color w:val="auto"/>
                      <w:lang w:val="en-US" w:eastAsia="zh-CN"/>
                    </w:rPr>
                    <w:t>4</w:t>
                  </w:r>
                </w:p>
              </w:tc>
              <w:tc>
                <w:tcPr>
                  <w:tcW w:w="4388" w:type="dxa"/>
                  <w:vAlign w:val="center"/>
                </w:tcPr>
                <w:p>
                  <w:pPr>
                    <w:pStyle w:val="94"/>
                    <w:bidi w:val="0"/>
                    <w:jc w:val="left"/>
                    <w:rPr>
                      <w:rFonts w:hint="eastAsia"/>
                      <w:color w:val="auto"/>
                      <w:lang w:eastAsia="zh-CN"/>
                    </w:rPr>
                  </w:pPr>
                  <w:r>
                    <w:rPr>
                      <w:rFonts w:hint="eastAsia"/>
                      <w:color w:val="auto"/>
                      <w:lang w:eastAsia="zh-CN"/>
                    </w:rPr>
                    <w:t>煤炭、石油、天然气开发单位应当制定生态保护和恢复治理方案，并予以实施。生态保护和恢复治理方案内容应当向社会公布，接受社会监督。</w:t>
                  </w:r>
                </w:p>
              </w:tc>
              <w:tc>
                <w:tcPr>
                  <w:tcW w:w="1689" w:type="dxa"/>
                  <w:vAlign w:val="center"/>
                </w:tcPr>
                <w:p>
                  <w:pPr>
                    <w:pStyle w:val="94"/>
                    <w:bidi w:val="0"/>
                    <w:jc w:val="left"/>
                    <w:rPr>
                      <w:rFonts w:hint="default"/>
                      <w:color w:val="auto"/>
                      <w:lang w:val="en-US" w:eastAsia="zh-CN"/>
                    </w:rPr>
                  </w:pPr>
                  <w:r>
                    <w:rPr>
                      <w:rFonts w:hint="eastAsia"/>
                      <w:color w:val="auto"/>
                      <w:lang w:val="en-US" w:eastAsia="zh-CN"/>
                    </w:rPr>
                    <w:t>本项目不属于</w:t>
                  </w:r>
                  <w:r>
                    <w:rPr>
                      <w:rFonts w:hint="eastAsia"/>
                      <w:color w:val="auto"/>
                      <w:lang w:eastAsia="zh-CN"/>
                    </w:rPr>
                    <w:t>煤炭、石油、天然气开发单位。</w:t>
                  </w:r>
                </w:p>
              </w:tc>
              <w:tc>
                <w:tcPr>
                  <w:tcW w:w="877" w:type="dxa"/>
                  <w:vAlign w:val="center"/>
                </w:tcPr>
                <w:p>
                  <w:pPr>
                    <w:pStyle w:val="94"/>
                    <w:bidi w:val="0"/>
                    <w:jc w:val="center"/>
                    <w:rPr>
                      <w:rFonts w:hint="eastAsia"/>
                      <w:color w:val="auto"/>
                      <w:lang w:eastAsia="zh-CN"/>
                    </w:rPr>
                  </w:pPr>
                  <w:r>
                    <w:rPr>
                      <w:rFonts w:hint="eastAsia"/>
                      <w:color w:val="auto"/>
                      <w:lang w:val="en-US" w:eastAsia="zh-CN"/>
                    </w:rPr>
                    <w:t>符合</w:t>
                  </w:r>
                </w:p>
              </w:tc>
            </w:tr>
          </w:tbl>
          <w:p>
            <w:pPr>
              <w:autoSpaceDE w:val="0"/>
              <w:autoSpaceDN w:val="0"/>
              <w:adjustRightInd w:val="0"/>
              <w:snapToGrid w:val="0"/>
              <w:spacing w:line="360" w:lineRule="auto"/>
              <w:ind w:firstLine="422" w:firstLineChars="200"/>
              <w:jc w:val="left"/>
              <w:rPr>
                <w:rFonts w:hint="eastAsia"/>
                <w:b/>
                <w:bCs/>
                <w:color w:val="auto"/>
                <w:kern w:val="0"/>
                <w:szCs w:val="21"/>
                <w:lang w:eastAsia="zh-CN"/>
              </w:rPr>
            </w:pPr>
            <w:r>
              <w:rPr>
                <w:rFonts w:hint="eastAsia"/>
                <w:b/>
                <w:bCs/>
                <w:color w:val="auto"/>
                <w:kern w:val="0"/>
                <w:szCs w:val="21"/>
                <w:lang w:eastAsia="zh-CN"/>
              </w:rPr>
              <w:t>（</w:t>
            </w:r>
            <w:r>
              <w:rPr>
                <w:rFonts w:hint="eastAsia"/>
                <w:b/>
                <w:bCs/>
                <w:color w:val="auto"/>
                <w:kern w:val="0"/>
                <w:szCs w:val="21"/>
                <w:lang w:val="en-US" w:eastAsia="zh-CN"/>
              </w:rPr>
              <w:t>3</w:t>
            </w:r>
            <w:r>
              <w:rPr>
                <w:rFonts w:hint="eastAsia"/>
                <w:b/>
                <w:bCs/>
                <w:color w:val="auto"/>
                <w:kern w:val="0"/>
                <w:szCs w:val="21"/>
                <w:lang w:eastAsia="zh-CN"/>
              </w:rPr>
              <w:t>）昌吉回族自治州管控要求</w:t>
            </w:r>
          </w:p>
          <w:p>
            <w:pPr>
              <w:autoSpaceDE w:val="0"/>
              <w:autoSpaceDN w:val="0"/>
              <w:adjustRightInd w:val="0"/>
              <w:snapToGrid w:val="0"/>
              <w:spacing w:line="360" w:lineRule="auto"/>
              <w:ind w:firstLine="420" w:firstLineChars="200"/>
              <w:jc w:val="left"/>
              <w:rPr>
                <w:rFonts w:hint="eastAsia"/>
                <w:b/>
                <w:bCs/>
                <w:color w:val="auto"/>
                <w:kern w:val="0"/>
                <w:szCs w:val="21"/>
                <w:lang w:eastAsia="zh-CN"/>
              </w:rPr>
            </w:pPr>
            <w:r>
              <w:rPr>
                <w:rFonts w:hint="eastAsia"/>
                <w:b w:val="0"/>
                <w:bCs w:val="0"/>
                <w:color w:val="auto"/>
                <w:kern w:val="0"/>
                <w:szCs w:val="21"/>
                <w:lang w:eastAsia="zh-CN"/>
              </w:rPr>
              <w:t>本项目与《关于&lt;昌吉回族自治州“三线一单”生态环境分区管控方案及生态环境准入清单&gt;的公告》（昌州政办发[2021]41号）中“三线一单”符合性分析见</w:t>
            </w:r>
            <w:r>
              <w:rPr>
                <w:rFonts w:hint="eastAsia"/>
                <w:b w:val="0"/>
                <w:bCs w:val="0"/>
                <w:color w:val="auto"/>
                <w:kern w:val="0"/>
                <w:szCs w:val="21"/>
                <w:lang w:val="en-US" w:eastAsia="zh-CN"/>
              </w:rPr>
              <w:t>下</w:t>
            </w:r>
            <w:r>
              <w:rPr>
                <w:rFonts w:hint="eastAsia"/>
                <w:b w:val="0"/>
                <w:bCs w:val="0"/>
                <w:color w:val="auto"/>
                <w:kern w:val="0"/>
                <w:szCs w:val="21"/>
                <w:lang w:eastAsia="zh-CN"/>
              </w:rPr>
              <w:t>表。</w:t>
            </w:r>
          </w:p>
          <w:p>
            <w:pPr>
              <w:autoSpaceDE w:val="0"/>
              <w:autoSpaceDN w:val="0"/>
              <w:adjustRightInd w:val="0"/>
              <w:snapToGrid w:val="0"/>
              <w:spacing w:line="360" w:lineRule="auto"/>
              <w:jc w:val="center"/>
              <w:rPr>
                <w:rFonts w:hint="default"/>
                <w:b/>
                <w:bCs/>
                <w:color w:val="auto"/>
                <w:kern w:val="0"/>
                <w:sz w:val="18"/>
                <w:szCs w:val="18"/>
                <w:lang w:val="en-US" w:eastAsia="zh-CN"/>
              </w:rPr>
            </w:pPr>
            <w:r>
              <w:rPr>
                <w:rFonts w:hint="eastAsia"/>
                <w:b/>
                <w:bCs/>
                <w:color w:val="auto"/>
                <w:kern w:val="0"/>
                <w:sz w:val="18"/>
                <w:szCs w:val="18"/>
                <w:lang w:val="en-US" w:eastAsia="zh-CN"/>
              </w:rPr>
              <w:t>表1-3  与昌州政办发[2021]41号中“三线一单”符合性分析表</w:t>
            </w:r>
          </w:p>
          <w:tbl>
            <w:tblPr>
              <w:tblStyle w:val="25"/>
              <w:tblW w:w="7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9"/>
              <w:gridCol w:w="822"/>
              <w:gridCol w:w="3302"/>
              <w:gridCol w:w="2309"/>
              <w:gridCol w:w="7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1" w:type="dxa"/>
                  <w:gridSpan w:val="2"/>
                  <w:vAlign w:val="center"/>
                </w:tcPr>
                <w:p>
                  <w:pPr>
                    <w:pStyle w:val="94"/>
                    <w:bidi w:val="0"/>
                    <w:jc w:val="center"/>
                    <w:rPr>
                      <w:rFonts w:hint="eastAsia"/>
                      <w:color w:val="auto"/>
                      <w:lang w:eastAsia="zh-CN"/>
                    </w:rPr>
                  </w:pPr>
                  <w:r>
                    <w:rPr>
                      <w:rFonts w:hint="eastAsia"/>
                      <w:color w:val="auto"/>
                      <w:lang w:val="en-US" w:eastAsia="zh-CN"/>
                    </w:rPr>
                    <w:t>序号</w:t>
                  </w:r>
                </w:p>
              </w:tc>
              <w:tc>
                <w:tcPr>
                  <w:tcW w:w="3302" w:type="dxa"/>
                  <w:vAlign w:val="center"/>
                </w:tcPr>
                <w:p>
                  <w:pPr>
                    <w:pStyle w:val="94"/>
                    <w:bidi w:val="0"/>
                    <w:jc w:val="center"/>
                    <w:rPr>
                      <w:rFonts w:hint="eastAsia"/>
                      <w:color w:val="auto"/>
                      <w:lang w:eastAsia="zh-CN"/>
                    </w:rPr>
                  </w:pPr>
                  <w:r>
                    <w:rPr>
                      <w:rFonts w:hint="eastAsia"/>
                      <w:color w:val="auto"/>
                      <w:lang w:eastAsia="zh-CN"/>
                    </w:rPr>
                    <w:t>昌州政办发[2021]41号要求</w:t>
                  </w:r>
                </w:p>
              </w:tc>
              <w:tc>
                <w:tcPr>
                  <w:tcW w:w="2309" w:type="dxa"/>
                  <w:vAlign w:val="center"/>
                </w:tcPr>
                <w:p>
                  <w:pPr>
                    <w:pStyle w:val="94"/>
                    <w:bidi w:val="0"/>
                    <w:jc w:val="center"/>
                    <w:rPr>
                      <w:rFonts w:hint="default"/>
                      <w:color w:val="auto"/>
                      <w:lang w:val="en-US" w:eastAsia="zh-CN"/>
                    </w:rPr>
                  </w:pPr>
                  <w:r>
                    <w:rPr>
                      <w:rFonts w:hint="eastAsia"/>
                      <w:color w:val="auto"/>
                      <w:lang w:val="en-US" w:eastAsia="zh-CN"/>
                    </w:rPr>
                    <w:t>项目情况</w:t>
                  </w:r>
                </w:p>
              </w:tc>
              <w:tc>
                <w:tcPr>
                  <w:tcW w:w="721" w:type="dxa"/>
                  <w:vAlign w:val="center"/>
                </w:tcPr>
                <w:p>
                  <w:pPr>
                    <w:pStyle w:val="94"/>
                    <w:bidi w:val="0"/>
                    <w:jc w:val="center"/>
                    <w:rPr>
                      <w:rFonts w:hint="default"/>
                      <w:color w:val="auto"/>
                      <w:lang w:val="en-US" w:eastAsia="zh-CN"/>
                    </w:rPr>
                  </w:pPr>
                  <w:r>
                    <w:rPr>
                      <w:rFonts w:hint="eastAsia"/>
                      <w:color w:val="auto"/>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Align w:val="center"/>
                </w:tcPr>
                <w:p>
                  <w:pPr>
                    <w:pStyle w:val="94"/>
                    <w:bidi w:val="0"/>
                    <w:jc w:val="center"/>
                    <w:rPr>
                      <w:rFonts w:hint="default"/>
                      <w:color w:val="auto"/>
                      <w:lang w:val="en-US" w:eastAsia="zh-CN"/>
                    </w:rPr>
                  </w:pPr>
                  <w:r>
                    <w:rPr>
                      <w:rFonts w:hint="eastAsia"/>
                      <w:color w:val="auto"/>
                      <w:lang w:val="en-US" w:eastAsia="zh-CN"/>
                    </w:rPr>
                    <w:t>1</w:t>
                  </w:r>
                </w:p>
              </w:tc>
              <w:tc>
                <w:tcPr>
                  <w:tcW w:w="822" w:type="dxa"/>
                  <w:vAlign w:val="center"/>
                </w:tcPr>
                <w:p>
                  <w:pPr>
                    <w:pStyle w:val="94"/>
                    <w:bidi w:val="0"/>
                    <w:jc w:val="center"/>
                    <w:rPr>
                      <w:rFonts w:hint="eastAsia"/>
                      <w:color w:val="auto"/>
                      <w:lang w:eastAsia="zh-CN"/>
                    </w:rPr>
                  </w:pPr>
                  <w:r>
                    <w:rPr>
                      <w:rFonts w:hint="eastAsia"/>
                      <w:color w:val="auto"/>
                      <w:lang w:eastAsia="zh-CN"/>
                    </w:rPr>
                    <w:t>生态保护红线</w:t>
                  </w:r>
                </w:p>
              </w:tc>
              <w:tc>
                <w:tcPr>
                  <w:tcW w:w="3302" w:type="dxa"/>
                  <w:vAlign w:val="center"/>
                </w:tcPr>
                <w:p>
                  <w:pPr>
                    <w:pStyle w:val="94"/>
                    <w:bidi w:val="0"/>
                    <w:jc w:val="left"/>
                    <w:rPr>
                      <w:rFonts w:hint="eastAsia"/>
                      <w:color w:val="auto"/>
                      <w:lang w:eastAsia="zh-CN"/>
                    </w:rPr>
                  </w:pPr>
                  <w:r>
                    <w:rPr>
                      <w:rFonts w:hint="eastAsia"/>
                      <w:color w:val="auto"/>
                      <w:lang w:eastAsia="zh-CN"/>
                    </w:rPr>
                    <w:t>生态功能不降低、面积不减少、性质不改变”的基本要求，生态空间得到优化和保护，生</w:t>
                  </w:r>
                </w:p>
                <w:p>
                  <w:pPr>
                    <w:pStyle w:val="94"/>
                    <w:bidi w:val="0"/>
                    <w:jc w:val="left"/>
                    <w:rPr>
                      <w:rFonts w:hint="eastAsia"/>
                      <w:color w:val="auto"/>
                      <w:lang w:eastAsia="zh-CN"/>
                    </w:rPr>
                  </w:pPr>
                  <w:r>
                    <w:rPr>
                      <w:rFonts w:hint="eastAsia"/>
                      <w:color w:val="auto"/>
                      <w:lang w:eastAsia="zh-CN"/>
                    </w:rPr>
                    <w:t>态保护红线得到严格管控。生态功能保持稳定，生物多样性水平稳步提升，生态空间保护体系基本建立</w:t>
                  </w:r>
                </w:p>
              </w:tc>
              <w:tc>
                <w:tcPr>
                  <w:tcW w:w="2309" w:type="dxa"/>
                  <w:vAlign w:val="center"/>
                </w:tcPr>
                <w:p>
                  <w:pPr>
                    <w:pStyle w:val="94"/>
                    <w:bidi w:val="0"/>
                    <w:jc w:val="left"/>
                    <w:rPr>
                      <w:rFonts w:hint="eastAsia"/>
                      <w:color w:val="auto"/>
                      <w:lang w:eastAsia="zh-CN"/>
                    </w:rPr>
                  </w:pPr>
                  <w:r>
                    <w:rPr>
                      <w:rFonts w:hint="eastAsia"/>
                      <w:color w:val="auto"/>
                      <w:lang w:eastAsia="zh-CN"/>
                    </w:rPr>
                    <w:t>本项目周边无自然保护区、饮用水源保护区等生态保护目标，不占用生态红线，总体符合新疆生态保护红线规划要求。</w:t>
                  </w:r>
                </w:p>
              </w:tc>
              <w:tc>
                <w:tcPr>
                  <w:tcW w:w="721" w:type="dxa"/>
                  <w:vAlign w:val="center"/>
                </w:tcPr>
                <w:p>
                  <w:pPr>
                    <w:pStyle w:val="94"/>
                    <w:bidi w:val="0"/>
                    <w:jc w:val="cente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Align w:val="center"/>
                </w:tcPr>
                <w:p>
                  <w:pPr>
                    <w:pStyle w:val="94"/>
                    <w:bidi w:val="0"/>
                    <w:jc w:val="center"/>
                    <w:rPr>
                      <w:rFonts w:hint="default"/>
                      <w:color w:val="auto"/>
                      <w:lang w:val="en-US" w:eastAsia="zh-CN"/>
                    </w:rPr>
                  </w:pPr>
                  <w:r>
                    <w:rPr>
                      <w:rFonts w:hint="eastAsia"/>
                      <w:color w:val="auto"/>
                      <w:lang w:val="en-US" w:eastAsia="zh-CN"/>
                    </w:rPr>
                    <w:t>2</w:t>
                  </w:r>
                </w:p>
              </w:tc>
              <w:tc>
                <w:tcPr>
                  <w:tcW w:w="822" w:type="dxa"/>
                  <w:vAlign w:val="center"/>
                </w:tcPr>
                <w:p>
                  <w:pPr>
                    <w:pStyle w:val="94"/>
                    <w:bidi w:val="0"/>
                    <w:jc w:val="center"/>
                    <w:rPr>
                      <w:rFonts w:hint="default"/>
                      <w:color w:val="auto"/>
                      <w:lang w:val="en-US" w:eastAsia="zh-CN"/>
                    </w:rPr>
                  </w:pPr>
                  <w:r>
                    <w:rPr>
                      <w:rFonts w:hint="eastAsia"/>
                      <w:color w:val="auto"/>
                      <w:lang w:val="en-US" w:eastAsia="zh-CN"/>
                    </w:rPr>
                    <w:t>资源利用上线</w:t>
                  </w:r>
                </w:p>
              </w:tc>
              <w:tc>
                <w:tcPr>
                  <w:tcW w:w="3302" w:type="dxa"/>
                  <w:vAlign w:val="center"/>
                </w:tcPr>
                <w:p>
                  <w:pPr>
                    <w:pStyle w:val="94"/>
                    <w:bidi w:val="0"/>
                    <w:jc w:val="left"/>
                    <w:rPr>
                      <w:rFonts w:hint="eastAsia"/>
                      <w:color w:val="auto"/>
                      <w:lang w:eastAsia="zh-CN"/>
                    </w:rPr>
                  </w:pPr>
                  <w:r>
                    <w:rPr>
                      <w:rFonts w:hint="eastAsia"/>
                      <w:color w:val="auto"/>
                      <w:lang w:eastAsia="zh-CN"/>
                    </w:rPr>
                    <w:t>强化节约集约利用，持续提升资源能源利用效率，水资源、土地资源、能源消耗等达到自治区、自治州下达的总量和强度控制目标。加快区域低碳发展，积极推动昌吉市国家级低碳试点城市发挥低碳试点示范和引领作用。</w:t>
                  </w:r>
                </w:p>
              </w:tc>
              <w:tc>
                <w:tcPr>
                  <w:tcW w:w="2309" w:type="dxa"/>
                  <w:vAlign w:val="center"/>
                </w:tcPr>
                <w:p>
                  <w:pPr>
                    <w:pStyle w:val="94"/>
                    <w:bidi w:val="0"/>
                    <w:jc w:val="left"/>
                    <w:rPr>
                      <w:rFonts w:hint="eastAsia" w:ascii="Times New Roman" w:hAnsi="Times New Roman" w:eastAsia="宋体" w:cs="Times New Roman"/>
                      <w:color w:val="auto"/>
                      <w:kern w:val="0"/>
                      <w:sz w:val="18"/>
                      <w:szCs w:val="21"/>
                      <w:lang w:val="en-US" w:eastAsia="zh-CN" w:bidi="ar-SA"/>
                    </w:rPr>
                  </w:pPr>
                  <w:r>
                    <w:rPr>
                      <w:rFonts w:hint="eastAsia"/>
                      <w:color w:val="auto"/>
                    </w:rPr>
                    <w:t>本项目水的消耗量相对区域资源利用总量较小，</w:t>
                  </w:r>
                  <w:r>
                    <w:rPr>
                      <w:rFonts w:hint="eastAsia"/>
                      <w:color w:val="auto"/>
                      <w:lang w:val="en-US" w:eastAsia="zh-CN"/>
                    </w:rPr>
                    <w:t>租用现有厂房及场地进行建设，</w:t>
                  </w:r>
                  <w:r>
                    <w:rPr>
                      <w:rFonts w:hint="eastAsia"/>
                      <w:color w:val="auto"/>
                    </w:rPr>
                    <w:t>符合资源利用上线要求。</w:t>
                  </w:r>
                </w:p>
              </w:tc>
              <w:tc>
                <w:tcPr>
                  <w:tcW w:w="721" w:type="dxa"/>
                  <w:vAlign w:val="center"/>
                </w:tcPr>
                <w:p>
                  <w:pPr>
                    <w:pStyle w:val="94"/>
                    <w:bidi w:val="0"/>
                    <w:jc w:val="cente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Align w:val="center"/>
                </w:tcPr>
                <w:p>
                  <w:pPr>
                    <w:pStyle w:val="94"/>
                    <w:bidi w:val="0"/>
                    <w:jc w:val="center"/>
                    <w:rPr>
                      <w:rFonts w:hint="default"/>
                      <w:color w:val="auto"/>
                      <w:lang w:val="en-US" w:eastAsia="zh-CN"/>
                    </w:rPr>
                  </w:pPr>
                  <w:r>
                    <w:rPr>
                      <w:rFonts w:hint="eastAsia"/>
                      <w:color w:val="auto"/>
                      <w:lang w:val="en-US" w:eastAsia="zh-CN"/>
                    </w:rPr>
                    <w:t>3</w:t>
                  </w:r>
                </w:p>
              </w:tc>
              <w:tc>
                <w:tcPr>
                  <w:tcW w:w="822" w:type="dxa"/>
                  <w:vAlign w:val="center"/>
                </w:tcPr>
                <w:p>
                  <w:pPr>
                    <w:pStyle w:val="94"/>
                    <w:bidi w:val="0"/>
                    <w:jc w:val="center"/>
                    <w:rPr>
                      <w:rFonts w:hint="eastAsia"/>
                      <w:color w:val="auto"/>
                      <w:lang w:eastAsia="zh-CN"/>
                    </w:rPr>
                  </w:pPr>
                  <w:r>
                    <w:rPr>
                      <w:rFonts w:hint="eastAsia"/>
                      <w:color w:val="auto"/>
                      <w:lang w:eastAsia="zh-CN"/>
                    </w:rPr>
                    <w:t>环境质量底线</w:t>
                  </w:r>
                </w:p>
              </w:tc>
              <w:tc>
                <w:tcPr>
                  <w:tcW w:w="3302" w:type="dxa"/>
                  <w:vAlign w:val="center"/>
                </w:tcPr>
                <w:p>
                  <w:pPr>
                    <w:pStyle w:val="94"/>
                    <w:bidi w:val="0"/>
                    <w:jc w:val="left"/>
                    <w:rPr>
                      <w:rFonts w:hint="eastAsia"/>
                      <w:color w:val="auto"/>
                      <w:lang w:eastAsia="zh-CN"/>
                    </w:rPr>
                  </w:pPr>
                  <w:r>
                    <w:rPr>
                      <w:rFonts w:hint="eastAsia"/>
                      <w:color w:val="auto"/>
                      <w:lang w:eastAsia="zh-CN"/>
                    </w:rPr>
                    <w:t>全州环境空气质量有所提升，重污染天数持续减少，已达标城市环境空气质量保持稳定，未达标城市环境空气质量持续改善；全州河流、湖库及城镇集中式饮用水水源地水质稳中向好。地下水质量考核点位水质级别保持稳定，地下水污染风险得到有效控制，地下水超采得到严格控制；全州土壤环境质量保持稳定，污染地块安全利用水平稳中有升，土壤环境风险得到进一步管控。</w:t>
                  </w:r>
                </w:p>
              </w:tc>
              <w:tc>
                <w:tcPr>
                  <w:tcW w:w="2309" w:type="dxa"/>
                  <w:vAlign w:val="center"/>
                </w:tcPr>
                <w:p>
                  <w:pPr>
                    <w:pStyle w:val="94"/>
                    <w:bidi w:val="0"/>
                    <w:jc w:val="left"/>
                    <w:rPr>
                      <w:rFonts w:hint="eastAsia" w:ascii="Times New Roman" w:hAnsi="Times New Roman" w:eastAsia="宋体" w:cs="Times New Roman"/>
                      <w:color w:val="auto"/>
                      <w:kern w:val="0"/>
                      <w:sz w:val="18"/>
                      <w:szCs w:val="21"/>
                      <w:lang w:val="en-US" w:eastAsia="zh-CN" w:bidi="ar-SA"/>
                    </w:rPr>
                  </w:pPr>
                  <w:r>
                    <w:rPr>
                      <w:rFonts w:hint="eastAsia"/>
                      <w:color w:val="auto"/>
                    </w:rPr>
                    <w:t>本项目产生的废气、</w:t>
                  </w:r>
                  <w:r>
                    <w:rPr>
                      <w:rFonts w:hint="eastAsia"/>
                      <w:color w:val="auto"/>
                      <w:lang w:val="en-US" w:eastAsia="zh-CN"/>
                    </w:rPr>
                    <w:t>废气、</w:t>
                  </w:r>
                  <w:r>
                    <w:rPr>
                      <w:rFonts w:hint="eastAsia"/>
                      <w:color w:val="auto"/>
                    </w:rPr>
                    <w:t>噪声</w:t>
                  </w:r>
                  <w:r>
                    <w:rPr>
                      <w:rFonts w:hint="eastAsia"/>
                      <w:color w:val="auto"/>
                      <w:lang w:val="en-US" w:eastAsia="zh-CN"/>
                    </w:rPr>
                    <w:t>均</w:t>
                  </w:r>
                  <w:r>
                    <w:rPr>
                      <w:rFonts w:hint="eastAsia"/>
                      <w:color w:val="auto"/>
                    </w:rPr>
                    <w:t>得到妥善处置，项目对区域环境质量的影响较小，项目建设后不会突破环境质量底线。</w:t>
                  </w:r>
                </w:p>
              </w:tc>
              <w:tc>
                <w:tcPr>
                  <w:tcW w:w="721" w:type="dxa"/>
                  <w:vAlign w:val="center"/>
                </w:tcPr>
                <w:p>
                  <w:pPr>
                    <w:pStyle w:val="94"/>
                    <w:bidi w:val="0"/>
                    <w:jc w:val="center"/>
                    <w:rPr>
                      <w:rFonts w:hint="eastAsia"/>
                      <w:color w:val="auto"/>
                      <w:lang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9" w:type="dxa"/>
                  <w:vAlign w:val="center"/>
                </w:tcPr>
                <w:p>
                  <w:pPr>
                    <w:pStyle w:val="94"/>
                    <w:bidi w:val="0"/>
                    <w:jc w:val="center"/>
                    <w:rPr>
                      <w:rFonts w:hint="default"/>
                      <w:color w:val="auto"/>
                      <w:lang w:val="en-US" w:eastAsia="zh-CN"/>
                    </w:rPr>
                  </w:pPr>
                  <w:r>
                    <w:rPr>
                      <w:rFonts w:hint="eastAsia"/>
                      <w:color w:val="auto"/>
                      <w:lang w:val="en-US" w:eastAsia="zh-CN"/>
                    </w:rPr>
                    <w:t>4</w:t>
                  </w:r>
                </w:p>
              </w:tc>
              <w:tc>
                <w:tcPr>
                  <w:tcW w:w="822" w:type="dxa"/>
                  <w:vAlign w:val="center"/>
                </w:tcPr>
                <w:p>
                  <w:pPr>
                    <w:pStyle w:val="94"/>
                    <w:bidi w:val="0"/>
                    <w:jc w:val="center"/>
                    <w:rPr>
                      <w:rFonts w:hint="eastAsia"/>
                      <w:color w:val="auto"/>
                      <w:lang w:eastAsia="zh-CN"/>
                    </w:rPr>
                  </w:pPr>
                  <w:r>
                    <w:rPr>
                      <w:rFonts w:hint="eastAsia"/>
                      <w:color w:val="auto"/>
                      <w:lang w:eastAsia="zh-CN"/>
                    </w:rPr>
                    <w:t>生态环境准入清单</w:t>
                  </w:r>
                </w:p>
              </w:tc>
              <w:tc>
                <w:tcPr>
                  <w:tcW w:w="3302" w:type="dxa"/>
                  <w:vAlign w:val="center"/>
                </w:tcPr>
                <w:p>
                  <w:pPr>
                    <w:pStyle w:val="94"/>
                    <w:bidi w:val="0"/>
                    <w:jc w:val="left"/>
                    <w:rPr>
                      <w:rFonts w:hint="eastAsia"/>
                      <w:color w:val="auto"/>
                      <w:lang w:eastAsia="zh-CN"/>
                    </w:rPr>
                  </w:pPr>
                  <w:r>
                    <w:rPr>
                      <w:rFonts w:hint="eastAsia"/>
                      <w:color w:val="auto"/>
                      <w:lang w:eastAsia="zh-CN"/>
                    </w:rPr>
                    <w:t>以环境管控单元为基础，从空间布局约束、污染物排放管控、环境风险防控和资源利用效率四个方面严格环境准入。</w:t>
                  </w:r>
                </w:p>
                <w:p>
                  <w:pPr>
                    <w:pStyle w:val="94"/>
                    <w:bidi w:val="0"/>
                    <w:jc w:val="left"/>
                    <w:rPr>
                      <w:rFonts w:hint="eastAsia"/>
                      <w:color w:val="auto"/>
                      <w:lang w:eastAsia="zh-CN"/>
                    </w:rPr>
                  </w:pPr>
                  <w:r>
                    <w:rPr>
                      <w:rFonts w:hint="eastAsia"/>
                      <w:color w:val="auto"/>
                      <w:lang w:eastAsia="zh-CN"/>
                    </w:rPr>
                    <w:t>般管控单元主要落实生态环境保护基本要求，推动区域环境质量持续改善。</w:t>
                  </w:r>
                </w:p>
              </w:tc>
              <w:tc>
                <w:tcPr>
                  <w:tcW w:w="2309" w:type="dxa"/>
                  <w:vAlign w:val="center"/>
                </w:tcPr>
                <w:p>
                  <w:pPr>
                    <w:pStyle w:val="94"/>
                    <w:bidi w:val="0"/>
                    <w:jc w:val="left"/>
                    <w:rPr>
                      <w:rFonts w:hint="eastAsia"/>
                      <w:color w:val="auto"/>
                      <w:lang w:eastAsia="zh-CN"/>
                    </w:rPr>
                  </w:pPr>
                  <w:r>
                    <w:rPr>
                      <w:rFonts w:hint="eastAsia"/>
                      <w:color w:val="auto"/>
                      <w:lang w:eastAsia="zh-CN"/>
                    </w:rPr>
                    <w:t>本项目位于玛纳斯县（</w:t>
                  </w:r>
                  <w:r>
                    <w:rPr>
                      <w:rFonts w:hint="eastAsia"/>
                      <w:color w:val="auto"/>
                      <w:lang w:val="en-US" w:eastAsia="zh-CN"/>
                    </w:rPr>
                    <w:t>重点</w:t>
                  </w:r>
                  <w:r>
                    <w:rPr>
                      <w:rFonts w:hint="eastAsia"/>
                      <w:color w:val="auto"/>
                      <w:lang w:eastAsia="zh-CN"/>
                    </w:rPr>
                    <w:t>管控单元）</w:t>
                  </w:r>
                  <w:r>
                    <w:rPr>
                      <w:rFonts w:hint="eastAsia"/>
                      <w:color w:val="auto"/>
                      <w:highlight w:val="none"/>
                      <w:lang w:eastAsia="zh-CN"/>
                    </w:rPr>
                    <w:t>ZH65232420001</w:t>
                  </w:r>
                  <w:r>
                    <w:rPr>
                      <w:rFonts w:hint="eastAsia"/>
                      <w:color w:val="auto"/>
                      <w:lang w:eastAsia="zh-CN"/>
                    </w:rPr>
                    <w:t>，严格落实生态环境保护基本要求，符合生态环境准入要求。</w:t>
                  </w:r>
                </w:p>
              </w:tc>
              <w:tc>
                <w:tcPr>
                  <w:tcW w:w="721" w:type="dxa"/>
                  <w:vAlign w:val="center"/>
                </w:tcPr>
                <w:p>
                  <w:pPr>
                    <w:pStyle w:val="94"/>
                    <w:bidi w:val="0"/>
                    <w:jc w:val="center"/>
                    <w:rPr>
                      <w:rFonts w:hint="default"/>
                      <w:color w:val="auto"/>
                      <w:lang w:val="en-US" w:eastAsia="zh-CN"/>
                    </w:rPr>
                  </w:pPr>
                  <w:r>
                    <w:rPr>
                      <w:rFonts w:hint="eastAsia"/>
                      <w:color w:val="auto"/>
                      <w:lang w:val="en-US" w:eastAsia="zh-CN"/>
                    </w:rPr>
                    <w:t>符合</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422" w:firstLineChars="200"/>
              <w:jc w:val="left"/>
              <w:textAlignment w:val="auto"/>
              <w:rPr>
                <w:rFonts w:hint="eastAsia"/>
                <w:b/>
                <w:bCs/>
                <w:color w:val="auto"/>
                <w:kern w:val="0"/>
                <w:szCs w:val="21"/>
                <w:lang w:eastAsia="zh-CN"/>
              </w:rPr>
            </w:pPr>
            <w:r>
              <w:rPr>
                <w:rFonts w:hint="eastAsia"/>
                <w:b/>
                <w:bCs/>
                <w:color w:val="auto"/>
                <w:kern w:val="0"/>
                <w:szCs w:val="21"/>
                <w:lang w:eastAsia="zh-CN"/>
              </w:rPr>
              <w:t>（</w:t>
            </w:r>
            <w:r>
              <w:rPr>
                <w:rFonts w:hint="eastAsia"/>
                <w:b/>
                <w:bCs/>
                <w:color w:val="auto"/>
                <w:kern w:val="0"/>
                <w:szCs w:val="21"/>
                <w:lang w:val="en-US" w:eastAsia="zh-CN"/>
              </w:rPr>
              <w:t>4</w:t>
            </w:r>
            <w:r>
              <w:rPr>
                <w:rFonts w:hint="eastAsia"/>
                <w:b/>
                <w:bCs/>
                <w:color w:val="auto"/>
                <w:kern w:val="0"/>
                <w:szCs w:val="21"/>
                <w:lang w:eastAsia="zh-CN"/>
              </w:rPr>
              <w:t>）与玛纳斯县环境管控单元生态环境准入清单符合性分析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b w:val="0"/>
                <w:bCs w:val="0"/>
                <w:color w:val="auto"/>
                <w:kern w:val="0"/>
                <w:szCs w:val="21"/>
                <w:lang w:eastAsia="zh-CN"/>
              </w:rPr>
            </w:pPr>
            <w:r>
              <w:rPr>
                <w:rFonts w:hint="eastAsia"/>
                <w:b w:val="0"/>
                <w:bCs w:val="0"/>
                <w:color w:val="auto"/>
                <w:kern w:val="0"/>
                <w:szCs w:val="21"/>
                <w:lang w:eastAsia="zh-CN"/>
              </w:rPr>
              <w:t>根据《关于&lt;昌吉回族自治州“三线一单”生态环境分区管控方案及生态环境准入清单&gt;的公告》（昌州政办发[2021]41号），本项目位于玛纳斯县，本项目与玛纳斯县环境管控单元生态环境准入清单（重点管控单元ZH65232420001）管控要求符合性分析见</w:t>
            </w:r>
            <w:r>
              <w:rPr>
                <w:rFonts w:hint="eastAsia"/>
                <w:b w:val="0"/>
                <w:bCs w:val="0"/>
                <w:color w:val="auto"/>
                <w:kern w:val="0"/>
                <w:szCs w:val="21"/>
                <w:lang w:val="en-US" w:eastAsia="zh-CN"/>
              </w:rPr>
              <w:t>下</w:t>
            </w:r>
            <w:r>
              <w:rPr>
                <w:rFonts w:hint="eastAsia"/>
                <w:b w:val="0"/>
                <w:bCs w:val="0"/>
                <w:color w:val="auto"/>
                <w:kern w:val="0"/>
                <w:szCs w:val="21"/>
                <w:lang w:eastAsia="zh-CN"/>
              </w:rPr>
              <w:t>表。</w:t>
            </w:r>
          </w:p>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bCs/>
                <w:color w:val="auto"/>
                <w:kern w:val="0"/>
                <w:sz w:val="18"/>
                <w:szCs w:val="18"/>
                <w:lang w:val="en-US" w:eastAsia="zh-CN"/>
              </w:rPr>
            </w:pPr>
            <w:r>
              <w:rPr>
                <w:rFonts w:hint="eastAsia"/>
                <w:b/>
                <w:bCs/>
                <w:color w:val="auto"/>
                <w:kern w:val="0"/>
                <w:sz w:val="18"/>
                <w:szCs w:val="18"/>
                <w:lang w:val="en-US" w:eastAsia="zh-CN"/>
              </w:rPr>
              <w:t>表1-4  与玛纳斯县生态环境准入清单符合性分析</w:t>
            </w:r>
          </w:p>
          <w:tbl>
            <w:tblPr>
              <w:tblStyle w:val="25"/>
              <w:tblW w:w="75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8"/>
              <w:gridCol w:w="491"/>
              <w:gridCol w:w="1429"/>
              <w:gridCol w:w="3400"/>
              <w:gridCol w:w="1231"/>
              <w:gridCol w:w="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pPr>
                    <w:pStyle w:val="94"/>
                    <w:bidi w:val="0"/>
                    <w:jc w:val="center"/>
                    <w:rPr>
                      <w:rFonts w:hint="default"/>
                      <w:color w:val="auto"/>
                      <w:lang w:val="en-US" w:eastAsia="zh-CN"/>
                    </w:rPr>
                  </w:pPr>
                  <w:r>
                    <w:rPr>
                      <w:rFonts w:hint="eastAsia"/>
                      <w:color w:val="auto"/>
                      <w:lang w:val="en-US" w:eastAsia="zh-CN"/>
                    </w:rPr>
                    <w:t>序号</w:t>
                  </w:r>
                </w:p>
              </w:tc>
              <w:tc>
                <w:tcPr>
                  <w:tcW w:w="5320" w:type="dxa"/>
                  <w:gridSpan w:val="3"/>
                  <w:vAlign w:val="center"/>
                </w:tcPr>
                <w:p>
                  <w:pPr>
                    <w:pStyle w:val="94"/>
                    <w:bidi w:val="0"/>
                    <w:jc w:val="center"/>
                    <w:rPr>
                      <w:rFonts w:hint="eastAsia"/>
                      <w:color w:val="auto"/>
                      <w:lang w:val="en-US" w:eastAsia="zh-CN"/>
                    </w:rPr>
                  </w:pPr>
                  <w:r>
                    <w:rPr>
                      <w:rFonts w:hint="eastAsia"/>
                      <w:color w:val="auto"/>
                      <w:lang w:val="en-US" w:eastAsia="zh-CN"/>
                    </w:rPr>
                    <w:t>昌州政办发[2021]41号要求</w:t>
                  </w:r>
                </w:p>
              </w:tc>
              <w:tc>
                <w:tcPr>
                  <w:tcW w:w="1231" w:type="dxa"/>
                  <w:vAlign w:val="center"/>
                </w:tcPr>
                <w:p>
                  <w:pPr>
                    <w:pStyle w:val="94"/>
                    <w:bidi w:val="0"/>
                    <w:jc w:val="center"/>
                    <w:rPr>
                      <w:rFonts w:hint="eastAsia" w:ascii="Times New Roman" w:hAnsi="Times New Roman" w:eastAsia="宋体" w:cs="Times New Roman"/>
                      <w:color w:val="auto"/>
                      <w:kern w:val="0"/>
                      <w:sz w:val="18"/>
                      <w:szCs w:val="21"/>
                      <w:lang w:val="en-US" w:eastAsia="zh-CN" w:bidi="ar-SA"/>
                    </w:rPr>
                  </w:pPr>
                  <w:r>
                    <w:rPr>
                      <w:rFonts w:hint="eastAsia"/>
                      <w:color w:val="auto"/>
                      <w:lang w:val="en-US" w:eastAsia="zh-CN"/>
                    </w:rPr>
                    <w:t>项目情况</w:t>
                  </w:r>
                </w:p>
              </w:tc>
              <w:tc>
                <w:tcPr>
                  <w:tcW w:w="624" w:type="dxa"/>
                  <w:vAlign w:val="center"/>
                </w:tcPr>
                <w:p>
                  <w:pPr>
                    <w:pStyle w:val="94"/>
                    <w:bidi w:val="0"/>
                    <w:jc w:val="center"/>
                    <w:rPr>
                      <w:rFonts w:hint="eastAsia" w:ascii="Times New Roman" w:hAnsi="Times New Roman" w:eastAsia="宋体" w:cs="Times New Roman"/>
                      <w:color w:val="auto"/>
                      <w:kern w:val="0"/>
                      <w:sz w:val="18"/>
                      <w:szCs w:val="21"/>
                      <w:lang w:val="en-US" w:eastAsia="zh-CN" w:bidi="ar-SA"/>
                    </w:rPr>
                  </w:pPr>
                  <w:r>
                    <w:rPr>
                      <w:rFonts w:hint="eastAsia"/>
                      <w:color w:val="auto"/>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pPr>
                    <w:pStyle w:val="94"/>
                    <w:bidi w:val="0"/>
                    <w:jc w:val="center"/>
                    <w:rPr>
                      <w:rFonts w:hint="default"/>
                      <w:color w:val="auto"/>
                      <w:lang w:val="en-US" w:eastAsia="zh-CN"/>
                    </w:rPr>
                  </w:pPr>
                  <w:r>
                    <w:rPr>
                      <w:rFonts w:hint="eastAsia"/>
                      <w:color w:val="auto"/>
                      <w:lang w:val="en-US" w:eastAsia="zh-CN"/>
                    </w:rPr>
                    <w:t>1</w:t>
                  </w:r>
                </w:p>
              </w:tc>
              <w:tc>
                <w:tcPr>
                  <w:tcW w:w="491" w:type="dxa"/>
                  <w:vAlign w:val="center"/>
                </w:tcPr>
                <w:p>
                  <w:pPr>
                    <w:pStyle w:val="94"/>
                    <w:bidi w:val="0"/>
                    <w:jc w:val="left"/>
                    <w:rPr>
                      <w:rFonts w:hint="default"/>
                      <w:color w:val="auto"/>
                      <w:lang w:val="en-US" w:eastAsia="zh-CN"/>
                    </w:rPr>
                  </w:pPr>
                  <w:r>
                    <w:rPr>
                      <w:rFonts w:hint="eastAsia"/>
                      <w:color w:val="auto"/>
                      <w:lang w:val="en-US" w:eastAsia="zh-CN"/>
                    </w:rPr>
                    <w:t>空间布局约束</w:t>
                  </w:r>
                </w:p>
              </w:tc>
              <w:tc>
                <w:tcPr>
                  <w:tcW w:w="1429" w:type="dxa"/>
                  <w:vAlign w:val="center"/>
                </w:tcPr>
                <w:p>
                  <w:pPr>
                    <w:pStyle w:val="94"/>
                    <w:bidi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执行自治区总体准入要求中关于重点管控单元空间布局约束的准入要求。</w:t>
                  </w:r>
                </w:p>
              </w:tc>
              <w:tc>
                <w:tcPr>
                  <w:tcW w:w="3400" w:type="dxa"/>
                  <w:vAlign w:val="center"/>
                </w:tcPr>
                <w:p>
                  <w:pPr>
                    <w:pStyle w:val="94"/>
                    <w:bidi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城市建成区原则上不再新建每小时35蒸吨以下燃煤锅炉。禁止在居民住宅区等人口密集区域和机关、医院、学校、幼儿园、养老院等其他需要特殊保护的区域及其周边，新建、改建和扩建易产生恶臭气体的生产项目，或者从事其他产生恶臭气体的生产经营活动。禁止在集中供热管网覆盖地区新建、扩建分散燃煤供热锅炉。</w:t>
                  </w:r>
                </w:p>
              </w:tc>
              <w:tc>
                <w:tcPr>
                  <w:tcW w:w="1231" w:type="dxa"/>
                  <w:vAlign w:val="center"/>
                </w:tcPr>
                <w:p>
                  <w:pPr>
                    <w:pStyle w:val="94"/>
                    <w:bidi w:val="0"/>
                    <w:jc w:val="left"/>
                    <w:rPr>
                      <w:rFonts w:hint="eastAsia"/>
                      <w:color w:val="auto"/>
                      <w:lang w:val="en-US" w:eastAsia="zh-CN"/>
                    </w:rPr>
                  </w:pPr>
                  <w:r>
                    <w:rPr>
                      <w:rFonts w:hint="eastAsia"/>
                      <w:color w:val="auto"/>
                      <w:lang w:val="en-US" w:eastAsia="zh-CN"/>
                    </w:rPr>
                    <w:t>本项目属于纸质蛋托项目，不产生恶臭气体，不使用燃煤锅炉。</w:t>
                  </w:r>
                </w:p>
              </w:tc>
              <w:tc>
                <w:tcPr>
                  <w:tcW w:w="624" w:type="dxa"/>
                  <w:vAlign w:val="center"/>
                </w:tcPr>
                <w:p>
                  <w:pPr>
                    <w:pStyle w:val="94"/>
                    <w:bidi w:val="0"/>
                    <w:jc w:val="center"/>
                    <w:rPr>
                      <w:rFonts w:hint="default"/>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pPr>
                    <w:pStyle w:val="94"/>
                    <w:bidi w:val="0"/>
                    <w:jc w:val="center"/>
                    <w:rPr>
                      <w:rFonts w:hint="default"/>
                      <w:color w:val="auto"/>
                      <w:lang w:val="en-US" w:eastAsia="zh-CN"/>
                    </w:rPr>
                  </w:pPr>
                  <w:r>
                    <w:rPr>
                      <w:rFonts w:hint="eastAsia"/>
                      <w:color w:val="auto"/>
                      <w:lang w:val="en-US" w:eastAsia="zh-CN"/>
                    </w:rPr>
                    <w:t>2</w:t>
                  </w:r>
                </w:p>
              </w:tc>
              <w:tc>
                <w:tcPr>
                  <w:tcW w:w="491" w:type="dxa"/>
                  <w:vAlign w:val="center"/>
                </w:tcPr>
                <w:p>
                  <w:pPr>
                    <w:pStyle w:val="44"/>
                    <w:spacing w:beforeLines="0" w:afterLines="0" w:line="240" w:lineRule="atLeast"/>
                    <w:ind w:left="0" w:leftChars="0" w:firstLine="0" w:firstLineChars="0"/>
                    <w:rPr>
                      <w:rFonts w:hint="eastAsia" w:ascii="Times New Roman" w:hAnsi="Times New Roman" w:eastAsia="宋体" w:cs="Times New Roman"/>
                      <w:color w:val="auto"/>
                      <w:kern w:val="0"/>
                      <w:sz w:val="18"/>
                      <w:szCs w:val="21"/>
                      <w:lang w:val="en-US" w:eastAsia="zh-CN" w:bidi="ar-SA"/>
                    </w:rPr>
                  </w:pPr>
                  <w:r>
                    <w:rPr>
                      <w:rFonts w:hint="eastAsia" w:ascii="Times New Roman" w:hAnsi="Times New Roman" w:eastAsia="宋体" w:cs="Times New Roman"/>
                      <w:color w:val="auto"/>
                      <w:kern w:val="0"/>
                      <w:sz w:val="18"/>
                      <w:szCs w:val="21"/>
                      <w:lang w:val="en-US" w:eastAsia="zh-CN" w:bidi="ar-SA"/>
                    </w:rPr>
                    <w:t>污染物排放管控</w:t>
                  </w:r>
                </w:p>
              </w:tc>
              <w:tc>
                <w:tcPr>
                  <w:tcW w:w="1429" w:type="dxa"/>
                  <w:vAlign w:val="center"/>
                </w:tcPr>
                <w:p>
                  <w:pPr>
                    <w:pStyle w:val="94"/>
                    <w:bidi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执行自治区总体准入要求中关于重点管控单元污染物排放管控的准入要求。</w:t>
                  </w:r>
                </w:p>
              </w:tc>
              <w:tc>
                <w:tcPr>
                  <w:tcW w:w="3400" w:type="dxa"/>
                  <w:vAlign w:val="center"/>
                </w:tcPr>
                <w:p>
                  <w:pPr>
                    <w:pStyle w:val="94"/>
                    <w:bidi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PM</w:t>
                  </w:r>
                  <w:r>
                    <w:rPr>
                      <w:rFonts w:hint="eastAsia" w:ascii="Times New Roman" w:hAnsi="Times New Roman" w:eastAsia="宋体" w:cs="Times New Roman"/>
                      <w:color w:val="auto"/>
                      <w:vertAlign w:val="subscript"/>
                      <w:lang w:val="en-US" w:eastAsia="zh-CN"/>
                    </w:rPr>
                    <w:t>2.5</w:t>
                  </w:r>
                  <w:r>
                    <w:rPr>
                      <w:rFonts w:hint="eastAsia" w:ascii="Times New Roman" w:hAnsi="Times New Roman" w:eastAsia="宋体" w:cs="Times New Roman"/>
                      <w:color w:val="auto"/>
                      <w:lang w:val="en-US" w:eastAsia="zh-CN"/>
                    </w:rPr>
                    <w:t>浓度不达标县市（园区），禁止新（改、扩）建未落实SO</w:t>
                  </w:r>
                  <w:r>
                    <w:rPr>
                      <w:rFonts w:hint="eastAsia" w:ascii="Times New Roman" w:hAnsi="Times New Roman" w:eastAsia="宋体" w:cs="Times New Roman"/>
                      <w:color w:val="auto"/>
                      <w:vertAlign w:val="subscript"/>
                      <w:lang w:val="en-US" w:eastAsia="zh-CN"/>
                    </w:rPr>
                    <w:t>2</w:t>
                  </w:r>
                  <w:r>
                    <w:rPr>
                      <w:rFonts w:hint="eastAsia" w:ascii="Times New Roman" w:hAnsi="Times New Roman" w:eastAsia="宋体" w:cs="Times New Roman"/>
                      <w:color w:val="auto"/>
                      <w:lang w:val="en-US" w:eastAsia="zh-CN"/>
                    </w:rPr>
                    <w:t>、NOx、烟粉尘、挥发性有机物（VOCs）等四项大气污染物总量指标昌吉州区域内倍量替代的项目。城市建成区建筑施工工地做到“六个百分百”（工地周围围挡、物料堆放覆盖、土方开挖湿法作业、路面硬化、出入车辆清洗、渣土车辆密闭运输）。</w:t>
                  </w:r>
                </w:p>
              </w:tc>
              <w:tc>
                <w:tcPr>
                  <w:tcW w:w="1231" w:type="dxa"/>
                  <w:vAlign w:val="center"/>
                </w:tcPr>
                <w:p>
                  <w:pPr>
                    <w:pStyle w:val="94"/>
                    <w:bidi w:val="0"/>
                    <w:jc w:val="left"/>
                    <w:rPr>
                      <w:rFonts w:hint="eastAsia"/>
                      <w:color w:val="auto"/>
                      <w:lang w:val="en-US" w:eastAsia="zh-CN"/>
                    </w:rPr>
                  </w:pPr>
                  <w:r>
                    <w:rPr>
                      <w:rFonts w:hint="eastAsia"/>
                      <w:color w:val="auto"/>
                      <w:lang w:val="en-US" w:eastAsia="zh-CN"/>
                    </w:rPr>
                    <w:t>本项目不在园区内，施工场地采取周围围挡、物料堆放覆盖、洒水降尘等措施控制施工扬尘。</w:t>
                  </w:r>
                </w:p>
              </w:tc>
              <w:tc>
                <w:tcPr>
                  <w:tcW w:w="624" w:type="dxa"/>
                  <w:vAlign w:val="center"/>
                </w:tcPr>
                <w:p>
                  <w:pPr>
                    <w:pStyle w:val="94"/>
                    <w:bidi w:val="0"/>
                    <w:jc w:val="cente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pPr>
                    <w:pStyle w:val="94"/>
                    <w:bidi w:val="0"/>
                    <w:jc w:val="center"/>
                    <w:rPr>
                      <w:rFonts w:hint="default"/>
                      <w:color w:val="auto"/>
                      <w:lang w:val="en-US" w:eastAsia="zh-CN"/>
                    </w:rPr>
                  </w:pPr>
                  <w:r>
                    <w:rPr>
                      <w:rFonts w:hint="eastAsia"/>
                      <w:color w:val="auto"/>
                      <w:lang w:val="en-US" w:eastAsia="zh-CN"/>
                    </w:rPr>
                    <w:t>3</w:t>
                  </w:r>
                </w:p>
              </w:tc>
              <w:tc>
                <w:tcPr>
                  <w:tcW w:w="491" w:type="dxa"/>
                  <w:vAlign w:val="center"/>
                </w:tcPr>
                <w:p>
                  <w:pPr>
                    <w:pStyle w:val="44"/>
                    <w:spacing w:beforeLines="0" w:afterLines="0" w:line="240" w:lineRule="atLeast"/>
                    <w:ind w:left="0" w:leftChars="0" w:firstLine="0" w:firstLineChars="0"/>
                    <w:rPr>
                      <w:rFonts w:hint="eastAsia" w:ascii="Times New Roman" w:hAnsi="Times New Roman" w:eastAsia="宋体" w:cs="Times New Roman"/>
                      <w:color w:val="auto"/>
                      <w:kern w:val="0"/>
                      <w:sz w:val="18"/>
                      <w:szCs w:val="21"/>
                      <w:lang w:val="en-US" w:eastAsia="zh-CN" w:bidi="ar-SA"/>
                    </w:rPr>
                  </w:pPr>
                  <w:r>
                    <w:rPr>
                      <w:rFonts w:hint="eastAsia" w:ascii="Times New Roman" w:hAnsi="Times New Roman" w:eastAsia="宋体" w:cs="Times New Roman"/>
                      <w:color w:val="auto"/>
                      <w:kern w:val="0"/>
                      <w:sz w:val="18"/>
                      <w:szCs w:val="21"/>
                      <w:lang w:val="en-US" w:eastAsia="zh-CN" w:bidi="ar-SA"/>
                    </w:rPr>
                    <w:t>环境风险防控</w:t>
                  </w:r>
                </w:p>
              </w:tc>
              <w:tc>
                <w:tcPr>
                  <w:tcW w:w="1429" w:type="dxa"/>
                  <w:vAlign w:val="center"/>
                </w:tcPr>
                <w:p>
                  <w:pPr>
                    <w:pStyle w:val="94"/>
                    <w:bidi w:val="0"/>
                    <w:jc w:val="left"/>
                    <w:rPr>
                      <w:rFonts w:hint="eastAsia" w:ascii="Times New Roman" w:hAnsi="Times New Roman" w:eastAsia="宋体" w:cs="Times New Roman"/>
                      <w:color w:val="auto"/>
                      <w:kern w:val="0"/>
                      <w:sz w:val="18"/>
                      <w:szCs w:val="21"/>
                      <w:lang w:val="en-US" w:eastAsia="zh-CN" w:bidi="ar-SA"/>
                    </w:rPr>
                  </w:pPr>
                  <w:r>
                    <w:rPr>
                      <w:rFonts w:hint="eastAsia" w:ascii="Times New Roman" w:hAnsi="Times New Roman" w:eastAsia="宋体" w:cs="Times New Roman"/>
                      <w:color w:val="auto"/>
                      <w:kern w:val="0"/>
                      <w:sz w:val="18"/>
                      <w:szCs w:val="21"/>
                      <w:lang w:val="en-US" w:eastAsia="zh-CN" w:bidi="ar-SA"/>
                    </w:rPr>
                    <w:t>执行自治区总体准入要求中关于重点管控单元环境风险防控的准入要求。</w:t>
                  </w:r>
                </w:p>
              </w:tc>
              <w:tc>
                <w:tcPr>
                  <w:tcW w:w="3400" w:type="dxa"/>
                  <w:vAlign w:val="center"/>
                </w:tcPr>
                <w:p>
                  <w:pPr>
                    <w:pStyle w:val="94"/>
                    <w:bidi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加快城市建成区、重点流域的重污染企业和危险化学品企业搬迁改造。</w:t>
                  </w:r>
                </w:p>
              </w:tc>
              <w:tc>
                <w:tcPr>
                  <w:tcW w:w="1231" w:type="dxa"/>
                  <w:vAlign w:val="center"/>
                </w:tcPr>
                <w:p>
                  <w:pPr>
                    <w:pStyle w:val="94"/>
                    <w:bidi w:val="0"/>
                    <w:jc w:val="left"/>
                    <w:rPr>
                      <w:rFonts w:hint="eastAsia"/>
                      <w:color w:val="auto"/>
                      <w:lang w:val="en-US" w:eastAsia="zh-CN"/>
                    </w:rPr>
                  </w:pPr>
                  <w:r>
                    <w:rPr>
                      <w:rFonts w:hint="eastAsia"/>
                      <w:color w:val="auto"/>
                      <w:lang w:val="en-US" w:eastAsia="zh-CN"/>
                    </w:rPr>
                    <w:t>本项目不属于重污染企业和危险化学品企业。</w:t>
                  </w:r>
                </w:p>
              </w:tc>
              <w:tc>
                <w:tcPr>
                  <w:tcW w:w="624" w:type="dxa"/>
                  <w:vAlign w:val="center"/>
                </w:tcPr>
                <w:p>
                  <w:pPr>
                    <w:pStyle w:val="94"/>
                    <w:bidi w:val="0"/>
                    <w:jc w:val="center"/>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98" w:type="dxa"/>
                  <w:vAlign w:val="center"/>
                </w:tcPr>
                <w:p>
                  <w:pPr>
                    <w:pStyle w:val="94"/>
                    <w:bidi w:val="0"/>
                    <w:jc w:val="center"/>
                    <w:rPr>
                      <w:rFonts w:hint="default"/>
                      <w:color w:val="auto"/>
                      <w:lang w:val="en-US" w:eastAsia="zh-CN"/>
                    </w:rPr>
                  </w:pPr>
                  <w:r>
                    <w:rPr>
                      <w:rFonts w:hint="eastAsia"/>
                      <w:color w:val="auto"/>
                      <w:lang w:val="en-US" w:eastAsia="zh-CN"/>
                    </w:rPr>
                    <w:t>4</w:t>
                  </w:r>
                </w:p>
              </w:tc>
              <w:tc>
                <w:tcPr>
                  <w:tcW w:w="491" w:type="dxa"/>
                  <w:vAlign w:val="center"/>
                </w:tcPr>
                <w:p>
                  <w:pPr>
                    <w:pStyle w:val="44"/>
                    <w:spacing w:beforeLines="0" w:afterLines="0" w:line="240" w:lineRule="atLeast"/>
                    <w:ind w:left="0" w:leftChars="0" w:firstLine="0" w:firstLineChars="0"/>
                    <w:rPr>
                      <w:rFonts w:hint="eastAsia" w:ascii="Times New Roman" w:hAnsi="Times New Roman" w:eastAsia="宋体" w:cs="Times New Roman"/>
                      <w:color w:val="auto"/>
                      <w:kern w:val="0"/>
                      <w:sz w:val="18"/>
                      <w:szCs w:val="21"/>
                      <w:lang w:val="en-US" w:eastAsia="zh-CN" w:bidi="ar-SA"/>
                    </w:rPr>
                  </w:pPr>
                  <w:r>
                    <w:rPr>
                      <w:rFonts w:hint="eastAsia" w:ascii="Times New Roman" w:hAnsi="Times New Roman" w:eastAsia="宋体" w:cs="Times New Roman"/>
                      <w:color w:val="auto"/>
                      <w:kern w:val="0"/>
                      <w:sz w:val="18"/>
                      <w:szCs w:val="21"/>
                      <w:lang w:val="en-US" w:eastAsia="zh-CN" w:bidi="ar-SA"/>
                    </w:rPr>
                    <w:t>资源利用效率</w:t>
                  </w:r>
                </w:p>
              </w:tc>
              <w:tc>
                <w:tcPr>
                  <w:tcW w:w="1429" w:type="dxa"/>
                  <w:vAlign w:val="center"/>
                </w:tcPr>
                <w:p>
                  <w:pPr>
                    <w:pStyle w:val="94"/>
                    <w:bidi w:val="0"/>
                    <w:jc w:val="left"/>
                    <w:rPr>
                      <w:rFonts w:hint="eastAsia" w:ascii="Times New Roman" w:hAnsi="Times New Roman" w:eastAsia="宋体" w:cs="Times New Roman"/>
                      <w:color w:val="auto"/>
                      <w:kern w:val="0"/>
                      <w:sz w:val="18"/>
                      <w:szCs w:val="21"/>
                      <w:lang w:val="en-US" w:eastAsia="zh-CN" w:bidi="ar-SA"/>
                    </w:rPr>
                  </w:pPr>
                  <w:r>
                    <w:rPr>
                      <w:rFonts w:hint="eastAsia" w:ascii="Times New Roman" w:hAnsi="Times New Roman" w:eastAsia="宋体" w:cs="Times New Roman"/>
                      <w:color w:val="auto"/>
                      <w:kern w:val="0"/>
                      <w:sz w:val="18"/>
                      <w:szCs w:val="21"/>
                      <w:lang w:val="en-US" w:eastAsia="zh-CN" w:bidi="ar-SA"/>
                    </w:rPr>
                    <w:t>执行自治区总体准入要求中关于重点管控单元资源利用效率的准入要求。</w:t>
                  </w:r>
                </w:p>
              </w:tc>
              <w:tc>
                <w:tcPr>
                  <w:tcW w:w="3400" w:type="dxa"/>
                  <w:vAlign w:val="center"/>
                </w:tcPr>
                <w:p>
                  <w:pPr>
                    <w:pStyle w:val="94"/>
                    <w:bidi w:val="0"/>
                    <w:jc w:val="left"/>
                    <w:rPr>
                      <w:rFonts w:hint="eastAsia" w:ascii="Times New Roman" w:hAnsi="Times New Roman" w:eastAsia="宋体" w:cs="Times New Roman"/>
                      <w:color w:val="auto"/>
                      <w:lang w:val="en-US" w:eastAsia="zh-CN"/>
                    </w:rPr>
                  </w:pPr>
                  <w:r>
                    <w:rPr>
                      <w:rFonts w:hint="eastAsia" w:ascii="Times New Roman" w:hAnsi="Times New Roman" w:eastAsia="宋体" w:cs="Times New Roman"/>
                      <w:color w:val="auto"/>
                      <w:lang w:val="en-US" w:eastAsia="zh-CN"/>
                    </w:rPr>
                    <w:t>禁止销售、燃用原煤、粉煤、各种可燃废物等高污染燃料；禁止新建、扩建燃用高污染燃料的设施，已建设成的，应当在规定的期限内改用清洁能源；严格控制引进高载能项目。</w:t>
                  </w:r>
                </w:p>
              </w:tc>
              <w:tc>
                <w:tcPr>
                  <w:tcW w:w="1231" w:type="dxa"/>
                  <w:vAlign w:val="center"/>
                </w:tcPr>
                <w:p>
                  <w:pPr>
                    <w:pStyle w:val="94"/>
                    <w:bidi w:val="0"/>
                    <w:jc w:val="left"/>
                    <w:rPr>
                      <w:rFonts w:hint="default"/>
                      <w:color w:val="auto"/>
                      <w:lang w:val="en-US" w:eastAsia="zh-CN"/>
                    </w:rPr>
                  </w:pPr>
                  <w:r>
                    <w:rPr>
                      <w:rFonts w:hint="eastAsia"/>
                      <w:color w:val="auto"/>
                      <w:lang w:val="en-US" w:eastAsia="zh-CN"/>
                    </w:rPr>
                    <w:t>本项目属于纸质蛋托项目，</w:t>
                  </w:r>
                  <w:r>
                    <w:rPr>
                      <w:rFonts w:hint="eastAsia"/>
                      <w:color w:val="auto"/>
                      <w:highlight w:val="none"/>
                      <w:lang w:val="en-US" w:eastAsia="zh-CN"/>
                    </w:rPr>
                    <w:t>不属于高污染、高环境风险项目。</w:t>
                  </w:r>
                </w:p>
              </w:tc>
              <w:tc>
                <w:tcPr>
                  <w:tcW w:w="624" w:type="dxa"/>
                  <w:vAlign w:val="center"/>
                </w:tcPr>
                <w:p>
                  <w:pPr>
                    <w:pStyle w:val="94"/>
                    <w:bidi w:val="0"/>
                    <w:jc w:val="center"/>
                    <w:rPr>
                      <w:rFonts w:hint="eastAsia"/>
                      <w:color w:val="auto"/>
                      <w:lang w:val="en-US" w:eastAsia="zh-CN"/>
                    </w:rPr>
                  </w:pPr>
                  <w:r>
                    <w:rPr>
                      <w:rFonts w:hint="eastAsia"/>
                      <w:color w:val="auto"/>
                      <w:lang w:val="en-US" w:eastAsia="zh-CN"/>
                    </w:rPr>
                    <w:t>符合</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b/>
                <w:bCs/>
                <w:color w:val="auto"/>
                <w:kern w:val="0"/>
                <w:szCs w:val="21"/>
                <w:lang w:val="en-US" w:eastAsia="zh-CN"/>
              </w:rPr>
            </w:pPr>
            <w:r>
              <w:rPr>
                <w:rFonts w:hint="eastAsia"/>
                <w:b/>
                <w:bCs/>
                <w:color w:val="auto"/>
                <w:kern w:val="0"/>
                <w:szCs w:val="21"/>
                <w:lang w:val="en-US" w:eastAsia="zh-CN"/>
              </w:rPr>
              <w:t>4、与《新疆生态环境保护“十四五”规划》符合性分析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b w:val="0"/>
                <w:bCs w:val="0"/>
                <w:color w:val="auto"/>
                <w:kern w:val="0"/>
                <w:szCs w:val="21"/>
                <w:lang w:val="en-US" w:eastAsia="zh-CN"/>
              </w:rPr>
            </w:pPr>
            <w:r>
              <w:rPr>
                <w:rFonts w:hint="eastAsia"/>
                <w:b w:val="0"/>
                <w:bCs w:val="0"/>
                <w:color w:val="auto"/>
                <w:kern w:val="0"/>
                <w:szCs w:val="21"/>
                <w:lang w:val="en-US" w:eastAsia="zh-CN"/>
              </w:rPr>
              <w:t>《新疆生态环境保护“十四五”规划》中提出“加大燃煤燃气锅炉整治力度”：</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b w:val="0"/>
                <w:bCs w:val="0"/>
                <w:color w:val="auto"/>
                <w:kern w:val="0"/>
                <w:szCs w:val="21"/>
                <w:lang w:val="en-US" w:eastAsia="zh-CN"/>
              </w:rPr>
            </w:pPr>
            <w:r>
              <w:rPr>
                <w:rFonts w:hint="eastAsia"/>
                <w:b w:val="0"/>
                <w:bCs w:val="0"/>
                <w:color w:val="auto"/>
                <w:kern w:val="0"/>
                <w:szCs w:val="21"/>
                <w:lang w:val="en-US" w:eastAsia="zh-CN"/>
              </w:rPr>
              <w:t>第三章第三节建设清洁低碳能源体系：大力发展清洁能源。进一步壮大清洁能源产业，着力转变能源生产和消费模式，推动化石能源转型升级。加快非化石能源发展，推进风电和太阳能发电基地建设，积极开发分布式太阳能发电和分散式风电，支持可再生能源与工业、建筑、交通、农业、生态等产业和设施协同发展，配套发展储能产业，推进抽水蓄能电站建设，加快新型储能示范推广应用。积极发展可再生能源微电网、局域网，提高可再生能源的推广和消纳能力。</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b w:val="0"/>
                <w:bCs w:val="0"/>
                <w:color w:val="auto"/>
                <w:kern w:val="0"/>
                <w:szCs w:val="21"/>
                <w:lang w:val="en-US" w:eastAsia="zh-CN"/>
              </w:rPr>
            </w:pPr>
            <w:r>
              <w:rPr>
                <w:rFonts w:hint="eastAsia"/>
                <w:b w:val="0"/>
                <w:bCs w:val="0"/>
                <w:color w:val="auto"/>
                <w:kern w:val="0"/>
                <w:szCs w:val="21"/>
                <w:lang w:val="en-US" w:eastAsia="zh-CN"/>
              </w:rPr>
              <w:t>第五章第二节分区施策改善区域大气环境：深入推进重点区域大气污染治理。深入推进“乌—昌—石”“奎—独—乌”和伊宁市及周边区域大气污染治理，加快推进“乌—昌—石”区域城市细颗粒物和臭氧协同防控“一市一策”驻点跟踪研究工作。强化区域大气污染联防联控，合理确定产业布局，推动区域内统一产业准入和排放标准。实施钢铁、水泥、焦化等行业季节性生产调控措施，推进散煤整治、挥发性有机污染物（以下简称“VOCs”）综合治理、钢铁、水泥、焦化和燃煤工业锅炉行业超低排放改造、燃气锅炉低氮燃烧改造、工业园区内轨道运输（大宗货物“公转铁”）、柴油货车治理、锅炉炉窑综合治理等工程项目。全面推行绿色施工，持续推动城市建成区重污染企业搬迁或关闭退出。。</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b w:val="0"/>
                <w:bCs w:val="0"/>
                <w:color w:val="auto"/>
                <w:kern w:val="0"/>
                <w:szCs w:val="21"/>
                <w:lang w:val="en-US" w:eastAsia="zh-CN"/>
              </w:rPr>
            </w:pPr>
            <w:r>
              <w:rPr>
                <w:rFonts w:hint="eastAsia"/>
                <w:b w:val="0"/>
                <w:bCs w:val="0"/>
                <w:color w:val="auto"/>
                <w:kern w:val="0"/>
                <w:szCs w:val="21"/>
                <w:lang w:val="en-US" w:eastAsia="zh-CN"/>
              </w:rPr>
              <w:t>本项目属于纸质蛋托项目，且所处地区不属于城市建成区，热源为天然气烘干炉，不属于禁止或淘汰锅炉吨位，且采取高效治理措施，符合新疆环境保护规划的要求。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default"/>
                <w:b/>
                <w:bCs/>
                <w:color w:val="auto"/>
                <w:kern w:val="0"/>
                <w:szCs w:val="21"/>
                <w:lang w:val="en-US" w:eastAsia="zh-CN"/>
              </w:rPr>
            </w:pPr>
            <w:r>
              <w:rPr>
                <w:rFonts w:hint="eastAsia"/>
                <w:b/>
                <w:bCs/>
                <w:color w:val="auto"/>
                <w:kern w:val="0"/>
                <w:szCs w:val="21"/>
                <w:lang w:val="en-US" w:eastAsia="zh-CN"/>
              </w:rPr>
              <w:t>5、与《昌吉回族自治州生态环境保护与建设“十四五”规划》符合性分析</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b w:val="0"/>
                <w:bCs w:val="0"/>
                <w:color w:val="auto"/>
                <w:kern w:val="0"/>
                <w:szCs w:val="21"/>
                <w:lang w:val="en-US" w:eastAsia="zh-CN"/>
              </w:rPr>
            </w:pPr>
            <w:r>
              <w:rPr>
                <w:rFonts w:hint="eastAsia"/>
                <w:b w:val="0"/>
                <w:bCs w:val="0"/>
                <w:color w:val="auto"/>
                <w:kern w:val="0"/>
                <w:szCs w:val="21"/>
                <w:lang w:val="en-US" w:eastAsia="zh-CN"/>
              </w:rPr>
              <w:t>根据《昌吉回族自治州生态环境保护与建设“十四五”规划》的相关要求：①推进重点行业污染治理升级改造。各县市、园区电解铝、焦化、碳素等重点行业及“乌-昌-石”区域所有行业均实施特别排放限值。至2025 年，全州钢铁、铸造等行业全面实现超低排放运行。推进铸造、砖瓦、矿物棉、独立轧钢、炭素、化工、煤炭洗选、包装印刷、家具、人造板、橡胶制品、塑料制品等企业集群升级改造。推进涉气工业源全过程深度治理，完成钢铁、建材、有色、火电、焦化、铸造、水泥、炭素、矿山开采等重点行业及燃煤锅炉等物料（含废渣）运输、装卸、储存、转移和工艺过程等无组织排放深度治理，加强煤矿、化工、电力、焦化、水泥等工业企业物料封闭化管理。持续推进工业源全面达标排放。②加强工业节水。严格控制高污染、高耗水行业发展，构建节能节水式经济发展模式。工业集聚区进行产业布局时，优先采取资源互补的方式，实现园区内的水资源循环利用。推动实施工业污染源全面达标排放。</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420" w:firstLineChars="200"/>
              <w:jc w:val="left"/>
              <w:textAlignment w:val="auto"/>
              <w:rPr>
                <w:rFonts w:hint="eastAsia"/>
                <w:b w:val="0"/>
                <w:bCs w:val="0"/>
                <w:color w:val="auto"/>
                <w:kern w:val="0"/>
                <w:szCs w:val="21"/>
                <w:lang w:val="en-US" w:eastAsia="zh-CN"/>
              </w:rPr>
            </w:pPr>
            <w:r>
              <w:rPr>
                <w:rFonts w:hint="eastAsia"/>
                <w:b w:val="0"/>
                <w:bCs w:val="0"/>
                <w:color w:val="auto"/>
                <w:kern w:val="0"/>
                <w:szCs w:val="21"/>
                <w:lang w:val="en-US" w:eastAsia="zh-CN"/>
              </w:rPr>
              <w:t>本项目属于纸质蛋托项目，不涉及燃煤锅炉，不属于“三高”项目，项目用水主要为职工人员生活用水及少量的生产用水，项目的建设符合节水式经济发展模式。因此项目建设符合《昌吉回族自治州生态环境保护与建设“十四五”规划》的相关要求。</w:t>
            </w:r>
          </w:p>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default"/>
                <w:b/>
                <w:bCs/>
                <w:color w:val="auto"/>
                <w:kern w:val="0"/>
                <w:szCs w:val="21"/>
                <w:lang w:val="en-US" w:eastAsia="zh-CN"/>
              </w:rPr>
            </w:pPr>
            <w:r>
              <w:rPr>
                <w:rFonts w:hint="eastAsia"/>
                <w:b/>
                <w:bCs/>
                <w:color w:val="auto"/>
                <w:kern w:val="0"/>
                <w:szCs w:val="21"/>
                <w:lang w:val="en-US" w:eastAsia="zh-CN"/>
              </w:rPr>
              <w:t>6、与《新疆维吾尔自治区大气污染防治条例》符合性分析</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Times New Roman" w:hAnsi="Times New Roman" w:eastAsia="宋体" w:cs="Times New Roman"/>
                <w:b/>
                <w:bCs/>
                <w:color w:val="auto"/>
                <w:sz w:val="18"/>
                <w:szCs w:val="18"/>
                <w:highlight w:val="none"/>
                <w:lang w:val="en-US" w:eastAsia="zh-CN"/>
              </w:rPr>
            </w:pPr>
            <w:r>
              <w:rPr>
                <w:rFonts w:hint="eastAsia" w:ascii="Times New Roman" w:hAnsi="Times New Roman" w:eastAsia="宋体" w:cs="Times New Roman"/>
                <w:b/>
                <w:bCs/>
                <w:color w:val="auto"/>
                <w:sz w:val="18"/>
                <w:szCs w:val="18"/>
                <w:highlight w:val="none"/>
                <w:lang w:val="en-US" w:eastAsia="zh-CN"/>
              </w:rPr>
              <w:t>表1-</w:t>
            </w:r>
            <w:r>
              <w:rPr>
                <w:rFonts w:hint="eastAsia" w:cs="Times New Roman"/>
                <w:b/>
                <w:bCs/>
                <w:color w:val="auto"/>
                <w:sz w:val="18"/>
                <w:szCs w:val="18"/>
                <w:highlight w:val="none"/>
                <w:lang w:val="en-US" w:eastAsia="zh-CN"/>
              </w:rPr>
              <w:t>5</w:t>
            </w:r>
            <w:r>
              <w:rPr>
                <w:rFonts w:hint="eastAsia" w:ascii="Times New Roman" w:hAnsi="Times New Roman" w:eastAsia="宋体" w:cs="Times New Roman"/>
                <w:b/>
                <w:bCs/>
                <w:color w:val="auto"/>
                <w:sz w:val="18"/>
                <w:szCs w:val="18"/>
                <w:highlight w:val="none"/>
                <w:lang w:val="en-US" w:eastAsia="zh-CN"/>
              </w:rPr>
              <w:t xml:space="preserve">  与《新疆维吾尔自治区大气污染防治条例》符合性分析</w:t>
            </w:r>
          </w:p>
          <w:tbl>
            <w:tblPr>
              <w:tblStyle w:val="24"/>
              <w:tblW w:w="0" w:type="auto"/>
              <w:jc w:val="center"/>
              <w:tblBorders>
                <w:top w:val="single" w:color="auto" w:sz="4" w:space="0"/>
                <w:left w:val="single" w:color="auto" w:sz="4" w:space="0"/>
                <w:bottom w:val="single" w:color="auto" w:sz="6" w:space="0"/>
                <w:right w:val="single" w:color="auto" w:sz="4" w:space="0"/>
                <w:insideH w:val="single" w:color="auto" w:sz="6" w:space="0"/>
                <w:insideV w:val="single" w:color="auto" w:sz="4" w:space="0"/>
              </w:tblBorders>
              <w:tblLayout w:type="fixed"/>
              <w:tblCellMar>
                <w:top w:w="0" w:type="dxa"/>
                <w:left w:w="108" w:type="dxa"/>
                <w:bottom w:w="0" w:type="dxa"/>
                <w:right w:w="108" w:type="dxa"/>
              </w:tblCellMar>
            </w:tblPr>
            <w:tblGrid>
              <w:gridCol w:w="407"/>
              <w:gridCol w:w="4615"/>
              <w:gridCol w:w="1565"/>
              <w:gridCol w:w="953"/>
            </w:tblGrid>
            <w:tr>
              <w:tblPrEx>
                <w:tblBorders>
                  <w:top w:val="single" w:color="auto" w:sz="4" w:space="0"/>
                  <w:left w:val="single" w:color="auto" w:sz="4" w:space="0"/>
                  <w:bottom w:val="single" w:color="auto" w:sz="6"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340" w:hRule="atLeast"/>
                <w:jc w:val="center"/>
              </w:trPr>
              <w:tc>
                <w:tcPr>
                  <w:tcW w:w="407" w:type="dxa"/>
                  <w:tcBorders>
                    <w:tl2br w:val="nil"/>
                    <w:tr2bl w:val="nil"/>
                  </w:tcBorders>
                  <w:noWrap w:val="0"/>
                  <w:tcMar>
                    <w:top w:w="0" w:type="dxa"/>
                    <w:left w:w="0" w:type="dxa"/>
                    <w:bottom w:w="0" w:type="dxa"/>
                    <w:right w:w="0" w:type="dxa"/>
                  </w:tcMar>
                  <w:vAlign w:val="center"/>
                </w:tcPr>
                <w:p>
                  <w:pPr>
                    <w:pStyle w:val="94"/>
                    <w:bidi w:val="0"/>
                    <w:rPr>
                      <w:rFonts w:hint="default"/>
                      <w:color w:val="auto"/>
                    </w:rPr>
                  </w:pPr>
                  <w:r>
                    <w:rPr>
                      <w:rFonts w:hint="default"/>
                      <w:color w:val="auto"/>
                    </w:rPr>
                    <w:t>序号</w:t>
                  </w:r>
                </w:p>
              </w:tc>
              <w:tc>
                <w:tcPr>
                  <w:tcW w:w="4615" w:type="dxa"/>
                  <w:tcBorders>
                    <w:tl2br w:val="nil"/>
                    <w:tr2bl w:val="nil"/>
                  </w:tcBorders>
                  <w:noWrap w:val="0"/>
                  <w:tcMar>
                    <w:top w:w="0" w:type="dxa"/>
                    <w:left w:w="0" w:type="dxa"/>
                    <w:bottom w:w="0" w:type="dxa"/>
                    <w:right w:w="0" w:type="dxa"/>
                  </w:tcMar>
                  <w:vAlign w:val="center"/>
                </w:tcPr>
                <w:p>
                  <w:pPr>
                    <w:pStyle w:val="94"/>
                    <w:bidi w:val="0"/>
                    <w:rPr>
                      <w:rFonts w:hint="default"/>
                      <w:color w:val="auto"/>
                    </w:rPr>
                  </w:pPr>
                  <w:r>
                    <w:rPr>
                      <w:rFonts w:hint="default"/>
                      <w:color w:val="auto"/>
                    </w:rPr>
                    <w:t>相关规定</w:t>
                  </w:r>
                </w:p>
              </w:tc>
              <w:tc>
                <w:tcPr>
                  <w:tcW w:w="1565" w:type="dxa"/>
                  <w:tcBorders>
                    <w:tl2br w:val="nil"/>
                    <w:tr2bl w:val="nil"/>
                  </w:tcBorders>
                  <w:noWrap w:val="0"/>
                  <w:tcMar>
                    <w:top w:w="0" w:type="dxa"/>
                    <w:left w:w="0" w:type="dxa"/>
                    <w:bottom w:w="0" w:type="dxa"/>
                    <w:right w:w="0" w:type="dxa"/>
                  </w:tcMar>
                  <w:vAlign w:val="center"/>
                </w:tcPr>
                <w:p>
                  <w:pPr>
                    <w:pStyle w:val="94"/>
                    <w:bidi w:val="0"/>
                    <w:rPr>
                      <w:rFonts w:hint="eastAsia" w:eastAsia="宋体"/>
                      <w:color w:val="auto"/>
                      <w:lang w:eastAsia="zh-CN"/>
                    </w:rPr>
                  </w:pPr>
                  <w:r>
                    <w:rPr>
                      <w:rFonts w:hint="default"/>
                      <w:color w:val="auto"/>
                    </w:rPr>
                    <w:t>本</w:t>
                  </w:r>
                  <w:r>
                    <w:rPr>
                      <w:rFonts w:hint="eastAsia"/>
                      <w:color w:val="auto"/>
                      <w:lang w:val="en-US" w:eastAsia="zh-CN"/>
                    </w:rPr>
                    <w:t>项目</w:t>
                  </w:r>
                </w:p>
              </w:tc>
              <w:tc>
                <w:tcPr>
                  <w:tcW w:w="953" w:type="dxa"/>
                  <w:tcBorders>
                    <w:tl2br w:val="nil"/>
                    <w:tr2bl w:val="nil"/>
                  </w:tcBorders>
                  <w:noWrap w:val="0"/>
                  <w:tcMar>
                    <w:top w:w="0" w:type="dxa"/>
                    <w:left w:w="0" w:type="dxa"/>
                    <w:bottom w:w="0" w:type="dxa"/>
                    <w:right w:w="0" w:type="dxa"/>
                  </w:tcMar>
                  <w:vAlign w:val="center"/>
                </w:tcPr>
                <w:p>
                  <w:pPr>
                    <w:pStyle w:val="94"/>
                    <w:bidi w:val="0"/>
                    <w:rPr>
                      <w:rFonts w:hint="default"/>
                      <w:color w:val="auto"/>
                    </w:rPr>
                  </w:pPr>
                  <w:r>
                    <w:rPr>
                      <w:rFonts w:hint="default"/>
                      <w:color w:val="auto"/>
                    </w:rPr>
                    <w:t>符合性</w:t>
                  </w:r>
                </w:p>
              </w:tc>
            </w:tr>
            <w:tr>
              <w:tblPrEx>
                <w:tblBorders>
                  <w:top w:val="single" w:color="auto" w:sz="4" w:space="0"/>
                  <w:left w:val="single" w:color="auto" w:sz="4" w:space="0"/>
                  <w:bottom w:val="single" w:color="auto" w:sz="6"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765" w:hRule="atLeast"/>
                <w:jc w:val="center"/>
              </w:trPr>
              <w:tc>
                <w:tcPr>
                  <w:tcW w:w="407" w:type="dxa"/>
                  <w:tcBorders>
                    <w:tl2br w:val="nil"/>
                    <w:tr2bl w:val="nil"/>
                  </w:tcBorders>
                  <w:noWrap w:val="0"/>
                  <w:tcMar>
                    <w:top w:w="0" w:type="dxa"/>
                    <w:left w:w="0" w:type="dxa"/>
                    <w:bottom w:w="0" w:type="dxa"/>
                    <w:right w:w="0" w:type="dxa"/>
                  </w:tcMar>
                  <w:vAlign w:val="center"/>
                </w:tcPr>
                <w:p>
                  <w:pPr>
                    <w:pStyle w:val="94"/>
                    <w:bidi w:val="0"/>
                    <w:rPr>
                      <w:rFonts w:hint="default"/>
                      <w:color w:val="auto"/>
                    </w:rPr>
                  </w:pPr>
                  <w:r>
                    <w:rPr>
                      <w:rFonts w:hint="default"/>
                      <w:color w:val="auto"/>
                    </w:rPr>
                    <w:t>1</w:t>
                  </w:r>
                </w:p>
              </w:tc>
              <w:tc>
                <w:tcPr>
                  <w:tcW w:w="4615" w:type="dxa"/>
                  <w:tcBorders>
                    <w:tl2br w:val="nil"/>
                    <w:tr2bl w:val="nil"/>
                  </w:tcBorders>
                  <w:noWrap w:val="0"/>
                  <w:tcMar>
                    <w:top w:w="0" w:type="dxa"/>
                    <w:left w:w="0" w:type="dxa"/>
                    <w:bottom w:w="0" w:type="dxa"/>
                    <w:right w:w="0" w:type="dxa"/>
                  </w:tcMar>
                  <w:vAlign w:val="center"/>
                </w:tcPr>
                <w:p>
                  <w:pPr>
                    <w:pStyle w:val="94"/>
                    <w:bidi w:val="0"/>
                    <w:jc w:val="left"/>
                    <w:rPr>
                      <w:rFonts w:hint="default" w:eastAsia="宋体"/>
                      <w:color w:val="auto"/>
                      <w:lang w:val="en-US" w:eastAsia="zh-CN"/>
                    </w:rPr>
                  </w:pPr>
                  <w:r>
                    <w:rPr>
                      <w:rFonts w:hint="eastAsia"/>
                      <w:color w:val="auto"/>
                      <w:lang w:val="en-US" w:eastAsia="zh-CN"/>
                    </w:rPr>
                    <w:t>第二十七条 禁止在自治区行政区域内引进能（水）耗不符合相关国家标准中准入值要求且污染物排放和环境风险防控不符合国家（地方）标准及有关产业准入条件的高污染（排放）、高能（水）耗、高环境风险的工业项目。</w:t>
                  </w:r>
                </w:p>
              </w:tc>
              <w:tc>
                <w:tcPr>
                  <w:tcW w:w="1565" w:type="dxa"/>
                  <w:tcBorders>
                    <w:tl2br w:val="nil"/>
                    <w:tr2bl w:val="nil"/>
                  </w:tcBorders>
                  <w:noWrap w:val="0"/>
                  <w:tcMar>
                    <w:top w:w="0" w:type="dxa"/>
                    <w:left w:w="0" w:type="dxa"/>
                    <w:bottom w:w="0" w:type="dxa"/>
                    <w:right w:w="0" w:type="dxa"/>
                  </w:tcMar>
                  <w:vAlign w:val="center"/>
                </w:tcPr>
                <w:p>
                  <w:pPr>
                    <w:pStyle w:val="94"/>
                    <w:bidi w:val="0"/>
                    <w:jc w:val="left"/>
                    <w:rPr>
                      <w:rFonts w:hint="default"/>
                      <w:color w:val="auto"/>
                      <w:lang w:val="en-US"/>
                    </w:rPr>
                  </w:pPr>
                  <w:r>
                    <w:rPr>
                      <w:rFonts w:hint="eastAsia"/>
                      <w:color w:val="auto"/>
                      <w:lang w:val="en-US" w:eastAsia="zh-CN"/>
                    </w:rPr>
                    <w:t>本项目属于纸质蛋托项目，不属于高污染、高能耗、高环境风险的工业项目。</w:t>
                  </w:r>
                </w:p>
              </w:tc>
              <w:tc>
                <w:tcPr>
                  <w:tcW w:w="953" w:type="dxa"/>
                  <w:tcBorders>
                    <w:tl2br w:val="nil"/>
                    <w:tr2bl w:val="nil"/>
                  </w:tcBorders>
                  <w:noWrap w:val="0"/>
                  <w:tcMar>
                    <w:top w:w="0" w:type="dxa"/>
                    <w:left w:w="0" w:type="dxa"/>
                    <w:bottom w:w="0" w:type="dxa"/>
                    <w:right w:w="0" w:type="dxa"/>
                  </w:tcMar>
                  <w:vAlign w:val="center"/>
                </w:tcPr>
                <w:p>
                  <w:pPr>
                    <w:pStyle w:val="94"/>
                    <w:bidi w:val="0"/>
                    <w:rPr>
                      <w:rFonts w:hint="default"/>
                      <w:color w:val="auto"/>
                    </w:rPr>
                  </w:pPr>
                  <w:r>
                    <w:rPr>
                      <w:rFonts w:hint="default"/>
                      <w:color w:val="auto"/>
                    </w:rPr>
                    <w:t>符合</w:t>
                  </w:r>
                </w:p>
              </w:tc>
            </w:tr>
            <w:tr>
              <w:tblPrEx>
                <w:tblBorders>
                  <w:top w:val="single" w:color="auto" w:sz="4" w:space="0"/>
                  <w:left w:val="single" w:color="auto" w:sz="4" w:space="0"/>
                  <w:bottom w:val="single" w:color="auto" w:sz="6" w:space="0"/>
                  <w:right w:val="single" w:color="auto" w:sz="4" w:space="0"/>
                  <w:insideH w:val="single" w:color="auto" w:sz="6" w:space="0"/>
                  <w:insideV w:val="single" w:color="auto" w:sz="4" w:space="0"/>
                </w:tblBorders>
                <w:tblCellMar>
                  <w:top w:w="0" w:type="dxa"/>
                  <w:left w:w="108" w:type="dxa"/>
                  <w:bottom w:w="0" w:type="dxa"/>
                  <w:right w:w="108" w:type="dxa"/>
                </w:tblCellMar>
              </w:tblPrEx>
              <w:trPr>
                <w:trHeight w:val="90" w:hRule="atLeast"/>
                <w:jc w:val="center"/>
              </w:trPr>
              <w:tc>
                <w:tcPr>
                  <w:tcW w:w="407" w:type="dxa"/>
                  <w:tcBorders>
                    <w:tl2br w:val="nil"/>
                    <w:tr2bl w:val="nil"/>
                  </w:tcBorders>
                  <w:noWrap w:val="0"/>
                  <w:tcMar>
                    <w:top w:w="0" w:type="dxa"/>
                    <w:left w:w="0" w:type="dxa"/>
                    <w:bottom w:w="0" w:type="dxa"/>
                    <w:right w:w="0" w:type="dxa"/>
                  </w:tcMar>
                  <w:vAlign w:val="center"/>
                </w:tcPr>
                <w:p>
                  <w:pPr>
                    <w:pStyle w:val="94"/>
                    <w:bidi w:val="0"/>
                    <w:rPr>
                      <w:rFonts w:hint="default"/>
                      <w:color w:val="auto"/>
                    </w:rPr>
                  </w:pPr>
                  <w:r>
                    <w:rPr>
                      <w:rFonts w:hint="default"/>
                      <w:color w:val="auto"/>
                    </w:rPr>
                    <w:t>2</w:t>
                  </w:r>
                </w:p>
              </w:tc>
              <w:tc>
                <w:tcPr>
                  <w:tcW w:w="4615" w:type="dxa"/>
                  <w:tcBorders>
                    <w:tl2br w:val="nil"/>
                    <w:tr2bl w:val="nil"/>
                  </w:tcBorders>
                  <w:noWrap w:val="0"/>
                  <w:tcMar>
                    <w:top w:w="0" w:type="dxa"/>
                    <w:left w:w="0" w:type="dxa"/>
                    <w:bottom w:w="0" w:type="dxa"/>
                    <w:right w:w="0" w:type="dxa"/>
                  </w:tcMar>
                  <w:vAlign w:val="center"/>
                </w:tcPr>
                <w:p>
                  <w:pPr>
                    <w:pStyle w:val="94"/>
                    <w:bidi w:val="0"/>
                    <w:jc w:val="left"/>
                    <w:rPr>
                      <w:rFonts w:hint="default"/>
                      <w:color w:val="auto"/>
                    </w:rPr>
                  </w:pPr>
                  <w:r>
                    <w:rPr>
                      <w:rFonts w:hint="default"/>
                      <w:color w:val="auto"/>
                    </w:rPr>
                    <w:t>第三十二条 向大气排放恶臭气体的排污单位、垃圾处置场、污水处理厂，应当设置合理的防护距离，安装净化装置或者采取其他措施，防止恶臭气体排放。在居民住宅区等人口密集区域和机关、医院、学校、幼儿园、养老院等其他需要特殊保护的区域及其周边，不得新建、改建和扩建石化、焦化、制药、油漆、塑料、橡胶、造纸、饲料等易产生恶臭气体的生产项目，或者从事其他产生恶臭气体的生产经营活动。已建成的，应当逐步搬迁或者升级改造。</w:t>
                  </w:r>
                </w:p>
              </w:tc>
              <w:tc>
                <w:tcPr>
                  <w:tcW w:w="1565" w:type="dxa"/>
                  <w:tcBorders>
                    <w:tl2br w:val="nil"/>
                    <w:tr2bl w:val="nil"/>
                  </w:tcBorders>
                  <w:noWrap w:val="0"/>
                  <w:tcMar>
                    <w:top w:w="0" w:type="dxa"/>
                    <w:left w:w="0" w:type="dxa"/>
                    <w:bottom w:w="0" w:type="dxa"/>
                    <w:right w:w="0" w:type="dxa"/>
                  </w:tcMar>
                  <w:vAlign w:val="center"/>
                </w:tcPr>
                <w:p>
                  <w:pPr>
                    <w:pStyle w:val="94"/>
                    <w:bidi w:val="0"/>
                    <w:jc w:val="left"/>
                    <w:rPr>
                      <w:rFonts w:hint="default"/>
                      <w:color w:val="auto"/>
                      <w:lang w:val="en-US"/>
                    </w:rPr>
                  </w:pPr>
                  <w:r>
                    <w:rPr>
                      <w:rFonts w:hint="eastAsia"/>
                      <w:color w:val="auto"/>
                      <w:lang w:val="en-US" w:eastAsia="zh-CN"/>
                    </w:rPr>
                    <w:t>本项目属于纸质蛋托项目，不涉及造纸，不产生恶臭气体。</w:t>
                  </w:r>
                </w:p>
              </w:tc>
              <w:tc>
                <w:tcPr>
                  <w:tcW w:w="953" w:type="dxa"/>
                  <w:tcBorders>
                    <w:tl2br w:val="nil"/>
                    <w:tr2bl w:val="nil"/>
                  </w:tcBorders>
                  <w:noWrap w:val="0"/>
                  <w:tcMar>
                    <w:top w:w="0" w:type="dxa"/>
                    <w:left w:w="0" w:type="dxa"/>
                    <w:bottom w:w="0" w:type="dxa"/>
                    <w:right w:w="0" w:type="dxa"/>
                  </w:tcMar>
                  <w:vAlign w:val="center"/>
                </w:tcPr>
                <w:p>
                  <w:pPr>
                    <w:pStyle w:val="94"/>
                    <w:bidi w:val="0"/>
                    <w:rPr>
                      <w:rFonts w:hint="default"/>
                      <w:color w:val="auto"/>
                    </w:rPr>
                  </w:pPr>
                  <w:r>
                    <w:rPr>
                      <w:rFonts w:hint="default"/>
                      <w:color w:val="auto"/>
                    </w:rPr>
                    <w:t>符合</w:t>
                  </w:r>
                </w:p>
              </w:tc>
            </w:tr>
          </w:tbl>
          <w:p>
            <w:pPr>
              <w:keepNext w:val="0"/>
              <w:keepLines w:val="0"/>
              <w:pageBreakBefore w:val="0"/>
              <w:widowControl w:val="0"/>
              <w:numPr>
                <w:ilvl w:val="0"/>
                <w:numId w:val="0"/>
              </w:numPr>
              <w:kinsoku/>
              <w:wordWrap/>
              <w:overflowPunct/>
              <w:topLinePunct w:val="0"/>
              <w:autoSpaceDE w:val="0"/>
              <w:autoSpaceDN w:val="0"/>
              <w:bidi w:val="0"/>
              <w:adjustRightInd w:val="0"/>
              <w:snapToGrid w:val="0"/>
              <w:spacing w:line="360" w:lineRule="auto"/>
              <w:jc w:val="left"/>
              <w:textAlignment w:val="auto"/>
              <w:rPr>
                <w:rFonts w:hint="default"/>
                <w:b/>
                <w:bCs/>
                <w:color w:val="auto"/>
                <w:kern w:val="0"/>
                <w:szCs w:val="21"/>
                <w:lang w:val="en-US" w:eastAsia="zh-CN"/>
              </w:rPr>
            </w:pPr>
            <w:r>
              <w:rPr>
                <w:rFonts w:hint="eastAsia"/>
                <w:b/>
                <w:bCs/>
                <w:color w:val="auto"/>
                <w:kern w:val="0"/>
                <w:szCs w:val="21"/>
                <w:lang w:val="en-US" w:eastAsia="zh-CN"/>
              </w:rPr>
              <w:t>7、与《新疆维吾尔自治区工业炉窑大气污染治理实施方案》（新大气发〔2019〕127号）符合性分析</w:t>
            </w:r>
          </w:p>
          <w:p>
            <w:pPr>
              <w:spacing w:line="360" w:lineRule="auto"/>
              <w:jc w:val="center"/>
              <w:rPr>
                <w:rFonts w:hint="eastAsia" w:ascii="Times New Roman" w:hAnsi="Times New Roman" w:eastAsia="宋体" w:cs="Times New Roman"/>
                <w:b/>
                <w:bCs/>
                <w:color w:val="auto"/>
                <w:sz w:val="18"/>
                <w:szCs w:val="18"/>
                <w:highlight w:val="none"/>
                <w:lang w:val="en-US" w:eastAsia="zh-CN"/>
              </w:rPr>
            </w:pPr>
            <w:r>
              <w:rPr>
                <w:rFonts w:hint="eastAsia" w:ascii="Times New Roman" w:hAnsi="Times New Roman" w:eastAsia="宋体" w:cs="Times New Roman"/>
                <w:b/>
                <w:bCs/>
                <w:color w:val="auto"/>
                <w:sz w:val="18"/>
                <w:szCs w:val="18"/>
                <w:highlight w:val="none"/>
                <w:lang w:val="en-US" w:eastAsia="zh-CN"/>
              </w:rPr>
              <w:t>表1-</w:t>
            </w:r>
            <w:r>
              <w:rPr>
                <w:rFonts w:hint="eastAsia" w:cs="Times New Roman"/>
                <w:b/>
                <w:bCs/>
                <w:color w:val="auto"/>
                <w:sz w:val="18"/>
                <w:szCs w:val="18"/>
                <w:highlight w:val="none"/>
                <w:lang w:val="en-US" w:eastAsia="zh-CN"/>
              </w:rPr>
              <w:t>6</w:t>
            </w:r>
            <w:r>
              <w:rPr>
                <w:rFonts w:hint="eastAsia" w:ascii="Times New Roman" w:hAnsi="Times New Roman" w:eastAsia="宋体" w:cs="Times New Roman"/>
                <w:b/>
                <w:bCs/>
                <w:color w:val="auto"/>
                <w:sz w:val="18"/>
                <w:szCs w:val="18"/>
                <w:highlight w:val="none"/>
                <w:lang w:val="en-US" w:eastAsia="zh-CN"/>
              </w:rPr>
              <w:t xml:space="preserve">  与《新疆维吾尔自治区工业炉窑大气污染治理实施方案》（新大气发〔2019〕127号）符合性分析</w:t>
            </w:r>
          </w:p>
          <w:tbl>
            <w:tblPr>
              <w:tblStyle w:val="25"/>
              <w:tblW w:w="75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4400"/>
              <w:gridCol w:w="1881"/>
              <w:gridCol w:w="5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noWrap w:val="0"/>
                  <w:vAlign w:val="center"/>
                </w:tcPr>
                <w:p>
                  <w:pPr>
                    <w:pStyle w:val="94"/>
                    <w:bidi w:val="0"/>
                    <w:rPr>
                      <w:rFonts w:hint="eastAsia"/>
                      <w:color w:val="auto"/>
                      <w:lang w:val="en-US" w:eastAsia="zh-CN"/>
                    </w:rPr>
                  </w:pPr>
                  <w:r>
                    <w:rPr>
                      <w:rFonts w:hint="eastAsia"/>
                      <w:color w:val="auto"/>
                      <w:lang w:val="en-US" w:eastAsia="zh-CN"/>
                    </w:rPr>
                    <w:t>内容</w:t>
                  </w:r>
                </w:p>
              </w:tc>
              <w:tc>
                <w:tcPr>
                  <w:tcW w:w="4400" w:type="dxa"/>
                  <w:noWrap w:val="0"/>
                  <w:vAlign w:val="center"/>
                </w:tcPr>
                <w:p>
                  <w:pPr>
                    <w:pStyle w:val="94"/>
                    <w:bidi w:val="0"/>
                    <w:rPr>
                      <w:rFonts w:hint="eastAsia"/>
                      <w:color w:val="auto"/>
                      <w:lang w:val="en-US" w:eastAsia="zh-CN"/>
                    </w:rPr>
                  </w:pPr>
                  <w:r>
                    <w:rPr>
                      <w:rFonts w:hint="eastAsia"/>
                      <w:color w:val="auto"/>
                      <w:lang w:val="en-US" w:eastAsia="zh-CN"/>
                    </w:rPr>
                    <w:t>相关要求</w:t>
                  </w:r>
                </w:p>
              </w:tc>
              <w:tc>
                <w:tcPr>
                  <w:tcW w:w="1881" w:type="dxa"/>
                  <w:noWrap w:val="0"/>
                  <w:vAlign w:val="center"/>
                </w:tcPr>
                <w:p>
                  <w:pPr>
                    <w:pStyle w:val="94"/>
                    <w:bidi w:val="0"/>
                    <w:rPr>
                      <w:rFonts w:hint="eastAsia"/>
                      <w:color w:val="auto"/>
                      <w:lang w:val="en-US" w:eastAsia="zh-CN"/>
                    </w:rPr>
                  </w:pPr>
                  <w:r>
                    <w:rPr>
                      <w:rFonts w:hint="eastAsia"/>
                      <w:color w:val="auto"/>
                      <w:lang w:val="en-US" w:eastAsia="zh-CN"/>
                    </w:rPr>
                    <w:t>本项目情况</w:t>
                  </w:r>
                </w:p>
              </w:tc>
              <w:tc>
                <w:tcPr>
                  <w:tcW w:w="511" w:type="dxa"/>
                  <w:noWrap w:val="0"/>
                  <w:vAlign w:val="center"/>
                </w:tcPr>
                <w:p>
                  <w:pPr>
                    <w:pStyle w:val="94"/>
                    <w:bidi w:val="0"/>
                    <w:rPr>
                      <w:rFonts w:hint="eastAsia"/>
                      <w:color w:val="auto"/>
                      <w:lang w:val="en-US" w:eastAsia="zh-CN"/>
                    </w:rPr>
                  </w:pPr>
                  <w:r>
                    <w:rPr>
                      <w:rFonts w:hint="eastAsia"/>
                      <w:color w:val="auto"/>
                      <w:lang w:val="en-US" w:eastAsia="zh-CN"/>
                    </w:rPr>
                    <w:t>符合性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Merge w:val="restart"/>
                  <w:noWrap w:val="0"/>
                  <w:vAlign w:val="center"/>
                </w:tcPr>
                <w:p>
                  <w:pPr>
                    <w:pStyle w:val="94"/>
                    <w:bidi w:val="0"/>
                    <w:rPr>
                      <w:rFonts w:hint="eastAsia"/>
                      <w:color w:val="auto"/>
                      <w:lang w:val="en-US" w:eastAsia="zh-CN"/>
                    </w:rPr>
                  </w:pPr>
                  <w:r>
                    <w:rPr>
                      <w:rFonts w:hint="eastAsia"/>
                      <w:color w:val="auto"/>
                      <w:lang w:val="en-US" w:eastAsia="zh-CN"/>
                    </w:rPr>
                    <w:t>关于印发《工业炉窑大气污染综合治理方案》的通知</w:t>
                  </w:r>
                </w:p>
              </w:tc>
              <w:tc>
                <w:tcPr>
                  <w:tcW w:w="4400" w:type="dxa"/>
                  <w:noWrap w:val="0"/>
                  <w:vAlign w:val="center"/>
                </w:tcPr>
                <w:p>
                  <w:pPr>
                    <w:pStyle w:val="94"/>
                    <w:bidi w:val="0"/>
                    <w:jc w:val="left"/>
                    <w:rPr>
                      <w:rFonts w:hint="eastAsia"/>
                      <w:color w:val="auto"/>
                      <w:lang w:val="en-US" w:eastAsia="zh-CN"/>
                    </w:rPr>
                  </w:pPr>
                  <w:r>
                    <w:rPr>
                      <w:rFonts w:hint="eastAsia"/>
                      <w:color w:val="auto"/>
                      <w:lang w:val="en-US" w:eastAsia="zh-CN"/>
                    </w:rPr>
                    <w:t>(一)加大产业结构调整力度。严格建设项目环境准入。新建涉工业炉窑的建设项目，原则上要入园区，配套建设高效环保治理设施。重点区域严格控制涉工业炉窑建设项目，严禁新增钢铁、焦化、电解铝、铸造、水泥和平板玻璃等产能；严格执行钢铁、水泥、平板玻璃等行业产能置换实施办法；原则上禁止新建燃料类煤气发生炉(园区现有企业统一建设的清洁煤制气中心除外）</w:t>
                  </w:r>
                </w:p>
              </w:tc>
              <w:tc>
                <w:tcPr>
                  <w:tcW w:w="1881" w:type="dxa"/>
                  <w:noWrap w:val="0"/>
                  <w:vAlign w:val="center"/>
                </w:tcPr>
                <w:p>
                  <w:pPr>
                    <w:pStyle w:val="94"/>
                    <w:bidi w:val="0"/>
                    <w:rPr>
                      <w:rFonts w:hint="eastAsia"/>
                      <w:color w:val="auto"/>
                      <w:lang w:val="en-US" w:eastAsia="zh-CN"/>
                    </w:rPr>
                  </w:pPr>
                  <w:r>
                    <w:rPr>
                      <w:rFonts w:hint="eastAsia"/>
                      <w:color w:val="auto"/>
                      <w:lang w:val="en-US" w:eastAsia="zh-CN"/>
                    </w:rPr>
                    <w:t>本项目在园区外进行建设，已于2022年11月14日进行登记备案。使用天然气清洁燃料，低氮燃烧后通过15m高排气筒（DA002）排放</w:t>
                  </w:r>
                </w:p>
              </w:tc>
              <w:tc>
                <w:tcPr>
                  <w:tcW w:w="511" w:type="dxa"/>
                  <w:noWrap w:val="0"/>
                  <w:vAlign w:val="center"/>
                </w:tcPr>
                <w:p>
                  <w:pPr>
                    <w:pStyle w:val="94"/>
                    <w:bidi w:val="0"/>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Merge w:val="continue"/>
                  <w:noWrap w:val="0"/>
                  <w:vAlign w:val="center"/>
                </w:tcPr>
                <w:p>
                  <w:pPr>
                    <w:pStyle w:val="94"/>
                    <w:bidi w:val="0"/>
                    <w:rPr>
                      <w:rFonts w:hint="eastAsia"/>
                      <w:color w:val="auto"/>
                      <w:lang w:val="en-US" w:eastAsia="zh-CN"/>
                    </w:rPr>
                  </w:pPr>
                </w:p>
              </w:tc>
              <w:tc>
                <w:tcPr>
                  <w:tcW w:w="4400" w:type="dxa"/>
                  <w:noWrap w:val="0"/>
                  <w:vAlign w:val="center"/>
                </w:tcPr>
                <w:p>
                  <w:pPr>
                    <w:pStyle w:val="94"/>
                    <w:bidi w:val="0"/>
                    <w:jc w:val="left"/>
                    <w:rPr>
                      <w:rFonts w:hint="eastAsia"/>
                      <w:color w:val="auto"/>
                      <w:lang w:val="en-US" w:eastAsia="zh-CN"/>
                    </w:rPr>
                  </w:pPr>
                  <w:r>
                    <w:rPr>
                      <w:rFonts w:hint="eastAsia"/>
                      <w:color w:val="auto"/>
                      <w:lang w:val="en-US" w:eastAsia="zh-CN"/>
                    </w:rPr>
                    <w:t>(二）加快燃料清洁低碳化替代。对以煤、石油焦、渣油、重油等为燃料的工业炉窑，加快使用清洁低碳能源以及利用工厂余热、电厂热力等进行替代。重点区域禁止掺烧高硫石油焦（硫含量大于3%)。玻璃行业全面禁止掺烧高硫石油焦。加大煤气发生炉淘汰力度。2020年年底前，重点区域淘汰炉膛直径3米以下燃料类煤气发生炉；集中使用煤气发生炉的工业园区，暂不具备改用天然气条件的，原则上应建设统一的清洁煤制气中心。</w:t>
                  </w:r>
                </w:p>
                <w:p>
                  <w:pPr>
                    <w:pStyle w:val="94"/>
                    <w:bidi w:val="0"/>
                    <w:jc w:val="left"/>
                    <w:rPr>
                      <w:rFonts w:hint="eastAsia"/>
                      <w:color w:val="auto"/>
                      <w:lang w:val="en-US" w:eastAsia="zh-CN"/>
                    </w:rPr>
                  </w:pPr>
                  <w:r>
                    <w:rPr>
                      <w:rFonts w:hint="eastAsia"/>
                      <w:color w:val="auto"/>
                      <w:lang w:val="en-US" w:eastAsia="zh-CN"/>
                    </w:rPr>
                    <w:t>加快淘汰燃煤工业炉窑。重点区域取缔燃煤热风炉，基本淘汰热电联产供热管网覆盖范围内的燃煤加热、烘干炉（窑）。加快推动铸造（10吨/小时及以下)、岩棉等行业冲天炉改为电炉。</w:t>
                  </w:r>
                </w:p>
              </w:tc>
              <w:tc>
                <w:tcPr>
                  <w:tcW w:w="1881" w:type="dxa"/>
                  <w:noWrap w:val="0"/>
                  <w:vAlign w:val="center"/>
                </w:tcPr>
                <w:p>
                  <w:pPr>
                    <w:pStyle w:val="94"/>
                    <w:bidi w:val="0"/>
                    <w:rPr>
                      <w:rFonts w:hint="default"/>
                      <w:color w:val="auto"/>
                      <w:lang w:val="en-US" w:eastAsia="zh-CN"/>
                    </w:rPr>
                  </w:pPr>
                  <w:r>
                    <w:rPr>
                      <w:rFonts w:hint="eastAsia"/>
                      <w:color w:val="auto"/>
                      <w:lang w:val="en-US" w:eastAsia="zh-CN"/>
                    </w:rPr>
                    <w:t>本项目烘干炉采用天然气清洁燃料</w:t>
                  </w:r>
                </w:p>
              </w:tc>
              <w:tc>
                <w:tcPr>
                  <w:tcW w:w="511" w:type="dxa"/>
                  <w:noWrap w:val="0"/>
                  <w:vAlign w:val="center"/>
                </w:tcPr>
                <w:p>
                  <w:pPr>
                    <w:pStyle w:val="94"/>
                    <w:bidi w:val="0"/>
                    <w:rPr>
                      <w:rFonts w:hint="eastAsia"/>
                      <w:color w:val="auto"/>
                      <w:lang w:val="en-US" w:eastAsia="zh-CN"/>
                    </w:rPr>
                  </w:pPr>
                  <w:r>
                    <w:rPr>
                      <w:rFonts w:hint="eastAsia"/>
                      <w:color w:val="auto"/>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763" w:type="dxa"/>
                  <w:vMerge w:val="continue"/>
                  <w:noWrap w:val="0"/>
                  <w:vAlign w:val="center"/>
                </w:tcPr>
                <w:p>
                  <w:pPr>
                    <w:pStyle w:val="94"/>
                    <w:bidi w:val="0"/>
                    <w:rPr>
                      <w:rFonts w:hint="eastAsia"/>
                      <w:color w:val="auto"/>
                      <w:lang w:val="en-US" w:eastAsia="zh-CN"/>
                    </w:rPr>
                  </w:pPr>
                </w:p>
              </w:tc>
              <w:tc>
                <w:tcPr>
                  <w:tcW w:w="4400" w:type="dxa"/>
                  <w:noWrap w:val="0"/>
                  <w:vAlign w:val="center"/>
                </w:tcPr>
                <w:p>
                  <w:pPr>
                    <w:pStyle w:val="94"/>
                    <w:bidi w:val="0"/>
                    <w:jc w:val="left"/>
                    <w:rPr>
                      <w:rFonts w:hint="eastAsia"/>
                      <w:color w:val="auto"/>
                      <w:lang w:val="en-US" w:eastAsia="zh-CN"/>
                    </w:rPr>
                  </w:pPr>
                  <w:r>
                    <w:rPr>
                      <w:rFonts w:hint="eastAsia"/>
                      <w:color w:val="auto"/>
                      <w:lang w:val="en-US" w:eastAsia="zh-CN"/>
                    </w:rPr>
                    <w:t>(三)实施污染深度治理。推进工业炉窑全面达标排放。已有行业排放标准的工业炉窑，严格执行行业排放标准相关规定，配套建设高效脱硫脱硝除尘设施，确保稳定达标排放。已制定更严格地方排放标准的，按地方标准执行。重点区域钢铁、水泥、焦化、石化、化工、有色等行业，二氧化硫、氮氧化物、颗粒物、挥发性有机物(VOCs）排放全面执行大气污染物特别排放限值。已核发排污许可证的，应严格执行许可要求。暂未制订行业排放标准的工业炉窑，包括铸造，日用玻璃，玻璃纤维、耐火材料、石灰、矿物棉等建材行业，钨、工业硅、金属冶炼废渣(灰)二次提取等有色金属行业，氮肥、电石、无机磷、活性炭等化工行业，应参照相关行业已出台的标准，全面加大污染治理力度，铸造行业烧结、高炉工序污染排放控制按照钢铁行业相关标准要求执行；重点区域原则上按照颗粒物、二氧化硫、氮氧化物排放限值分别不高于30、200、300毫克/立方米实施改造，其中，日用玻璃、玻璃棉氮氧化物排放限值不高于400毫克/立方米；已制定更严格地方排放标准的地区，执行地方排放标准</w:t>
                  </w:r>
                </w:p>
              </w:tc>
              <w:tc>
                <w:tcPr>
                  <w:tcW w:w="1881" w:type="dxa"/>
                  <w:noWrap w:val="0"/>
                  <w:vAlign w:val="center"/>
                </w:tcPr>
                <w:p>
                  <w:pPr>
                    <w:pStyle w:val="94"/>
                    <w:bidi w:val="0"/>
                    <w:rPr>
                      <w:rFonts w:hint="eastAsia"/>
                      <w:color w:val="auto"/>
                      <w:lang w:val="en-US" w:eastAsia="zh-CN"/>
                    </w:rPr>
                  </w:pPr>
                  <w:r>
                    <w:rPr>
                      <w:rFonts w:hint="eastAsia"/>
                      <w:color w:val="auto"/>
                      <w:lang w:val="en-US" w:eastAsia="zh-CN"/>
                    </w:rPr>
                    <w:t>本项目烘干炉采用天然气清洁燃料，排放浓度低于重点区域（颗粒物&lt;30mg/m</w:t>
                  </w:r>
                  <w:r>
                    <w:rPr>
                      <w:rFonts w:hint="eastAsia"/>
                      <w:color w:val="auto"/>
                      <w:vertAlign w:val="superscript"/>
                      <w:lang w:val="en-US" w:eastAsia="zh-CN"/>
                    </w:rPr>
                    <w:t>3</w:t>
                  </w:r>
                  <w:r>
                    <w:rPr>
                      <w:rFonts w:hint="eastAsia"/>
                      <w:color w:val="auto"/>
                      <w:lang w:val="en-US" w:eastAsia="zh-CN"/>
                    </w:rPr>
                    <w:t>、SO</w:t>
                  </w:r>
                  <w:r>
                    <w:rPr>
                      <w:rFonts w:hint="eastAsia"/>
                      <w:color w:val="auto"/>
                      <w:vertAlign w:val="subscript"/>
                      <w:lang w:val="en-US" w:eastAsia="zh-CN"/>
                    </w:rPr>
                    <w:t>2</w:t>
                  </w:r>
                  <w:r>
                    <w:rPr>
                      <w:rFonts w:hint="eastAsia"/>
                      <w:color w:val="auto"/>
                      <w:lang w:val="en-US" w:eastAsia="zh-CN"/>
                    </w:rPr>
                    <w:t>&lt;200mg/m</w:t>
                  </w:r>
                  <w:r>
                    <w:rPr>
                      <w:rFonts w:hint="eastAsia"/>
                      <w:color w:val="auto"/>
                      <w:vertAlign w:val="superscript"/>
                      <w:lang w:val="en-US" w:eastAsia="zh-CN"/>
                    </w:rPr>
                    <w:t>3</w:t>
                  </w:r>
                  <w:r>
                    <w:rPr>
                      <w:rFonts w:hint="eastAsia"/>
                      <w:color w:val="auto"/>
                      <w:lang w:val="en-US" w:eastAsia="zh-CN"/>
                    </w:rPr>
                    <w:t>、NOx&lt;300mg/m</w:t>
                  </w:r>
                  <w:r>
                    <w:rPr>
                      <w:rFonts w:hint="eastAsia"/>
                      <w:color w:val="auto"/>
                      <w:vertAlign w:val="superscript"/>
                      <w:lang w:val="en-US" w:eastAsia="zh-CN"/>
                    </w:rPr>
                    <w:t>3</w:t>
                  </w:r>
                  <w:r>
                    <w:rPr>
                      <w:rFonts w:hint="eastAsia"/>
                      <w:color w:val="auto"/>
                      <w:lang w:val="en-US" w:eastAsia="zh-CN"/>
                    </w:rPr>
                    <w:t>）</w:t>
                  </w:r>
                </w:p>
              </w:tc>
              <w:tc>
                <w:tcPr>
                  <w:tcW w:w="511" w:type="dxa"/>
                  <w:noWrap w:val="0"/>
                  <w:vAlign w:val="center"/>
                </w:tcPr>
                <w:p>
                  <w:pPr>
                    <w:pStyle w:val="94"/>
                    <w:bidi w:val="0"/>
                    <w:rPr>
                      <w:rFonts w:hint="eastAsia"/>
                      <w:color w:val="auto"/>
                      <w:lang w:val="en-US" w:eastAsia="zh-CN"/>
                    </w:rPr>
                  </w:pPr>
                  <w:r>
                    <w:rPr>
                      <w:rFonts w:hint="eastAsia"/>
                      <w:color w:val="auto"/>
                      <w:lang w:val="en-US" w:eastAsia="zh-CN"/>
                    </w:rPr>
                    <w:t>符合</w:t>
                  </w:r>
                </w:p>
              </w:tc>
            </w:tr>
          </w:tbl>
          <w:p>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b/>
                <w:bCs/>
                <w:color w:val="auto"/>
                <w:kern w:val="0"/>
                <w:szCs w:val="21"/>
              </w:rPr>
            </w:pPr>
            <w:r>
              <w:rPr>
                <w:rFonts w:hint="eastAsia"/>
                <w:b/>
                <w:bCs/>
                <w:color w:val="auto"/>
                <w:kern w:val="0"/>
                <w:szCs w:val="21"/>
                <w:lang w:val="en-US" w:eastAsia="zh-CN"/>
              </w:rPr>
              <w:t>8</w:t>
            </w:r>
            <w:r>
              <w:rPr>
                <w:rFonts w:hint="eastAsia"/>
                <w:b/>
                <w:bCs/>
                <w:color w:val="auto"/>
                <w:kern w:val="0"/>
                <w:szCs w:val="21"/>
              </w:rPr>
              <w:t>、选址合理性分析</w:t>
            </w:r>
          </w:p>
          <w:p>
            <w:pPr>
              <w:spacing w:line="360" w:lineRule="auto"/>
              <w:ind w:firstLine="422" w:firstLineChars="200"/>
              <w:rPr>
                <w:b/>
                <w:bCs/>
                <w:color w:val="auto"/>
              </w:rPr>
            </w:pPr>
            <w:r>
              <w:rPr>
                <w:rFonts w:hint="eastAsia"/>
                <w:b/>
                <w:bCs/>
                <w:color w:val="auto"/>
              </w:rPr>
              <w:t>（1）外环境关系</w:t>
            </w:r>
          </w:p>
          <w:p>
            <w:pPr>
              <w:spacing w:line="360" w:lineRule="auto"/>
              <w:ind w:firstLine="420" w:firstLineChars="200"/>
              <w:rPr>
                <w:color w:val="auto"/>
              </w:rPr>
            </w:pPr>
            <w:r>
              <w:rPr>
                <w:rFonts w:hint="eastAsia"/>
                <w:color w:val="auto"/>
              </w:rPr>
              <w:t>本项目为</w:t>
            </w:r>
            <w:r>
              <w:rPr>
                <w:rFonts w:hint="eastAsia"/>
                <w:color w:val="auto"/>
                <w:lang w:val="en-US" w:eastAsia="zh-CN"/>
              </w:rPr>
              <w:t>新建</w:t>
            </w:r>
            <w:r>
              <w:rPr>
                <w:rFonts w:hint="eastAsia"/>
                <w:color w:val="auto"/>
              </w:rPr>
              <w:t>项目，项目位于新疆昌吉回族自治州玛纳斯县兰州湾镇（具体见附图</w:t>
            </w:r>
            <w:r>
              <w:rPr>
                <w:rFonts w:hint="eastAsia"/>
                <w:color w:val="auto"/>
                <w:lang w:val="en-US" w:eastAsia="zh-CN"/>
              </w:rPr>
              <w:t>3</w:t>
            </w:r>
            <w:r>
              <w:rPr>
                <w:rFonts w:hint="eastAsia"/>
                <w:color w:val="auto"/>
              </w:rPr>
              <w:t>）。</w:t>
            </w:r>
          </w:p>
          <w:p>
            <w:pPr>
              <w:spacing w:line="360" w:lineRule="auto"/>
              <w:ind w:firstLine="420" w:firstLineChars="200"/>
              <w:rPr>
                <w:rFonts w:hint="default" w:eastAsia="宋体"/>
                <w:color w:val="auto"/>
                <w:highlight w:val="none"/>
                <w:lang w:val="en-US" w:eastAsia="zh-CN"/>
              </w:rPr>
            </w:pPr>
            <w:r>
              <w:rPr>
                <w:rFonts w:hint="eastAsia"/>
                <w:color w:val="auto"/>
                <w:highlight w:val="none"/>
              </w:rPr>
              <w:t>根据现场勘查情况，</w:t>
            </w:r>
            <w:r>
              <w:rPr>
                <w:rFonts w:hint="eastAsia"/>
                <w:color w:val="auto"/>
                <w:highlight w:val="none"/>
                <w:lang w:val="en-US" w:eastAsia="zh-CN"/>
              </w:rPr>
              <w:t>项目东北侧与玛纳斯众利合纸制品有限公司相邻，东南侧与玛纳斯康博农业科技发展有限公司相邻，项目西北侧140m处为新疆天顺胶源工贸有限公司，项目西南侧70m处为新疆广通瑞源建材有限公司。</w:t>
            </w:r>
          </w:p>
          <w:p>
            <w:pPr>
              <w:spacing w:line="360" w:lineRule="auto"/>
              <w:jc w:val="center"/>
              <w:rPr>
                <w:b/>
                <w:bCs/>
                <w:color w:val="auto"/>
                <w:sz w:val="18"/>
                <w:szCs w:val="18"/>
                <w:highlight w:val="none"/>
              </w:rPr>
            </w:pPr>
            <w:r>
              <w:rPr>
                <w:rFonts w:hint="eastAsia"/>
                <w:b/>
                <w:bCs/>
                <w:color w:val="auto"/>
                <w:sz w:val="18"/>
                <w:szCs w:val="18"/>
                <w:highlight w:val="none"/>
              </w:rPr>
              <w:t>表1-</w:t>
            </w:r>
            <w:r>
              <w:rPr>
                <w:rFonts w:hint="eastAsia"/>
                <w:b/>
                <w:bCs/>
                <w:color w:val="auto"/>
                <w:sz w:val="18"/>
                <w:szCs w:val="18"/>
                <w:highlight w:val="none"/>
                <w:lang w:val="en-US" w:eastAsia="zh-CN"/>
              </w:rPr>
              <w:t>7</w:t>
            </w:r>
            <w:r>
              <w:rPr>
                <w:rFonts w:hint="eastAsia"/>
                <w:b/>
                <w:bCs/>
                <w:color w:val="auto"/>
                <w:sz w:val="18"/>
                <w:szCs w:val="18"/>
                <w:highlight w:val="none"/>
              </w:rPr>
              <w:t xml:space="preserve">  项目外环境关系</w:t>
            </w:r>
          </w:p>
          <w:tbl>
            <w:tblPr>
              <w:tblStyle w:val="24"/>
              <w:tblW w:w="76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2"/>
              <w:gridCol w:w="1721"/>
              <w:gridCol w:w="800"/>
              <w:gridCol w:w="870"/>
              <w:gridCol w:w="900"/>
              <w:gridCol w:w="2138"/>
              <w:gridCol w:w="8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dxa"/>
                  <w:vAlign w:val="center"/>
                </w:tcPr>
                <w:p>
                  <w:pPr>
                    <w:spacing w:line="320" w:lineRule="exact"/>
                    <w:jc w:val="center"/>
                    <w:rPr>
                      <w:b/>
                      <w:color w:val="auto"/>
                      <w:sz w:val="18"/>
                      <w:szCs w:val="18"/>
                      <w:highlight w:val="none"/>
                    </w:rPr>
                  </w:pPr>
                  <w:r>
                    <w:rPr>
                      <w:b/>
                      <w:color w:val="auto"/>
                      <w:sz w:val="18"/>
                      <w:szCs w:val="18"/>
                      <w:highlight w:val="none"/>
                    </w:rPr>
                    <w:t>序号</w:t>
                  </w:r>
                </w:p>
              </w:tc>
              <w:tc>
                <w:tcPr>
                  <w:tcW w:w="1721" w:type="dxa"/>
                  <w:vAlign w:val="center"/>
                </w:tcPr>
                <w:p>
                  <w:pPr>
                    <w:spacing w:line="320" w:lineRule="exact"/>
                    <w:jc w:val="center"/>
                    <w:rPr>
                      <w:b/>
                      <w:color w:val="auto"/>
                      <w:sz w:val="18"/>
                      <w:szCs w:val="18"/>
                      <w:highlight w:val="none"/>
                    </w:rPr>
                  </w:pPr>
                  <w:r>
                    <w:rPr>
                      <w:b/>
                      <w:color w:val="auto"/>
                      <w:sz w:val="18"/>
                      <w:szCs w:val="18"/>
                      <w:highlight w:val="none"/>
                    </w:rPr>
                    <w:t>名称</w:t>
                  </w:r>
                </w:p>
              </w:tc>
              <w:tc>
                <w:tcPr>
                  <w:tcW w:w="800" w:type="dxa"/>
                  <w:vAlign w:val="center"/>
                </w:tcPr>
                <w:p>
                  <w:pPr>
                    <w:spacing w:line="320" w:lineRule="exact"/>
                    <w:jc w:val="center"/>
                    <w:rPr>
                      <w:b/>
                      <w:color w:val="auto"/>
                      <w:sz w:val="18"/>
                      <w:szCs w:val="18"/>
                      <w:highlight w:val="none"/>
                    </w:rPr>
                  </w:pPr>
                  <w:r>
                    <w:rPr>
                      <w:b/>
                      <w:color w:val="auto"/>
                      <w:sz w:val="18"/>
                      <w:szCs w:val="18"/>
                      <w:highlight w:val="none"/>
                    </w:rPr>
                    <w:t>方位</w:t>
                  </w:r>
                </w:p>
              </w:tc>
              <w:tc>
                <w:tcPr>
                  <w:tcW w:w="870" w:type="dxa"/>
                  <w:vAlign w:val="center"/>
                </w:tcPr>
                <w:p>
                  <w:pPr>
                    <w:spacing w:line="320" w:lineRule="exact"/>
                    <w:jc w:val="center"/>
                    <w:rPr>
                      <w:b/>
                      <w:color w:val="auto"/>
                      <w:sz w:val="18"/>
                      <w:szCs w:val="18"/>
                      <w:highlight w:val="none"/>
                    </w:rPr>
                  </w:pPr>
                  <w:r>
                    <w:rPr>
                      <w:b/>
                      <w:color w:val="auto"/>
                      <w:sz w:val="18"/>
                      <w:szCs w:val="18"/>
                      <w:highlight w:val="none"/>
                    </w:rPr>
                    <w:t>距离（m）</w:t>
                  </w:r>
                </w:p>
              </w:tc>
              <w:tc>
                <w:tcPr>
                  <w:tcW w:w="900" w:type="dxa"/>
                  <w:vAlign w:val="center"/>
                </w:tcPr>
                <w:p>
                  <w:pPr>
                    <w:spacing w:line="320" w:lineRule="exact"/>
                    <w:jc w:val="center"/>
                    <w:rPr>
                      <w:b/>
                      <w:color w:val="auto"/>
                      <w:sz w:val="18"/>
                      <w:szCs w:val="18"/>
                      <w:highlight w:val="none"/>
                    </w:rPr>
                  </w:pPr>
                  <w:r>
                    <w:rPr>
                      <w:rFonts w:hint="eastAsia"/>
                      <w:b/>
                      <w:color w:val="auto"/>
                      <w:sz w:val="18"/>
                      <w:szCs w:val="18"/>
                      <w:highlight w:val="none"/>
                    </w:rPr>
                    <w:t>高差</w:t>
                  </w:r>
                  <w:r>
                    <w:rPr>
                      <w:b/>
                      <w:color w:val="auto"/>
                      <w:sz w:val="18"/>
                      <w:szCs w:val="18"/>
                      <w:highlight w:val="none"/>
                    </w:rPr>
                    <w:t>（m）</w:t>
                  </w:r>
                </w:p>
              </w:tc>
              <w:tc>
                <w:tcPr>
                  <w:tcW w:w="2138" w:type="dxa"/>
                  <w:vAlign w:val="center"/>
                </w:tcPr>
                <w:p>
                  <w:pPr>
                    <w:spacing w:line="320" w:lineRule="exact"/>
                    <w:jc w:val="center"/>
                    <w:rPr>
                      <w:b/>
                      <w:color w:val="auto"/>
                      <w:sz w:val="18"/>
                      <w:szCs w:val="18"/>
                      <w:highlight w:val="none"/>
                    </w:rPr>
                  </w:pPr>
                  <w:r>
                    <w:rPr>
                      <w:rFonts w:hint="eastAsia"/>
                      <w:b/>
                      <w:color w:val="auto"/>
                      <w:sz w:val="18"/>
                      <w:szCs w:val="18"/>
                      <w:highlight w:val="none"/>
                    </w:rPr>
                    <w:t>坐标</w:t>
                  </w:r>
                </w:p>
              </w:tc>
              <w:tc>
                <w:tcPr>
                  <w:tcW w:w="827" w:type="dxa"/>
                  <w:vAlign w:val="center"/>
                </w:tcPr>
                <w:p>
                  <w:pPr>
                    <w:spacing w:line="320" w:lineRule="exact"/>
                    <w:jc w:val="center"/>
                    <w:rPr>
                      <w:b/>
                      <w:color w:val="auto"/>
                      <w:sz w:val="18"/>
                      <w:szCs w:val="18"/>
                      <w:highlight w:val="none"/>
                    </w:rPr>
                  </w:pPr>
                  <w:r>
                    <w:rPr>
                      <w:rFonts w:hint="eastAsia"/>
                      <w:b/>
                      <w:color w:val="auto"/>
                      <w:sz w:val="18"/>
                      <w:szCs w:val="1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dxa"/>
                  <w:vAlign w:val="center"/>
                </w:tcPr>
                <w:p>
                  <w:pPr>
                    <w:spacing w:line="320" w:lineRule="exact"/>
                    <w:jc w:val="center"/>
                    <w:rPr>
                      <w:bCs/>
                      <w:color w:val="auto"/>
                      <w:sz w:val="18"/>
                      <w:szCs w:val="18"/>
                      <w:highlight w:val="none"/>
                    </w:rPr>
                  </w:pPr>
                  <w:r>
                    <w:rPr>
                      <w:bCs/>
                      <w:color w:val="auto"/>
                      <w:sz w:val="18"/>
                      <w:szCs w:val="18"/>
                      <w:highlight w:val="none"/>
                    </w:rPr>
                    <w:t>1</w:t>
                  </w:r>
                </w:p>
              </w:tc>
              <w:tc>
                <w:tcPr>
                  <w:tcW w:w="1721" w:type="dxa"/>
                  <w:vAlign w:val="center"/>
                </w:tcPr>
                <w:p>
                  <w:pPr>
                    <w:spacing w:line="320" w:lineRule="exact"/>
                    <w:jc w:val="center"/>
                    <w:rPr>
                      <w:color w:val="auto"/>
                      <w:sz w:val="18"/>
                      <w:szCs w:val="18"/>
                      <w:highlight w:val="none"/>
                    </w:rPr>
                  </w:pPr>
                  <w:r>
                    <w:rPr>
                      <w:rFonts w:hint="eastAsia"/>
                      <w:color w:val="auto"/>
                      <w:sz w:val="18"/>
                      <w:szCs w:val="18"/>
                      <w:highlight w:val="none"/>
                    </w:rPr>
                    <w:t>玛纳斯众利合纸制品有限公司</w:t>
                  </w:r>
                </w:p>
              </w:tc>
              <w:tc>
                <w:tcPr>
                  <w:tcW w:w="800" w:type="dxa"/>
                  <w:vAlign w:val="center"/>
                </w:tcPr>
                <w:p>
                  <w:pPr>
                    <w:spacing w:line="32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东北侧</w:t>
                  </w:r>
                </w:p>
              </w:tc>
              <w:tc>
                <w:tcPr>
                  <w:tcW w:w="870" w:type="dxa"/>
                  <w:vAlign w:val="center"/>
                </w:tcPr>
                <w:p>
                  <w:pPr>
                    <w:spacing w:line="32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相邻</w:t>
                  </w:r>
                </w:p>
              </w:tc>
              <w:tc>
                <w:tcPr>
                  <w:tcW w:w="900" w:type="dxa"/>
                  <w:vAlign w:val="center"/>
                </w:tcPr>
                <w:p>
                  <w:pPr>
                    <w:spacing w:line="32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-0.32</w:t>
                  </w:r>
                </w:p>
              </w:tc>
              <w:tc>
                <w:tcPr>
                  <w:tcW w:w="2138" w:type="dxa"/>
                  <w:vAlign w:val="center"/>
                </w:tcPr>
                <w:p>
                  <w:pPr>
                    <w:spacing w:line="32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86.165906，44.331051</w:t>
                  </w:r>
                </w:p>
              </w:tc>
              <w:tc>
                <w:tcPr>
                  <w:tcW w:w="827" w:type="dxa"/>
                  <w:vAlign w:val="center"/>
                </w:tcPr>
                <w:p>
                  <w:pPr>
                    <w:spacing w:line="32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纸制品加工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dxa"/>
                  <w:vAlign w:val="center"/>
                </w:tcPr>
                <w:p>
                  <w:pPr>
                    <w:spacing w:line="320" w:lineRule="exact"/>
                    <w:jc w:val="center"/>
                    <w:rPr>
                      <w:bCs/>
                      <w:color w:val="auto"/>
                      <w:sz w:val="18"/>
                      <w:szCs w:val="18"/>
                      <w:highlight w:val="none"/>
                    </w:rPr>
                  </w:pPr>
                  <w:r>
                    <w:rPr>
                      <w:rFonts w:hint="eastAsia"/>
                      <w:bCs/>
                      <w:color w:val="auto"/>
                      <w:sz w:val="18"/>
                      <w:szCs w:val="18"/>
                      <w:highlight w:val="none"/>
                    </w:rPr>
                    <w:t>2</w:t>
                  </w:r>
                </w:p>
              </w:tc>
              <w:tc>
                <w:tcPr>
                  <w:tcW w:w="1721" w:type="dxa"/>
                  <w:vAlign w:val="center"/>
                </w:tcPr>
                <w:p>
                  <w:pPr>
                    <w:spacing w:line="320" w:lineRule="exact"/>
                    <w:jc w:val="center"/>
                    <w:rPr>
                      <w:rFonts w:hint="eastAsia"/>
                      <w:color w:val="auto"/>
                      <w:sz w:val="18"/>
                      <w:szCs w:val="18"/>
                      <w:highlight w:val="none"/>
                      <w:lang w:val="en-US" w:eastAsia="zh-CN"/>
                    </w:rPr>
                  </w:pPr>
                  <w:r>
                    <w:rPr>
                      <w:rFonts w:hint="eastAsia"/>
                      <w:color w:val="auto"/>
                      <w:sz w:val="18"/>
                      <w:szCs w:val="18"/>
                      <w:highlight w:val="none"/>
                      <w:lang w:val="en-US" w:eastAsia="zh-CN"/>
                    </w:rPr>
                    <w:t>玛纳斯康博农业科技发展有限公司</w:t>
                  </w:r>
                </w:p>
              </w:tc>
              <w:tc>
                <w:tcPr>
                  <w:tcW w:w="800" w:type="dxa"/>
                  <w:vAlign w:val="center"/>
                </w:tcPr>
                <w:p>
                  <w:pPr>
                    <w:spacing w:line="320" w:lineRule="exact"/>
                    <w:jc w:val="center"/>
                    <w:rPr>
                      <w:rFonts w:hint="eastAsia"/>
                      <w:color w:val="auto"/>
                      <w:sz w:val="18"/>
                      <w:szCs w:val="18"/>
                      <w:highlight w:val="none"/>
                      <w:lang w:val="en-US" w:eastAsia="zh-CN"/>
                    </w:rPr>
                  </w:pPr>
                  <w:r>
                    <w:rPr>
                      <w:rFonts w:hint="eastAsia"/>
                      <w:color w:val="auto"/>
                      <w:sz w:val="18"/>
                      <w:szCs w:val="18"/>
                      <w:highlight w:val="none"/>
                      <w:lang w:val="en-US" w:eastAsia="zh-CN"/>
                    </w:rPr>
                    <w:t>东南侧</w:t>
                  </w:r>
                </w:p>
              </w:tc>
              <w:tc>
                <w:tcPr>
                  <w:tcW w:w="870" w:type="dxa"/>
                  <w:vAlign w:val="center"/>
                </w:tcPr>
                <w:p>
                  <w:pPr>
                    <w:spacing w:line="320" w:lineRule="exact"/>
                    <w:jc w:val="center"/>
                    <w:rPr>
                      <w:rFonts w:hint="eastAsia"/>
                      <w:color w:val="auto"/>
                      <w:sz w:val="18"/>
                      <w:szCs w:val="18"/>
                      <w:highlight w:val="none"/>
                    </w:rPr>
                  </w:pPr>
                  <w:r>
                    <w:rPr>
                      <w:rFonts w:hint="eastAsia"/>
                      <w:color w:val="auto"/>
                      <w:sz w:val="18"/>
                      <w:szCs w:val="18"/>
                      <w:highlight w:val="none"/>
                      <w:lang w:val="en-US" w:eastAsia="zh-CN"/>
                    </w:rPr>
                    <w:t>相邻</w:t>
                  </w:r>
                </w:p>
              </w:tc>
              <w:tc>
                <w:tcPr>
                  <w:tcW w:w="900" w:type="dxa"/>
                  <w:vAlign w:val="center"/>
                </w:tcPr>
                <w:p>
                  <w:pPr>
                    <w:spacing w:line="32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0.05</w:t>
                  </w:r>
                </w:p>
              </w:tc>
              <w:tc>
                <w:tcPr>
                  <w:tcW w:w="2138" w:type="dxa"/>
                  <w:vAlign w:val="center"/>
                </w:tcPr>
                <w:p>
                  <w:pPr>
                    <w:spacing w:line="32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86.166088，44.330138</w:t>
                  </w:r>
                </w:p>
              </w:tc>
              <w:tc>
                <w:tcPr>
                  <w:tcW w:w="827" w:type="dxa"/>
                  <w:vAlign w:val="center"/>
                </w:tcPr>
                <w:p>
                  <w:pPr>
                    <w:spacing w:line="32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肥料生产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dxa"/>
                  <w:vAlign w:val="center"/>
                </w:tcPr>
                <w:p>
                  <w:pPr>
                    <w:spacing w:line="320" w:lineRule="exact"/>
                    <w:jc w:val="center"/>
                    <w:rPr>
                      <w:bCs/>
                      <w:color w:val="auto"/>
                      <w:sz w:val="18"/>
                      <w:szCs w:val="18"/>
                      <w:highlight w:val="none"/>
                    </w:rPr>
                  </w:pPr>
                  <w:r>
                    <w:rPr>
                      <w:rFonts w:hint="eastAsia"/>
                      <w:bCs/>
                      <w:color w:val="auto"/>
                      <w:sz w:val="18"/>
                      <w:szCs w:val="18"/>
                      <w:highlight w:val="none"/>
                    </w:rPr>
                    <w:t>3</w:t>
                  </w:r>
                </w:p>
              </w:tc>
              <w:tc>
                <w:tcPr>
                  <w:tcW w:w="1721" w:type="dxa"/>
                  <w:vAlign w:val="center"/>
                </w:tcPr>
                <w:p>
                  <w:pPr>
                    <w:spacing w:line="320" w:lineRule="exact"/>
                    <w:jc w:val="center"/>
                    <w:rPr>
                      <w:rFonts w:hint="eastAsia"/>
                      <w:color w:val="auto"/>
                      <w:sz w:val="18"/>
                      <w:szCs w:val="18"/>
                      <w:highlight w:val="none"/>
                      <w:lang w:val="en-US" w:eastAsia="zh-CN"/>
                    </w:rPr>
                  </w:pPr>
                  <w:r>
                    <w:rPr>
                      <w:rFonts w:hint="eastAsia"/>
                      <w:color w:val="auto"/>
                      <w:sz w:val="18"/>
                      <w:szCs w:val="18"/>
                      <w:highlight w:val="none"/>
                      <w:lang w:val="en-US" w:eastAsia="zh-CN"/>
                    </w:rPr>
                    <w:t>新疆天顺胶源工贸有限公司</w:t>
                  </w:r>
                </w:p>
              </w:tc>
              <w:tc>
                <w:tcPr>
                  <w:tcW w:w="800" w:type="dxa"/>
                  <w:vAlign w:val="center"/>
                </w:tcPr>
                <w:p>
                  <w:pPr>
                    <w:spacing w:line="320" w:lineRule="exact"/>
                    <w:jc w:val="center"/>
                    <w:rPr>
                      <w:rFonts w:hint="eastAsia"/>
                      <w:color w:val="auto"/>
                      <w:sz w:val="18"/>
                      <w:szCs w:val="18"/>
                      <w:highlight w:val="none"/>
                      <w:lang w:val="en-US" w:eastAsia="zh-CN"/>
                    </w:rPr>
                  </w:pPr>
                  <w:r>
                    <w:rPr>
                      <w:rFonts w:hint="eastAsia"/>
                      <w:color w:val="auto"/>
                      <w:sz w:val="18"/>
                      <w:szCs w:val="18"/>
                      <w:highlight w:val="none"/>
                      <w:lang w:val="en-US" w:eastAsia="zh-CN"/>
                    </w:rPr>
                    <w:t>西北侧</w:t>
                  </w:r>
                </w:p>
              </w:tc>
              <w:tc>
                <w:tcPr>
                  <w:tcW w:w="870" w:type="dxa"/>
                  <w:vAlign w:val="center"/>
                </w:tcPr>
                <w:p>
                  <w:pPr>
                    <w:spacing w:line="320" w:lineRule="exact"/>
                    <w:jc w:val="center"/>
                    <w:rPr>
                      <w:rFonts w:hint="eastAsia"/>
                      <w:color w:val="auto"/>
                      <w:sz w:val="18"/>
                      <w:szCs w:val="18"/>
                      <w:highlight w:val="none"/>
                    </w:rPr>
                  </w:pPr>
                  <w:r>
                    <w:rPr>
                      <w:rFonts w:hint="eastAsia"/>
                      <w:color w:val="auto"/>
                      <w:sz w:val="18"/>
                      <w:szCs w:val="18"/>
                      <w:highlight w:val="none"/>
                      <w:lang w:val="en-US" w:eastAsia="zh-CN"/>
                    </w:rPr>
                    <w:t>140m</w:t>
                  </w:r>
                </w:p>
              </w:tc>
              <w:tc>
                <w:tcPr>
                  <w:tcW w:w="900" w:type="dxa"/>
                  <w:vAlign w:val="center"/>
                </w:tcPr>
                <w:p>
                  <w:pPr>
                    <w:spacing w:line="32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-1.35</w:t>
                  </w:r>
                </w:p>
              </w:tc>
              <w:tc>
                <w:tcPr>
                  <w:tcW w:w="2138" w:type="dxa"/>
                  <w:vAlign w:val="center"/>
                </w:tcPr>
                <w:p>
                  <w:pPr>
                    <w:spacing w:line="32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86.163465，44.331960</w:t>
                  </w:r>
                </w:p>
              </w:tc>
              <w:tc>
                <w:tcPr>
                  <w:tcW w:w="827" w:type="dxa"/>
                  <w:vAlign w:val="center"/>
                </w:tcPr>
                <w:p>
                  <w:pPr>
                    <w:spacing w:line="320" w:lineRule="exact"/>
                    <w:jc w:val="center"/>
                    <w:rPr>
                      <w:rFonts w:hint="eastAsia" w:eastAsia="宋体"/>
                      <w:color w:val="auto"/>
                      <w:sz w:val="18"/>
                      <w:szCs w:val="18"/>
                      <w:highlight w:val="none"/>
                      <w:lang w:val="en-US" w:eastAsia="zh-CN"/>
                    </w:rPr>
                  </w:pPr>
                  <w:r>
                    <w:rPr>
                      <w:rFonts w:hint="eastAsia"/>
                      <w:color w:val="auto"/>
                      <w:sz w:val="18"/>
                      <w:szCs w:val="18"/>
                      <w:highlight w:val="none"/>
                      <w:lang w:val="en-US" w:eastAsia="zh-CN"/>
                    </w:rPr>
                    <w:t>饲料生产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42" w:type="dxa"/>
                  <w:vAlign w:val="center"/>
                </w:tcPr>
                <w:p>
                  <w:pPr>
                    <w:spacing w:line="320" w:lineRule="exact"/>
                    <w:jc w:val="center"/>
                    <w:rPr>
                      <w:bCs/>
                      <w:color w:val="auto"/>
                      <w:sz w:val="18"/>
                      <w:szCs w:val="18"/>
                      <w:highlight w:val="none"/>
                    </w:rPr>
                  </w:pPr>
                  <w:r>
                    <w:rPr>
                      <w:rFonts w:hint="eastAsia"/>
                      <w:bCs/>
                      <w:color w:val="auto"/>
                      <w:sz w:val="18"/>
                      <w:szCs w:val="18"/>
                      <w:highlight w:val="none"/>
                    </w:rPr>
                    <w:t>4</w:t>
                  </w:r>
                </w:p>
              </w:tc>
              <w:tc>
                <w:tcPr>
                  <w:tcW w:w="1721" w:type="dxa"/>
                  <w:vAlign w:val="center"/>
                </w:tcPr>
                <w:p>
                  <w:pPr>
                    <w:spacing w:line="320" w:lineRule="exact"/>
                    <w:jc w:val="center"/>
                    <w:rPr>
                      <w:rFonts w:hint="eastAsia"/>
                      <w:color w:val="auto"/>
                      <w:sz w:val="18"/>
                      <w:szCs w:val="18"/>
                      <w:highlight w:val="none"/>
                      <w:lang w:val="en-US" w:eastAsia="zh-CN"/>
                    </w:rPr>
                  </w:pPr>
                  <w:r>
                    <w:rPr>
                      <w:rFonts w:hint="eastAsia"/>
                      <w:color w:val="auto"/>
                      <w:sz w:val="18"/>
                      <w:szCs w:val="18"/>
                      <w:highlight w:val="none"/>
                      <w:lang w:val="en-US" w:eastAsia="zh-CN"/>
                    </w:rPr>
                    <w:t>新疆广通瑞源建材有限公司</w:t>
                  </w:r>
                </w:p>
              </w:tc>
              <w:tc>
                <w:tcPr>
                  <w:tcW w:w="800" w:type="dxa"/>
                  <w:vAlign w:val="center"/>
                </w:tcPr>
                <w:p>
                  <w:pPr>
                    <w:spacing w:line="320" w:lineRule="exact"/>
                    <w:jc w:val="center"/>
                    <w:rPr>
                      <w:rFonts w:hint="eastAsia"/>
                      <w:color w:val="auto"/>
                      <w:sz w:val="18"/>
                      <w:szCs w:val="18"/>
                      <w:highlight w:val="none"/>
                      <w:lang w:val="en-US" w:eastAsia="zh-CN"/>
                    </w:rPr>
                  </w:pPr>
                  <w:r>
                    <w:rPr>
                      <w:rFonts w:hint="eastAsia"/>
                      <w:color w:val="auto"/>
                      <w:sz w:val="18"/>
                      <w:szCs w:val="18"/>
                      <w:highlight w:val="none"/>
                      <w:lang w:val="en-US" w:eastAsia="zh-CN"/>
                    </w:rPr>
                    <w:t>西南侧</w:t>
                  </w:r>
                </w:p>
              </w:tc>
              <w:tc>
                <w:tcPr>
                  <w:tcW w:w="870" w:type="dxa"/>
                  <w:vAlign w:val="center"/>
                </w:tcPr>
                <w:p>
                  <w:pPr>
                    <w:spacing w:line="320" w:lineRule="exact"/>
                    <w:jc w:val="center"/>
                    <w:rPr>
                      <w:rFonts w:hint="eastAsia"/>
                      <w:color w:val="auto"/>
                      <w:sz w:val="18"/>
                      <w:szCs w:val="18"/>
                      <w:highlight w:val="none"/>
                    </w:rPr>
                  </w:pPr>
                  <w:r>
                    <w:rPr>
                      <w:rFonts w:hint="eastAsia"/>
                      <w:color w:val="auto"/>
                      <w:sz w:val="18"/>
                      <w:szCs w:val="18"/>
                      <w:highlight w:val="none"/>
                      <w:lang w:val="en-US" w:eastAsia="zh-CN"/>
                    </w:rPr>
                    <w:t>70m</w:t>
                  </w:r>
                </w:p>
              </w:tc>
              <w:tc>
                <w:tcPr>
                  <w:tcW w:w="900" w:type="dxa"/>
                  <w:vAlign w:val="center"/>
                </w:tcPr>
                <w:p>
                  <w:pPr>
                    <w:spacing w:line="32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2.05</w:t>
                  </w:r>
                </w:p>
              </w:tc>
              <w:tc>
                <w:tcPr>
                  <w:tcW w:w="2138" w:type="dxa"/>
                  <w:vAlign w:val="center"/>
                </w:tcPr>
                <w:p>
                  <w:pPr>
                    <w:spacing w:line="32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86.1622360，44.329259</w:t>
                  </w:r>
                </w:p>
              </w:tc>
              <w:tc>
                <w:tcPr>
                  <w:tcW w:w="827" w:type="dxa"/>
                  <w:vAlign w:val="center"/>
                </w:tcPr>
                <w:p>
                  <w:pPr>
                    <w:spacing w:line="320" w:lineRule="exact"/>
                    <w:jc w:val="center"/>
                    <w:rPr>
                      <w:rFonts w:hint="default" w:eastAsia="宋体"/>
                      <w:color w:val="auto"/>
                      <w:sz w:val="18"/>
                      <w:szCs w:val="18"/>
                      <w:highlight w:val="none"/>
                      <w:lang w:val="en-US" w:eastAsia="zh-CN"/>
                    </w:rPr>
                  </w:pPr>
                  <w:r>
                    <w:rPr>
                      <w:rFonts w:hint="eastAsia"/>
                      <w:color w:val="auto"/>
                      <w:sz w:val="18"/>
                      <w:szCs w:val="18"/>
                      <w:highlight w:val="none"/>
                      <w:lang w:val="en-US" w:eastAsia="zh-CN"/>
                    </w:rPr>
                    <w:t>建材生产</w:t>
                  </w:r>
                </w:p>
              </w:tc>
            </w:tr>
          </w:tbl>
          <w:p>
            <w:pPr>
              <w:spacing w:line="360" w:lineRule="auto"/>
              <w:ind w:firstLine="422" w:firstLineChars="200"/>
              <w:rPr>
                <w:b/>
                <w:bCs/>
                <w:color w:val="auto"/>
                <w:szCs w:val="21"/>
              </w:rPr>
            </w:pPr>
            <w:r>
              <w:rPr>
                <w:b/>
                <w:bCs/>
                <w:color w:val="auto"/>
                <w:szCs w:val="21"/>
              </w:rPr>
              <w:t>（</w:t>
            </w:r>
            <w:r>
              <w:rPr>
                <w:rFonts w:hint="eastAsia"/>
                <w:b/>
                <w:bCs/>
                <w:color w:val="auto"/>
                <w:szCs w:val="21"/>
              </w:rPr>
              <w:t>2</w:t>
            </w:r>
            <w:r>
              <w:rPr>
                <w:b/>
                <w:bCs/>
                <w:color w:val="auto"/>
                <w:szCs w:val="21"/>
              </w:rPr>
              <w:t>）其选址合理性分析如下：</w:t>
            </w:r>
          </w:p>
          <w:p>
            <w:pPr>
              <w:spacing w:line="360" w:lineRule="auto"/>
              <w:ind w:firstLine="420" w:firstLineChars="200"/>
              <w:rPr>
                <w:color w:val="auto"/>
                <w:szCs w:val="21"/>
              </w:rPr>
            </w:pPr>
            <w:r>
              <w:rPr>
                <w:color w:val="auto"/>
                <w:szCs w:val="21"/>
              </w:rPr>
              <w:t>①查阅相关资料，项目用地区域及评价范围内，不涉及依法划定的自然保护区、风景名胜区、饮用水源保护区、森林公园、重要湖泊周边、文物古迹所在地、地质遗迹保护区等。</w:t>
            </w:r>
          </w:p>
          <w:p>
            <w:pPr>
              <w:spacing w:line="360" w:lineRule="auto"/>
              <w:ind w:firstLine="420" w:firstLineChars="200"/>
              <w:rPr>
                <w:color w:val="auto"/>
                <w:szCs w:val="21"/>
                <w:highlight w:val="yellow"/>
              </w:rPr>
            </w:pPr>
            <w:r>
              <w:rPr>
                <w:rFonts w:hint="eastAsia"/>
                <w:color w:val="auto"/>
                <w:szCs w:val="21"/>
              </w:rPr>
              <w:t>②经现场踏勘</w:t>
            </w:r>
            <w:r>
              <w:rPr>
                <w:rFonts w:hint="eastAsia"/>
                <w:color w:val="auto"/>
                <w:szCs w:val="21"/>
                <w:lang w:eastAsia="zh-CN"/>
              </w:rPr>
              <w:t>，</w:t>
            </w:r>
            <w:r>
              <w:rPr>
                <w:rFonts w:hint="eastAsia"/>
                <w:color w:val="auto"/>
                <w:szCs w:val="21"/>
              </w:rPr>
              <w:t>场地周围植被主要为人工种植的农作物等，区域动物以常见的家畜家禽为主，周边无珍稀动植物。</w:t>
            </w:r>
          </w:p>
          <w:p>
            <w:pPr>
              <w:spacing w:line="360" w:lineRule="auto"/>
              <w:ind w:firstLine="420" w:firstLineChars="200"/>
              <w:rPr>
                <w:color w:val="auto"/>
                <w:szCs w:val="21"/>
              </w:rPr>
            </w:pPr>
            <w:r>
              <w:rPr>
                <w:rFonts w:hint="eastAsia"/>
                <w:color w:val="auto"/>
                <w:szCs w:val="21"/>
              </w:rPr>
              <w:t>③项目区周围环境较为简单，周边主要为工业企业，无明显环境制约因素。且本项目运营期间在采取相应的污染物治理措施后，不会对周边环境造成影响，与周边环境相容。</w:t>
            </w:r>
          </w:p>
          <w:p>
            <w:pPr>
              <w:spacing w:line="360" w:lineRule="auto"/>
              <w:ind w:firstLine="422" w:firstLineChars="200"/>
              <w:rPr>
                <w:b/>
                <w:bCs/>
                <w:color w:val="auto"/>
                <w:szCs w:val="21"/>
              </w:rPr>
            </w:pPr>
            <w:r>
              <w:rPr>
                <w:rFonts w:hint="eastAsia"/>
                <w:b/>
                <w:bCs/>
                <w:color w:val="auto"/>
                <w:szCs w:val="21"/>
              </w:rPr>
              <w:t>（3）对周边的限制性要求</w:t>
            </w:r>
          </w:p>
          <w:p>
            <w:pPr>
              <w:spacing w:line="360" w:lineRule="auto"/>
              <w:ind w:firstLine="420" w:firstLineChars="200"/>
              <w:rPr>
                <w:color w:val="auto"/>
                <w:szCs w:val="21"/>
              </w:rPr>
            </w:pPr>
            <w:r>
              <w:rPr>
                <w:rFonts w:hint="eastAsia"/>
                <w:color w:val="auto"/>
                <w:szCs w:val="21"/>
              </w:rPr>
              <w:t>根据分析，项目废气中主要污染物为</w:t>
            </w:r>
            <w:r>
              <w:rPr>
                <w:rFonts w:hint="eastAsia"/>
                <w:color w:val="auto"/>
                <w:szCs w:val="21"/>
                <w:highlight w:val="none"/>
                <w:lang w:val="en-US" w:eastAsia="zh-CN"/>
              </w:rPr>
              <w:t>投料</w:t>
            </w:r>
            <w:r>
              <w:rPr>
                <w:rFonts w:hint="eastAsia"/>
                <w:color w:val="auto"/>
                <w:szCs w:val="21"/>
                <w:highlight w:val="none"/>
              </w:rPr>
              <w:t>产生的颗粒物、</w:t>
            </w:r>
            <w:r>
              <w:rPr>
                <w:rFonts w:hint="eastAsia"/>
                <w:color w:val="auto"/>
                <w:szCs w:val="21"/>
                <w:highlight w:val="none"/>
                <w:lang w:val="en-US" w:eastAsia="zh-CN"/>
              </w:rPr>
              <w:t>烘干炉产生的</w:t>
            </w:r>
            <w:r>
              <w:rPr>
                <w:rFonts w:hint="eastAsia"/>
                <w:color w:val="auto"/>
                <w:szCs w:val="21"/>
                <w:highlight w:val="none"/>
              </w:rPr>
              <w:t>颗粒物</w:t>
            </w:r>
            <w:r>
              <w:rPr>
                <w:rFonts w:hint="eastAsia"/>
                <w:color w:val="auto"/>
                <w:szCs w:val="21"/>
                <w:highlight w:val="none"/>
                <w:lang w:eastAsia="zh-CN"/>
              </w:rPr>
              <w:t>、</w:t>
            </w:r>
            <w:r>
              <w:rPr>
                <w:rFonts w:hint="eastAsia"/>
                <w:color w:val="auto"/>
                <w:szCs w:val="21"/>
                <w:highlight w:val="none"/>
              </w:rPr>
              <w:t>SO</w:t>
            </w:r>
            <w:r>
              <w:rPr>
                <w:rFonts w:hint="eastAsia"/>
                <w:color w:val="auto"/>
                <w:szCs w:val="21"/>
                <w:highlight w:val="none"/>
                <w:vertAlign w:val="subscript"/>
              </w:rPr>
              <w:t>2</w:t>
            </w:r>
            <w:r>
              <w:rPr>
                <w:rFonts w:hint="eastAsia"/>
                <w:color w:val="auto"/>
                <w:szCs w:val="21"/>
                <w:highlight w:val="none"/>
              </w:rPr>
              <w:t>、NO</w:t>
            </w:r>
            <w:r>
              <w:rPr>
                <w:rFonts w:hint="eastAsia"/>
                <w:color w:val="auto"/>
                <w:szCs w:val="21"/>
                <w:highlight w:val="none"/>
                <w:vertAlign w:val="subscript"/>
              </w:rPr>
              <w:t>X</w:t>
            </w:r>
            <w:r>
              <w:rPr>
                <w:rFonts w:hint="eastAsia"/>
                <w:color w:val="auto"/>
                <w:szCs w:val="21"/>
                <w:highlight w:val="none"/>
              </w:rPr>
              <w:t>，项目废气量排放很小，</w:t>
            </w:r>
            <w:r>
              <w:rPr>
                <w:rFonts w:hint="eastAsia"/>
                <w:color w:val="auto"/>
                <w:szCs w:val="21"/>
              </w:rPr>
              <w:t>能到达相关排放标准限值要求，且项目周边500m范围内无环境敏感目标；同时项目噪声能达到相应的排放标准。</w:t>
            </w:r>
          </w:p>
          <w:p>
            <w:pPr>
              <w:spacing w:line="360" w:lineRule="auto"/>
              <w:ind w:firstLine="420" w:firstLineChars="200"/>
              <w:rPr>
                <w:color w:val="auto"/>
                <w:szCs w:val="21"/>
              </w:rPr>
            </w:pPr>
            <w:r>
              <w:rPr>
                <w:rFonts w:hint="eastAsia"/>
                <w:color w:val="auto"/>
                <w:szCs w:val="21"/>
              </w:rPr>
              <w:t>因此，评价要求在项目区周围不要再规划建设学校、医院、食品厂、居民集聚区、养老院、宾馆等对环境空气、噪声要求较高的企业。</w:t>
            </w:r>
          </w:p>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bCs/>
                <w:color w:val="auto"/>
                <w:kern w:val="0"/>
                <w:sz w:val="18"/>
                <w:szCs w:val="18"/>
                <w:lang w:val="en-US" w:eastAsia="zh-CN"/>
              </w:rPr>
            </w:pPr>
          </w:p>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bCs/>
                <w:color w:val="auto"/>
                <w:kern w:val="0"/>
                <w:sz w:val="18"/>
                <w:szCs w:val="18"/>
                <w:lang w:val="en-US" w:eastAsia="zh-CN"/>
              </w:rPr>
            </w:pPr>
          </w:p>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bCs/>
                <w:color w:val="auto"/>
                <w:kern w:val="0"/>
                <w:sz w:val="18"/>
                <w:szCs w:val="18"/>
                <w:lang w:val="en-US" w:eastAsia="zh-CN"/>
              </w:rPr>
            </w:pPr>
          </w:p>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bCs/>
                <w:color w:val="auto"/>
                <w:kern w:val="0"/>
                <w:sz w:val="18"/>
                <w:szCs w:val="18"/>
                <w:lang w:val="en-US" w:eastAsia="zh-CN"/>
              </w:rPr>
            </w:pPr>
          </w:p>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eastAsia"/>
                <w:b/>
                <w:bCs/>
                <w:color w:val="auto"/>
                <w:kern w:val="0"/>
                <w:sz w:val="18"/>
                <w:szCs w:val="18"/>
                <w:lang w:val="en-US" w:eastAsia="zh-CN"/>
              </w:rPr>
            </w:pPr>
          </w:p>
          <w:p>
            <w:pPr>
              <w:keepNext w:val="0"/>
              <w:keepLines w:val="0"/>
              <w:pageBreakBefore w:val="0"/>
              <w:widowControl w:val="0"/>
              <w:kinsoku/>
              <w:wordWrap/>
              <w:overflowPunct/>
              <w:topLinePunct w:val="0"/>
              <w:autoSpaceDE w:val="0"/>
              <w:autoSpaceDN w:val="0"/>
              <w:bidi w:val="0"/>
              <w:adjustRightInd w:val="0"/>
              <w:snapToGrid w:val="0"/>
              <w:jc w:val="center"/>
              <w:textAlignment w:val="auto"/>
              <w:rPr>
                <w:rFonts w:hint="default" w:eastAsia="宋体"/>
                <w:color w:val="auto"/>
                <w:kern w:val="0"/>
                <w:szCs w:val="21"/>
                <w:lang w:val="en-US" w:eastAsia="zh-CN"/>
              </w:rPr>
            </w:pPr>
          </w:p>
        </w:tc>
      </w:tr>
    </w:tbl>
    <w:p>
      <w:pPr>
        <w:autoSpaceDE w:val="0"/>
        <w:autoSpaceDN w:val="0"/>
        <w:adjustRightInd w:val="0"/>
        <w:snapToGrid w:val="0"/>
        <w:spacing w:line="360" w:lineRule="auto"/>
        <w:jc w:val="center"/>
        <w:rPr>
          <w:b/>
          <w:bCs/>
          <w:color w:val="auto"/>
          <w:kern w:val="0"/>
          <w:szCs w:val="21"/>
        </w:rPr>
        <w:sectPr>
          <w:footerReference r:id="rId7" w:type="default"/>
          <w:pgSz w:w="11906" w:h="16838"/>
          <w:pgMar w:top="1701" w:right="1531" w:bottom="1701" w:left="1531" w:header="851" w:footer="1077" w:gutter="0"/>
          <w:pgBorders>
            <w:top w:val="none" w:sz="0" w:space="0"/>
            <w:left w:val="none" w:sz="0" w:space="0"/>
            <w:bottom w:val="none" w:sz="0" w:space="0"/>
            <w:right w:val="none" w:sz="0" w:space="0"/>
          </w:pgBorders>
          <w:pgNumType w:fmt="decimal" w:start="1"/>
          <w:cols w:space="720" w:num="1"/>
          <w:docGrid w:linePitch="312" w:charSpace="0"/>
        </w:sectPr>
      </w:pPr>
    </w:p>
    <w:p>
      <w:pPr>
        <w:pStyle w:val="20"/>
        <w:jc w:val="center"/>
        <w:outlineLvl w:val="0"/>
        <w:rPr>
          <w:rFonts w:ascii="黑体" w:hAnsi="黑体" w:eastAsia="黑体"/>
          <w:snapToGrid w:val="0"/>
          <w:color w:val="auto"/>
          <w:sz w:val="30"/>
          <w:szCs w:val="30"/>
        </w:rPr>
      </w:pPr>
      <w:bookmarkStart w:id="8" w:name="_Toc15907"/>
      <w:r>
        <w:rPr>
          <w:rFonts w:hint="eastAsia" w:ascii="黑体" w:hAnsi="黑体" w:eastAsia="黑体"/>
          <w:snapToGrid w:val="0"/>
          <w:color w:val="auto"/>
          <w:sz w:val="30"/>
          <w:szCs w:val="30"/>
        </w:rPr>
        <w:t>二、建设项目工程分析</w:t>
      </w:r>
      <w:bookmarkEnd w:id="8"/>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23"/>
        <w:gridCol w:w="816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8" w:hRule="atLeast"/>
          <w:jc w:val="center"/>
        </w:trPr>
        <w:tc>
          <w:tcPr>
            <w:tcW w:w="823" w:type="dxa"/>
            <w:vAlign w:val="center"/>
          </w:tcPr>
          <w:p>
            <w:pPr>
              <w:pStyle w:val="20"/>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建设内容</w:t>
            </w:r>
          </w:p>
        </w:tc>
        <w:tc>
          <w:tcPr>
            <w:tcW w:w="8161" w:type="dxa"/>
          </w:tcPr>
          <w:p>
            <w:pPr>
              <w:spacing w:line="360" w:lineRule="auto"/>
              <w:ind w:firstLine="422" w:firstLineChars="200"/>
              <w:rPr>
                <w:b/>
                <w:bCs/>
                <w:color w:val="auto"/>
              </w:rPr>
            </w:pPr>
            <w:r>
              <w:rPr>
                <w:rFonts w:hint="eastAsia"/>
                <w:b/>
                <w:bCs/>
                <w:color w:val="auto"/>
              </w:rPr>
              <w:t>一、项目概况</w:t>
            </w:r>
          </w:p>
          <w:p>
            <w:pPr>
              <w:spacing w:line="360" w:lineRule="auto"/>
              <w:ind w:firstLine="422" w:firstLineChars="200"/>
              <w:rPr>
                <w:b/>
                <w:bCs/>
                <w:color w:val="auto"/>
              </w:rPr>
            </w:pPr>
            <w:r>
              <w:rPr>
                <w:rFonts w:hint="eastAsia"/>
                <w:b/>
                <w:bCs/>
                <w:color w:val="auto"/>
              </w:rPr>
              <w:t>1、建设项目名称</w:t>
            </w:r>
            <w:r>
              <w:rPr>
                <w:b/>
                <w:bCs/>
                <w:color w:val="auto"/>
              </w:rPr>
              <w:t>、性质、建设单位、地点</w:t>
            </w:r>
          </w:p>
          <w:p>
            <w:pPr>
              <w:widowControl/>
              <w:spacing w:line="360" w:lineRule="auto"/>
              <w:ind w:firstLine="420" w:firstLineChars="200"/>
              <w:jc w:val="left"/>
              <w:rPr>
                <w:color w:val="auto"/>
              </w:rPr>
            </w:pPr>
            <w:r>
              <w:rPr>
                <w:color w:val="auto"/>
              </w:rPr>
              <w:t>项目名称：</w:t>
            </w:r>
            <w:r>
              <w:rPr>
                <w:rFonts w:hint="eastAsia"/>
                <w:color w:val="auto"/>
                <w:lang w:val="en-US" w:eastAsia="zh-CN"/>
              </w:rPr>
              <w:t>玛纳斯县</w:t>
            </w:r>
            <w:r>
              <w:rPr>
                <w:rFonts w:hint="eastAsia"/>
                <w:color w:val="auto"/>
                <w:szCs w:val="21"/>
              </w:rPr>
              <w:t>新疆卓兴纸业有限公司年产4000万个纸制蛋托项目</w:t>
            </w:r>
          </w:p>
          <w:p>
            <w:pPr>
              <w:widowControl/>
              <w:spacing w:line="360" w:lineRule="auto"/>
              <w:ind w:firstLine="420" w:firstLineChars="200"/>
              <w:jc w:val="left"/>
              <w:rPr>
                <w:color w:val="auto"/>
              </w:rPr>
            </w:pPr>
            <w:r>
              <w:rPr>
                <w:color w:val="auto"/>
              </w:rPr>
              <w:t>建设单位：</w:t>
            </w:r>
            <w:r>
              <w:rPr>
                <w:rFonts w:hint="eastAsia"/>
                <w:color w:val="auto"/>
                <w:szCs w:val="21"/>
              </w:rPr>
              <w:t>新疆卓兴纸业有限公司</w:t>
            </w:r>
          </w:p>
          <w:p>
            <w:pPr>
              <w:widowControl/>
              <w:spacing w:line="360" w:lineRule="auto"/>
              <w:ind w:firstLine="420" w:firstLineChars="200"/>
              <w:jc w:val="left"/>
              <w:rPr>
                <w:color w:val="auto"/>
              </w:rPr>
            </w:pPr>
            <w:r>
              <w:rPr>
                <w:color w:val="auto"/>
              </w:rPr>
              <w:t>建设地点：</w:t>
            </w:r>
            <w:r>
              <w:rPr>
                <w:rFonts w:hint="eastAsia"/>
                <w:color w:val="auto"/>
              </w:rPr>
              <w:t>新疆昌吉回族自治州玛纳斯县兰州湾镇</w:t>
            </w:r>
          </w:p>
          <w:p>
            <w:pPr>
              <w:widowControl/>
              <w:spacing w:line="360" w:lineRule="auto"/>
              <w:ind w:firstLine="420" w:firstLineChars="200"/>
              <w:jc w:val="left"/>
              <w:rPr>
                <w:rFonts w:hint="eastAsia" w:eastAsia="宋体"/>
                <w:color w:val="auto"/>
                <w:highlight w:val="yellow"/>
                <w:lang w:val="en-US" w:eastAsia="zh-CN"/>
              </w:rPr>
            </w:pPr>
            <w:r>
              <w:rPr>
                <w:color w:val="auto"/>
              </w:rPr>
              <w:t>建设性质：</w:t>
            </w:r>
            <w:r>
              <w:rPr>
                <w:rFonts w:hint="eastAsia"/>
                <w:color w:val="auto"/>
                <w:lang w:val="en-US" w:eastAsia="zh-CN"/>
              </w:rPr>
              <w:t>新建</w:t>
            </w:r>
          </w:p>
          <w:p>
            <w:pPr>
              <w:widowControl/>
              <w:spacing w:line="360" w:lineRule="auto"/>
              <w:ind w:firstLine="420" w:firstLineChars="200"/>
              <w:jc w:val="left"/>
              <w:rPr>
                <w:color w:val="auto"/>
                <w:highlight w:val="yellow"/>
              </w:rPr>
            </w:pPr>
            <w:r>
              <w:rPr>
                <w:color w:val="auto"/>
              </w:rPr>
              <w:t>投资规模：项目总投资</w:t>
            </w:r>
            <w:r>
              <w:rPr>
                <w:rFonts w:hint="eastAsia"/>
                <w:color w:val="auto"/>
                <w:lang w:val="en-US" w:eastAsia="zh-CN"/>
              </w:rPr>
              <w:t>680</w:t>
            </w:r>
            <w:r>
              <w:rPr>
                <w:color w:val="auto"/>
              </w:rPr>
              <w:t>万元。</w:t>
            </w:r>
          </w:p>
          <w:p>
            <w:pPr>
              <w:widowControl/>
              <w:spacing w:line="360" w:lineRule="auto"/>
              <w:ind w:firstLine="420" w:firstLineChars="200"/>
              <w:jc w:val="left"/>
              <w:rPr>
                <w:color w:val="auto"/>
              </w:rPr>
            </w:pPr>
            <w:r>
              <w:rPr>
                <w:color w:val="auto"/>
              </w:rPr>
              <w:t>资金来源：企业自筹</w:t>
            </w:r>
          </w:p>
          <w:p>
            <w:pPr>
              <w:spacing w:line="360" w:lineRule="auto"/>
              <w:ind w:firstLine="420" w:firstLineChars="200"/>
              <w:jc w:val="left"/>
              <w:rPr>
                <w:rFonts w:hint="default" w:eastAsia="宋体"/>
                <w:color w:val="auto"/>
                <w:lang w:val="en-US" w:eastAsia="zh-CN"/>
              </w:rPr>
            </w:pPr>
            <w:r>
              <w:rPr>
                <w:rFonts w:hint="eastAsia"/>
                <w:color w:val="auto"/>
              </w:rPr>
              <w:t>建设内容：</w:t>
            </w:r>
            <w:r>
              <w:rPr>
                <w:rFonts w:hint="eastAsia"/>
                <w:color w:val="auto"/>
                <w:lang w:val="en-US" w:eastAsia="zh-CN"/>
              </w:rPr>
              <w:t>租用玛纳斯众利合纸制品有限公司现有场地、厂房进行建设玛纳斯县</w:t>
            </w:r>
            <w:r>
              <w:rPr>
                <w:rFonts w:hint="eastAsia"/>
                <w:color w:val="auto"/>
                <w:szCs w:val="21"/>
              </w:rPr>
              <w:t>新疆卓兴纸业有限公司年产4000万个纸制蛋托项目</w:t>
            </w:r>
            <w:r>
              <w:rPr>
                <w:rFonts w:hint="eastAsia"/>
                <w:color w:val="auto"/>
                <w:szCs w:val="21"/>
                <w:lang w:eastAsia="zh-CN"/>
              </w:rPr>
              <w:t>，</w:t>
            </w:r>
            <w:r>
              <w:rPr>
                <w:rFonts w:hint="eastAsia"/>
                <w:color w:val="auto"/>
                <w:szCs w:val="21"/>
                <w:lang w:val="en-US" w:eastAsia="zh-CN"/>
              </w:rPr>
              <w:t>项目建成后年产4000万个纸质蛋托。</w:t>
            </w:r>
          </w:p>
          <w:p>
            <w:pPr>
              <w:spacing w:line="360" w:lineRule="auto"/>
              <w:ind w:firstLine="422" w:firstLineChars="200"/>
              <w:rPr>
                <w:b/>
                <w:bCs/>
                <w:color w:val="auto"/>
              </w:rPr>
            </w:pPr>
            <w:r>
              <w:rPr>
                <w:rFonts w:hint="eastAsia"/>
                <w:b/>
                <w:bCs/>
                <w:color w:val="auto"/>
              </w:rPr>
              <w:t>2、产品方案</w:t>
            </w:r>
          </w:p>
          <w:p>
            <w:pPr>
              <w:spacing w:line="360" w:lineRule="auto"/>
              <w:ind w:firstLine="420" w:firstLineChars="200"/>
              <w:rPr>
                <w:color w:val="auto"/>
              </w:rPr>
            </w:pPr>
            <w:r>
              <w:rPr>
                <w:color w:val="auto"/>
              </w:rPr>
              <w:t>本项目产品方案及规模情况见下表：</w:t>
            </w:r>
          </w:p>
          <w:p>
            <w:pPr>
              <w:spacing w:line="360" w:lineRule="auto"/>
              <w:ind w:firstLine="271" w:firstLineChars="150"/>
              <w:jc w:val="center"/>
              <w:rPr>
                <w:b/>
                <w:bCs/>
                <w:color w:val="auto"/>
                <w:sz w:val="18"/>
                <w:szCs w:val="18"/>
              </w:rPr>
            </w:pPr>
            <w:r>
              <w:rPr>
                <w:b/>
                <w:bCs/>
                <w:color w:val="auto"/>
                <w:sz w:val="18"/>
                <w:szCs w:val="18"/>
              </w:rPr>
              <w:t>表</w:t>
            </w:r>
            <w:r>
              <w:rPr>
                <w:rFonts w:hint="eastAsia"/>
                <w:b/>
                <w:bCs/>
                <w:color w:val="auto"/>
                <w:sz w:val="18"/>
                <w:szCs w:val="18"/>
              </w:rPr>
              <w:t>2-1</w:t>
            </w:r>
            <w:r>
              <w:rPr>
                <w:b/>
                <w:bCs/>
                <w:color w:val="auto"/>
                <w:sz w:val="18"/>
                <w:szCs w:val="18"/>
              </w:rPr>
              <w:t xml:space="preserve">  产品方案表</w:t>
            </w:r>
          </w:p>
          <w:tbl>
            <w:tblPr>
              <w:tblStyle w:val="25"/>
              <w:tblW w:w="80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6"/>
              <w:gridCol w:w="1661"/>
              <w:gridCol w:w="2835"/>
              <w:gridCol w:w="28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Align w:val="center"/>
                </w:tcPr>
                <w:p>
                  <w:pPr>
                    <w:pStyle w:val="94"/>
                    <w:bidi w:val="0"/>
                    <w:rPr>
                      <w:color w:val="auto"/>
                    </w:rPr>
                  </w:pPr>
                  <w:r>
                    <w:rPr>
                      <w:rFonts w:hint="eastAsia"/>
                      <w:color w:val="auto"/>
                    </w:rPr>
                    <w:t>序号</w:t>
                  </w:r>
                </w:p>
              </w:tc>
              <w:tc>
                <w:tcPr>
                  <w:tcW w:w="1661" w:type="dxa"/>
                  <w:vAlign w:val="center"/>
                </w:tcPr>
                <w:p>
                  <w:pPr>
                    <w:pStyle w:val="94"/>
                    <w:bidi w:val="0"/>
                    <w:rPr>
                      <w:color w:val="auto"/>
                    </w:rPr>
                  </w:pPr>
                  <w:r>
                    <w:rPr>
                      <w:rFonts w:hint="eastAsia"/>
                      <w:color w:val="auto"/>
                    </w:rPr>
                    <w:t>产品名称</w:t>
                  </w:r>
                </w:p>
              </w:tc>
              <w:tc>
                <w:tcPr>
                  <w:tcW w:w="2835" w:type="dxa"/>
                  <w:vAlign w:val="center"/>
                </w:tcPr>
                <w:p>
                  <w:pPr>
                    <w:pStyle w:val="94"/>
                    <w:bidi w:val="0"/>
                    <w:rPr>
                      <w:rFonts w:hint="eastAsia" w:eastAsia="宋体"/>
                      <w:color w:val="auto"/>
                      <w:lang w:val="en-US" w:eastAsia="zh-CN"/>
                    </w:rPr>
                  </w:pPr>
                  <w:r>
                    <w:rPr>
                      <w:rFonts w:hint="eastAsia"/>
                      <w:color w:val="auto"/>
                      <w:lang w:val="en-US" w:eastAsia="zh-CN"/>
                    </w:rPr>
                    <w:t>产量（万个）</w:t>
                  </w:r>
                </w:p>
              </w:tc>
              <w:tc>
                <w:tcPr>
                  <w:tcW w:w="2836" w:type="dxa"/>
                  <w:vAlign w:val="center"/>
                </w:tcPr>
                <w:p>
                  <w:pPr>
                    <w:pStyle w:val="94"/>
                    <w:bidi w:val="0"/>
                    <w:rPr>
                      <w:rFonts w:hint="default" w:eastAsia="宋体"/>
                      <w:color w:val="auto"/>
                      <w:lang w:val="en-US" w:eastAsia="zh-CN"/>
                    </w:rPr>
                  </w:pPr>
                  <w:r>
                    <w:rPr>
                      <w:rFonts w:hint="eastAsia"/>
                      <w:color w:val="auto"/>
                      <w:lang w:val="en-US" w:eastAsia="zh-CN"/>
                    </w:rPr>
                    <w:t>产品规格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86" w:type="dxa"/>
                  <w:vAlign w:val="center"/>
                </w:tcPr>
                <w:p>
                  <w:pPr>
                    <w:pStyle w:val="94"/>
                    <w:bidi w:val="0"/>
                    <w:rPr>
                      <w:color w:val="auto"/>
                    </w:rPr>
                  </w:pPr>
                  <w:r>
                    <w:rPr>
                      <w:rFonts w:hint="eastAsia"/>
                      <w:color w:val="auto"/>
                    </w:rPr>
                    <w:t>1</w:t>
                  </w:r>
                </w:p>
              </w:tc>
              <w:tc>
                <w:tcPr>
                  <w:tcW w:w="1661" w:type="dxa"/>
                  <w:vAlign w:val="center"/>
                </w:tcPr>
                <w:p>
                  <w:pPr>
                    <w:pStyle w:val="94"/>
                    <w:bidi w:val="0"/>
                    <w:rPr>
                      <w:rFonts w:hint="eastAsia"/>
                      <w:color w:val="auto"/>
                      <w:lang w:eastAsia="zh-CN"/>
                    </w:rPr>
                  </w:pPr>
                  <w:r>
                    <w:rPr>
                      <w:rFonts w:hint="eastAsia"/>
                      <w:color w:val="auto"/>
                      <w:lang w:val="en-US" w:eastAsia="zh-CN"/>
                    </w:rPr>
                    <w:t>纸质蛋托</w:t>
                  </w:r>
                </w:p>
              </w:tc>
              <w:tc>
                <w:tcPr>
                  <w:tcW w:w="2835" w:type="dxa"/>
                  <w:vAlign w:val="center"/>
                </w:tcPr>
                <w:p>
                  <w:pPr>
                    <w:pStyle w:val="94"/>
                    <w:bidi w:val="0"/>
                    <w:rPr>
                      <w:rFonts w:hint="default" w:eastAsia="宋体"/>
                      <w:color w:val="auto"/>
                      <w:lang w:val="en-US" w:eastAsia="zh-CN"/>
                    </w:rPr>
                  </w:pPr>
                  <w:r>
                    <w:rPr>
                      <w:rFonts w:hint="eastAsia"/>
                      <w:color w:val="auto"/>
                      <w:lang w:val="en-US" w:eastAsia="zh-CN"/>
                    </w:rPr>
                    <w:t>4000</w:t>
                  </w:r>
                </w:p>
              </w:tc>
              <w:tc>
                <w:tcPr>
                  <w:tcW w:w="2836" w:type="dxa"/>
                  <w:vAlign w:val="center"/>
                </w:tcPr>
                <w:p>
                  <w:pPr>
                    <w:pStyle w:val="94"/>
                    <w:bidi w:val="0"/>
                    <w:rPr>
                      <w:color w:val="auto"/>
                    </w:rPr>
                  </w:pPr>
                  <w:r>
                    <w:rPr>
                      <w:rFonts w:hint="eastAsia"/>
                      <w:color w:val="auto"/>
                    </w:rPr>
                    <w:t>29.5cm×29.5cm</w:t>
                  </w:r>
                </w:p>
              </w:tc>
            </w:tr>
          </w:tbl>
          <w:p>
            <w:pPr>
              <w:spacing w:line="360" w:lineRule="auto"/>
              <w:ind w:firstLine="422" w:firstLineChars="200"/>
              <w:rPr>
                <w:b/>
                <w:bCs/>
                <w:color w:val="auto"/>
              </w:rPr>
            </w:pPr>
            <w:r>
              <w:rPr>
                <w:rFonts w:hint="eastAsia"/>
                <w:b/>
                <w:bCs/>
                <w:color w:val="auto"/>
              </w:rPr>
              <w:t>3</w:t>
            </w:r>
            <w:r>
              <w:rPr>
                <w:b/>
                <w:bCs/>
                <w:color w:val="auto"/>
              </w:rPr>
              <w:t>、项目组成及主要环境问题</w:t>
            </w:r>
          </w:p>
          <w:p>
            <w:pPr>
              <w:widowControl/>
              <w:spacing w:line="360" w:lineRule="auto"/>
              <w:ind w:firstLine="420" w:firstLineChars="200"/>
              <w:jc w:val="left"/>
              <w:rPr>
                <w:color w:val="auto"/>
              </w:rPr>
            </w:pPr>
            <w:r>
              <w:rPr>
                <w:color w:val="auto"/>
              </w:rPr>
              <w:t>项目组成及主要环境问题见下表：</w:t>
            </w:r>
          </w:p>
          <w:p>
            <w:pPr>
              <w:spacing w:line="360" w:lineRule="auto"/>
              <w:ind w:firstLine="361" w:firstLineChars="200"/>
              <w:jc w:val="center"/>
              <w:rPr>
                <w:b/>
                <w:bCs/>
                <w:color w:val="auto"/>
                <w:sz w:val="18"/>
                <w:szCs w:val="18"/>
                <w:highlight w:val="none"/>
              </w:rPr>
            </w:pPr>
            <w:r>
              <w:rPr>
                <w:rFonts w:hint="eastAsia"/>
                <w:b/>
                <w:bCs/>
                <w:color w:val="auto"/>
                <w:sz w:val="18"/>
                <w:szCs w:val="18"/>
                <w:highlight w:val="none"/>
              </w:rPr>
              <w:t>2-2</w:t>
            </w:r>
            <w:r>
              <w:rPr>
                <w:b/>
                <w:bCs/>
                <w:color w:val="auto"/>
                <w:sz w:val="18"/>
                <w:szCs w:val="18"/>
                <w:highlight w:val="none"/>
              </w:rPr>
              <w:t xml:space="preserve">  建设项目组成及主要的环境问题一览表</w:t>
            </w:r>
          </w:p>
          <w:tbl>
            <w:tblPr>
              <w:tblStyle w:val="24"/>
              <w:tblW w:w="80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4"/>
              <w:gridCol w:w="958"/>
              <w:gridCol w:w="3611"/>
              <w:gridCol w:w="1039"/>
              <w:gridCol w:w="1020"/>
              <w:gridCol w:w="7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2" w:type="dxa"/>
                  <w:gridSpan w:val="2"/>
                  <w:vMerge w:val="restart"/>
                  <w:vAlign w:val="center"/>
                </w:tcPr>
                <w:p>
                  <w:pPr>
                    <w:pStyle w:val="18"/>
                    <w:tabs>
                      <w:tab w:val="right" w:leader="dot" w:pos="9231"/>
                    </w:tabs>
                    <w:spacing w:line="320" w:lineRule="exact"/>
                    <w:ind w:left="0"/>
                    <w:jc w:val="center"/>
                    <w:rPr>
                      <w:color w:val="auto"/>
                      <w:sz w:val="18"/>
                      <w:szCs w:val="18"/>
                    </w:rPr>
                  </w:pPr>
                  <w:r>
                    <w:rPr>
                      <w:rFonts w:hint="eastAsia"/>
                      <w:color w:val="auto"/>
                      <w:sz w:val="18"/>
                      <w:szCs w:val="18"/>
                    </w:rPr>
                    <w:t>项目组成</w:t>
                  </w:r>
                </w:p>
              </w:tc>
              <w:tc>
                <w:tcPr>
                  <w:tcW w:w="3611" w:type="dxa"/>
                  <w:vMerge w:val="restart"/>
                  <w:vAlign w:val="center"/>
                </w:tcPr>
                <w:p>
                  <w:pPr>
                    <w:pStyle w:val="18"/>
                    <w:tabs>
                      <w:tab w:val="right" w:leader="dot" w:pos="9231"/>
                    </w:tabs>
                    <w:spacing w:line="320" w:lineRule="exact"/>
                    <w:ind w:left="0"/>
                    <w:jc w:val="center"/>
                    <w:rPr>
                      <w:color w:val="auto"/>
                      <w:sz w:val="18"/>
                      <w:szCs w:val="18"/>
                    </w:rPr>
                  </w:pPr>
                  <w:r>
                    <w:rPr>
                      <w:color w:val="auto"/>
                      <w:sz w:val="18"/>
                      <w:szCs w:val="18"/>
                    </w:rPr>
                    <w:t>建设内容及规模</w:t>
                  </w:r>
                </w:p>
              </w:tc>
              <w:tc>
                <w:tcPr>
                  <w:tcW w:w="1039" w:type="dxa"/>
                  <w:vMerge w:val="restart"/>
                  <w:vAlign w:val="center"/>
                </w:tcPr>
                <w:p>
                  <w:pPr>
                    <w:pStyle w:val="18"/>
                    <w:tabs>
                      <w:tab w:val="right" w:leader="dot" w:pos="9231"/>
                    </w:tabs>
                    <w:spacing w:line="320" w:lineRule="exact"/>
                    <w:ind w:left="0"/>
                    <w:jc w:val="center"/>
                    <w:rPr>
                      <w:color w:val="auto"/>
                      <w:sz w:val="18"/>
                      <w:szCs w:val="18"/>
                    </w:rPr>
                  </w:pPr>
                  <w:r>
                    <w:rPr>
                      <w:rFonts w:hint="eastAsia"/>
                      <w:color w:val="auto"/>
                      <w:sz w:val="18"/>
                      <w:szCs w:val="18"/>
                    </w:rPr>
                    <w:t>备注</w:t>
                  </w:r>
                </w:p>
              </w:tc>
              <w:tc>
                <w:tcPr>
                  <w:tcW w:w="1807" w:type="dxa"/>
                  <w:gridSpan w:val="2"/>
                  <w:vAlign w:val="center"/>
                </w:tcPr>
                <w:p>
                  <w:pPr>
                    <w:spacing w:line="320" w:lineRule="exact"/>
                    <w:jc w:val="center"/>
                    <w:rPr>
                      <w:color w:val="auto"/>
                      <w:sz w:val="18"/>
                      <w:szCs w:val="18"/>
                    </w:rPr>
                  </w:pPr>
                  <w:r>
                    <w:rPr>
                      <w:color w:val="auto"/>
                      <w:sz w:val="18"/>
                      <w:szCs w:val="18"/>
                    </w:rPr>
                    <w:t>主要环境问题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582" w:type="dxa"/>
                  <w:gridSpan w:val="2"/>
                  <w:vMerge w:val="continue"/>
                  <w:shd w:val="clear" w:color="auto" w:fill="D7D7D7"/>
                  <w:vAlign w:val="center"/>
                </w:tcPr>
                <w:p>
                  <w:pPr>
                    <w:pStyle w:val="18"/>
                    <w:tabs>
                      <w:tab w:val="right" w:leader="dot" w:pos="9231"/>
                    </w:tabs>
                    <w:spacing w:line="320" w:lineRule="exact"/>
                    <w:ind w:left="0"/>
                    <w:jc w:val="center"/>
                    <w:rPr>
                      <w:color w:val="auto"/>
                      <w:sz w:val="18"/>
                      <w:szCs w:val="18"/>
                    </w:rPr>
                  </w:pPr>
                </w:p>
              </w:tc>
              <w:tc>
                <w:tcPr>
                  <w:tcW w:w="3611" w:type="dxa"/>
                  <w:vMerge w:val="continue"/>
                  <w:shd w:val="clear" w:color="auto" w:fill="D7D7D7"/>
                  <w:vAlign w:val="center"/>
                </w:tcPr>
                <w:p>
                  <w:pPr>
                    <w:pStyle w:val="18"/>
                    <w:tabs>
                      <w:tab w:val="right" w:leader="dot" w:pos="9231"/>
                    </w:tabs>
                    <w:spacing w:line="320" w:lineRule="exact"/>
                    <w:ind w:left="0"/>
                    <w:jc w:val="center"/>
                    <w:rPr>
                      <w:color w:val="auto"/>
                      <w:sz w:val="18"/>
                      <w:szCs w:val="18"/>
                    </w:rPr>
                  </w:pPr>
                </w:p>
              </w:tc>
              <w:tc>
                <w:tcPr>
                  <w:tcW w:w="1039" w:type="dxa"/>
                  <w:vMerge w:val="continue"/>
                  <w:shd w:val="clear" w:color="auto" w:fill="D7D7D7"/>
                  <w:vAlign w:val="center"/>
                </w:tcPr>
                <w:p>
                  <w:pPr>
                    <w:pStyle w:val="18"/>
                    <w:tabs>
                      <w:tab w:val="right" w:leader="dot" w:pos="9231"/>
                    </w:tabs>
                    <w:spacing w:line="320" w:lineRule="exact"/>
                    <w:ind w:left="0"/>
                    <w:jc w:val="center"/>
                    <w:rPr>
                      <w:color w:val="auto"/>
                      <w:sz w:val="18"/>
                      <w:szCs w:val="18"/>
                    </w:rPr>
                  </w:pPr>
                </w:p>
              </w:tc>
              <w:tc>
                <w:tcPr>
                  <w:tcW w:w="1020" w:type="dxa"/>
                  <w:shd w:val="clear" w:color="auto" w:fill="auto"/>
                  <w:vAlign w:val="center"/>
                </w:tcPr>
                <w:p>
                  <w:pPr>
                    <w:spacing w:line="320" w:lineRule="exact"/>
                    <w:jc w:val="center"/>
                    <w:rPr>
                      <w:color w:val="auto"/>
                      <w:sz w:val="18"/>
                      <w:szCs w:val="18"/>
                    </w:rPr>
                  </w:pPr>
                  <w:r>
                    <w:rPr>
                      <w:color w:val="auto"/>
                      <w:sz w:val="18"/>
                      <w:szCs w:val="18"/>
                    </w:rPr>
                    <w:t>施工期</w:t>
                  </w:r>
                </w:p>
              </w:tc>
              <w:tc>
                <w:tcPr>
                  <w:tcW w:w="787" w:type="dxa"/>
                  <w:shd w:val="clear" w:color="auto" w:fill="auto"/>
                  <w:vAlign w:val="center"/>
                </w:tcPr>
                <w:p>
                  <w:pPr>
                    <w:spacing w:line="320" w:lineRule="exact"/>
                    <w:jc w:val="center"/>
                    <w:rPr>
                      <w:color w:val="auto"/>
                      <w:sz w:val="18"/>
                      <w:szCs w:val="18"/>
                    </w:rPr>
                  </w:pPr>
                  <w:r>
                    <w:rPr>
                      <w:color w:val="auto"/>
                      <w:sz w:val="18"/>
                      <w:szCs w:val="18"/>
                    </w:rPr>
                    <w:t>营运期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jc w:val="center"/>
              </w:trPr>
              <w:tc>
                <w:tcPr>
                  <w:tcW w:w="624" w:type="dxa"/>
                  <w:vAlign w:val="center"/>
                </w:tcPr>
                <w:p>
                  <w:pPr>
                    <w:spacing w:line="320" w:lineRule="exact"/>
                    <w:jc w:val="center"/>
                    <w:rPr>
                      <w:color w:val="auto"/>
                      <w:sz w:val="18"/>
                      <w:szCs w:val="18"/>
                    </w:rPr>
                  </w:pPr>
                  <w:r>
                    <w:rPr>
                      <w:color w:val="auto"/>
                      <w:sz w:val="18"/>
                      <w:szCs w:val="18"/>
                    </w:rPr>
                    <w:t>主体工程</w:t>
                  </w:r>
                </w:p>
              </w:tc>
              <w:tc>
                <w:tcPr>
                  <w:tcW w:w="958" w:type="dxa"/>
                  <w:vAlign w:val="center"/>
                </w:tcPr>
                <w:p>
                  <w:pPr>
                    <w:spacing w:line="320" w:lineRule="exact"/>
                    <w:jc w:val="center"/>
                    <w:rPr>
                      <w:rFonts w:hint="default" w:eastAsia="宋体"/>
                      <w:color w:val="auto"/>
                      <w:sz w:val="18"/>
                      <w:szCs w:val="18"/>
                      <w:lang w:val="en-US" w:eastAsia="zh-CN"/>
                    </w:rPr>
                  </w:pPr>
                  <w:r>
                    <w:rPr>
                      <w:rFonts w:hint="eastAsia"/>
                      <w:color w:val="auto"/>
                      <w:sz w:val="18"/>
                      <w:szCs w:val="18"/>
                      <w:highlight w:val="none"/>
                      <w:lang w:val="en-US" w:eastAsia="zh-CN"/>
                    </w:rPr>
                    <w:t>生产车间</w:t>
                  </w:r>
                </w:p>
              </w:tc>
              <w:tc>
                <w:tcPr>
                  <w:tcW w:w="3611" w:type="dxa"/>
                  <w:vAlign w:val="center"/>
                </w:tcPr>
                <w:p>
                  <w:pPr>
                    <w:spacing w:line="320" w:lineRule="exact"/>
                    <w:rPr>
                      <w:rFonts w:hint="default" w:eastAsia="宋体"/>
                      <w:color w:val="auto"/>
                      <w:sz w:val="18"/>
                      <w:szCs w:val="18"/>
                      <w:lang w:val="en-US" w:eastAsia="zh-CN"/>
                    </w:rPr>
                  </w:pPr>
                  <w:r>
                    <w:rPr>
                      <w:rFonts w:hint="eastAsia"/>
                      <w:color w:val="auto"/>
                      <w:sz w:val="18"/>
                      <w:szCs w:val="18"/>
                      <w:lang w:val="en-US" w:eastAsia="zh-CN"/>
                    </w:rPr>
                    <w:t>建筑面积300m</w:t>
                  </w:r>
                  <w:r>
                    <w:rPr>
                      <w:rFonts w:hint="eastAsia"/>
                      <w:color w:val="auto"/>
                      <w:sz w:val="18"/>
                      <w:szCs w:val="18"/>
                      <w:vertAlign w:val="superscript"/>
                      <w:lang w:val="en-US" w:eastAsia="zh-CN"/>
                    </w:rPr>
                    <w:t>2</w:t>
                  </w:r>
                  <w:r>
                    <w:rPr>
                      <w:rFonts w:hint="eastAsia"/>
                      <w:color w:val="auto"/>
                      <w:sz w:val="18"/>
                      <w:szCs w:val="18"/>
                      <w:lang w:val="en-US" w:eastAsia="zh-CN"/>
                    </w:rPr>
                    <w:t>，轻钢结构，位于厂区东北侧，通过购置碎浆机，搅拌机等设备，建设年产4000万个纸质蛋托生产线。</w:t>
                  </w:r>
                </w:p>
              </w:tc>
              <w:tc>
                <w:tcPr>
                  <w:tcW w:w="1039" w:type="dxa"/>
                  <w:vMerge w:val="restart"/>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利用原有厂房进行改建</w:t>
                  </w:r>
                </w:p>
              </w:tc>
              <w:tc>
                <w:tcPr>
                  <w:tcW w:w="1020" w:type="dxa"/>
                  <w:vMerge w:val="restart"/>
                  <w:vAlign w:val="center"/>
                </w:tcPr>
                <w:p>
                  <w:pPr>
                    <w:spacing w:line="320" w:lineRule="exact"/>
                    <w:jc w:val="center"/>
                    <w:rPr>
                      <w:color w:val="auto"/>
                      <w:sz w:val="18"/>
                      <w:szCs w:val="18"/>
                    </w:rPr>
                  </w:pPr>
                  <w:r>
                    <w:rPr>
                      <w:color w:val="auto"/>
                      <w:sz w:val="18"/>
                      <w:szCs w:val="18"/>
                    </w:rPr>
                    <w:t>扬尘、汽车尾气、施工人员生活污水、设备噪声、施工人员生活垃圾、装修垃圾</w:t>
                  </w:r>
                </w:p>
              </w:tc>
              <w:tc>
                <w:tcPr>
                  <w:tcW w:w="787" w:type="dxa"/>
                  <w:vAlign w:val="center"/>
                </w:tcPr>
                <w:p>
                  <w:pPr>
                    <w:spacing w:line="320" w:lineRule="exact"/>
                    <w:jc w:val="center"/>
                    <w:rPr>
                      <w:color w:val="auto"/>
                      <w:sz w:val="18"/>
                      <w:szCs w:val="18"/>
                    </w:rPr>
                  </w:pPr>
                  <w:r>
                    <w:rPr>
                      <w:color w:val="auto"/>
                      <w:sz w:val="18"/>
                      <w:szCs w:val="18"/>
                    </w:rPr>
                    <w:t>废气、</w:t>
                  </w:r>
                  <w:r>
                    <w:rPr>
                      <w:rFonts w:hint="eastAsia"/>
                      <w:color w:val="auto"/>
                      <w:sz w:val="18"/>
                      <w:szCs w:val="18"/>
                      <w:lang w:val="en-US" w:eastAsia="zh-CN"/>
                    </w:rPr>
                    <w:t>固废、</w:t>
                  </w:r>
                  <w:r>
                    <w:rPr>
                      <w:color w:val="auto"/>
                      <w:sz w:val="18"/>
                      <w:szCs w:val="18"/>
                    </w:rPr>
                    <w:t>噪声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Align w:val="center"/>
                </w:tcPr>
                <w:p>
                  <w:pPr>
                    <w:spacing w:line="320" w:lineRule="exact"/>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rPr>
                    <w:t>仓储工程</w:t>
                  </w:r>
                </w:p>
              </w:tc>
              <w:tc>
                <w:tcPr>
                  <w:tcW w:w="958" w:type="dxa"/>
                  <w:vAlign w:val="center"/>
                </w:tcPr>
                <w:p>
                  <w:pPr>
                    <w:spacing w:line="32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成品库房</w:t>
                  </w:r>
                </w:p>
              </w:tc>
              <w:tc>
                <w:tcPr>
                  <w:tcW w:w="3611" w:type="dxa"/>
                  <w:vAlign w:val="center"/>
                </w:tcPr>
                <w:p>
                  <w:pPr>
                    <w:spacing w:line="320" w:lineRule="exact"/>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建筑面积450m</w:t>
                  </w:r>
                  <w:r>
                    <w:rPr>
                      <w:rFonts w:hint="eastAsia"/>
                      <w:color w:val="auto"/>
                      <w:sz w:val="18"/>
                      <w:szCs w:val="18"/>
                      <w:vertAlign w:val="superscript"/>
                      <w:lang w:val="en-US" w:eastAsia="zh-CN"/>
                    </w:rPr>
                    <w:t>2</w:t>
                  </w:r>
                  <w:r>
                    <w:rPr>
                      <w:rFonts w:hint="eastAsia"/>
                      <w:color w:val="auto"/>
                      <w:sz w:val="18"/>
                      <w:szCs w:val="18"/>
                      <w:lang w:val="en-US" w:eastAsia="zh-CN"/>
                    </w:rPr>
                    <w:t>，轻钢结构，</w:t>
                  </w:r>
                  <w:r>
                    <w:rPr>
                      <w:rFonts w:hint="eastAsia"/>
                      <w:color w:val="auto"/>
                      <w:sz w:val="18"/>
                      <w:szCs w:val="18"/>
                      <w:highlight w:val="none"/>
                      <w:lang w:val="en-US" w:eastAsia="zh-CN"/>
                    </w:rPr>
                    <w:t>位于</w:t>
                  </w:r>
                  <w:r>
                    <w:rPr>
                      <w:rFonts w:hint="eastAsia"/>
                      <w:color w:val="auto"/>
                      <w:sz w:val="18"/>
                      <w:szCs w:val="18"/>
                      <w:lang w:val="en-US" w:eastAsia="zh-CN"/>
                    </w:rPr>
                    <w:t>厂区东北侧。</w:t>
                  </w:r>
                </w:p>
              </w:tc>
              <w:tc>
                <w:tcPr>
                  <w:tcW w:w="1039" w:type="dxa"/>
                  <w:vMerge w:val="continue"/>
                  <w:vAlign w:val="center"/>
                </w:tcPr>
                <w:p>
                  <w:pPr>
                    <w:spacing w:line="320" w:lineRule="exact"/>
                    <w:jc w:val="center"/>
                    <w:rPr>
                      <w:rFonts w:hint="eastAsia" w:eastAsia="宋体"/>
                      <w:color w:val="auto"/>
                      <w:sz w:val="18"/>
                      <w:szCs w:val="18"/>
                      <w:lang w:val="en-US" w:eastAsia="zh-CN"/>
                    </w:rPr>
                  </w:pP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Align w:val="center"/>
                </w:tcPr>
                <w:p>
                  <w:pPr>
                    <w:spacing w:line="32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rPr>
                    <w:t>辅助工程</w:t>
                  </w:r>
                </w:p>
              </w:tc>
              <w:tc>
                <w:tcPr>
                  <w:tcW w:w="958" w:type="dxa"/>
                  <w:vAlign w:val="center"/>
                </w:tcPr>
                <w:p>
                  <w:pPr>
                    <w:spacing w:line="32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生活区</w:t>
                  </w:r>
                </w:p>
              </w:tc>
              <w:tc>
                <w:tcPr>
                  <w:tcW w:w="3611" w:type="dxa"/>
                  <w:vAlign w:val="center"/>
                </w:tcPr>
                <w:p>
                  <w:pPr>
                    <w:spacing w:line="320" w:lineRule="exact"/>
                    <w:jc w:val="left"/>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建筑面积149m</w:t>
                  </w:r>
                  <w:r>
                    <w:rPr>
                      <w:rFonts w:hint="eastAsia"/>
                      <w:color w:val="auto"/>
                      <w:sz w:val="18"/>
                      <w:szCs w:val="18"/>
                      <w:vertAlign w:val="superscript"/>
                      <w:lang w:val="en-US" w:eastAsia="zh-CN"/>
                    </w:rPr>
                    <w:t>2</w:t>
                  </w:r>
                  <w:r>
                    <w:rPr>
                      <w:rFonts w:hint="eastAsia"/>
                      <w:color w:val="auto"/>
                      <w:sz w:val="18"/>
                      <w:szCs w:val="18"/>
                      <w:lang w:val="en-US" w:eastAsia="zh-CN"/>
                    </w:rPr>
                    <w:t>，包含员工宿舍、厨房。</w:t>
                  </w:r>
                  <w:r>
                    <w:rPr>
                      <w:rFonts w:hint="eastAsia"/>
                      <w:color w:val="auto"/>
                      <w:sz w:val="18"/>
                      <w:szCs w:val="18"/>
                      <w:highlight w:val="none"/>
                      <w:lang w:val="en-US" w:eastAsia="zh-CN"/>
                    </w:rPr>
                    <w:t>位于厂区西南侧。</w:t>
                  </w:r>
                </w:p>
              </w:tc>
              <w:tc>
                <w:tcPr>
                  <w:tcW w:w="1039" w:type="dxa"/>
                  <w:vAlign w:val="center"/>
                </w:tcPr>
                <w:p>
                  <w:pPr>
                    <w:spacing w:line="320" w:lineRule="exact"/>
                    <w:jc w:val="center"/>
                    <w:rPr>
                      <w:rFonts w:hint="eastAsia"/>
                      <w:color w:val="auto"/>
                      <w:sz w:val="18"/>
                      <w:szCs w:val="18"/>
                      <w:lang w:val="en-US" w:eastAsia="zh-CN"/>
                    </w:rPr>
                  </w:pPr>
                  <w:r>
                    <w:rPr>
                      <w:rFonts w:hint="eastAsia"/>
                      <w:color w:val="auto"/>
                      <w:sz w:val="18"/>
                      <w:szCs w:val="18"/>
                      <w:lang w:val="en-US" w:eastAsia="zh-CN"/>
                    </w:rPr>
                    <w:t>新建</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eastAsia"/>
                      <w:color w:val="auto"/>
                      <w:sz w:val="18"/>
                      <w:szCs w:val="18"/>
                    </w:rPr>
                  </w:pPr>
                  <w:r>
                    <w:rPr>
                      <w:rFonts w:hint="eastAsia"/>
                      <w:color w:val="auto"/>
                      <w:sz w:val="18"/>
                      <w:szCs w:val="18"/>
                    </w:rPr>
                    <w:t>废气、噪声</w:t>
                  </w:r>
                  <w:r>
                    <w:rPr>
                      <w:rFonts w:hint="eastAsia"/>
                      <w:color w:val="auto"/>
                      <w:sz w:val="18"/>
                      <w:szCs w:val="18"/>
                      <w:lang w:eastAsia="zh-CN"/>
                    </w:rPr>
                    <w:t>、</w:t>
                  </w:r>
                  <w:r>
                    <w:rPr>
                      <w:rFonts w:hint="eastAsia"/>
                      <w:color w:val="auto"/>
                      <w:sz w:val="18"/>
                      <w:szCs w:val="18"/>
                      <w:lang w:val="en-US" w:eastAsia="zh-CN"/>
                    </w:rPr>
                    <w:t>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restart"/>
                  <w:vAlign w:val="center"/>
                </w:tcPr>
                <w:p>
                  <w:pPr>
                    <w:spacing w:line="320" w:lineRule="exact"/>
                    <w:jc w:val="center"/>
                    <w:rPr>
                      <w:color w:val="auto"/>
                      <w:sz w:val="18"/>
                      <w:szCs w:val="18"/>
                    </w:rPr>
                  </w:pPr>
                  <w:r>
                    <w:rPr>
                      <w:color w:val="auto"/>
                      <w:sz w:val="18"/>
                      <w:szCs w:val="18"/>
                    </w:rPr>
                    <w:t>公用工程</w:t>
                  </w:r>
                </w:p>
              </w:tc>
              <w:tc>
                <w:tcPr>
                  <w:tcW w:w="958"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供水</w:t>
                  </w:r>
                </w:p>
              </w:tc>
              <w:tc>
                <w:tcPr>
                  <w:tcW w:w="3611" w:type="dxa"/>
                  <w:vAlign w:val="center"/>
                </w:tcPr>
                <w:p>
                  <w:pPr>
                    <w:spacing w:line="320" w:lineRule="exact"/>
                    <w:jc w:val="left"/>
                    <w:rPr>
                      <w:color w:val="auto"/>
                      <w:sz w:val="18"/>
                      <w:szCs w:val="18"/>
                    </w:rPr>
                  </w:pPr>
                  <w:r>
                    <w:rPr>
                      <w:rFonts w:hint="eastAsia"/>
                      <w:color w:val="auto"/>
                      <w:sz w:val="18"/>
                      <w:szCs w:val="18"/>
                    </w:rPr>
                    <w:t>玛纳斯县兰州湾镇给水管网</w:t>
                  </w:r>
                </w:p>
              </w:tc>
              <w:tc>
                <w:tcPr>
                  <w:tcW w:w="1039"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依托</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spacing w:line="320" w:lineRule="exact"/>
                    <w:ind w:firstLine="90" w:firstLineChars="50"/>
                    <w:jc w:val="center"/>
                    <w:rPr>
                      <w:color w:val="auto"/>
                      <w:sz w:val="18"/>
                      <w:szCs w:val="18"/>
                    </w:rPr>
                  </w:pPr>
                </w:p>
              </w:tc>
              <w:tc>
                <w:tcPr>
                  <w:tcW w:w="958"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供电</w:t>
                  </w:r>
                </w:p>
              </w:tc>
              <w:tc>
                <w:tcPr>
                  <w:tcW w:w="3611" w:type="dxa"/>
                  <w:vAlign w:val="center"/>
                </w:tcPr>
                <w:p>
                  <w:pPr>
                    <w:spacing w:line="320" w:lineRule="exact"/>
                    <w:jc w:val="left"/>
                    <w:rPr>
                      <w:color w:val="auto"/>
                      <w:sz w:val="18"/>
                      <w:szCs w:val="18"/>
                    </w:rPr>
                  </w:pPr>
                  <w:r>
                    <w:rPr>
                      <w:rFonts w:hint="eastAsia"/>
                      <w:color w:val="auto"/>
                      <w:sz w:val="18"/>
                      <w:szCs w:val="18"/>
                    </w:rPr>
                    <w:t>玛纳斯县兰州湾镇供电电网</w:t>
                  </w:r>
                </w:p>
              </w:tc>
              <w:tc>
                <w:tcPr>
                  <w:tcW w:w="1039"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依托</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color w:val="auto"/>
                      <w:sz w:val="18"/>
                      <w:szCs w:val="18"/>
                    </w:rPr>
                  </w:pPr>
                  <w:r>
                    <w:rPr>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spacing w:line="320" w:lineRule="exact"/>
                    <w:ind w:firstLine="90" w:firstLineChars="50"/>
                    <w:jc w:val="center"/>
                    <w:rPr>
                      <w:color w:val="auto"/>
                      <w:sz w:val="18"/>
                      <w:szCs w:val="18"/>
                    </w:rPr>
                  </w:pPr>
                </w:p>
              </w:tc>
              <w:tc>
                <w:tcPr>
                  <w:tcW w:w="958" w:type="dxa"/>
                  <w:vAlign w:val="center"/>
                </w:tcPr>
                <w:p>
                  <w:pPr>
                    <w:spacing w:line="320" w:lineRule="exact"/>
                    <w:jc w:val="center"/>
                    <w:rPr>
                      <w:rFonts w:hint="default"/>
                      <w:color w:val="auto"/>
                      <w:sz w:val="18"/>
                      <w:szCs w:val="18"/>
                      <w:lang w:val="en-US" w:eastAsia="zh-CN"/>
                    </w:rPr>
                  </w:pPr>
                  <w:r>
                    <w:rPr>
                      <w:rFonts w:hint="eastAsia"/>
                      <w:color w:val="auto"/>
                      <w:sz w:val="18"/>
                      <w:szCs w:val="18"/>
                      <w:lang w:val="en-US" w:eastAsia="zh-CN"/>
                    </w:rPr>
                    <w:t>供暖</w:t>
                  </w:r>
                </w:p>
              </w:tc>
              <w:tc>
                <w:tcPr>
                  <w:tcW w:w="3611" w:type="dxa"/>
                  <w:vAlign w:val="center"/>
                </w:tcPr>
                <w:p>
                  <w:pPr>
                    <w:spacing w:line="320" w:lineRule="exact"/>
                    <w:jc w:val="left"/>
                    <w:rPr>
                      <w:rFonts w:hint="eastAsia"/>
                      <w:color w:val="auto"/>
                      <w:sz w:val="18"/>
                      <w:szCs w:val="18"/>
                    </w:rPr>
                  </w:pPr>
                  <w:r>
                    <w:rPr>
                      <w:rFonts w:hint="eastAsia"/>
                      <w:color w:val="auto"/>
                      <w:sz w:val="18"/>
                      <w:szCs w:val="18"/>
                    </w:rPr>
                    <w:t>冬季采用电采暖，电暖气用电使用厂区250kVA变压器提供</w:t>
                  </w:r>
                </w:p>
              </w:tc>
              <w:tc>
                <w:tcPr>
                  <w:tcW w:w="1039" w:type="dxa"/>
                  <w:vAlign w:val="center"/>
                </w:tcPr>
                <w:p>
                  <w:pPr>
                    <w:spacing w:line="320" w:lineRule="exact"/>
                    <w:jc w:val="center"/>
                    <w:rPr>
                      <w:rFonts w:hint="default"/>
                      <w:color w:val="auto"/>
                      <w:sz w:val="18"/>
                      <w:szCs w:val="18"/>
                      <w:lang w:val="en-US" w:eastAsia="zh-CN"/>
                    </w:rPr>
                  </w:pPr>
                  <w:r>
                    <w:rPr>
                      <w:rFonts w:hint="eastAsia"/>
                      <w:color w:val="auto"/>
                      <w:sz w:val="18"/>
                      <w:szCs w:val="18"/>
                      <w:lang w:val="en-US" w:eastAsia="zh-CN"/>
                    </w:rPr>
                    <w:t>依托</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spacing w:line="320" w:lineRule="exact"/>
                    <w:ind w:firstLine="90" w:firstLineChars="50"/>
                    <w:jc w:val="center"/>
                    <w:rPr>
                      <w:color w:val="auto"/>
                      <w:sz w:val="18"/>
                      <w:szCs w:val="18"/>
                    </w:rPr>
                  </w:pPr>
                </w:p>
              </w:tc>
              <w:tc>
                <w:tcPr>
                  <w:tcW w:w="958" w:type="dxa"/>
                  <w:vAlign w:val="center"/>
                </w:tcPr>
                <w:p>
                  <w:pPr>
                    <w:spacing w:line="320" w:lineRule="exact"/>
                    <w:jc w:val="center"/>
                    <w:rPr>
                      <w:rFonts w:hint="default"/>
                      <w:color w:val="auto"/>
                      <w:sz w:val="18"/>
                      <w:szCs w:val="18"/>
                      <w:lang w:val="en-US" w:eastAsia="zh-CN"/>
                    </w:rPr>
                  </w:pPr>
                  <w:r>
                    <w:rPr>
                      <w:rFonts w:hint="eastAsia"/>
                      <w:color w:val="auto"/>
                      <w:sz w:val="18"/>
                      <w:szCs w:val="18"/>
                      <w:lang w:val="en-US" w:eastAsia="zh-CN"/>
                    </w:rPr>
                    <w:t>供热</w:t>
                  </w:r>
                </w:p>
              </w:tc>
              <w:tc>
                <w:tcPr>
                  <w:tcW w:w="3611" w:type="dxa"/>
                  <w:vAlign w:val="center"/>
                </w:tcPr>
                <w:p>
                  <w:pPr>
                    <w:spacing w:line="320" w:lineRule="exact"/>
                    <w:jc w:val="left"/>
                    <w:rPr>
                      <w:rFonts w:hint="default" w:eastAsia="宋体"/>
                      <w:color w:val="auto"/>
                      <w:sz w:val="18"/>
                      <w:szCs w:val="18"/>
                      <w:lang w:val="en-US" w:eastAsia="zh-CN"/>
                    </w:rPr>
                  </w:pPr>
                  <w:r>
                    <w:rPr>
                      <w:rFonts w:hint="eastAsia"/>
                      <w:color w:val="auto"/>
                      <w:sz w:val="18"/>
                      <w:szCs w:val="18"/>
                      <w:lang w:val="en-US" w:eastAsia="zh-CN"/>
                    </w:rPr>
                    <w:t>烘干炉以天然气作为燃料，依托天然气管网</w:t>
                  </w:r>
                </w:p>
              </w:tc>
              <w:tc>
                <w:tcPr>
                  <w:tcW w:w="1039" w:type="dxa"/>
                  <w:vAlign w:val="center"/>
                </w:tcPr>
                <w:p>
                  <w:pPr>
                    <w:spacing w:line="320" w:lineRule="exact"/>
                    <w:jc w:val="center"/>
                    <w:rPr>
                      <w:rFonts w:hint="eastAsia"/>
                      <w:color w:val="auto"/>
                      <w:sz w:val="18"/>
                      <w:szCs w:val="18"/>
                      <w:lang w:val="en-US" w:eastAsia="zh-CN"/>
                    </w:rPr>
                  </w:pPr>
                  <w:r>
                    <w:rPr>
                      <w:rFonts w:hint="eastAsia"/>
                      <w:color w:val="auto"/>
                      <w:sz w:val="18"/>
                      <w:szCs w:val="18"/>
                      <w:lang w:val="en-US" w:eastAsia="zh-CN"/>
                    </w:rPr>
                    <w:t>依托</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restart"/>
                  <w:vAlign w:val="center"/>
                </w:tcPr>
                <w:p>
                  <w:pPr>
                    <w:spacing w:line="320" w:lineRule="exact"/>
                    <w:jc w:val="center"/>
                    <w:rPr>
                      <w:color w:val="auto"/>
                      <w:sz w:val="18"/>
                      <w:szCs w:val="18"/>
                    </w:rPr>
                  </w:pPr>
                  <w:r>
                    <w:rPr>
                      <w:color w:val="auto"/>
                      <w:sz w:val="18"/>
                      <w:szCs w:val="18"/>
                    </w:rPr>
                    <w:t>环保工程</w:t>
                  </w:r>
                </w:p>
              </w:tc>
              <w:tc>
                <w:tcPr>
                  <w:tcW w:w="958"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废水</w:t>
                  </w:r>
                </w:p>
              </w:tc>
              <w:tc>
                <w:tcPr>
                  <w:tcW w:w="3611" w:type="dxa"/>
                  <w:vAlign w:val="center"/>
                </w:tcPr>
                <w:p>
                  <w:pPr>
                    <w:spacing w:line="320" w:lineRule="atLeast"/>
                    <w:jc w:val="left"/>
                    <w:rPr>
                      <w:rFonts w:hint="eastAsia" w:eastAsia="宋体"/>
                      <w:color w:val="auto"/>
                      <w:sz w:val="18"/>
                      <w:szCs w:val="18"/>
                      <w:lang w:val="en-US" w:eastAsia="zh-CN"/>
                    </w:rPr>
                  </w:pPr>
                  <w:r>
                    <w:rPr>
                      <w:rFonts w:hint="eastAsia"/>
                      <w:color w:val="auto"/>
                      <w:sz w:val="18"/>
                      <w:szCs w:val="18"/>
                      <w:lang w:val="en-US" w:eastAsia="zh-CN"/>
                    </w:rPr>
                    <w:t>生活废水：直接排入市政污水管网，最终进入玛纳斯县污水处理厂</w:t>
                  </w:r>
                </w:p>
              </w:tc>
              <w:tc>
                <w:tcPr>
                  <w:tcW w:w="1039" w:type="dxa"/>
                  <w:vAlign w:val="center"/>
                </w:tcPr>
                <w:p>
                  <w:pPr>
                    <w:spacing w:line="320" w:lineRule="atLeast"/>
                    <w:jc w:val="center"/>
                    <w:rPr>
                      <w:color w:val="auto"/>
                      <w:sz w:val="18"/>
                      <w:szCs w:val="18"/>
                    </w:rPr>
                  </w:pPr>
                  <w:r>
                    <w:rPr>
                      <w:rFonts w:hint="eastAsia"/>
                      <w:color w:val="auto"/>
                      <w:sz w:val="18"/>
                      <w:szCs w:val="18"/>
                      <w:lang w:val="en-US" w:eastAsia="zh-CN"/>
                    </w:rPr>
                    <w:t>依托</w:t>
                  </w:r>
                </w:p>
              </w:tc>
              <w:tc>
                <w:tcPr>
                  <w:tcW w:w="1020" w:type="dxa"/>
                  <w:vMerge w:val="restart"/>
                  <w:vAlign w:val="center"/>
                </w:tcPr>
                <w:p>
                  <w:pPr>
                    <w:spacing w:line="320" w:lineRule="exact"/>
                    <w:jc w:val="center"/>
                    <w:rPr>
                      <w:color w:val="auto"/>
                      <w:sz w:val="18"/>
                      <w:szCs w:val="18"/>
                    </w:rPr>
                  </w:pPr>
                  <w:r>
                    <w:rPr>
                      <w:rFonts w:hint="eastAsia"/>
                      <w:color w:val="auto"/>
                      <w:sz w:val="18"/>
                      <w:szCs w:val="18"/>
                    </w:rPr>
                    <w:t>/</w:t>
                  </w:r>
                </w:p>
              </w:tc>
              <w:tc>
                <w:tcPr>
                  <w:tcW w:w="787"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spacing w:line="320" w:lineRule="exact"/>
                    <w:ind w:firstLine="90" w:firstLineChars="50"/>
                    <w:jc w:val="center"/>
                    <w:rPr>
                      <w:color w:val="auto"/>
                      <w:sz w:val="18"/>
                      <w:szCs w:val="18"/>
                    </w:rPr>
                  </w:pPr>
                </w:p>
              </w:tc>
              <w:tc>
                <w:tcPr>
                  <w:tcW w:w="95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90" w:firstLineChars="50"/>
                    <w:jc w:val="center"/>
                    <w:textAlignment w:val="auto"/>
                    <w:rPr>
                      <w:color w:val="auto"/>
                      <w:sz w:val="18"/>
                      <w:szCs w:val="18"/>
                    </w:rPr>
                  </w:pPr>
                  <w:r>
                    <w:rPr>
                      <w:color w:val="auto"/>
                      <w:sz w:val="18"/>
                      <w:szCs w:val="18"/>
                    </w:rPr>
                    <w:t>废气</w:t>
                  </w:r>
                </w:p>
              </w:tc>
              <w:tc>
                <w:tcPr>
                  <w:tcW w:w="3611" w:type="dxa"/>
                  <w:vAlign w:val="center"/>
                </w:tcPr>
                <w:p>
                  <w:pPr>
                    <w:spacing w:line="320" w:lineRule="atLeast"/>
                    <w:jc w:val="left"/>
                    <w:rPr>
                      <w:color w:val="auto"/>
                      <w:sz w:val="18"/>
                      <w:szCs w:val="18"/>
                    </w:rPr>
                  </w:pPr>
                  <w:r>
                    <w:rPr>
                      <w:rFonts w:hint="eastAsia"/>
                      <w:color w:val="auto"/>
                      <w:sz w:val="18"/>
                      <w:szCs w:val="18"/>
                    </w:rPr>
                    <w:t>投料粉尘</w:t>
                  </w:r>
                  <w:r>
                    <w:rPr>
                      <w:rFonts w:hint="eastAsia"/>
                      <w:color w:val="auto"/>
                      <w:sz w:val="18"/>
                      <w:szCs w:val="18"/>
                      <w:lang w:eastAsia="zh-CN"/>
                    </w:rPr>
                    <w:t>：</w:t>
                  </w:r>
                  <w:r>
                    <w:rPr>
                      <w:rFonts w:hint="eastAsia"/>
                      <w:color w:val="auto"/>
                      <w:sz w:val="18"/>
                      <w:szCs w:val="18"/>
                    </w:rPr>
                    <w:t>经集气罩+布袋除尘器处理后通过15m高排气筒（DA001）排放</w:t>
                  </w:r>
                </w:p>
              </w:tc>
              <w:tc>
                <w:tcPr>
                  <w:tcW w:w="1039" w:type="dxa"/>
                  <w:vAlign w:val="center"/>
                </w:tcPr>
                <w:p>
                  <w:pPr>
                    <w:spacing w:line="320" w:lineRule="atLeast"/>
                    <w:jc w:val="center"/>
                    <w:rPr>
                      <w:rFonts w:hint="default" w:eastAsia="宋体"/>
                      <w:color w:val="auto"/>
                      <w:sz w:val="18"/>
                      <w:szCs w:val="18"/>
                      <w:lang w:val="en-US" w:eastAsia="zh-CN"/>
                    </w:rPr>
                  </w:pPr>
                  <w:r>
                    <w:rPr>
                      <w:rFonts w:hint="eastAsia"/>
                      <w:color w:val="auto"/>
                      <w:sz w:val="18"/>
                      <w:szCs w:val="18"/>
                      <w:lang w:val="en-US" w:eastAsia="zh-CN"/>
                    </w:rPr>
                    <w:t>新建</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spacing w:line="320" w:lineRule="exact"/>
                    <w:ind w:firstLine="90" w:firstLineChars="50"/>
                    <w:jc w:val="center"/>
                    <w:rPr>
                      <w:color w:val="auto"/>
                      <w:sz w:val="18"/>
                      <w:szCs w:val="18"/>
                    </w:rPr>
                  </w:pPr>
                </w:p>
              </w:tc>
              <w:tc>
                <w:tcPr>
                  <w:tcW w:w="95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90" w:firstLineChars="50"/>
                    <w:jc w:val="center"/>
                    <w:textAlignment w:val="auto"/>
                    <w:rPr>
                      <w:color w:val="auto"/>
                      <w:sz w:val="18"/>
                      <w:szCs w:val="18"/>
                    </w:rPr>
                  </w:pPr>
                </w:p>
              </w:tc>
              <w:tc>
                <w:tcPr>
                  <w:tcW w:w="3611" w:type="dxa"/>
                  <w:vAlign w:val="center"/>
                </w:tcPr>
                <w:p>
                  <w:pPr>
                    <w:spacing w:line="320" w:lineRule="atLeast"/>
                    <w:jc w:val="left"/>
                    <w:rPr>
                      <w:rFonts w:hint="default" w:eastAsia="宋体"/>
                      <w:color w:val="auto"/>
                      <w:sz w:val="18"/>
                      <w:szCs w:val="18"/>
                      <w:lang w:val="en-US" w:eastAsia="zh-CN"/>
                    </w:rPr>
                  </w:pPr>
                  <w:r>
                    <w:rPr>
                      <w:rFonts w:hint="eastAsia"/>
                      <w:color w:val="auto"/>
                      <w:sz w:val="18"/>
                      <w:szCs w:val="18"/>
                      <w:lang w:val="en-US" w:eastAsia="zh-CN"/>
                    </w:rPr>
                    <w:t>烘干废气：经</w:t>
                  </w:r>
                  <w:r>
                    <w:rPr>
                      <w:rFonts w:hint="eastAsia"/>
                      <w:color w:val="auto"/>
                      <w:sz w:val="18"/>
                      <w:szCs w:val="18"/>
                    </w:rPr>
                    <w:t>15m高排气筒（DA00</w:t>
                  </w:r>
                  <w:r>
                    <w:rPr>
                      <w:rFonts w:hint="eastAsia"/>
                      <w:color w:val="auto"/>
                      <w:sz w:val="18"/>
                      <w:szCs w:val="18"/>
                      <w:lang w:val="en-US" w:eastAsia="zh-CN"/>
                    </w:rPr>
                    <w:t>2</w:t>
                  </w:r>
                  <w:r>
                    <w:rPr>
                      <w:rFonts w:hint="eastAsia"/>
                      <w:color w:val="auto"/>
                      <w:sz w:val="18"/>
                      <w:szCs w:val="18"/>
                    </w:rPr>
                    <w:t>）排放</w:t>
                  </w:r>
                </w:p>
              </w:tc>
              <w:tc>
                <w:tcPr>
                  <w:tcW w:w="1039" w:type="dxa"/>
                  <w:vAlign w:val="center"/>
                </w:tcPr>
                <w:p>
                  <w:pPr>
                    <w:spacing w:line="320" w:lineRule="atLeast"/>
                    <w:jc w:val="center"/>
                    <w:rPr>
                      <w:rFonts w:hint="default" w:eastAsia="宋体"/>
                      <w:color w:val="auto"/>
                      <w:sz w:val="18"/>
                      <w:szCs w:val="18"/>
                      <w:lang w:val="en-US" w:eastAsia="zh-CN"/>
                    </w:rPr>
                  </w:pPr>
                  <w:r>
                    <w:rPr>
                      <w:rFonts w:hint="eastAsia"/>
                      <w:color w:val="auto"/>
                      <w:sz w:val="18"/>
                      <w:szCs w:val="18"/>
                      <w:lang w:val="en-US" w:eastAsia="zh-CN"/>
                    </w:rPr>
                    <w:t>新建</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spacing w:line="320" w:lineRule="exact"/>
                    <w:ind w:firstLine="90" w:firstLineChars="50"/>
                    <w:jc w:val="center"/>
                    <w:rPr>
                      <w:color w:val="auto"/>
                      <w:sz w:val="18"/>
                      <w:szCs w:val="18"/>
                    </w:rPr>
                  </w:pPr>
                </w:p>
              </w:tc>
              <w:tc>
                <w:tcPr>
                  <w:tcW w:w="95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90" w:firstLineChars="50"/>
                    <w:jc w:val="center"/>
                    <w:textAlignment w:val="auto"/>
                    <w:rPr>
                      <w:color w:val="auto"/>
                      <w:sz w:val="18"/>
                      <w:szCs w:val="18"/>
                    </w:rPr>
                  </w:pPr>
                </w:p>
              </w:tc>
              <w:tc>
                <w:tcPr>
                  <w:tcW w:w="3611" w:type="dxa"/>
                  <w:vAlign w:val="center"/>
                </w:tcPr>
                <w:p>
                  <w:pPr>
                    <w:spacing w:line="320" w:lineRule="atLeast"/>
                    <w:jc w:val="left"/>
                    <w:rPr>
                      <w:rFonts w:hint="default"/>
                      <w:color w:val="auto"/>
                      <w:sz w:val="18"/>
                      <w:szCs w:val="18"/>
                      <w:lang w:val="en-US" w:eastAsia="zh-CN"/>
                    </w:rPr>
                  </w:pPr>
                  <w:r>
                    <w:rPr>
                      <w:rFonts w:hint="eastAsia"/>
                      <w:color w:val="auto"/>
                      <w:sz w:val="18"/>
                      <w:szCs w:val="18"/>
                      <w:lang w:val="en-US" w:eastAsia="zh-CN"/>
                    </w:rPr>
                    <w:t>油烟废气：经油烟净化器处理后引至屋顶排放</w:t>
                  </w:r>
                </w:p>
              </w:tc>
              <w:tc>
                <w:tcPr>
                  <w:tcW w:w="1039" w:type="dxa"/>
                  <w:vAlign w:val="center"/>
                </w:tcPr>
                <w:p>
                  <w:pPr>
                    <w:spacing w:line="320" w:lineRule="atLeast"/>
                    <w:jc w:val="center"/>
                    <w:rPr>
                      <w:rFonts w:hint="default"/>
                      <w:color w:val="auto"/>
                      <w:sz w:val="18"/>
                      <w:szCs w:val="18"/>
                      <w:lang w:val="en-US" w:eastAsia="zh-CN"/>
                    </w:rPr>
                  </w:pPr>
                  <w:r>
                    <w:rPr>
                      <w:rFonts w:hint="eastAsia"/>
                      <w:color w:val="auto"/>
                      <w:sz w:val="18"/>
                      <w:szCs w:val="18"/>
                      <w:lang w:val="en-US" w:eastAsia="zh-CN"/>
                    </w:rPr>
                    <w:t>新建</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default"/>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spacing w:line="320" w:lineRule="exact"/>
                    <w:ind w:firstLine="90" w:firstLineChars="50"/>
                    <w:jc w:val="center"/>
                    <w:rPr>
                      <w:color w:val="auto"/>
                      <w:sz w:val="18"/>
                      <w:szCs w:val="18"/>
                    </w:rPr>
                  </w:pPr>
                </w:p>
              </w:tc>
              <w:tc>
                <w:tcPr>
                  <w:tcW w:w="958"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ind w:firstLine="90" w:firstLineChars="50"/>
                    <w:jc w:val="center"/>
                    <w:textAlignment w:val="auto"/>
                    <w:rPr>
                      <w:color w:val="auto"/>
                      <w:sz w:val="18"/>
                      <w:szCs w:val="18"/>
                    </w:rPr>
                  </w:pPr>
                  <w:r>
                    <w:rPr>
                      <w:rFonts w:hint="eastAsia"/>
                      <w:color w:val="auto"/>
                      <w:sz w:val="18"/>
                      <w:szCs w:val="18"/>
                      <w:highlight w:val="none"/>
                    </w:rPr>
                    <w:t>固废</w:t>
                  </w:r>
                </w:p>
              </w:tc>
              <w:tc>
                <w:tcPr>
                  <w:tcW w:w="3611" w:type="dxa"/>
                  <w:vAlign w:val="center"/>
                </w:tcPr>
                <w:p>
                  <w:pPr>
                    <w:spacing w:line="320" w:lineRule="atLeast"/>
                    <w:jc w:val="left"/>
                    <w:rPr>
                      <w:rFonts w:hint="default" w:eastAsia="宋体"/>
                      <w:color w:val="auto"/>
                      <w:sz w:val="18"/>
                      <w:szCs w:val="18"/>
                      <w:lang w:val="en-US" w:eastAsia="zh-CN"/>
                    </w:rPr>
                  </w:pPr>
                  <w:r>
                    <w:rPr>
                      <w:rFonts w:hint="eastAsia"/>
                      <w:color w:val="auto"/>
                      <w:sz w:val="18"/>
                      <w:szCs w:val="18"/>
                      <w:lang w:val="en-US" w:eastAsia="zh-CN"/>
                    </w:rPr>
                    <w:t>生活垃圾：收集后交由环卫部门处理</w:t>
                  </w:r>
                </w:p>
              </w:tc>
              <w:tc>
                <w:tcPr>
                  <w:tcW w:w="1039" w:type="dxa"/>
                  <w:vAlign w:val="center"/>
                </w:tcPr>
                <w:p>
                  <w:pPr>
                    <w:spacing w:line="320" w:lineRule="atLeast"/>
                    <w:jc w:val="center"/>
                    <w:rPr>
                      <w:rFonts w:hint="eastAsia" w:eastAsia="宋体"/>
                      <w:color w:val="auto"/>
                      <w:sz w:val="18"/>
                      <w:szCs w:val="18"/>
                      <w:lang w:val="en-US" w:eastAsia="zh-CN"/>
                    </w:rPr>
                  </w:pPr>
                  <w:r>
                    <w:rPr>
                      <w:rFonts w:hint="eastAsia"/>
                      <w:color w:val="auto"/>
                      <w:sz w:val="18"/>
                      <w:szCs w:val="18"/>
                      <w:lang w:val="en-US" w:eastAsia="zh-CN"/>
                    </w:rPr>
                    <w:t>新建</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spacing w:line="320" w:lineRule="exact"/>
                    <w:ind w:firstLine="90" w:firstLineChars="50"/>
                    <w:jc w:val="center"/>
                    <w:rPr>
                      <w:color w:val="auto"/>
                      <w:sz w:val="18"/>
                      <w:szCs w:val="18"/>
                    </w:rPr>
                  </w:pPr>
                </w:p>
              </w:tc>
              <w:tc>
                <w:tcPr>
                  <w:tcW w:w="95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90" w:firstLineChars="50"/>
                    <w:jc w:val="center"/>
                    <w:textAlignment w:val="auto"/>
                    <w:rPr>
                      <w:color w:val="auto"/>
                      <w:sz w:val="18"/>
                      <w:szCs w:val="18"/>
                    </w:rPr>
                  </w:pPr>
                </w:p>
              </w:tc>
              <w:tc>
                <w:tcPr>
                  <w:tcW w:w="3611" w:type="dxa"/>
                  <w:vAlign w:val="center"/>
                </w:tcPr>
                <w:p>
                  <w:pPr>
                    <w:spacing w:line="320" w:lineRule="atLeast"/>
                    <w:jc w:val="left"/>
                    <w:rPr>
                      <w:rFonts w:hint="default" w:eastAsia="宋体"/>
                      <w:color w:val="auto"/>
                      <w:sz w:val="18"/>
                      <w:szCs w:val="18"/>
                      <w:lang w:val="en-US" w:eastAsia="zh-CN"/>
                    </w:rPr>
                  </w:pPr>
                  <w:r>
                    <w:rPr>
                      <w:rFonts w:hint="eastAsia"/>
                      <w:color w:val="auto"/>
                      <w:sz w:val="18"/>
                      <w:szCs w:val="18"/>
                      <w:lang w:val="en-US" w:eastAsia="zh-CN"/>
                    </w:rPr>
                    <w:t>布袋除尘器收集粉尘：回用于生产</w:t>
                  </w:r>
                </w:p>
              </w:tc>
              <w:tc>
                <w:tcPr>
                  <w:tcW w:w="1039" w:type="dxa"/>
                  <w:vAlign w:val="center"/>
                </w:tcPr>
                <w:p>
                  <w:pPr>
                    <w:spacing w:line="320" w:lineRule="atLeast"/>
                    <w:jc w:val="center"/>
                    <w:rPr>
                      <w:color w:val="auto"/>
                      <w:sz w:val="18"/>
                      <w:szCs w:val="18"/>
                    </w:rPr>
                  </w:pPr>
                  <w:r>
                    <w:rPr>
                      <w:rFonts w:hint="eastAsia"/>
                      <w:color w:val="auto"/>
                      <w:sz w:val="18"/>
                      <w:szCs w:val="18"/>
                      <w:lang w:val="en-US" w:eastAsia="zh-CN"/>
                    </w:rPr>
                    <w:t>新建</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spacing w:line="320" w:lineRule="exact"/>
                    <w:ind w:firstLine="90" w:firstLineChars="50"/>
                    <w:jc w:val="center"/>
                    <w:rPr>
                      <w:color w:val="auto"/>
                      <w:sz w:val="18"/>
                      <w:szCs w:val="18"/>
                    </w:rPr>
                  </w:pPr>
                </w:p>
              </w:tc>
              <w:tc>
                <w:tcPr>
                  <w:tcW w:w="958"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ind w:firstLine="90" w:firstLineChars="50"/>
                    <w:jc w:val="center"/>
                    <w:textAlignment w:val="auto"/>
                    <w:rPr>
                      <w:color w:val="auto"/>
                      <w:sz w:val="18"/>
                      <w:szCs w:val="18"/>
                    </w:rPr>
                  </w:pPr>
                </w:p>
              </w:tc>
              <w:tc>
                <w:tcPr>
                  <w:tcW w:w="3611" w:type="dxa"/>
                  <w:vAlign w:val="center"/>
                </w:tcPr>
                <w:p>
                  <w:pPr>
                    <w:spacing w:line="320" w:lineRule="atLeast"/>
                    <w:jc w:val="left"/>
                    <w:rPr>
                      <w:rFonts w:hint="default" w:eastAsia="宋体"/>
                      <w:color w:val="auto"/>
                      <w:sz w:val="18"/>
                      <w:szCs w:val="18"/>
                      <w:lang w:val="en-US" w:eastAsia="zh-CN"/>
                    </w:rPr>
                  </w:pPr>
                  <w:r>
                    <w:rPr>
                      <w:rFonts w:hint="eastAsia"/>
                      <w:color w:val="auto"/>
                      <w:sz w:val="18"/>
                      <w:szCs w:val="18"/>
                      <w:lang w:val="en-US" w:eastAsia="zh-CN"/>
                    </w:rPr>
                    <w:t>分拣废塑料、废金属：外售资源回收厂家</w:t>
                  </w:r>
                </w:p>
              </w:tc>
              <w:tc>
                <w:tcPr>
                  <w:tcW w:w="1039" w:type="dxa"/>
                  <w:vAlign w:val="center"/>
                </w:tcPr>
                <w:p>
                  <w:pPr>
                    <w:spacing w:line="320" w:lineRule="atLeast"/>
                    <w:jc w:val="center"/>
                    <w:rPr>
                      <w:color w:val="auto"/>
                      <w:sz w:val="18"/>
                      <w:szCs w:val="18"/>
                    </w:rPr>
                  </w:pPr>
                  <w:r>
                    <w:rPr>
                      <w:rFonts w:hint="eastAsia"/>
                      <w:color w:val="auto"/>
                      <w:sz w:val="18"/>
                      <w:szCs w:val="18"/>
                      <w:lang w:val="en-US" w:eastAsia="zh-CN"/>
                    </w:rPr>
                    <w:t>新建</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spacing w:line="320" w:lineRule="exact"/>
                    <w:ind w:firstLine="90" w:firstLineChars="50"/>
                    <w:jc w:val="center"/>
                    <w:rPr>
                      <w:color w:val="auto"/>
                      <w:sz w:val="18"/>
                      <w:szCs w:val="18"/>
                    </w:rPr>
                  </w:pP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color w:val="auto"/>
                      <w:sz w:val="18"/>
                      <w:szCs w:val="18"/>
                    </w:rPr>
                  </w:pPr>
                  <w:r>
                    <w:rPr>
                      <w:rFonts w:hint="eastAsia"/>
                      <w:color w:val="auto"/>
                      <w:sz w:val="18"/>
                      <w:szCs w:val="18"/>
                    </w:rPr>
                    <w:t>噪声</w:t>
                  </w:r>
                </w:p>
              </w:tc>
              <w:tc>
                <w:tcPr>
                  <w:tcW w:w="3611" w:type="dxa"/>
                  <w:vAlign w:val="center"/>
                </w:tcPr>
                <w:p>
                  <w:pPr>
                    <w:spacing w:line="320" w:lineRule="exact"/>
                    <w:jc w:val="left"/>
                    <w:rPr>
                      <w:color w:val="auto"/>
                      <w:sz w:val="18"/>
                      <w:szCs w:val="18"/>
                    </w:rPr>
                  </w:pPr>
                  <w:r>
                    <w:rPr>
                      <w:rFonts w:hint="eastAsia"/>
                      <w:color w:val="auto"/>
                      <w:sz w:val="18"/>
                      <w:szCs w:val="18"/>
                    </w:rPr>
                    <w:t>选用噪声低、震动小的设备；通过隔声、消声、减震、合理布局等措施处理，合理布局，对噪声较大的设备采取单独隔离布置及其他各种消声降噪措施</w:t>
                  </w:r>
                </w:p>
              </w:tc>
              <w:tc>
                <w:tcPr>
                  <w:tcW w:w="1039" w:type="dxa"/>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新建</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24" w:type="dxa"/>
                  <w:vMerge w:val="continue"/>
                  <w:vAlign w:val="center"/>
                </w:tcPr>
                <w:p>
                  <w:pPr>
                    <w:spacing w:line="320" w:lineRule="exact"/>
                    <w:ind w:firstLine="90" w:firstLineChars="50"/>
                    <w:jc w:val="center"/>
                    <w:rPr>
                      <w:color w:val="auto"/>
                      <w:sz w:val="18"/>
                      <w:szCs w:val="18"/>
                    </w:rPr>
                  </w:pP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90" w:firstLineChars="50"/>
                    <w:jc w:val="center"/>
                    <w:textAlignment w:val="auto"/>
                    <w:rPr>
                      <w:color w:val="auto"/>
                      <w:sz w:val="18"/>
                      <w:szCs w:val="18"/>
                    </w:rPr>
                  </w:pPr>
                  <w:r>
                    <w:rPr>
                      <w:color w:val="auto"/>
                      <w:sz w:val="18"/>
                      <w:szCs w:val="18"/>
                    </w:rPr>
                    <w:t>地下水防治</w:t>
                  </w:r>
                </w:p>
              </w:tc>
              <w:tc>
                <w:tcPr>
                  <w:tcW w:w="3611" w:type="dxa"/>
                  <w:vAlign w:val="center"/>
                </w:tcPr>
                <w:p>
                  <w:pPr>
                    <w:spacing w:line="320" w:lineRule="exact"/>
                    <w:jc w:val="left"/>
                    <w:rPr>
                      <w:rFonts w:hint="default" w:eastAsia="宋体"/>
                      <w:color w:val="auto"/>
                      <w:sz w:val="18"/>
                      <w:szCs w:val="18"/>
                      <w:lang w:val="en-US" w:eastAsia="zh-CN"/>
                    </w:rPr>
                  </w:pPr>
                  <w:r>
                    <w:rPr>
                      <w:rFonts w:hint="eastAsia"/>
                      <w:color w:val="auto"/>
                      <w:sz w:val="18"/>
                      <w:szCs w:val="18"/>
                      <w:lang w:val="en-US" w:eastAsia="zh-CN"/>
                    </w:rPr>
                    <w:t>生产车间、成品库房进行一般防渗。</w:t>
                  </w:r>
                </w:p>
              </w:tc>
              <w:tc>
                <w:tcPr>
                  <w:tcW w:w="1039" w:type="dxa"/>
                  <w:vAlign w:val="center"/>
                </w:tcPr>
                <w:p>
                  <w:pPr>
                    <w:spacing w:line="320" w:lineRule="exact"/>
                    <w:jc w:val="center"/>
                    <w:rPr>
                      <w:rFonts w:cs="宋体"/>
                      <w:color w:val="auto"/>
                      <w:kern w:val="0"/>
                      <w:sz w:val="18"/>
                      <w:szCs w:val="18"/>
                      <w:lang w:bidi="zh-CN"/>
                    </w:rPr>
                  </w:pPr>
                  <w:r>
                    <w:rPr>
                      <w:rFonts w:hint="eastAsia"/>
                      <w:color w:val="auto"/>
                      <w:sz w:val="18"/>
                      <w:szCs w:val="18"/>
                      <w:lang w:val="en-US" w:eastAsia="zh-CN"/>
                    </w:rPr>
                    <w:t>新建</w:t>
                  </w:r>
                </w:p>
              </w:tc>
              <w:tc>
                <w:tcPr>
                  <w:tcW w:w="1020" w:type="dxa"/>
                  <w:vMerge w:val="continue"/>
                  <w:vAlign w:val="center"/>
                </w:tcPr>
                <w:p>
                  <w:pPr>
                    <w:spacing w:line="320" w:lineRule="exact"/>
                    <w:jc w:val="center"/>
                    <w:rPr>
                      <w:color w:val="auto"/>
                      <w:sz w:val="18"/>
                      <w:szCs w:val="18"/>
                    </w:rPr>
                  </w:pPr>
                </w:p>
              </w:tc>
              <w:tc>
                <w:tcPr>
                  <w:tcW w:w="787"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w:t>
                  </w:r>
                </w:p>
              </w:tc>
            </w:tr>
          </w:tbl>
          <w:p>
            <w:pPr>
              <w:widowControl/>
              <w:spacing w:line="360" w:lineRule="auto"/>
              <w:ind w:left="420" w:leftChars="200"/>
              <w:jc w:val="left"/>
              <w:rPr>
                <w:b/>
                <w:bCs/>
                <w:color w:val="auto"/>
              </w:rPr>
            </w:pPr>
            <w:r>
              <w:rPr>
                <w:rFonts w:hint="eastAsia"/>
                <w:b/>
                <w:bCs/>
                <w:color w:val="auto"/>
              </w:rPr>
              <w:t>4、</w:t>
            </w:r>
            <w:r>
              <w:rPr>
                <w:b/>
                <w:bCs/>
                <w:color w:val="auto"/>
              </w:rPr>
              <w:t>劳动定员及生产制度</w:t>
            </w:r>
          </w:p>
          <w:p>
            <w:pPr>
              <w:widowControl/>
              <w:spacing w:line="360" w:lineRule="auto"/>
              <w:ind w:firstLine="420" w:firstLineChars="200"/>
              <w:jc w:val="left"/>
              <w:rPr>
                <w:color w:val="auto"/>
              </w:rPr>
            </w:pPr>
            <w:r>
              <w:rPr>
                <w:color w:val="auto"/>
              </w:rPr>
              <w:t>劳动定员：</w:t>
            </w:r>
            <w:r>
              <w:rPr>
                <w:rFonts w:hint="eastAsia"/>
                <w:color w:val="auto"/>
              </w:rPr>
              <w:t>项目总人数为5</w:t>
            </w:r>
            <w:r>
              <w:rPr>
                <w:color w:val="auto"/>
              </w:rPr>
              <w:t>人。</w:t>
            </w:r>
          </w:p>
          <w:p>
            <w:pPr>
              <w:widowControl/>
              <w:spacing w:line="360" w:lineRule="auto"/>
              <w:ind w:firstLine="420" w:firstLineChars="200"/>
              <w:jc w:val="left"/>
              <w:rPr>
                <w:color w:val="auto"/>
              </w:rPr>
            </w:pPr>
            <w:r>
              <w:rPr>
                <w:rFonts w:hint="eastAsia"/>
                <w:color w:val="auto"/>
              </w:rPr>
              <w:t>生产制度：</w:t>
            </w:r>
            <w:r>
              <w:rPr>
                <w:color w:val="auto"/>
              </w:rPr>
              <w:t>年工作日</w:t>
            </w:r>
            <w:r>
              <w:rPr>
                <w:rFonts w:hint="eastAsia"/>
                <w:color w:val="auto"/>
                <w:lang w:val="en-US" w:eastAsia="zh-CN"/>
              </w:rPr>
              <w:t>300</w:t>
            </w:r>
            <w:r>
              <w:rPr>
                <w:color w:val="auto"/>
              </w:rPr>
              <w:t>天，</w:t>
            </w:r>
            <w:r>
              <w:rPr>
                <w:rFonts w:hint="eastAsia"/>
                <w:color w:val="auto"/>
              </w:rPr>
              <w:t>每天工作</w:t>
            </w:r>
            <w:r>
              <w:rPr>
                <w:color w:val="auto"/>
              </w:rPr>
              <w:t>8小时。</w:t>
            </w:r>
            <w:r>
              <w:rPr>
                <w:rFonts w:hint="eastAsia"/>
                <w:color w:val="auto"/>
              </w:rPr>
              <w:t>夜间不生产，</w:t>
            </w:r>
            <w:r>
              <w:rPr>
                <w:color w:val="auto"/>
              </w:rPr>
              <w:t>厂区</w:t>
            </w:r>
            <w:r>
              <w:rPr>
                <w:rFonts w:hint="eastAsia"/>
                <w:color w:val="auto"/>
              </w:rPr>
              <w:t>设置</w:t>
            </w:r>
            <w:r>
              <w:rPr>
                <w:color w:val="auto"/>
              </w:rPr>
              <w:t>食宿。</w:t>
            </w:r>
          </w:p>
          <w:p>
            <w:pPr>
              <w:spacing w:line="360" w:lineRule="auto"/>
              <w:ind w:firstLine="422" w:firstLineChars="200"/>
              <w:rPr>
                <w:b/>
                <w:bCs/>
                <w:color w:val="auto"/>
              </w:rPr>
            </w:pPr>
            <w:r>
              <w:rPr>
                <w:rFonts w:hint="eastAsia"/>
                <w:b/>
                <w:bCs/>
                <w:color w:val="auto"/>
              </w:rPr>
              <w:t>5</w:t>
            </w:r>
            <w:r>
              <w:rPr>
                <w:b/>
                <w:bCs/>
                <w:color w:val="auto"/>
              </w:rPr>
              <w:t>、主要原辅材料及动力能耗情况</w:t>
            </w:r>
          </w:p>
          <w:p>
            <w:pPr>
              <w:spacing w:line="360" w:lineRule="auto"/>
              <w:ind w:firstLine="420" w:firstLineChars="200"/>
              <w:rPr>
                <w:color w:val="auto"/>
              </w:rPr>
            </w:pPr>
            <w:r>
              <w:rPr>
                <w:color w:val="auto"/>
              </w:rPr>
              <w:t>本项目主要原辅材料及能耗情况如下。</w:t>
            </w:r>
          </w:p>
          <w:p>
            <w:pPr>
              <w:spacing w:line="320" w:lineRule="exact"/>
              <w:ind w:firstLine="361" w:firstLineChars="200"/>
              <w:jc w:val="center"/>
              <w:rPr>
                <w:b/>
                <w:bCs/>
                <w:color w:val="auto"/>
                <w:sz w:val="18"/>
                <w:szCs w:val="18"/>
              </w:rPr>
            </w:pPr>
            <w:r>
              <w:rPr>
                <w:b/>
                <w:bCs/>
                <w:color w:val="auto"/>
                <w:sz w:val="18"/>
                <w:szCs w:val="18"/>
              </w:rPr>
              <w:t>表</w:t>
            </w:r>
            <w:r>
              <w:rPr>
                <w:rFonts w:hint="eastAsia"/>
                <w:b/>
                <w:bCs/>
                <w:color w:val="auto"/>
                <w:sz w:val="18"/>
                <w:szCs w:val="18"/>
              </w:rPr>
              <w:t>2-3</w:t>
            </w:r>
            <w:r>
              <w:rPr>
                <w:b/>
                <w:bCs/>
                <w:color w:val="auto"/>
                <w:sz w:val="18"/>
                <w:szCs w:val="18"/>
              </w:rPr>
              <w:t xml:space="preserve">  </w:t>
            </w:r>
            <w:r>
              <w:rPr>
                <w:rFonts w:hint="eastAsia"/>
                <w:b/>
                <w:bCs/>
                <w:color w:val="auto"/>
                <w:sz w:val="18"/>
                <w:szCs w:val="18"/>
                <w:lang w:val="en-US" w:eastAsia="zh-CN"/>
              </w:rPr>
              <w:t>主要</w:t>
            </w:r>
            <w:r>
              <w:rPr>
                <w:b/>
                <w:bCs/>
                <w:color w:val="auto"/>
                <w:sz w:val="18"/>
                <w:szCs w:val="18"/>
              </w:rPr>
              <w:t>原辅材料</w:t>
            </w:r>
            <w:r>
              <w:rPr>
                <w:rFonts w:hint="eastAsia"/>
                <w:b/>
                <w:bCs/>
                <w:color w:val="auto"/>
                <w:sz w:val="18"/>
                <w:szCs w:val="18"/>
                <w:lang w:val="en-US" w:eastAsia="zh-CN"/>
              </w:rPr>
              <w:t>消耗</w:t>
            </w:r>
            <w:r>
              <w:rPr>
                <w:b/>
                <w:bCs/>
                <w:color w:val="auto"/>
                <w:sz w:val="18"/>
                <w:szCs w:val="18"/>
              </w:rPr>
              <w:t>一览表</w:t>
            </w:r>
          </w:p>
          <w:tbl>
            <w:tblPr>
              <w:tblStyle w:val="24"/>
              <w:tblW w:w="79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1942"/>
              <w:gridCol w:w="1931"/>
              <w:gridCol w:w="1327"/>
              <w:gridCol w:w="197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blHeader/>
                <w:jc w:val="center"/>
              </w:trPr>
              <w:tc>
                <w:tcPr>
                  <w:tcW w:w="731" w:type="dxa"/>
                  <w:noWrap w:val="0"/>
                  <w:vAlign w:val="center"/>
                </w:tcPr>
                <w:p>
                  <w:pPr>
                    <w:pStyle w:val="94"/>
                    <w:bidi w:val="0"/>
                    <w:rPr>
                      <w:color w:val="auto"/>
                    </w:rPr>
                  </w:pPr>
                  <w:r>
                    <w:rPr>
                      <w:color w:val="auto"/>
                    </w:rPr>
                    <w:t>序号</w:t>
                  </w:r>
                </w:p>
              </w:tc>
              <w:tc>
                <w:tcPr>
                  <w:tcW w:w="1942" w:type="dxa"/>
                  <w:noWrap w:val="0"/>
                  <w:vAlign w:val="center"/>
                </w:tcPr>
                <w:p>
                  <w:pPr>
                    <w:pStyle w:val="94"/>
                    <w:bidi w:val="0"/>
                    <w:rPr>
                      <w:color w:val="auto"/>
                    </w:rPr>
                  </w:pPr>
                  <w:r>
                    <w:rPr>
                      <w:color w:val="auto"/>
                    </w:rPr>
                    <w:t>原辅材料名称</w:t>
                  </w:r>
                </w:p>
              </w:tc>
              <w:tc>
                <w:tcPr>
                  <w:tcW w:w="1931" w:type="dxa"/>
                  <w:noWrap w:val="0"/>
                  <w:vAlign w:val="center"/>
                </w:tcPr>
                <w:p>
                  <w:pPr>
                    <w:pStyle w:val="94"/>
                    <w:bidi w:val="0"/>
                    <w:rPr>
                      <w:color w:val="auto"/>
                    </w:rPr>
                  </w:pPr>
                  <w:r>
                    <w:rPr>
                      <w:color w:val="auto"/>
                    </w:rPr>
                    <w:t>单位</w:t>
                  </w:r>
                </w:p>
              </w:tc>
              <w:tc>
                <w:tcPr>
                  <w:tcW w:w="1327" w:type="dxa"/>
                  <w:noWrap w:val="0"/>
                  <w:vAlign w:val="center"/>
                </w:tcPr>
                <w:p>
                  <w:pPr>
                    <w:pStyle w:val="94"/>
                    <w:bidi w:val="0"/>
                    <w:rPr>
                      <w:color w:val="auto"/>
                    </w:rPr>
                  </w:pPr>
                  <w:r>
                    <w:rPr>
                      <w:color w:val="auto"/>
                    </w:rPr>
                    <w:t>年消耗量</w:t>
                  </w:r>
                </w:p>
              </w:tc>
              <w:tc>
                <w:tcPr>
                  <w:tcW w:w="1978" w:type="dxa"/>
                  <w:noWrap w:val="0"/>
                  <w:vAlign w:val="center"/>
                </w:tcPr>
                <w:p>
                  <w:pPr>
                    <w:pStyle w:val="94"/>
                    <w:bidi w:val="0"/>
                    <w:rPr>
                      <w:color w:val="auto"/>
                    </w:rPr>
                  </w:pPr>
                  <w:r>
                    <w:rPr>
                      <w:color w:val="auto"/>
                    </w:rPr>
                    <w:t>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31" w:type="dxa"/>
                  <w:noWrap w:val="0"/>
                  <w:vAlign w:val="center"/>
                </w:tcPr>
                <w:p>
                  <w:pPr>
                    <w:pStyle w:val="94"/>
                    <w:bidi w:val="0"/>
                    <w:rPr>
                      <w:rFonts w:hint="eastAsia"/>
                      <w:color w:val="auto"/>
                      <w:lang w:val="en-US" w:eastAsia="zh-CN"/>
                    </w:rPr>
                  </w:pPr>
                  <w:r>
                    <w:rPr>
                      <w:rFonts w:hint="eastAsia"/>
                      <w:color w:val="auto"/>
                    </w:rPr>
                    <w:t>1</w:t>
                  </w:r>
                </w:p>
              </w:tc>
              <w:tc>
                <w:tcPr>
                  <w:tcW w:w="1942" w:type="dxa"/>
                  <w:noWrap w:val="0"/>
                  <w:vAlign w:val="center"/>
                </w:tcPr>
                <w:p>
                  <w:pPr>
                    <w:pStyle w:val="94"/>
                    <w:bidi w:val="0"/>
                    <w:rPr>
                      <w:rFonts w:hint="eastAsia"/>
                      <w:color w:val="auto"/>
                      <w:lang w:val="en-US" w:eastAsia="zh-CN"/>
                    </w:rPr>
                  </w:pPr>
                  <w:r>
                    <w:rPr>
                      <w:rFonts w:hint="eastAsia"/>
                      <w:color w:val="auto"/>
                      <w:lang w:eastAsia="zh-CN"/>
                    </w:rPr>
                    <w:t>废纸</w:t>
                  </w:r>
                </w:p>
              </w:tc>
              <w:tc>
                <w:tcPr>
                  <w:tcW w:w="1931" w:type="dxa"/>
                  <w:noWrap w:val="0"/>
                  <w:vAlign w:val="center"/>
                </w:tcPr>
                <w:p>
                  <w:pPr>
                    <w:pStyle w:val="94"/>
                    <w:bidi w:val="0"/>
                    <w:rPr>
                      <w:rFonts w:hint="eastAsia"/>
                      <w:color w:val="auto"/>
                      <w:lang w:val="en-US" w:eastAsia="zh-CN"/>
                    </w:rPr>
                  </w:pPr>
                  <w:r>
                    <w:rPr>
                      <w:rFonts w:hint="eastAsia"/>
                      <w:color w:val="auto"/>
                    </w:rPr>
                    <w:t>吨</w:t>
                  </w:r>
                </w:p>
              </w:tc>
              <w:tc>
                <w:tcPr>
                  <w:tcW w:w="1327" w:type="dxa"/>
                  <w:noWrap w:val="0"/>
                  <w:vAlign w:val="center"/>
                </w:tcPr>
                <w:p>
                  <w:pPr>
                    <w:pStyle w:val="94"/>
                    <w:bidi w:val="0"/>
                    <w:rPr>
                      <w:rFonts w:hint="default"/>
                      <w:color w:val="auto"/>
                      <w:lang w:val="en-US" w:eastAsia="zh-CN"/>
                    </w:rPr>
                  </w:pPr>
                  <w:r>
                    <w:rPr>
                      <w:rFonts w:hint="eastAsia"/>
                      <w:color w:val="auto"/>
                      <w:lang w:val="en-US" w:eastAsia="zh-CN"/>
                    </w:rPr>
                    <w:t>1500</w:t>
                  </w:r>
                </w:p>
              </w:tc>
              <w:tc>
                <w:tcPr>
                  <w:tcW w:w="1978" w:type="dxa"/>
                  <w:noWrap w:val="0"/>
                  <w:vAlign w:val="center"/>
                </w:tcPr>
                <w:p>
                  <w:pPr>
                    <w:pStyle w:val="94"/>
                    <w:bidi w:val="0"/>
                    <w:rPr>
                      <w:rFonts w:hint="eastAsia"/>
                      <w:color w:val="auto"/>
                      <w:lang w:val="en-US" w:eastAsia="zh-CN"/>
                    </w:rPr>
                  </w:pPr>
                  <w:r>
                    <w:rPr>
                      <w:rFonts w:hint="eastAsia"/>
                      <w:color w:val="auto"/>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31" w:type="dxa"/>
                  <w:noWrap w:val="0"/>
                  <w:vAlign w:val="center"/>
                </w:tcPr>
                <w:p>
                  <w:pPr>
                    <w:pStyle w:val="94"/>
                    <w:bidi w:val="0"/>
                    <w:rPr>
                      <w:rFonts w:hint="eastAsia"/>
                      <w:color w:val="auto"/>
                      <w:lang w:val="en-US" w:eastAsia="zh-CN"/>
                    </w:rPr>
                  </w:pPr>
                  <w:r>
                    <w:rPr>
                      <w:rFonts w:hint="eastAsia"/>
                      <w:color w:val="auto"/>
                    </w:rPr>
                    <w:t>2</w:t>
                  </w:r>
                </w:p>
              </w:tc>
              <w:tc>
                <w:tcPr>
                  <w:tcW w:w="1942" w:type="dxa"/>
                  <w:noWrap w:val="0"/>
                  <w:vAlign w:val="center"/>
                </w:tcPr>
                <w:p>
                  <w:pPr>
                    <w:pStyle w:val="94"/>
                    <w:bidi w:val="0"/>
                    <w:rPr>
                      <w:rFonts w:hint="eastAsia"/>
                      <w:color w:val="auto"/>
                      <w:lang w:val="en-US" w:eastAsia="zh-CN"/>
                    </w:rPr>
                  </w:pPr>
                  <w:r>
                    <w:rPr>
                      <w:rFonts w:hint="eastAsia"/>
                      <w:color w:val="auto"/>
                      <w:lang w:val="en-US" w:eastAsia="zh-CN"/>
                    </w:rPr>
                    <w:t>天然气</w:t>
                  </w:r>
                </w:p>
              </w:tc>
              <w:tc>
                <w:tcPr>
                  <w:tcW w:w="1931" w:type="dxa"/>
                  <w:noWrap w:val="0"/>
                  <w:vAlign w:val="center"/>
                </w:tcPr>
                <w:p>
                  <w:pPr>
                    <w:pStyle w:val="94"/>
                    <w:bidi w:val="0"/>
                    <w:rPr>
                      <w:rFonts w:hint="eastAsia"/>
                      <w:color w:val="auto"/>
                      <w:lang w:val="en-US" w:eastAsia="zh-CN"/>
                    </w:rPr>
                  </w:pPr>
                  <w:r>
                    <w:rPr>
                      <w:rFonts w:hint="eastAsia"/>
                      <w:color w:val="auto"/>
                      <w:lang w:val="en-US" w:eastAsia="zh-CN"/>
                    </w:rPr>
                    <w:t>m</w:t>
                  </w:r>
                  <w:r>
                    <w:rPr>
                      <w:rFonts w:hint="eastAsia"/>
                      <w:color w:val="auto"/>
                      <w:vertAlign w:val="superscript"/>
                      <w:lang w:val="en-US" w:eastAsia="zh-CN"/>
                    </w:rPr>
                    <w:t>3</w:t>
                  </w:r>
                </w:p>
              </w:tc>
              <w:tc>
                <w:tcPr>
                  <w:tcW w:w="1327" w:type="dxa"/>
                  <w:noWrap w:val="0"/>
                  <w:vAlign w:val="center"/>
                </w:tcPr>
                <w:p>
                  <w:pPr>
                    <w:pStyle w:val="94"/>
                    <w:bidi w:val="0"/>
                    <w:rPr>
                      <w:rFonts w:hint="default"/>
                      <w:color w:val="auto"/>
                      <w:lang w:val="en-US" w:eastAsia="zh-CN"/>
                    </w:rPr>
                  </w:pPr>
                  <w:r>
                    <w:rPr>
                      <w:rFonts w:hint="eastAsia"/>
                      <w:color w:val="auto"/>
                      <w:lang w:val="en-US" w:eastAsia="zh-CN"/>
                    </w:rPr>
                    <w:t>20万</w:t>
                  </w:r>
                </w:p>
              </w:tc>
              <w:tc>
                <w:tcPr>
                  <w:tcW w:w="1978" w:type="dxa"/>
                  <w:noWrap w:val="0"/>
                  <w:vAlign w:val="center"/>
                </w:tcPr>
                <w:p>
                  <w:pPr>
                    <w:pStyle w:val="94"/>
                    <w:bidi w:val="0"/>
                    <w:rPr>
                      <w:rFonts w:hint="eastAsia"/>
                      <w:color w:val="auto"/>
                      <w:lang w:val="en-US" w:eastAsia="zh-CN"/>
                    </w:rPr>
                  </w:pPr>
                  <w:r>
                    <w:rPr>
                      <w:rFonts w:hint="eastAsia"/>
                      <w:color w:val="auto"/>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31" w:type="dxa"/>
                  <w:noWrap w:val="0"/>
                  <w:vAlign w:val="center"/>
                </w:tcPr>
                <w:p>
                  <w:pPr>
                    <w:pStyle w:val="94"/>
                    <w:bidi w:val="0"/>
                    <w:rPr>
                      <w:rFonts w:hint="eastAsia"/>
                      <w:color w:val="auto"/>
                      <w:lang w:val="en-US" w:eastAsia="zh-CN"/>
                    </w:rPr>
                  </w:pPr>
                  <w:r>
                    <w:rPr>
                      <w:rFonts w:hint="eastAsia"/>
                      <w:color w:val="auto"/>
                    </w:rPr>
                    <w:t>3</w:t>
                  </w:r>
                </w:p>
              </w:tc>
              <w:tc>
                <w:tcPr>
                  <w:tcW w:w="1942" w:type="dxa"/>
                  <w:noWrap w:val="0"/>
                  <w:vAlign w:val="center"/>
                </w:tcPr>
                <w:p>
                  <w:pPr>
                    <w:pStyle w:val="94"/>
                    <w:bidi w:val="0"/>
                    <w:rPr>
                      <w:rFonts w:hint="eastAsia"/>
                      <w:color w:val="auto"/>
                      <w:lang w:val="en-US" w:eastAsia="zh-CN"/>
                    </w:rPr>
                  </w:pPr>
                  <w:r>
                    <w:rPr>
                      <w:rFonts w:hint="eastAsia"/>
                      <w:color w:val="auto"/>
                      <w:lang w:val="en-US" w:eastAsia="zh-CN"/>
                    </w:rPr>
                    <w:t>石粉</w:t>
                  </w:r>
                </w:p>
              </w:tc>
              <w:tc>
                <w:tcPr>
                  <w:tcW w:w="1931" w:type="dxa"/>
                  <w:noWrap w:val="0"/>
                  <w:vAlign w:val="center"/>
                </w:tcPr>
                <w:p>
                  <w:pPr>
                    <w:pStyle w:val="94"/>
                    <w:bidi w:val="0"/>
                    <w:rPr>
                      <w:rFonts w:hint="default"/>
                      <w:color w:val="auto"/>
                      <w:lang w:val="en-US" w:eastAsia="zh-CN"/>
                    </w:rPr>
                  </w:pPr>
                  <w:r>
                    <w:rPr>
                      <w:rFonts w:hint="eastAsia"/>
                      <w:color w:val="auto"/>
                      <w:lang w:val="en-US" w:eastAsia="zh-CN"/>
                    </w:rPr>
                    <w:t>t</w:t>
                  </w:r>
                </w:p>
              </w:tc>
              <w:tc>
                <w:tcPr>
                  <w:tcW w:w="1327" w:type="dxa"/>
                  <w:noWrap w:val="0"/>
                  <w:vAlign w:val="center"/>
                </w:tcPr>
                <w:p>
                  <w:pPr>
                    <w:pStyle w:val="94"/>
                    <w:bidi w:val="0"/>
                    <w:rPr>
                      <w:rFonts w:hint="default"/>
                      <w:color w:val="auto"/>
                      <w:lang w:val="en-US" w:eastAsia="zh-CN"/>
                    </w:rPr>
                  </w:pPr>
                  <w:r>
                    <w:rPr>
                      <w:rFonts w:hint="eastAsia"/>
                      <w:color w:val="auto"/>
                      <w:lang w:val="en-US" w:eastAsia="zh-CN"/>
                    </w:rPr>
                    <w:t>500</w:t>
                  </w:r>
                </w:p>
              </w:tc>
              <w:tc>
                <w:tcPr>
                  <w:tcW w:w="1978" w:type="dxa"/>
                  <w:noWrap w:val="0"/>
                  <w:vAlign w:val="center"/>
                </w:tcPr>
                <w:p>
                  <w:pPr>
                    <w:pStyle w:val="94"/>
                    <w:bidi w:val="0"/>
                    <w:rPr>
                      <w:rFonts w:hint="default"/>
                      <w:color w:val="auto"/>
                      <w:lang w:val="en-US" w:eastAsia="zh-CN"/>
                    </w:rPr>
                  </w:pPr>
                  <w:r>
                    <w:rPr>
                      <w:rFonts w:hint="eastAsia"/>
                      <w:color w:val="auto"/>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jc w:val="center"/>
              </w:trPr>
              <w:tc>
                <w:tcPr>
                  <w:tcW w:w="731" w:type="dxa"/>
                  <w:noWrap w:val="0"/>
                  <w:vAlign w:val="center"/>
                </w:tcPr>
                <w:p>
                  <w:pPr>
                    <w:pStyle w:val="94"/>
                    <w:bidi w:val="0"/>
                    <w:rPr>
                      <w:rFonts w:hint="eastAsia"/>
                      <w:color w:val="auto"/>
                      <w:lang w:val="en-US" w:eastAsia="zh-CN"/>
                    </w:rPr>
                  </w:pPr>
                  <w:r>
                    <w:rPr>
                      <w:rFonts w:hint="eastAsia"/>
                      <w:color w:val="auto"/>
                      <w:lang w:val="en-US" w:eastAsia="zh-CN"/>
                    </w:rPr>
                    <w:t>4</w:t>
                  </w:r>
                </w:p>
              </w:tc>
              <w:tc>
                <w:tcPr>
                  <w:tcW w:w="1942" w:type="dxa"/>
                  <w:noWrap w:val="0"/>
                  <w:vAlign w:val="center"/>
                </w:tcPr>
                <w:p>
                  <w:pPr>
                    <w:pStyle w:val="94"/>
                    <w:bidi w:val="0"/>
                    <w:rPr>
                      <w:rFonts w:hint="default"/>
                      <w:color w:val="auto"/>
                      <w:lang w:val="en-US" w:eastAsia="zh-CN"/>
                    </w:rPr>
                  </w:pPr>
                  <w:r>
                    <w:rPr>
                      <w:rFonts w:hint="eastAsia"/>
                      <w:color w:val="auto"/>
                      <w:lang w:val="en-US" w:eastAsia="zh-CN"/>
                    </w:rPr>
                    <w:t>水</w:t>
                  </w:r>
                </w:p>
              </w:tc>
              <w:tc>
                <w:tcPr>
                  <w:tcW w:w="1931" w:type="dxa"/>
                  <w:noWrap w:val="0"/>
                  <w:vAlign w:val="center"/>
                </w:tcPr>
                <w:p>
                  <w:pPr>
                    <w:pStyle w:val="94"/>
                    <w:bidi w:val="0"/>
                    <w:rPr>
                      <w:rFonts w:hint="eastAsia"/>
                      <w:color w:val="auto"/>
                      <w:lang w:val="en-US" w:eastAsia="zh-CN"/>
                    </w:rPr>
                  </w:pPr>
                  <w:r>
                    <w:rPr>
                      <w:rFonts w:hint="eastAsia"/>
                      <w:color w:val="auto"/>
                      <w:lang w:val="en-US" w:eastAsia="zh-CN"/>
                    </w:rPr>
                    <w:t>m</w:t>
                  </w:r>
                  <w:r>
                    <w:rPr>
                      <w:rFonts w:hint="eastAsia"/>
                      <w:color w:val="auto"/>
                      <w:vertAlign w:val="superscript"/>
                      <w:lang w:val="en-US" w:eastAsia="zh-CN"/>
                    </w:rPr>
                    <w:t>3</w:t>
                  </w:r>
                </w:p>
              </w:tc>
              <w:tc>
                <w:tcPr>
                  <w:tcW w:w="1327" w:type="dxa"/>
                  <w:noWrap w:val="0"/>
                  <w:vAlign w:val="center"/>
                </w:tcPr>
                <w:p>
                  <w:pPr>
                    <w:pStyle w:val="94"/>
                    <w:bidi w:val="0"/>
                    <w:rPr>
                      <w:rFonts w:hint="default"/>
                      <w:color w:val="auto"/>
                      <w:lang w:val="en-US" w:eastAsia="zh-CN"/>
                    </w:rPr>
                  </w:pPr>
                  <w:r>
                    <w:rPr>
                      <w:rFonts w:hint="eastAsia"/>
                      <w:color w:val="auto"/>
                      <w:lang w:val="en-US" w:eastAsia="zh-CN"/>
                    </w:rPr>
                    <w:t>3000</w:t>
                  </w:r>
                </w:p>
              </w:tc>
              <w:tc>
                <w:tcPr>
                  <w:tcW w:w="1978" w:type="dxa"/>
                  <w:noWrap w:val="0"/>
                  <w:vAlign w:val="center"/>
                </w:tcPr>
                <w:p>
                  <w:pPr>
                    <w:pStyle w:val="94"/>
                    <w:bidi w:val="0"/>
                    <w:rPr>
                      <w:rFonts w:hint="eastAsia"/>
                      <w:color w:val="auto"/>
                      <w:lang w:val="en-US" w:eastAsia="zh-CN"/>
                    </w:rPr>
                  </w:pPr>
                  <w:r>
                    <w:rPr>
                      <w:rFonts w:hint="eastAsia"/>
                      <w:color w:val="auto"/>
                      <w:lang w:val="en-US" w:eastAsia="zh-CN"/>
                    </w:rPr>
                    <w:t>外购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jc w:val="center"/>
              </w:trPr>
              <w:tc>
                <w:tcPr>
                  <w:tcW w:w="731" w:type="dxa"/>
                  <w:noWrap w:val="0"/>
                  <w:vAlign w:val="center"/>
                </w:tcPr>
                <w:p>
                  <w:pPr>
                    <w:pStyle w:val="94"/>
                    <w:bidi w:val="0"/>
                    <w:rPr>
                      <w:rFonts w:hint="default"/>
                      <w:color w:val="auto"/>
                      <w:lang w:val="en-US" w:eastAsia="zh-CN"/>
                    </w:rPr>
                  </w:pPr>
                  <w:r>
                    <w:rPr>
                      <w:rFonts w:hint="eastAsia"/>
                      <w:color w:val="auto"/>
                      <w:lang w:val="en-US" w:eastAsia="zh-CN"/>
                    </w:rPr>
                    <w:t>5</w:t>
                  </w:r>
                </w:p>
              </w:tc>
              <w:tc>
                <w:tcPr>
                  <w:tcW w:w="1942" w:type="dxa"/>
                  <w:noWrap w:val="0"/>
                  <w:vAlign w:val="center"/>
                </w:tcPr>
                <w:p>
                  <w:pPr>
                    <w:pStyle w:val="94"/>
                    <w:bidi w:val="0"/>
                    <w:rPr>
                      <w:rFonts w:hint="eastAsia"/>
                      <w:color w:val="auto"/>
                      <w:lang w:val="en-US" w:eastAsia="zh-CN"/>
                    </w:rPr>
                  </w:pPr>
                  <w:r>
                    <w:rPr>
                      <w:rFonts w:hint="eastAsia"/>
                      <w:color w:val="auto"/>
                      <w:lang w:val="en-US" w:eastAsia="zh-CN"/>
                    </w:rPr>
                    <w:t>电</w:t>
                  </w:r>
                </w:p>
              </w:tc>
              <w:tc>
                <w:tcPr>
                  <w:tcW w:w="1931" w:type="dxa"/>
                  <w:noWrap w:val="0"/>
                  <w:vAlign w:val="center"/>
                </w:tcPr>
                <w:p>
                  <w:pPr>
                    <w:pStyle w:val="94"/>
                    <w:bidi w:val="0"/>
                    <w:rPr>
                      <w:rFonts w:hint="eastAsia"/>
                      <w:color w:val="auto"/>
                      <w:lang w:val="en-US" w:eastAsia="zh-CN"/>
                    </w:rPr>
                  </w:pPr>
                  <w:r>
                    <w:rPr>
                      <w:rFonts w:hint="eastAsia"/>
                      <w:color w:val="auto"/>
                      <w:lang w:val="en-US" w:eastAsia="zh-CN"/>
                    </w:rPr>
                    <w:t>度</w:t>
                  </w:r>
                </w:p>
              </w:tc>
              <w:tc>
                <w:tcPr>
                  <w:tcW w:w="1327" w:type="dxa"/>
                  <w:noWrap w:val="0"/>
                  <w:vAlign w:val="center"/>
                </w:tcPr>
                <w:p>
                  <w:pPr>
                    <w:pStyle w:val="94"/>
                    <w:bidi w:val="0"/>
                    <w:rPr>
                      <w:rFonts w:hint="default"/>
                      <w:color w:val="auto"/>
                      <w:lang w:val="en-US" w:eastAsia="zh-CN"/>
                    </w:rPr>
                  </w:pPr>
                  <w:r>
                    <w:rPr>
                      <w:rFonts w:hint="eastAsia"/>
                      <w:color w:val="auto"/>
                      <w:lang w:val="en-US" w:eastAsia="zh-CN"/>
                    </w:rPr>
                    <w:t>45万</w:t>
                  </w:r>
                </w:p>
              </w:tc>
              <w:tc>
                <w:tcPr>
                  <w:tcW w:w="1978" w:type="dxa"/>
                  <w:noWrap w:val="0"/>
                  <w:vAlign w:val="center"/>
                </w:tcPr>
                <w:p>
                  <w:pPr>
                    <w:pStyle w:val="94"/>
                    <w:bidi w:val="0"/>
                    <w:rPr>
                      <w:rFonts w:hint="eastAsia"/>
                      <w:color w:val="auto"/>
                      <w:lang w:val="en-US" w:eastAsia="zh-CN"/>
                    </w:rPr>
                  </w:pPr>
                  <w:r>
                    <w:rPr>
                      <w:rFonts w:hint="eastAsia"/>
                      <w:color w:val="auto"/>
                      <w:lang w:val="en-US" w:eastAsia="zh-CN"/>
                    </w:rPr>
                    <w:t>外购</w:t>
                  </w:r>
                </w:p>
              </w:tc>
            </w:tr>
          </w:tbl>
          <w:p>
            <w:pPr>
              <w:keepNext w:val="0"/>
              <w:keepLines w:val="0"/>
              <w:pageBreakBefore w:val="0"/>
              <w:widowControl w:val="0"/>
              <w:kinsoku/>
              <w:wordWrap/>
              <w:overflowPunct/>
              <w:topLinePunct w:val="0"/>
              <w:autoSpaceDE/>
              <w:autoSpaceDN/>
              <w:bidi w:val="0"/>
              <w:adjustRightInd/>
              <w:snapToGrid/>
              <w:spacing w:line="360" w:lineRule="auto"/>
              <w:ind w:firstLine="361" w:firstLineChars="200"/>
              <w:textAlignment w:val="auto"/>
              <w:rPr>
                <w:rFonts w:hint="eastAsia"/>
                <w:b/>
                <w:bCs/>
                <w:color w:val="auto"/>
                <w:sz w:val="18"/>
                <w:szCs w:val="18"/>
              </w:rPr>
            </w:pPr>
            <w:r>
              <w:rPr>
                <w:rFonts w:hint="eastAsia"/>
                <w:b/>
                <w:bCs/>
                <w:color w:val="auto"/>
                <w:sz w:val="18"/>
                <w:szCs w:val="18"/>
              </w:rPr>
              <w:t>（注：本项目采购的废纸为无毒无害的生活、工业废纸，不接受沾染有毒有害的废纸，此外，本项目对纸制品产品质量要求较低，无需对其进行脱墨。）</w:t>
            </w:r>
          </w:p>
          <w:p>
            <w:pPr>
              <w:spacing w:line="360" w:lineRule="auto"/>
              <w:ind w:firstLine="422" w:firstLineChars="200"/>
              <w:rPr>
                <w:b/>
                <w:bCs/>
                <w:color w:val="auto"/>
              </w:rPr>
            </w:pPr>
            <w:r>
              <w:rPr>
                <w:rFonts w:hint="eastAsia"/>
                <w:b/>
                <w:bCs/>
                <w:color w:val="auto"/>
              </w:rPr>
              <w:t>6、主要生产设备</w:t>
            </w:r>
          </w:p>
          <w:p>
            <w:pPr>
              <w:spacing w:line="360" w:lineRule="auto"/>
              <w:ind w:firstLine="420" w:firstLineChars="200"/>
              <w:rPr>
                <w:color w:val="auto"/>
              </w:rPr>
            </w:pPr>
            <w:r>
              <w:rPr>
                <w:rFonts w:hint="eastAsia"/>
                <w:color w:val="auto"/>
              </w:rPr>
              <w:t>本项目主要生产设备见下表。</w:t>
            </w:r>
          </w:p>
          <w:p>
            <w:pPr>
              <w:spacing w:line="360" w:lineRule="auto"/>
              <w:jc w:val="center"/>
              <w:rPr>
                <w:b/>
                <w:bCs/>
                <w:color w:val="auto"/>
                <w:sz w:val="18"/>
                <w:szCs w:val="18"/>
              </w:rPr>
            </w:pPr>
            <w:r>
              <w:rPr>
                <w:b/>
                <w:bCs/>
                <w:color w:val="auto"/>
                <w:sz w:val="18"/>
                <w:szCs w:val="18"/>
              </w:rPr>
              <w:t>表</w:t>
            </w:r>
            <w:r>
              <w:rPr>
                <w:rFonts w:hint="eastAsia"/>
                <w:b/>
                <w:bCs/>
                <w:color w:val="auto"/>
                <w:sz w:val="18"/>
                <w:szCs w:val="18"/>
              </w:rPr>
              <w:t>2-</w:t>
            </w:r>
            <w:r>
              <w:rPr>
                <w:rFonts w:hint="eastAsia"/>
                <w:b/>
                <w:bCs/>
                <w:color w:val="auto"/>
                <w:sz w:val="18"/>
                <w:szCs w:val="18"/>
                <w:lang w:val="en-US" w:eastAsia="zh-CN"/>
              </w:rPr>
              <w:t>4</w:t>
            </w:r>
            <w:r>
              <w:rPr>
                <w:rFonts w:hint="eastAsia"/>
                <w:b/>
                <w:bCs/>
                <w:color w:val="auto"/>
                <w:sz w:val="18"/>
                <w:szCs w:val="18"/>
              </w:rPr>
              <w:t xml:space="preserve"> </w:t>
            </w:r>
            <w:r>
              <w:rPr>
                <w:b/>
                <w:bCs/>
                <w:color w:val="auto"/>
                <w:sz w:val="18"/>
                <w:szCs w:val="18"/>
              </w:rPr>
              <w:t xml:space="preserve"> 设备一览表</w:t>
            </w:r>
          </w:p>
          <w:tbl>
            <w:tblPr>
              <w:tblStyle w:val="24"/>
              <w:tblW w:w="7947" w:type="dxa"/>
              <w:jc w:val="center"/>
              <w:tblLayout w:type="fixed"/>
              <w:tblCellMar>
                <w:top w:w="0" w:type="dxa"/>
                <w:left w:w="108" w:type="dxa"/>
                <w:bottom w:w="0" w:type="dxa"/>
                <w:right w:w="108" w:type="dxa"/>
              </w:tblCellMar>
            </w:tblPr>
            <w:tblGrid>
              <w:gridCol w:w="999"/>
              <w:gridCol w:w="2519"/>
              <w:gridCol w:w="1229"/>
              <w:gridCol w:w="1190"/>
              <w:gridCol w:w="2010"/>
            </w:tblGrid>
            <w:tr>
              <w:tblPrEx>
                <w:tblCellMar>
                  <w:top w:w="0" w:type="dxa"/>
                  <w:left w:w="108" w:type="dxa"/>
                  <w:bottom w:w="0" w:type="dxa"/>
                  <w:right w:w="108" w:type="dxa"/>
                </w:tblCellMar>
              </w:tblPrEx>
              <w:trPr>
                <w:trHeight w:val="340" w:hRule="atLeast"/>
                <w:tblHeader/>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color w:val="auto"/>
                    </w:rPr>
                  </w:pPr>
                  <w:r>
                    <w:rPr>
                      <w:color w:val="auto"/>
                    </w:rPr>
                    <w:t>序号</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pStyle w:val="94"/>
                    <w:bidi w:val="0"/>
                    <w:rPr>
                      <w:color w:val="auto"/>
                    </w:rPr>
                  </w:pPr>
                  <w:r>
                    <w:rPr>
                      <w:color w:val="auto"/>
                    </w:rPr>
                    <w:t>设备、仪器名称</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单位</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pStyle w:val="94"/>
                    <w:bidi w:val="0"/>
                    <w:rPr>
                      <w:color w:val="auto"/>
                    </w:rPr>
                  </w:pPr>
                  <w:r>
                    <w:rPr>
                      <w:color w:val="auto"/>
                    </w:rPr>
                    <w:t>数量</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94"/>
                    <w:bidi w:val="0"/>
                    <w:rPr>
                      <w:color w:val="auto"/>
                    </w:rPr>
                  </w:pPr>
                  <w:r>
                    <w:rPr>
                      <w:color w:val="auto"/>
                    </w:rPr>
                    <w:t>备注</w:t>
                  </w:r>
                </w:p>
              </w:tc>
            </w:tr>
            <w:tr>
              <w:tblPrEx>
                <w:tblCellMar>
                  <w:top w:w="0" w:type="dxa"/>
                  <w:left w:w="108" w:type="dxa"/>
                  <w:bottom w:w="0" w:type="dxa"/>
                  <w:right w:w="108" w:type="dxa"/>
                </w:tblCellMar>
              </w:tblPrEx>
              <w:trPr>
                <w:trHeight w:val="340" w:hRule="atLeast"/>
                <w:jc w:val="center"/>
              </w:trPr>
              <w:tc>
                <w:tcPr>
                  <w:tcW w:w="7947" w:type="dxa"/>
                  <w:gridSpan w:val="5"/>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eastAsia="zh-CN"/>
                    </w:rPr>
                    <w:t>制浆系统</w:t>
                  </w:r>
                  <w:r>
                    <w:rPr>
                      <w:rFonts w:hint="default"/>
                      <w:color w:val="auto"/>
                      <w:lang w:eastAsia="zh-CN"/>
                    </w:rPr>
                    <w:t>设备清单</w:t>
                  </w:r>
                </w:p>
              </w:tc>
            </w:tr>
            <w:tr>
              <w:tblPrEx>
                <w:tblCellMar>
                  <w:top w:w="0" w:type="dxa"/>
                  <w:left w:w="108" w:type="dxa"/>
                  <w:bottom w:w="0" w:type="dxa"/>
                  <w:right w:w="108" w:type="dxa"/>
                </w:tblCellMar>
              </w:tblPrEx>
              <w:trPr>
                <w:trHeight w:val="340" w:hRule="atLeast"/>
                <w:jc w:val="center"/>
              </w:trPr>
              <w:tc>
                <w:tcPr>
                  <w:tcW w:w="99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51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立式高浓水利碎浆机</w:t>
                  </w:r>
                </w:p>
              </w:tc>
              <w:tc>
                <w:tcPr>
                  <w:tcW w:w="122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p>
              </w:tc>
            </w:tr>
            <w:tr>
              <w:tblPrEx>
                <w:tblCellMar>
                  <w:top w:w="0" w:type="dxa"/>
                  <w:left w:w="108" w:type="dxa"/>
                  <w:bottom w:w="0" w:type="dxa"/>
                  <w:right w:w="108" w:type="dxa"/>
                </w:tblCellMar>
              </w:tblPrEx>
              <w:trPr>
                <w:trHeight w:val="340" w:hRule="atLeast"/>
                <w:jc w:val="center"/>
              </w:trPr>
              <w:tc>
                <w:tcPr>
                  <w:tcW w:w="99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2</w:t>
                  </w:r>
                </w:p>
              </w:tc>
              <w:tc>
                <w:tcPr>
                  <w:tcW w:w="251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1#2#浆桶搅拌器</w:t>
                  </w:r>
                </w:p>
              </w:tc>
              <w:tc>
                <w:tcPr>
                  <w:tcW w:w="122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2</w:t>
                  </w:r>
                </w:p>
              </w:tc>
              <w:tc>
                <w:tcPr>
                  <w:tcW w:w="2010"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p>
              </w:tc>
            </w:tr>
            <w:tr>
              <w:tblPrEx>
                <w:tblCellMar>
                  <w:top w:w="0" w:type="dxa"/>
                  <w:left w:w="108" w:type="dxa"/>
                  <w:bottom w:w="0" w:type="dxa"/>
                  <w:right w:w="108" w:type="dxa"/>
                </w:tblCellMar>
              </w:tblPrEx>
              <w:trPr>
                <w:trHeight w:val="340" w:hRule="atLeast"/>
                <w:jc w:val="center"/>
              </w:trPr>
              <w:tc>
                <w:tcPr>
                  <w:tcW w:w="99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3</w:t>
                  </w:r>
                </w:p>
              </w:tc>
              <w:tc>
                <w:tcPr>
                  <w:tcW w:w="251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3#浆桶搅拌器</w:t>
                  </w:r>
                </w:p>
              </w:tc>
              <w:tc>
                <w:tcPr>
                  <w:tcW w:w="122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p>
              </w:tc>
            </w:tr>
            <w:tr>
              <w:tblPrEx>
                <w:tblCellMar>
                  <w:top w:w="0" w:type="dxa"/>
                  <w:left w:w="108" w:type="dxa"/>
                  <w:bottom w:w="0" w:type="dxa"/>
                  <w:right w:w="108" w:type="dxa"/>
                </w:tblCellMar>
              </w:tblPrEx>
              <w:trPr>
                <w:trHeight w:val="340" w:hRule="atLeast"/>
                <w:jc w:val="center"/>
              </w:trPr>
              <w:tc>
                <w:tcPr>
                  <w:tcW w:w="99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4</w:t>
                  </w:r>
                </w:p>
              </w:tc>
              <w:tc>
                <w:tcPr>
                  <w:tcW w:w="251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1#纸浆泵</w:t>
                  </w:r>
                </w:p>
              </w:tc>
              <w:tc>
                <w:tcPr>
                  <w:tcW w:w="122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2</w:t>
                  </w:r>
                </w:p>
              </w:tc>
              <w:tc>
                <w:tcPr>
                  <w:tcW w:w="2010"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p>
              </w:tc>
            </w:tr>
            <w:tr>
              <w:tblPrEx>
                <w:tblCellMar>
                  <w:top w:w="0" w:type="dxa"/>
                  <w:left w:w="108" w:type="dxa"/>
                  <w:bottom w:w="0" w:type="dxa"/>
                  <w:right w:w="108" w:type="dxa"/>
                </w:tblCellMar>
              </w:tblPrEx>
              <w:trPr>
                <w:trHeight w:val="340" w:hRule="atLeast"/>
                <w:jc w:val="center"/>
              </w:trPr>
              <w:tc>
                <w:tcPr>
                  <w:tcW w:w="7947" w:type="dxa"/>
                  <w:gridSpan w:val="5"/>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真空及压缩空气系统</w:t>
                  </w:r>
                  <w:r>
                    <w:rPr>
                      <w:rFonts w:hint="default"/>
                      <w:color w:val="auto"/>
                      <w:lang w:eastAsia="zh-CN"/>
                    </w:rPr>
                    <w:t>设备清单</w:t>
                  </w:r>
                </w:p>
              </w:tc>
            </w:tr>
            <w:tr>
              <w:tblPrEx>
                <w:tblCellMar>
                  <w:top w:w="0" w:type="dxa"/>
                  <w:left w:w="108" w:type="dxa"/>
                  <w:bottom w:w="0" w:type="dxa"/>
                  <w:right w:w="108" w:type="dxa"/>
                </w:tblCellMar>
              </w:tblPrEx>
              <w:trPr>
                <w:trHeight w:val="340" w:hRule="atLeast"/>
                <w:jc w:val="center"/>
              </w:trPr>
              <w:tc>
                <w:tcPr>
                  <w:tcW w:w="99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5</w:t>
                  </w:r>
                </w:p>
              </w:tc>
              <w:tc>
                <w:tcPr>
                  <w:tcW w:w="2519" w:type="dxa"/>
                  <w:tcBorders>
                    <w:top w:val="single" w:color="auto" w:sz="4" w:space="0"/>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1#罗茨真空泵</w:t>
                  </w:r>
                </w:p>
              </w:tc>
              <w:tc>
                <w:tcPr>
                  <w:tcW w:w="1229"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nil"/>
                    <w:left w:val="nil"/>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6</w:t>
                  </w:r>
                </w:p>
              </w:tc>
              <w:tc>
                <w:tcPr>
                  <w:tcW w:w="2519" w:type="dxa"/>
                  <w:tcBorders>
                    <w:top w:val="single" w:color="auto" w:sz="4" w:space="0"/>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2#罗茨真空泵</w:t>
                  </w:r>
                </w:p>
              </w:tc>
              <w:tc>
                <w:tcPr>
                  <w:tcW w:w="1229"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nil"/>
                    <w:left w:val="nil"/>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7</w:t>
                  </w:r>
                </w:p>
              </w:tc>
              <w:tc>
                <w:tcPr>
                  <w:tcW w:w="2519" w:type="dxa"/>
                  <w:tcBorders>
                    <w:top w:val="single" w:color="auto" w:sz="4" w:space="0"/>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3#罗茨真空泵</w:t>
                  </w:r>
                </w:p>
              </w:tc>
              <w:tc>
                <w:tcPr>
                  <w:tcW w:w="1229"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nil"/>
                    <w:left w:val="nil"/>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8</w:t>
                  </w:r>
                </w:p>
              </w:tc>
              <w:tc>
                <w:tcPr>
                  <w:tcW w:w="2519" w:type="dxa"/>
                  <w:tcBorders>
                    <w:top w:val="single" w:color="auto" w:sz="4" w:space="0"/>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1#真空罐</w:t>
                  </w:r>
                </w:p>
              </w:tc>
              <w:tc>
                <w:tcPr>
                  <w:tcW w:w="1229"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套</w:t>
                  </w:r>
                </w:p>
              </w:tc>
              <w:tc>
                <w:tcPr>
                  <w:tcW w:w="1190"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nil"/>
                    <w:left w:val="nil"/>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nil"/>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9</w:t>
                  </w:r>
                </w:p>
              </w:tc>
              <w:tc>
                <w:tcPr>
                  <w:tcW w:w="2519" w:type="dxa"/>
                  <w:tcBorders>
                    <w:top w:val="single" w:color="auto" w:sz="4" w:space="0"/>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2#真空罐</w:t>
                  </w:r>
                </w:p>
              </w:tc>
              <w:tc>
                <w:tcPr>
                  <w:tcW w:w="1229"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套</w:t>
                  </w:r>
                </w:p>
              </w:tc>
              <w:tc>
                <w:tcPr>
                  <w:tcW w:w="1190"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nil"/>
                    <w:left w:val="nil"/>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nil"/>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10</w:t>
                  </w:r>
                </w:p>
              </w:tc>
              <w:tc>
                <w:tcPr>
                  <w:tcW w:w="2519" w:type="dxa"/>
                  <w:tcBorders>
                    <w:top w:val="single" w:color="auto" w:sz="4" w:space="0"/>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1#自吸水泵</w:t>
                  </w:r>
                </w:p>
              </w:tc>
              <w:tc>
                <w:tcPr>
                  <w:tcW w:w="1229"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nil"/>
                    <w:left w:val="nil"/>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nil"/>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11</w:t>
                  </w:r>
                </w:p>
              </w:tc>
              <w:tc>
                <w:tcPr>
                  <w:tcW w:w="2519" w:type="dxa"/>
                  <w:tcBorders>
                    <w:top w:val="single" w:color="auto" w:sz="4" w:space="0"/>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2#自吸水泵</w:t>
                  </w:r>
                </w:p>
              </w:tc>
              <w:tc>
                <w:tcPr>
                  <w:tcW w:w="1229"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nil"/>
                    <w:left w:val="nil"/>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12</w:t>
                  </w:r>
                </w:p>
              </w:tc>
              <w:tc>
                <w:tcPr>
                  <w:tcW w:w="2519" w:type="dxa"/>
                  <w:tcBorders>
                    <w:top w:val="single" w:color="auto" w:sz="4" w:space="0"/>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螺杆式空气压缩机</w:t>
                  </w:r>
                </w:p>
              </w:tc>
              <w:tc>
                <w:tcPr>
                  <w:tcW w:w="1229"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nil"/>
                    <w:left w:val="nil"/>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nil"/>
                    <w:left w:val="nil"/>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13</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压缩空气储气罐</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1m</w:t>
                  </w:r>
                  <w:r>
                    <w:rPr>
                      <w:rFonts w:hint="eastAsia"/>
                      <w:color w:val="auto"/>
                      <w:vertAlign w:val="superscript"/>
                      <w:lang w:val="en-US" w:eastAsia="zh-CN"/>
                    </w:rPr>
                    <w:t>3</w:t>
                  </w:r>
                </w:p>
              </w:tc>
            </w:tr>
            <w:tr>
              <w:tblPrEx>
                <w:tblCellMar>
                  <w:top w:w="0" w:type="dxa"/>
                  <w:left w:w="108" w:type="dxa"/>
                  <w:bottom w:w="0" w:type="dxa"/>
                  <w:right w:w="108" w:type="dxa"/>
                </w:tblCellMar>
              </w:tblPrEx>
              <w:trPr>
                <w:trHeight w:val="340" w:hRule="atLeast"/>
                <w:jc w:val="center"/>
              </w:trPr>
              <w:tc>
                <w:tcPr>
                  <w:tcW w:w="7947" w:type="dxa"/>
                  <w:gridSpan w:val="5"/>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成型系统</w:t>
                  </w:r>
                  <w:r>
                    <w:rPr>
                      <w:rFonts w:hint="default"/>
                      <w:color w:val="auto"/>
                      <w:lang w:eastAsia="zh-CN"/>
                    </w:rPr>
                    <w:t>设备清单</w:t>
                  </w:r>
                </w:p>
              </w:tc>
            </w:tr>
            <w:tr>
              <w:tblPrEx>
                <w:tblCellMar>
                  <w:top w:w="0" w:type="dxa"/>
                  <w:left w:w="108" w:type="dxa"/>
                  <w:bottom w:w="0" w:type="dxa"/>
                  <w:right w:w="108" w:type="dxa"/>
                </w:tblCellMar>
              </w:tblPrEx>
              <w:trPr>
                <w:trHeight w:val="34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14</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八面成型机</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15</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模具</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套</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7947" w:type="dxa"/>
                  <w:gridSpan w:val="5"/>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烘干系统</w:t>
                  </w:r>
                  <w:r>
                    <w:rPr>
                      <w:rFonts w:hint="default"/>
                      <w:color w:val="auto"/>
                      <w:lang w:eastAsia="zh-CN"/>
                    </w:rPr>
                    <w:t>设备清单</w:t>
                  </w:r>
                </w:p>
              </w:tc>
            </w:tr>
            <w:tr>
              <w:tblPrEx>
                <w:tblCellMar>
                  <w:top w:w="0" w:type="dxa"/>
                  <w:left w:w="108" w:type="dxa"/>
                  <w:bottom w:w="0" w:type="dxa"/>
                  <w:right w:w="108" w:type="dxa"/>
                </w:tblCellMar>
              </w:tblPrEx>
              <w:trPr>
                <w:trHeight w:val="34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16</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金属烘干（六层）</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eastAsia="zh-CN"/>
                    </w:rPr>
                    <w:t>套</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7947" w:type="dxa"/>
                  <w:gridSpan w:val="5"/>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燃气系统</w:t>
                  </w:r>
                  <w:r>
                    <w:rPr>
                      <w:rFonts w:hint="default"/>
                      <w:color w:val="auto"/>
                      <w:lang w:eastAsia="zh-CN"/>
                    </w:rPr>
                    <w:t>设备清单</w:t>
                  </w:r>
                </w:p>
              </w:tc>
            </w:tr>
            <w:tr>
              <w:tblPrEx>
                <w:tblCellMar>
                  <w:top w:w="0" w:type="dxa"/>
                  <w:left w:w="108" w:type="dxa"/>
                  <w:bottom w:w="0" w:type="dxa"/>
                  <w:right w:w="108" w:type="dxa"/>
                </w:tblCellMar>
              </w:tblPrEx>
              <w:trPr>
                <w:trHeight w:val="34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17</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eastAsia="zh-CN"/>
                    </w:rPr>
                    <w:t>调压计量柜</w:t>
                  </w:r>
                  <w:r>
                    <w:rPr>
                      <w:rFonts w:hint="eastAsia"/>
                      <w:color w:val="auto"/>
                      <w:lang w:val="en-US" w:eastAsia="zh-CN"/>
                    </w:rPr>
                    <w:t>T1</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7947" w:type="dxa"/>
                  <w:gridSpan w:val="5"/>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辅助设备</w:t>
                  </w:r>
                </w:p>
              </w:tc>
            </w:tr>
            <w:tr>
              <w:tblPrEx>
                <w:tblCellMar>
                  <w:top w:w="0" w:type="dxa"/>
                  <w:left w:w="108" w:type="dxa"/>
                  <w:bottom w:w="0" w:type="dxa"/>
                  <w:right w:w="108" w:type="dxa"/>
                </w:tblCellMar>
              </w:tblPrEx>
              <w:trPr>
                <w:trHeight w:val="34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18</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石粉机</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19</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打包机</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20</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收托机</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val="en-US" w:eastAsia="zh-CN"/>
                    </w:rPr>
                  </w:pPr>
                  <w:r>
                    <w:rPr>
                      <w:rFonts w:hint="eastAsia"/>
                      <w:color w:val="auto"/>
                      <w:lang w:val="en-US" w:eastAsia="zh-CN"/>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21</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装载机</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p>
              </w:tc>
            </w:tr>
            <w:tr>
              <w:tblPrEx>
                <w:tblCellMar>
                  <w:top w:w="0" w:type="dxa"/>
                  <w:left w:w="108" w:type="dxa"/>
                  <w:bottom w:w="0" w:type="dxa"/>
                  <w:right w:w="108" w:type="dxa"/>
                </w:tblCellMar>
              </w:tblPrEx>
              <w:trPr>
                <w:trHeight w:val="340" w:hRule="atLeast"/>
                <w:jc w:val="center"/>
              </w:trPr>
              <w:tc>
                <w:tcPr>
                  <w:tcW w:w="7947" w:type="dxa"/>
                  <w:gridSpan w:val="5"/>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变配电设备</w:t>
                  </w:r>
                </w:p>
              </w:tc>
            </w:tr>
            <w:tr>
              <w:tblPrEx>
                <w:tblCellMar>
                  <w:top w:w="0" w:type="dxa"/>
                  <w:left w:w="108" w:type="dxa"/>
                  <w:bottom w:w="0" w:type="dxa"/>
                  <w:right w:w="108" w:type="dxa"/>
                </w:tblCellMar>
              </w:tblPrEx>
              <w:trPr>
                <w:trHeight w:val="340" w:hRule="atLeast"/>
                <w:jc w:val="center"/>
              </w:trPr>
              <w:tc>
                <w:tcPr>
                  <w:tcW w:w="99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22</w:t>
                  </w:r>
                </w:p>
              </w:tc>
              <w:tc>
                <w:tcPr>
                  <w:tcW w:w="251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变压器</w:t>
                  </w:r>
                </w:p>
              </w:tc>
              <w:tc>
                <w:tcPr>
                  <w:tcW w:w="1229"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r>
                    <w:rPr>
                      <w:rFonts w:hint="eastAsia"/>
                      <w:color w:val="auto"/>
                      <w:lang w:eastAsia="zh-CN"/>
                    </w:rPr>
                    <w:t>台</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default"/>
                      <w:color w:val="auto"/>
                      <w:lang w:val="en-US" w:eastAsia="zh-CN"/>
                    </w:rPr>
                  </w:pPr>
                  <w:r>
                    <w:rPr>
                      <w:rFonts w:hint="eastAsia"/>
                      <w:color w:val="auto"/>
                      <w:lang w:val="en-US" w:eastAsia="zh-CN"/>
                    </w:rPr>
                    <w:t>1</w:t>
                  </w:r>
                </w:p>
              </w:tc>
              <w:tc>
                <w:tcPr>
                  <w:tcW w:w="2010" w:type="dxa"/>
                  <w:tcBorders>
                    <w:top w:val="single" w:color="auto" w:sz="4" w:space="0"/>
                    <w:left w:val="single" w:color="auto" w:sz="4" w:space="0"/>
                    <w:bottom w:val="single" w:color="auto" w:sz="4" w:space="0"/>
                    <w:right w:val="single" w:color="auto" w:sz="4" w:space="0"/>
                  </w:tcBorders>
                  <w:noWrap w:val="0"/>
                  <w:vAlign w:val="center"/>
                </w:tcPr>
                <w:p>
                  <w:pPr>
                    <w:pStyle w:val="94"/>
                    <w:bidi w:val="0"/>
                    <w:rPr>
                      <w:rFonts w:hint="eastAsia"/>
                      <w:color w:val="auto"/>
                      <w:lang w:eastAsia="zh-CN"/>
                    </w:rPr>
                  </w:pPr>
                </w:p>
              </w:tc>
            </w:tr>
          </w:tbl>
          <w:p>
            <w:pPr>
              <w:spacing w:line="360" w:lineRule="auto"/>
              <w:ind w:firstLine="420" w:firstLineChars="200"/>
              <w:rPr>
                <w:color w:val="auto"/>
              </w:rPr>
            </w:pPr>
            <w:r>
              <w:rPr>
                <w:color w:val="auto"/>
              </w:rPr>
              <w:t>注</w:t>
            </w:r>
            <w:r>
              <w:rPr>
                <w:rFonts w:hint="eastAsia"/>
                <w:color w:val="auto"/>
              </w:rPr>
              <w:t>：</w:t>
            </w:r>
            <w:r>
              <w:rPr>
                <w:color w:val="auto"/>
              </w:rPr>
              <w:t>项目使用的设备不属于淘汰类设备。</w:t>
            </w:r>
          </w:p>
          <w:p>
            <w:pPr>
              <w:spacing w:line="360" w:lineRule="auto"/>
              <w:ind w:firstLine="422" w:firstLineChars="200"/>
              <w:rPr>
                <w:b/>
                <w:bCs/>
                <w:color w:val="auto"/>
              </w:rPr>
            </w:pPr>
            <w:r>
              <w:rPr>
                <w:rFonts w:hint="eastAsia"/>
                <w:b/>
                <w:bCs/>
                <w:color w:val="auto"/>
              </w:rPr>
              <w:t>7、水平衡分析</w:t>
            </w:r>
          </w:p>
          <w:p>
            <w:pPr>
              <w:adjustRightInd w:val="0"/>
              <w:snapToGrid w:val="0"/>
              <w:spacing w:line="360" w:lineRule="auto"/>
              <w:ind w:firstLine="420" w:firstLineChars="200"/>
              <w:jc w:val="left"/>
              <w:rPr>
                <w:rFonts w:hint="eastAsia"/>
                <w:color w:val="auto"/>
                <w:szCs w:val="21"/>
                <w:lang w:val="en-US" w:eastAsia="zh-CN"/>
              </w:rPr>
            </w:pPr>
            <w:r>
              <w:rPr>
                <w:rFonts w:hint="eastAsia"/>
                <w:color w:val="auto"/>
                <w:szCs w:val="21"/>
              </w:rPr>
              <w:t>本</w:t>
            </w:r>
            <w:r>
              <w:rPr>
                <w:color w:val="auto"/>
                <w:szCs w:val="21"/>
              </w:rPr>
              <w:t>项目用水</w:t>
            </w:r>
            <w:r>
              <w:rPr>
                <w:rFonts w:hint="eastAsia"/>
                <w:color w:val="auto"/>
                <w:szCs w:val="21"/>
                <w:lang w:val="en-US" w:eastAsia="zh-CN"/>
              </w:rPr>
              <w:t>主要为生活用水、生产用水。</w:t>
            </w:r>
          </w:p>
          <w:p>
            <w:pPr>
              <w:pStyle w:val="6"/>
              <w:spacing w:before="0" w:after="0" w:line="360" w:lineRule="auto"/>
              <w:ind w:right="0" w:firstLine="422" w:firstLineChars="200"/>
              <w:rPr>
                <w:rFonts w:hint="default" w:ascii="Times New Roman" w:hAnsi="Times New Roman" w:eastAsia="宋体" w:cs="Times New Roman"/>
                <w:b/>
                <w:bCs/>
                <w:color w:val="auto"/>
                <w:kern w:val="2"/>
                <w:sz w:val="21"/>
                <w:szCs w:val="24"/>
                <w:lang w:val="en-US" w:eastAsia="zh-CN" w:bidi="ar-SA"/>
              </w:rPr>
            </w:pPr>
            <w:r>
              <w:rPr>
                <w:rFonts w:hint="default" w:ascii="Times New Roman" w:hAnsi="Times New Roman" w:eastAsia="宋体" w:cs="Times New Roman"/>
                <w:b/>
                <w:bCs/>
                <w:color w:val="auto"/>
                <w:kern w:val="2"/>
                <w:sz w:val="21"/>
                <w:szCs w:val="24"/>
                <w:lang w:val="en-US" w:eastAsia="zh-CN" w:bidi="ar-SA"/>
              </w:rPr>
              <w:t>①</w:t>
            </w:r>
            <w:r>
              <w:rPr>
                <w:rFonts w:hint="eastAsia" w:ascii="Times New Roman" w:hAnsi="Times New Roman" w:cs="Times New Roman"/>
                <w:b/>
                <w:bCs/>
                <w:color w:val="auto"/>
                <w:kern w:val="2"/>
                <w:sz w:val="21"/>
                <w:szCs w:val="24"/>
                <w:lang w:val="en-US" w:eastAsia="zh-CN" w:bidi="ar-SA"/>
              </w:rPr>
              <w:t>生活用水</w:t>
            </w:r>
          </w:p>
          <w:p>
            <w:pPr>
              <w:spacing w:line="360" w:lineRule="auto"/>
              <w:ind w:firstLine="420" w:firstLineChars="200"/>
              <w:rPr>
                <w:rFonts w:hint="default" w:eastAsia="宋体"/>
                <w:color w:val="auto"/>
                <w:lang w:val="en-US" w:eastAsia="zh-CN"/>
              </w:rPr>
            </w:pPr>
            <w:r>
              <w:rPr>
                <w:color w:val="auto"/>
              </w:rPr>
              <w:t>本项目</w:t>
            </w:r>
            <w:r>
              <w:rPr>
                <w:rFonts w:hint="eastAsia"/>
                <w:color w:val="auto"/>
                <w:lang w:val="en-US" w:eastAsia="zh-CN"/>
              </w:rPr>
              <w:t>共计5名</w:t>
            </w:r>
            <w:r>
              <w:rPr>
                <w:rFonts w:hint="eastAsia"/>
                <w:color w:val="auto"/>
              </w:rPr>
              <w:t>员工，</w:t>
            </w:r>
            <w:r>
              <w:rPr>
                <w:rFonts w:hint="eastAsia"/>
                <w:color w:val="auto"/>
                <w:lang w:val="en-US" w:eastAsia="zh-CN"/>
              </w:rPr>
              <w:t>在厂区内进行食宿</w:t>
            </w:r>
            <w:r>
              <w:rPr>
                <w:rFonts w:hint="eastAsia"/>
                <w:color w:val="auto"/>
              </w:rPr>
              <w:t>，根据《新疆维吾尔自治区生活用水定额》中资料，</w:t>
            </w:r>
            <w:r>
              <w:rPr>
                <w:rFonts w:hint="eastAsia"/>
                <w:color w:val="auto"/>
                <w:lang w:val="en-US" w:eastAsia="zh-CN"/>
              </w:rPr>
              <w:t>用水定额</w:t>
            </w:r>
            <w:r>
              <w:rPr>
                <w:color w:val="auto"/>
              </w:rPr>
              <w:t>按照</w:t>
            </w:r>
            <w:r>
              <w:rPr>
                <w:rFonts w:hint="eastAsia"/>
                <w:color w:val="auto"/>
                <w:lang w:val="en-US" w:eastAsia="zh-CN"/>
              </w:rPr>
              <w:t>80</w:t>
            </w:r>
            <w:r>
              <w:rPr>
                <w:color w:val="auto"/>
              </w:rPr>
              <w:t>L/（人•d）</w:t>
            </w:r>
            <w:r>
              <w:rPr>
                <w:rFonts w:hint="eastAsia"/>
                <w:color w:val="auto"/>
              </w:rPr>
              <w:t>计算，生活用水量为</w:t>
            </w:r>
            <w:r>
              <w:rPr>
                <w:rFonts w:hint="eastAsia"/>
                <w:color w:val="auto"/>
                <w:lang w:val="en-US" w:eastAsia="zh-CN"/>
              </w:rPr>
              <w:t>0.4</w:t>
            </w:r>
            <w:r>
              <w:rPr>
                <w:rFonts w:hint="eastAsia"/>
                <w:color w:val="auto"/>
              </w:rPr>
              <w:t>m</w:t>
            </w:r>
            <w:r>
              <w:rPr>
                <w:rFonts w:hint="eastAsia"/>
                <w:color w:val="auto"/>
                <w:vertAlign w:val="superscript"/>
              </w:rPr>
              <w:t>3</w:t>
            </w:r>
            <w:r>
              <w:rPr>
                <w:rFonts w:hint="eastAsia"/>
                <w:color w:val="auto"/>
              </w:rPr>
              <w:t>/d（</w:t>
            </w:r>
            <w:r>
              <w:rPr>
                <w:rFonts w:hint="eastAsia"/>
                <w:color w:val="auto"/>
                <w:lang w:val="en-US" w:eastAsia="zh-CN"/>
              </w:rPr>
              <w:t>120</w:t>
            </w:r>
            <w:r>
              <w:rPr>
                <w:rFonts w:hint="eastAsia"/>
                <w:color w:val="auto"/>
              </w:rPr>
              <w:t>m</w:t>
            </w:r>
            <w:r>
              <w:rPr>
                <w:rFonts w:hint="eastAsia"/>
                <w:color w:val="auto"/>
                <w:vertAlign w:val="superscript"/>
              </w:rPr>
              <w:t>3</w:t>
            </w:r>
            <w:r>
              <w:rPr>
                <w:rFonts w:hint="eastAsia"/>
                <w:color w:val="auto"/>
              </w:rPr>
              <w:t>/a），排放量按照80%计，排放量为</w:t>
            </w:r>
            <w:r>
              <w:rPr>
                <w:rFonts w:hint="eastAsia"/>
                <w:color w:val="auto"/>
                <w:lang w:val="en-US" w:eastAsia="zh-CN"/>
              </w:rPr>
              <w:t>0.32</w:t>
            </w:r>
            <w:r>
              <w:rPr>
                <w:rFonts w:hint="eastAsia"/>
                <w:color w:val="auto"/>
              </w:rPr>
              <w:t>m</w:t>
            </w:r>
            <w:r>
              <w:rPr>
                <w:rFonts w:hint="eastAsia"/>
                <w:color w:val="auto"/>
                <w:vertAlign w:val="superscript"/>
              </w:rPr>
              <w:t>3</w:t>
            </w:r>
            <w:r>
              <w:rPr>
                <w:rFonts w:hint="eastAsia"/>
                <w:color w:val="auto"/>
              </w:rPr>
              <w:t>/d（</w:t>
            </w:r>
            <w:r>
              <w:rPr>
                <w:rFonts w:hint="eastAsia"/>
                <w:color w:val="auto"/>
                <w:lang w:val="en-US" w:eastAsia="zh-CN"/>
              </w:rPr>
              <w:t>96</w:t>
            </w:r>
            <w:r>
              <w:rPr>
                <w:rFonts w:hint="eastAsia"/>
                <w:color w:val="auto"/>
              </w:rPr>
              <w:t>m</w:t>
            </w:r>
            <w:r>
              <w:rPr>
                <w:rFonts w:hint="eastAsia"/>
                <w:color w:val="auto"/>
                <w:vertAlign w:val="superscript"/>
              </w:rPr>
              <w:t>3</w:t>
            </w:r>
            <w:r>
              <w:rPr>
                <w:rFonts w:hint="eastAsia"/>
                <w:color w:val="auto"/>
              </w:rPr>
              <w:t>/a）。</w:t>
            </w:r>
            <w:r>
              <w:rPr>
                <w:color w:val="auto"/>
              </w:rPr>
              <w:t>生活污水</w:t>
            </w:r>
            <w:r>
              <w:rPr>
                <w:rFonts w:hint="eastAsia"/>
                <w:color w:val="auto"/>
                <w:lang w:val="en-US" w:eastAsia="zh-CN"/>
              </w:rPr>
              <w:t>直接排入市政污水管网，最终进入玛纳斯县污水处理厂</w:t>
            </w:r>
            <w:r>
              <w:rPr>
                <w:rFonts w:hint="eastAsia"/>
                <w:color w:val="auto"/>
              </w:rPr>
              <w:t>。</w:t>
            </w:r>
          </w:p>
          <w:p>
            <w:pPr>
              <w:pStyle w:val="6"/>
              <w:adjustRightInd w:val="0"/>
              <w:spacing w:before="0" w:after="0" w:line="360" w:lineRule="auto"/>
              <w:ind w:right="0" w:firstLine="422" w:firstLineChars="200"/>
              <w:jc w:val="left"/>
              <w:rPr>
                <w:rFonts w:hint="eastAsia"/>
                <w:b/>
                <w:bCs/>
                <w:color w:val="auto"/>
                <w:sz w:val="21"/>
                <w:szCs w:val="21"/>
              </w:rPr>
            </w:pPr>
            <w:r>
              <w:rPr>
                <w:b/>
                <w:bCs/>
                <w:color w:val="auto"/>
                <w:sz w:val="21"/>
                <w:szCs w:val="21"/>
              </w:rPr>
              <w:t>②</w:t>
            </w:r>
            <w:r>
              <w:rPr>
                <w:rFonts w:hint="eastAsia"/>
                <w:b/>
                <w:bCs/>
                <w:color w:val="auto"/>
                <w:sz w:val="21"/>
                <w:szCs w:val="21"/>
              </w:rPr>
              <w:t>生产用水</w:t>
            </w:r>
          </w:p>
          <w:p>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color w:val="auto"/>
              </w:rPr>
            </w:pPr>
            <w:r>
              <w:rPr>
                <w:rFonts w:hint="eastAsia"/>
                <w:color w:val="auto"/>
              </w:rPr>
              <w:t>本项目生产用水主要为制浆用水，根据建设单位提供设计资料，每吨废纸与水的比例约为1.122:1，</w:t>
            </w:r>
            <w:r>
              <w:rPr>
                <w:rFonts w:hint="eastAsia"/>
                <w:color w:val="auto"/>
                <w:lang w:val="en-US" w:eastAsia="zh-CN"/>
              </w:rPr>
              <w:t>项目废纸用量为1500t/a，故</w:t>
            </w:r>
            <w:r>
              <w:rPr>
                <w:rFonts w:hint="eastAsia"/>
                <w:color w:val="auto"/>
              </w:rPr>
              <w:t>制浆用水为</w:t>
            </w:r>
            <w:r>
              <w:rPr>
                <w:rFonts w:hint="eastAsia"/>
                <w:color w:val="auto"/>
                <w:lang w:val="en-US" w:eastAsia="zh-CN"/>
              </w:rPr>
              <w:t>4.46</w:t>
            </w:r>
            <w:r>
              <w:rPr>
                <w:rFonts w:hint="eastAsia"/>
                <w:color w:val="auto"/>
              </w:rPr>
              <w:t>t/d</w:t>
            </w:r>
            <w:r>
              <w:rPr>
                <w:rFonts w:hint="eastAsia"/>
                <w:color w:val="auto"/>
                <w:lang w:eastAsia="zh-CN"/>
              </w:rPr>
              <w:t>，</w:t>
            </w:r>
            <w:r>
              <w:rPr>
                <w:rFonts w:hint="eastAsia"/>
                <w:color w:val="auto"/>
                <w:highlight w:val="none"/>
              </w:rPr>
              <w:t>水与废纸经过破碎工序后通过水泵将纸浆抽至兑浆池，进行兑浆、磨浆等工序后，进入成型机，成型机内纸浆固液分离，</w:t>
            </w:r>
            <w:r>
              <w:rPr>
                <w:rFonts w:hint="eastAsia"/>
                <w:color w:val="auto"/>
              </w:rPr>
              <w:t>分离后的液体（约用水量的85%）</w:t>
            </w:r>
            <w:r>
              <w:rPr>
                <w:rFonts w:hint="eastAsia"/>
                <w:color w:val="auto"/>
                <w:lang w:val="en-US" w:eastAsia="zh-CN"/>
              </w:rPr>
              <w:t>进入气水分离罐，由抽水泵将水抽到水池内储存</w:t>
            </w:r>
            <w:r>
              <w:rPr>
                <w:rFonts w:hint="eastAsia"/>
                <w:color w:val="auto"/>
              </w:rPr>
              <w:t>，同时，成型机的储浆槽设置有溢流口，溢出的浆液通过沟渠回流入水池内（用水量的2％），固体部分为半成品蛋托（含水量为13％），而后进入烘干工序，烘干后的成品蛋托含水量为1.6%。</w:t>
            </w:r>
          </w:p>
          <w:p>
            <w:pPr>
              <w:pStyle w:val="6"/>
              <w:adjustRightInd w:val="0"/>
              <w:spacing w:before="0" w:after="0" w:line="360" w:lineRule="auto"/>
              <w:ind w:right="0" w:firstLine="420" w:firstLineChars="200"/>
              <w:jc w:val="left"/>
              <w:rPr>
                <w:b w:val="0"/>
                <w:bCs w:val="0"/>
                <w:color w:val="auto"/>
                <w:sz w:val="21"/>
                <w:szCs w:val="21"/>
              </w:rPr>
            </w:pPr>
            <w:r>
              <w:rPr>
                <w:rFonts w:hint="eastAsia"/>
                <w:b w:val="0"/>
                <w:bCs w:val="0"/>
                <w:color w:val="auto"/>
                <w:sz w:val="21"/>
                <w:szCs w:val="21"/>
              </w:rPr>
              <w:t>根据计算。项目总用水量为</w:t>
            </w:r>
            <w:r>
              <w:rPr>
                <w:rFonts w:hint="eastAsia"/>
                <w:b w:val="0"/>
                <w:bCs w:val="0"/>
                <w:color w:val="auto"/>
                <w:sz w:val="21"/>
                <w:szCs w:val="21"/>
                <w:lang w:val="en-US" w:eastAsia="zh-CN"/>
              </w:rPr>
              <w:t>4.86</w:t>
            </w:r>
            <w:r>
              <w:rPr>
                <w:rFonts w:hint="eastAsia"/>
                <w:b w:val="0"/>
                <w:bCs w:val="0"/>
                <w:color w:val="auto"/>
                <w:sz w:val="21"/>
                <w:szCs w:val="21"/>
              </w:rPr>
              <w:t>t/d（</w:t>
            </w:r>
            <w:r>
              <w:rPr>
                <w:rFonts w:hint="eastAsia"/>
                <w:b w:val="0"/>
                <w:bCs w:val="0"/>
                <w:color w:val="auto"/>
                <w:sz w:val="21"/>
                <w:szCs w:val="21"/>
                <w:highlight w:val="none"/>
                <w:lang w:val="en-US" w:eastAsia="zh-CN"/>
              </w:rPr>
              <w:t>1458</w:t>
            </w:r>
            <w:r>
              <w:rPr>
                <w:rFonts w:hint="eastAsia"/>
                <w:b w:val="0"/>
                <w:bCs w:val="0"/>
                <w:color w:val="auto"/>
                <w:sz w:val="21"/>
                <w:szCs w:val="21"/>
                <w:highlight w:val="none"/>
              </w:rPr>
              <w:t>t/a</w:t>
            </w:r>
            <w:r>
              <w:rPr>
                <w:rFonts w:hint="eastAsia"/>
                <w:b w:val="0"/>
                <w:bCs w:val="0"/>
                <w:color w:val="auto"/>
                <w:sz w:val="21"/>
                <w:szCs w:val="21"/>
              </w:rPr>
              <w:t>），其中每日补充的新鲜水量为</w:t>
            </w:r>
            <w:r>
              <w:rPr>
                <w:rFonts w:hint="eastAsia"/>
                <w:b w:val="0"/>
                <w:bCs w:val="0"/>
                <w:color w:val="auto"/>
                <w:sz w:val="21"/>
                <w:szCs w:val="21"/>
                <w:highlight w:val="none"/>
                <w:lang w:val="en-US" w:eastAsia="zh-CN"/>
              </w:rPr>
              <w:t>0.9798</w:t>
            </w:r>
            <w:r>
              <w:rPr>
                <w:rFonts w:hint="eastAsia"/>
                <w:b w:val="0"/>
                <w:bCs w:val="0"/>
                <w:color w:val="auto"/>
                <w:sz w:val="21"/>
                <w:szCs w:val="21"/>
                <w:highlight w:val="none"/>
              </w:rPr>
              <w:t>t/d（</w:t>
            </w:r>
            <w:r>
              <w:rPr>
                <w:rFonts w:hint="eastAsia"/>
                <w:b w:val="0"/>
                <w:bCs w:val="0"/>
                <w:color w:val="auto"/>
                <w:sz w:val="21"/>
                <w:szCs w:val="21"/>
                <w:highlight w:val="none"/>
                <w:lang w:val="en-US" w:eastAsia="zh-CN"/>
              </w:rPr>
              <w:t>293.94</w:t>
            </w:r>
            <w:r>
              <w:rPr>
                <w:rFonts w:hint="eastAsia"/>
                <w:b w:val="0"/>
                <w:bCs w:val="0"/>
                <w:color w:val="auto"/>
                <w:sz w:val="21"/>
                <w:szCs w:val="21"/>
                <w:highlight w:val="none"/>
              </w:rPr>
              <w:t>t/a），循环水量为</w:t>
            </w:r>
            <w:r>
              <w:rPr>
                <w:rFonts w:hint="eastAsia"/>
                <w:b w:val="0"/>
                <w:bCs w:val="0"/>
                <w:color w:val="auto"/>
                <w:sz w:val="21"/>
                <w:szCs w:val="21"/>
                <w:highlight w:val="none"/>
                <w:lang w:val="en-US" w:eastAsia="zh-CN"/>
              </w:rPr>
              <w:t>3.8802</w:t>
            </w:r>
            <w:r>
              <w:rPr>
                <w:rFonts w:hint="eastAsia"/>
                <w:b w:val="0"/>
                <w:bCs w:val="0"/>
                <w:color w:val="auto"/>
                <w:sz w:val="21"/>
                <w:szCs w:val="21"/>
                <w:highlight w:val="none"/>
              </w:rPr>
              <w:t>t/d（</w:t>
            </w:r>
            <w:r>
              <w:rPr>
                <w:rFonts w:hint="eastAsia"/>
                <w:b w:val="0"/>
                <w:bCs w:val="0"/>
                <w:color w:val="auto"/>
                <w:sz w:val="21"/>
                <w:szCs w:val="21"/>
                <w:highlight w:val="none"/>
                <w:lang w:val="en-US" w:eastAsia="zh-CN"/>
              </w:rPr>
              <w:t>1164.06</w:t>
            </w:r>
            <w:r>
              <w:rPr>
                <w:rFonts w:hint="eastAsia"/>
                <w:b w:val="0"/>
                <w:bCs w:val="0"/>
                <w:color w:val="auto"/>
                <w:sz w:val="21"/>
                <w:szCs w:val="21"/>
                <w:highlight w:val="none"/>
              </w:rPr>
              <w:t>t/a）</w:t>
            </w:r>
            <w:r>
              <w:rPr>
                <w:rFonts w:hint="eastAsia"/>
                <w:b w:val="0"/>
                <w:bCs w:val="0"/>
                <w:color w:val="auto"/>
                <w:sz w:val="21"/>
                <w:szCs w:val="21"/>
              </w:rPr>
              <w:t>。项目水平衡图见下图。</w:t>
            </w:r>
          </w:p>
          <w:p>
            <w:pPr>
              <w:spacing w:line="360" w:lineRule="auto"/>
              <w:ind w:firstLine="420" w:firstLineChars="200"/>
              <w:rPr>
                <w:color w:val="auto"/>
              </w:rPr>
            </w:pPr>
            <w:r>
              <w:rPr>
                <w:color w:val="auto"/>
              </w:rPr>
              <w:t>项目运营期水量平衡表见</w:t>
            </w:r>
            <w:r>
              <w:rPr>
                <w:rFonts w:hint="eastAsia"/>
                <w:color w:val="auto"/>
              </w:rPr>
              <w:t>下</w:t>
            </w:r>
            <w:r>
              <w:rPr>
                <w:color w:val="auto"/>
              </w:rPr>
              <w:t>表，水平衡图</w:t>
            </w:r>
            <w:r>
              <w:rPr>
                <w:rFonts w:hint="eastAsia"/>
                <w:color w:val="auto"/>
              </w:rPr>
              <w:t>见下图：</w:t>
            </w:r>
          </w:p>
          <w:p>
            <w:pPr>
              <w:adjustRightInd w:val="0"/>
              <w:snapToGrid w:val="0"/>
              <w:spacing w:line="360" w:lineRule="auto"/>
              <w:ind w:firstLine="361" w:firstLineChars="200"/>
              <w:jc w:val="center"/>
              <w:rPr>
                <w:color w:val="auto"/>
                <w:sz w:val="18"/>
                <w:szCs w:val="18"/>
                <w:highlight w:val="none"/>
              </w:rPr>
            </w:pPr>
            <w:r>
              <w:rPr>
                <w:b/>
                <w:bCs/>
                <w:color w:val="auto"/>
                <w:sz w:val="18"/>
                <w:szCs w:val="18"/>
                <w:highlight w:val="none"/>
              </w:rPr>
              <w:t>表2-</w:t>
            </w:r>
            <w:r>
              <w:rPr>
                <w:rFonts w:hint="eastAsia"/>
                <w:b/>
                <w:bCs/>
                <w:color w:val="auto"/>
                <w:sz w:val="18"/>
                <w:szCs w:val="18"/>
                <w:highlight w:val="none"/>
                <w:lang w:val="en-US" w:eastAsia="zh-CN"/>
              </w:rPr>
              <w:t>5</w:t>
            </w:r>
            <w:r>
              <w:rPr>
                <w:b/>
                <w:bCs/>
                <w:color w:val="auto"/>
                <w:sz w:val="18"/>
                <w:szCs w:val="18"/>
                <w:highlight w:val="none"/>
              </w:rPr>
              <w:t xml:space="preserve">  项目运营期水平衡一览表</w:t>
            </w:r>
            <w:r>
              <w:rPr>
                <w:rFonts w:hint="eastAsia"/>
                <w:b/>
                <w:bCs/>
                <w:color w:val="auto"/>
                <w:sz w:val="18"/>
                <w:szCs w:val="18"/>
                <w:highlight w:val="none"/>
              </w:rPr>
              <w:t xml:space="preserve">   单位：m</w:t>
            </w:r>
            <w:r>
              <w:rPr>
                <w:rFonts w:hint="eastAsia"/>
                <w:b/>
                <w:bCs/>
                <w:color w:val="auto"/>
                <w:sz w:val="18"/>
                <w:szCs w:val="18"/>
                <w:highlight w:val="none"/>
                <w:vertAlign w:val="superscript"/>
              </w:rPr>
              <w:t>3</w:t>
            </w:r>
            <w:r>
              <w:rPr>
                <w:rFonts w:hint="eastAsia"/>
                <w:b/>
                <w:bCs/>
                <w:color w:val="auto"/>
                <w:sz w:val="18"/>
                <w:szCs w:val="18"/>
                <w:highlight w:val="none"/>
              </w:rPr>
              <w:t>/d</w:t>
            </w:r>
          </w:p>
          <w:tbl>
            <w:tblPr>
              <w:tblStyle w:val="24"/>
              <w:tblW w:w="79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374"/>
              <w:gridCol w:w="1085"/>
              <w:gridCol w:w="605"/>
              <w:gridCol w:w="1220"/>
              <w:gridCol w:w="761"/>
              <w:gridCol w:w="605"/>
              <w:gridCol w:w="985"/>
              <w:gridCol w:w="705"/>
              <w:gridCol w:w="1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4" w:type="dxa"/>
                  <w:tcBorders>
                    <w:tl2br w:val="nil"/>
                    <w:tr2bl w:val="nil"/>
                  </w:tcBorders>
                  <w:vAlign w:val="center"/>
                </w:tcPr>
                <w:p>
                  <w:pPr>
                    <w:spacing w:line="320" w:lineRule="exact"/>
                    <w:jc w:val="center"/>
                    <w:rPr>
                      <w:color w:val="auto"/>
                      <w:sz w:val="18"/>
                      <w:szCs w:val="18"/>
                    </w:rPr>
                  </w:pPr>
                  <w:r>
                    <w:rPr>
                      <w:color w:val="auto"/>
                      <w:sz w:val="18"/>
                      <w:szCs w:val="18"/>
                    </w:rPr>
                    <w:t>序号</w:t>
                  </w:r>
                </w:p>
              </w:tc>
              <w:tc>
                <w:tcPr>
                  <w:tcW w:w="1085" w:type="dxa"/>
                  <w:tcBorders>
                    <w:tl2br w:val="nil"/>
                    <w:tr2bl w:val="nil"/>
                  </w:tcBorders>
                  <w:vAlign w:val="center"/>
                </w:tcPr>
                <w:p>
                  <w:pPr>
                    <w:spacing w:line="320" w:lineRule="exact"/>
                    <w:jc w:val="center"/>
                    <w:rPr>
                      <w:color w:val="auto"/>
                      <w:sz w:val="18"/>
                      <w:szCs w:val="18"/>
                    </w:rPr>
                  </w:pPr>
                  <w:r>
                    <w:rPr>
                      <w:rFonts w:hint="eastAsia"/>
                      <w:color w:val="auto"/>
                      <w:sz w:val="18"/>
                      <w:szCs w:val="18"/>
                    </w:rPr>
                    <w:t>用水性质</w:t>
                  </w:r>
                </w:p>
              </w:tc>
              <w:tc>
                <w:tcPr>
                  <w:tcW w:w="605" w:type="dxa"/>
                  <w:tcBorders>
                    <w:tl2br w:val="nil"/>
                    <w:tr2bl w:val="nil"/>
                  </w:tcBorders>
                  <w:vAlign w:val="center"/>
                </w:tcPr>
                <w:p>
                  <w:pPr>
                    <w:spacing w:line="320" w:lineRule="exact"/>
                    <w:jc w:val="center"/>
                    <w:rPr>
                      <w:color w:val="auto"/>
                      <w:sz w:val="18"/>
                      <w:szCs w:val="18"/>
                    </w:rPr>
                  </w:pPr>
                  <w:r>
                    <w:rPr>
                      <w:rFonts w:hint="eastAsia"/>
                      <w:color w:val="auto"/>
                      <w:sz w:val="18"/>
                      <w:szCs w:val="18"/>
                    </w:rPr>
                    <w:t>补充新水</w:t>
                  </w:r>
                </w:p>
              </w:tc>
              <w:tc>
                <w:tcPr>
                  <w:tcW w:w="1220" w:type="dxa"/>
                  <w:tcBorders>
                    <w:tl2br w:val="nil"/>
                    <w:tr2bl w:val="nil"/>
                  </w:tcBorders>
                  <w:vAlign w:val="center"/>
                </w:tcPr>
                <w:p>
                  <w:pPr>
                    <w:spacing w:line="320" w:lineRule="exact"/>
                    <w:jc w:val="center"/>
                    <w:rPr>
                      <w:color w:val="auto"/>
                      <w:sz w:val="18"/>
                      <w:szCs w:val="18"/>
                    </w:rPr>
                  </w:pPr>
                  <w:r>
                    <w:rPr>
                      <w:rFonts w:hint="eastAsia"/>
                      <w:color w:val="auto"/>
                      <w:sz w:val="18"/>
                      <w:szCs w:val="18"/>
                    </w:rPr>
                    <w:t>其他补充水</w:t>
                  </w:r>
                </w:p>
              </w:tc>
              <w:tc>
                <w:tcPr>
                  <w:tcW w:w="761" w:type="dxa"/>
                  <w:tcBorders>
                    <w:tl2br w:val="nil"/>
                    <w:tr2bl w:val="nil"/>
                  </w:tcBorders>
                  <w:vAlign w:val="center"/>
                </w:tcPr>
                <w:p>
                  <w:pPr>
                    <w:spacing w:line="320" w:lineRule="exact"/>
                    <w:jc w:val="center"/>
                    <w:rPr>
                      <w:color w:val="auto"/>
                      <w:sz w:val="18"/>
                      <w:szCs w:val="18"/>
                    </w:rPr>
                  </w:pPr>
                  <w:r>
                    <w:rPr>
                      <w:rFonts w:hint="eastAsia"/>
                      <w:color w:val="auto"/>
                      <w:sz w:val="18"/>
                      <w:szCs w:val="18"/>
                    </w:rPr>
                    <w:t>回用水量</w:t>
                  </w:r>
                </w:p>
              </w:tc>
              <w:tc>
                <w:tcPr>
                  <w:tcW w:w="605" w:type="dxa"/>
                  <w:tcBorders>
                    <w:tl2br w:val="nil"/>
                    <w:tr2bl w:val="nil"/>
                  </w:tcBorders>
                  <w:vAlign w:val="center"/>
                </w:tcPr>
                <w:p>
                  <w:pPr>
                    <w:spacing w:line="320" w:lineRule="exact"/>
                    <w:jc w:val="center"/>
                    <w:rPr>
                      <w:color w:val="auto"/>
                      <w:sz w:val="18"/>
                      <w:szCs w:val="18"/>
                    </w:rPr>
                  </w:pPr>
                  <w:r>
                    <w:rPr>
                      <w:rFonts w:hint="eastAsia"/>
                      <w:color w:val="auto"/>
                      <w:sz w:val="18"/>
                      <w:szCs w:val="18"/>
                    </w:rPr>
                    <w:t>总用水量</w:t>
                  </w:r>
                </w:p>
              </w:tc>
              <w:tc>
                <w:tcPr>
                  <w:tcW w:w="1690" w:type="dxa"/>
                  <w:gridSpan w:val="2"/>
                  <w:tcBorders>
                    <w:tl2br w:val="nil"/>
                    <w:tr2bl w:val="nil"/>
                  </w:tcBorders>
                  <w:vAlign w:val="center"/>
                </w:tcPr>
                <w:p>
                  <w:pPr>
                    <w:spacing w:line="320" w:lineRule="exact"/>
                    <w:jc w:val="center"/>
                    <w:rPr>
                      <w:color w:val="auto"/>
                      <w:sz w:val="18"/>
                      <w:szCs w:val="18"/>
                    </w:rPr>
                  </w:pPr>
                  <w:r>
                    <w:rPr>
                      <w:rFonts w:hint="eastAsia"/>
                      <w:color w:val="auto"/>
                      <w:sz w:val="18"/>
                      <w:szCs w:val="18"/>
                    </w:rPr>
                    <w:t>损耗量</w:t>
                  </w:r>
                </w:p>
              </w:tc>
              <w:tc>
                <w:tcPr>
                  <w:tcW w:w="1636" w:type="dxa"/>
                  <w:tcBorders>
                    <w:tl2br w:val="nil"/>
                    <w:tr2bl w:val="nil"/>
                  </w:tcBorders>
                  <w:vAlign w:val="center"/>
                </w:tcPr>
                <w:p>
                  <w:pPr>
                    <w:spacing w:line="320" w:lineRule="exact"/>
                    <w:jc w:val="center"/>
                    <w:rPr>
                      <w:color w:val="auto"/>
                      <w:sz w:val="18"/>
                      <w:szCs w:val="18"/>
                    </w:rPr>
                  </w:pPr>
                  <w:r>
                    <w:rPr>
                      <w:rFonts w:hint="eastAsia"/>
                      <w:color w:val="auto"/>
                      <w:sz w:val="18"/>
                      <w:szCs w:val="18"/>
                    </w:rPr>
                    <w:t>废水产生量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4" w:type="dxa"/>
                  <w:tcBorders>
                    <w:tl2br w:val="nil"/>
                    <w:tr2bl w:val="nil"/>
                  </w:tcBorders>
                  <w:vAlign w:val="center"/>
                </w:tcPr>
                <w:p>
                  <w:pPr>
                    <w:spacing w:line="320" w:lineRule="exact"/>
                    <w:jc w:val="center"/>
                    <w:rPr>
                      <w:color w:val="auto"/>
                      <w:sz w:val="18"/>
                      <w:szCs w:val="18"/>
                    </w:rPr>
                  </w:pPr>
                  <w:r>
                    <w:rPr>
                      <w:rFonts w:hint="eastAsia"/>
                      <w:color w:val="auto"/>
                      <w:sz w:val="18"/>
                      <w:szCs w:val="18"/>
                    </w:rPr>
                    <w:t>1</w:t>
                  </w:r>
                </w:p>
              </w:tc>
              <w:tc>
                <w:tcPr>
                  <w:tcW w:w="1085" w:type="dxa"/>
                  <w:tcBorders>
                    <w:tl2br w:val="nil"/>
                    <w:tr2bl w:val="nil"/>
                  </w:tcBorders>
                  <w:vAlign w:val="center"/>
                </w:tcPr>
                <w:p>
                  <w:pPr>
                    <w:spacing w:line="320" w:lineRule="exact"/>
                    <w:jc w:val="center"/>
                    <w:rPr>
                      <w:color w:val="auto"/>
                      <w:sz w:val="18"/>
                      <w:szCs w:val="18"/>
                    </w:rPr>
                  </w:pPr>
                  <w:r>
                    <w:rPr>
                      <w:rFonts w:hint="eastAsia"/>
                      <w:color w:val="auto"/>
                      <w:sz w:val="18"/>
                      <w:szCs w:val="18"/>
                    </w:rPr>
                    <w:t>生产用水</w:t>
                  </w:r>
                </w:p>
              </w:tc>
              <w:tc>
                <w:tcPr>
                  <w:tcW w:w="605" w:type="dxa"/>
                  <w:tcBorders>
                    <w:tl2br w:val="nil"/>
                    <w:tr2bl w:val="nil"/>
                  </w:tcBorders>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0.5798</w:t>
                  </w:r>
                </w:p>
              </w:tc>
              <w:tc>
                <w:tcPr>
                  <w:tcW w:w="1220" w:type="dxa"/>
                  <w:tcBorders>
                    <w:tl2br w:val="nil"/>
                    <w:tr2bl w:val="nil"/>
                  </w:tcBorders>
                  <w:vAlign w:val="center"/>
                </w:tcPr>
                <w:p>
                  <w:pPr>
                    <w:spacing w:line="320" w:lineRule="exact"/>
                    <w:jc w:val="center"/>
                    <w:rPr>
                      <w:color w:val="auto"/>
                      <w:sz w:val="18"/>
                      <w:szCs w:val="18"/>
                    </w:rPr>
                  </w:pPr>
                  <w:r>
                    <w:rPr>
                      <w:rFonts w:hint="eastAsia"/>
                      <w:color w:val="auto"/>
                      <w:sz w:val="18"/>
                      <w:szCs w:val="18"/>
                    </w:rPr>
                    <w:t>0</w:t>
                  </w:r>
                </w:p>
              </w:tc>
              <w:tc>
                <w:tcPr>
                  <w:tcW w:w="761" w:type="dxa"/>
                  <w:tcBorders>
                    <w:tl2br w:val="nil"/>
                    <w:tr2bl w:val="nil"/>
                  </w:tcBorders>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3.8802</w:t>
                  </w:r>
                </w:p>
              </w:tc>
              <w:tc>
                <w:tcPr>
                  <w:tcW w:w="605" w:type="dxa"/>
                  <w:tcBorders>
                    <w:tl2br w:val="nil"/>
                    <w:tr2bl w:val="nil"/>
                  </w:tcBorders>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4.46</w:t>
                  </w:r>
                </w:p>
              </w:tc>
              <w:tc>
                <w:tcPr>
                  <w:tcW w:w="985" w:type="dxa"/>
                  <w:tcBorders>
                    <w:tl2br w:val="nil"/>
                    <w:tr2bl w:val="nil"/>
                  </w:tcBorders>
                  <w:vAlign w:val="center"/>
                </w:tcPr>
                <w:p>
                  <w:pPr>
                    <w:spacing w:line="320" w:lineRule="exact"/>
                    <w:jc w:val="center"/>
                    <w:rPr>
                      <w:color w:val="auto"/>
                      <w:sz w:val="18"/>
                      <w:szCs w:val="18"/>
                    </w:rPr>
                  </w:pPr>
                  <w:r>
                    <w:rPr>
                      <w:rFonts w:hint="eastAsia"/>
                      <w:color w:val="auto"/>
                      <w:sz w:val="18"/>
                      <w:szCs w:val="18"/>
                    </w:rPr>
                    <w:t>物料带走</w:t>
                  </w:r>
                </w:p>
              </w:tc>
              <w:tc>
                <w:tcPr>
                  <w:tcW w:w="705" w:type="dxa"/>
                  <w:tcBorders>
                    <w:tl2br w:val="nil"/>
                    <w:tr2bl w:val="nil"/>
                  </w:tcBorders>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0.5798</w:t>
                  </w:r>
                </w:p>
              </w:tc>
              <w:tc>
                <w:tcPr>
                  <w:tcW w:w="1636" w:type="dxa"/>
                  <w:tcBorders>
                    <w:tl2br w:val="nil"/>
                    <w:tr2bl w:val="nil"/>
                  </w:tcBorders>
                  <w:vAlign w:val="center"/>
                </w:tcPr>
                <w:p>
                  <w:pPr>
                    <w:spacing w:line="320" w:lineRule="exact"/>
                    <w:jc w:val="center"/>
                    <w:rPr>
                      <w:color w:val="auto"/>
                      <w:sz w:val="18"/>
                      <w:szCs w:val="18"/>
                    </w:rPr>
                  </w:pPr>
                  <w:r>
                    <w:rPr>
                      <w:rFonts w:hint="eastAsia"/>
                      <w:color w:val="auto"/>
                      <w:sz w:val="18"/>
                      <w:szCs w:val="18"/>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374" w:type="dxa"/>
                  <w:tcBorders>
                    <w:tl2br w:val="nil"/>
                    <w:tr2bl w:val="nil"/>
                  </w:tcBorders>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2</w:t>
                  </w:r>
                </w:p>
              </w:tc>
              <w:tc>
                <w:tcPr>
                  <w:tcW w:w="1085" w:type="dxa"/>
                  <w:tcBorders>
                    <w:tl2br w:val="nil"/>
                    <w:tr2bl w:val="nil"/>
                  </w:tcBorders>
                  <w:vAlign w:val="center"/>
                </w:tcPr>
                <w:p>
                  <w:pPr>
                    <w:spacing w:line="320" w:lineRule="exact"/>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rPr>
                    <w:t>生活用水</w:t>
                  </w:r>
                </w:p>
              </w:tc>
              <w:tc>
                <w:tcPr>
                  <w:tcW w:w="605" w:type="dxa"/>
                  <w:tcBorders>
                    <w:tl2br w:val="nil"/>
                    <w:tr2bl w:val="nil"/>
                  </w:tcBorders>
                  <w:vAlign w:val="center"/>
                </w:tcPr>
                <w:p>
                  <w:pPr>
                    <w:spacing w:line="320" w:lineRule="exact"/>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0.4</w:t>
                  </w:r>
                </w:p>
              </w:tc>
              <w:tc>
                <w:tcPr>
                  <w:tcW w:w="1220" w:type="dxa"/>
                  <w:tcBorders>
                    <w:tl2br w:val="nil"/>
                    <w:tr2bl w:val="nil"/>
                  </w:tcBorders>
                  <w:vAlign w:val="center"/>
                </w:tcPr>
                <w:p>
                  <w:pPr>
                    <w:spacing w:line="320" w:lineRule="exact"/>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rPr>
                    <w:t>0</w:t>
                  </w:r>
                </w:p>
              </w:tc>
              <w:tc>
                <w:tcPr>
                  <w:tcW w:w="761" w:type="dxa"/>
                  <w:tcBorders>
                    <w:tl2br w:val="nil"/>
                    <w:tr2bl w:val="nil"/>
                  </w:tcBorders>
                  <w:vAlign w:val="center"/>
                </w:tcPr>
                <w:p>
                  <w:pPr>
                    <w:spacing w:line="320" w:lineRule="exact"/>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rPr>
                    <w:t>0</w:t>
                  </w:r>
                </w:p>
              </w:tc>
              <w:tc>
                <w:tcPr>
                  <w:tcW w:w="605" w:type="dxa"/>
                  <w:tcBorders>
                    <w:tl2br w:val="nil"/>
                    <w:tr2bl w:val="nil"/>
                  </w:tcBorders>
                  <w:vAlign w:val="center"/>
                </w:tcPr>
                <w:p>
                  <w:pPr>
                    <w:spacing w:line="320" w:lineRule="exact"/>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0.4</w:t>
                  </w:r>
                </w:p>
              </w:tc>
              <w:tc>
                <w:tcPr>
                  <w:tcW w:w="985" w:type="dxa"/>
                  <w:tcBorders>
                    <w:tl2br w:val="nil"/>
                    <w:tr2bl w:val="nil"/>
                  </w:tcBorders>
                  <w:vAlign w:val="center"/>
                </w:tcPr>
                <w:p>
                  <w:pPr>
                    <w:spacing w:line="320" w:lineRule="exact"/>
                    <w:jc w:val="center"/>
                    <w:rPr>
                      <w:rFonts w:ascii="Times New Roman" w:hAnsi="Times New Roman" w:eastAsia="宋体" w:cs="Times New Roman"/>
                      <w:color w:val="auto"/>
                      <w:kern w:val="2"/>
                      <w:sz w:val="18"/>
                      <w:szCs w:val="18"/>
                      <w:lang w:val="en-US" w:eastAsia="zh-CN" w:bidi="ar-SA"/>
                    </w:rPr>
                  </w:pPr>
                  <w:r>
                    <w:rPr>
                      <w:color w:val="auto"/>
                      <w:sz w:val="18"/>
                      <w:szCs w:val="18"/>
                    </w:rPr>
                    <w:t>食用及蒸发损耗</w:t>
                  </w:r>
                </w:p>
              </w:tc>
              <w:tc>
                <w:tcPr>
                  <w:tcW w:w="705" w:type="dxa"/>
                  <w:tcBorders>
                    <w:tl2br w:val="nil"/>
                    <w:tr2bl w:val="nil"/>
                  </w:tcBorders>
                  <w:vAlign w:val="center"/>
                </w:tcPr>
                <w:p>
                  <w:pPr>
                    <w:spacing w:line="320" w:lineRule="exact"/>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0.08</w:t>
                  </w:r>
                </w:p>
              </w:tc>
              <w:tc>
                <w:tcPr>
                  <w:tcW w:w="1636" w:type="dxa"/>
                  <w:tcBorders>
                    <w:tl2br w:val="nil"/>
                    <w:tr2bl w:val="nil"/>
                  </w:tcBorders>
                  <w:vAlign w:val="center"/>
                </w:tcPr>
                <w:p>
                  <w:pPr>
                    <w:spacing w:line="320" w:lineRule="exact"/>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28" w:type="dxa"/>
                  <w:bottom w:w="0" w:type="dxa"/>
                  <w:right w:w="28" w:type="dxa"/>
                </w:tblCellMar>
              </w:tblPrEx>
              <w:trPr>
                <w:trHeight w:val="340" w:hRule="atLeast"/>
                <w:jc w:val="center"/>
              </w:trPr>
              <w:tc>
                <w:tcPr>
                  <w:tcW w:w="1459" w:type="dxa"/>
                  <w:gridSpan w:val="2"/>
                  <w:tcBorders>
                    <w:tl2br w:val="nil"/>
                    <w:tr2bl w:val="nil"/>
                  </w:tcBorders>
                  <w:vAlign w:val="center"/>
                </w:tcPr>
                <w:p>
                  <w:pPr>
                    <w:spacing w:line="320" w:lineRule="exact"/>
                    <w:jc w:val="center"/>
                    <w:rPr>
                      <w:color w:val="auto"/>
                      <w:sz w:val="18"/>
                      <w:szCs w:val="18"/>
                    </w:rPr>
                  </w:pPr>
                  <w:r>
                    <w:rPr>
                      <w:rFonts w:hint="eastAsia"/>
                      <w:color w:val="auto"/>
                      <w:sz w:val="18"/>
                      <w:szCs w:val="18"/>
                    </w:rPr>
                    <w:t>合计</w:t>
                  </w:r>
                </w:p>
              </w:tc>
              <w:tc>
                <w:tcPr>
                  <w:tcW w:w="605" w:type="dxa"/>
                  <w:tcBorders>
                    <w:tl2br w:val="nil"/>
                    <w:tr2bl w:val="nil"/>
                  </w:tcBorders>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0.9798</w:t>
                  </w:r>
                </w:p>
              </w:tc>
              <w:tc>
                <w:tcPr>
                  <w:tcW w:w="1220" w:type="dxa"/>
                  <w:tcBorders>
                    <w:tl2br w:val="nil"/>
                    <w:tr2bl w:val="nil"/>
                  </w:tcBorders>
                  <w:vAlign w:val="center"/>
                </w:tcPr>
                <w:p>
                  <w:pPr>
                    <w:spacing w:line="320" w:lineRule="exact"/>
                    <w:jc w:val="center"/>
                    <w:rPr>
                      <w:rFonts w:hint="eastAsia" w:eastAsia="宋体"/>
                      <w:color w:val="auto"/>
                      <w:sz w:val="18"/>
                      <w:szCs w:val="18"/>
                      <w:lang w:eastAsia="zh-CN"/>
                    </w:rPr>
                  </w:pPr>
                  <w:r>
                    <w:rPr>
                      <w:rFonts w:hint="eastAsia"/>
                      <w:color w:val="auto"/>
                      <w:sz w:val="18"/>
                      <w:szCs w:val="18"/>
                      <w:lang w:val="en-US" w:eastAsia="zh-CN"/>
                    </w:rPr>
                    <w:t>0</w:t>
                  </w:r>
                </w:p>
              </w:tc>
              <w:tc>
                <w:tcPr>
                  <w:tcW w:w="761" w:type="dxa"/>
                  <w:tcBorders>
                    <w:tl2br w:val="nil"/>
                    <w:tr2bl w:val="nil"/>
                  </w:tcBorders>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3.8802</w:t>
                  </w:r>
                </w:p>
              </w:tc>
              <w:tc>
                <w:tcPr>
                  <w:tcW w:w="605" w:type="dxa"/>
                  <w:tcBorders>
                    <w:tl2br w:val="nil"/>
                    <w:tr2bl w:val="nil"/>
                  </w:tcBorders>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4.86</w:t>
                  </w:r>
                </w:p>
              </w:tc>
              <w:tc>
                <w:tcPr>
                  <w:tcW w:w="985" w:type="dxa"/>
                  <w:tcBorders>
                    <w:tl2br w:val="nil"/>
                    <w:tr2bl w:val="nil"/>
                  </w:tcBorders>
                  <w:vAlign w:val="center"/>
                </w:tcPr>
                <w:p>
                  <w:pPr>
                    <w:spacing w:line="320" w:lineRule="exact"/>
                    <w:jc w:val="center"/>
                    <w:rPr>
                      <w:color w:val="auto"/>
                      <w:sz w:val="18"/>
                      <w:szCs w:val="18"/>
                    </w:rPr>
                  </w:pPr>
                  <w:r>
                    <w:rPr>
                      <w:rFonts w:hint="eastAsia"/>
                      <w:color w:val="auto"/>
                      <w:sz w:val="18"/>
                      <w:szCs w:val="18"/>
                    </w:rPr>
                    <w:t>-</w:t>
                  </w:r>
                </w:p>
              </w:tc>
              <w:tc>
                <w:tcPr>
                  <w:tcW w:w="705" w:type="dxa"/>
                  <w:tcBorders>
                    <w:tl2br w:val="nil"/>
                    <w:tr2bl w:val="nil"/>
                  </w:tcBorders>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0.6598</w:t>
                  </w:r>
                </w:p>
              </w:tc>
              <w:tc>
                <w:tcPr>
                  <w:tcW w:w="1636" w:type="dxa"/>
                  <w:tcBorders>
                    <w:tl2br w:val="nil"/>
                    <w:tr2bl w:val="nil"/>
                  </w:tcBorders>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0.32</w:t>
                  </w:r>
                </w:p>
              </w:tc>
            </w:tr>
          </w:tbl>
          <w:p>
            <w:pPr>
              <w:jc w:val="center"/>
              <w:rPr>
                <w:color w:val="auto"/>
              </w:rPr>
            </w:pPr>
          </w:p>
          <w:p>
            <w:pPr>
              <w:jc w:val="center"/>
              <w:rPr>
                <w:rFonts w:hint="eastAsia" w:eastAsia="宋体"/>
                <w:color w:val="auto"/>
                <w:lang w:eastAsia="zh-CN"/>
              </w:rPr>
            </w:pPr>
            <w:r>
              <w:rPr>
                <w:color w:val="auto"/>
              </w:rPr>
              <w:drawing>
                <wp:inline distT="0" distB="0" distL="114300" distR="114300">
                  <wp:extent cx="5042535" cy="2364105"/>
                  <wp:effectExtent l="0" t="0" r="1905" b="13335"/>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11"/>
                          <a:stretch>
                            <a:fillRect/>
                          </a:stretch>
                        </pic:blipFill>
                        <pic:spPr>
                          <a:xfrm>
                            <a:off x="0" y="0"/>
                            <a:ext cx="5042535" cy="2364105"/>
                          </a:xfrm>
                          <a:prstGeom prst="rect">
                            <a:avLst/>
                          </a:prstGeom>
                          <a:noFill/>
                          <a:ln>
                            <a:noFill/>
                          </a:ln>
                        </pic:spPr>
                      </pic:pic>
                    </a:graphicData>
                  </a:graphic>
                </wp:inline>
              </w:drawing>
            </w:r>
          </w:p>
          <w:p>
            <w:pPr>
              <w:pStyle w:val="6"/>
              <w:spacing w:before="0" w:after="0" w:line="360" w:lineRule="auto"/>
              <w:ind w:right="0" w:firstLine="361" w:firstLineChars="200"/>
              <w:jc w:val="center"/>
              <w:rPr>
                <w:b/>
                <w:bCs/>
                <w:color w:val="auto"/>
                <w:szCs w:val="18"/>
                <w:highlight w:val="none"/>
              </w:rPr>
            </w:pPr>
            <w:r>
              <w:rPr>
                <w:b/>
                <w:color w:val="auto"/>
                <w:szCs w:val="18"/>
                <w:highlight w:val="none"/>
              </w:rPr>
              <w:t>图</w:t>
            </w:r>
            <w:r>
              <w:rPr>
                <w:rFonts w:hint="eastAsia"/>
                <w:b/>
                <w:color w:val="auto"/>
                <w:szCs w:val="18"/>
                <w:highlight w:val="none"/>
              </w:rPr>
              <w:t>2-1</w:t>
            </w:r>
            <w:r>
              <w:rPr>
                <w:b/>
                <w:color w:val="auto"/>
                <w:szCs w:val="18"/>
                <w:highlight w:val="none"/>
              </w:rPr>
              <w:t xml:space="preserve">  项目水平衡</w:t>
            </w:r>
            <w:r>
              <w:rPr>
                <w:b/>
                <w:bCs/>
                <w:color w:val="auto"/>
                <w:szCs w:val="18"/>
                <w:highlight w:val="none"/>
              </w:rPr>
              <w:t>图（m</w:t>
            </w:r>
            <w:r>
              <w:rPr>
                <w:b/>
                <w:bCs/>
                <w:color w:val="auto"/>
                <w:szCs w:val="18"/>
                <w:highlight w:val="none"/>
                <w:vertAlign w:val="superscript"/>
              </w:rPr>
              <w:t>3</w:t>
            </w:r>
            <w:r>
              <w:rPr>
                <w:b/>
                <w:bCs/>
                <w:color w:val="auto"/>
                <w:szCs w:val="18"/>
                <w:highlight w:val="none"/>
              </w:rPr>
              <w:t>/d）</w:t>
            </w:r>
          </w:p>
          <w:p>
            <w:pPr>
              <w:spacing w:line="360" w:lineRule="auto"/>
              <w:ind w:firstLine="422" w:firstLineChars="200"/>
              <w:rPr>
                <w:rFonts w:hint="default"/>
                <w:b/>
                <w:bCs/>
                <w:color w:val="auto"/>
                <w:lang w:val="en-US" w:eastAsia="zh-CN"/>
              </w:rPr>
            </w:pPr>
            <w:r>
              <w:rPr>
                <w:rFonts w:hint="eastAsia"/>
                <w:b/>
                <w:bCs/>
                <w:color w:val="auto"/>
                <w:lang w:val="en-US" w:eastAsia="zh-CN"/>
              </w:rPr>
              <w:t>8、物料平衡分析</w:t>
            </w:r>
          </w:p>
          <w:p>
            <w:pPr>
              <w:spacing w:line="360" w:lineRule="auto"/>
              <w:jc w:val="center"/>
              <w:rPr>
                <w:rFonts w:eastAsia="TimesNewRomanPS-BoldMT"/>
                <w:b/>
                <w:color w:val="auto"/>
                <w:sz w:val="18"/>
                <w:szCs w:val="18"/>
                <w:highlight w:val="none"/>
              </w:rPr>
            </w:pPr>
            <w:r>
              <w:rPr>
                <w:rFonts w:hint="eastAsia" w:eastAsia="TimesNewRomanPS-BoldMT"/>
                <w:b/>
                <w:color w:val="auto"/>
                <w:sz w:val="18"/>
                <w:szCs w:val="18"/>
                <w:highlight w:val="none"/>
              </w:rPr>
              <w:t>表2-</w:t>
            </w:r>
            <w:r>
              <w:rPr>
                <w:rFonts w:hint="eastAsia" w:eastAsia="TimesNewRomanPS-BoldMT"/>
                <w:b/>
                <w:color w:val="auto"/>
                <w:sz w:val="18"/>
                <w:szCs w:val="18"/>
                <w:highlight w:val="none"/>
                <w:lang w:val="en-US" w:eastAsia="zh-CN"/>
              </w:rPr>
              <w:t>6</w:t>
            </w:r>
            <w:r>
              <w:rPr>
                <w:rFonts w:hint="eastAsia" w:eastAsia="TimesNewRomanPS-BoldMT"/>
                <w:b/>
                <w:color w:val="auto"/>
                <w:sz w:val="18"/>
                <w:szCs w:val="18"/>
                <w:highlight w:val="none"/>
              </w:rPr>
              <w:t xml:space="preserve">  运营期物料平衡表</w:t>
            </w:r>
          </w:p>
          <w:tbl>
            <w:tblPr>
              <w:tblStyle w:val="25"/>
              <w:tblW w:w="80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68"/>
              <w:gridCol w:w="1268"/>
              <w:gridCol w:w="2738"/>
              <w:gridCol w:w="20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36" w:type="dxa"/>
                  <w:gridSpan w:val="2"/>
                  <w:vAlign w:val="center"/>
                </w:tcPr>
                <w:p>
                  <w:pPr>
                    <w:pStyle w:val="8"/>
                    <w:spacing w:line="360" w:lineRule="exact"/>
                    <w:ind w:left="360" w:hanging="360"/>
                    <w:jc w:val="center"/>
                    <w:rPr>
                      <w:bCs/>
                      <w:color w:val="auto"/>
                      <w:sz w:val="18"/>
                      <w:szCs w:val="18"/>
                    </w:rPr>
                  </w:pPr>
                  <w:r>
                    <w:rPr>
                      <w:rFonts w:hint="eastAsia"/>
                      <w:bCs/>
                      <w:color w:val="auto"/>
                      <w:sz w:val="18"/>
                      <w:szCs w:val="18"/>
                    </w:rPr>
                    <w:t>投入（t/a）</w:t>
                  </w:r>
                </w:p>
              </w:tc>
              <w:tc>
                <w:tcPr>
                  <w:tcW w:w="4743" w:type="dxa"/>
                  <w:gridSpan w:val="2"/>
                  <w:vAlign w:val="center"/>
                </w:tcPr>
                <w:p>
                  <w:pPr>
                    <w:pStyle w:val="8"/>
                    <w:spacing w:line="360" w:lineRule="exact"/>
                    <w:ind w:left="360" w:hanging="360"/>
                    <w:jc w:val="center"/>
                    <w:rPr>
                      <w:bCs/>
                      <w:color w:val="auto"/>
                      <w:sz w:val="18"/>
                      <w:szCs w:val="18"/>
                    </w:rPr>
                  </w:pPr>
                  <w:r>
                    <w:rPr>
                      <w:rFonts w:hint="eastAsia"/>
                      <w:bCs/>
                      <w:color w:val="auto"/>
                      <w:sz w:val="18"/>
                      <w:szCs w:val="18"/>
                    </w:rPr>
                    <w:t>产出（t/a）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68" w:type="dxa"/>
                  <w:vAlign w:val="center"/>
                </w:tcPr>
                <w:p>
                  <w:pPr>
                    <w:pStyle w:val="63"/>
                    <w:spacing w:line="360" w:lineRule="exact"/>
                    <w:rPr>
                      <w:bCs/>
                      <w:color w:val="auto"/>
                      <w:sz w:val="18"/>
                      <w:szCs w:val="18"/>
                    </w:rPr>
                  </w:pPr>
                  <w:r>
                    <w:rPr>
                      <w:rFonts w:hint="eastAsia"/>
                      <w:bCs/>
                      <w:color w:val="auto"/>
                      <w:sz w:val="18"/>
                      <w:szCs w:val="18"/>
                    </w:rPr>
                    <w:t>名称</w:t>
                  </w:r>
                </w:p>
              </w:tc>
              <w:tc>
                <w:tcPr>
                  <w:tcW w:w="1268" w:type="dxa"/>
                  <w:vAlign w:val="center"/>
                </w:tcPr>
                <w:p>
                  <w:pPr>
                    <w:pStyle w:val="8"/>
                    <w:spacing w:line="360" w:lineRule="exact"/>
                    <w:ind w:left="360" w:hanging="360"/>
                    <w:jc w:val="center"/>
                    <w:rPr>
                      <w:bCs/>
                      <w:color w:val="auto"/>
                      <w:sz w:val="18"/>
                      <w:szCs w:val="18"/>
                    </w:rPr>
                  </w:pPr>
                  <w:r>
                    <w:rPr>
                      <w:rFonts w:hint="eastAsia"/>
                      <w:bCs/>
                      <w:color w:val="auto"/>
                      <w:sz w:val="18"/>
                      <w:szCs w:val="18"/>
                    </w:rPr>
                    <w:t>年用量（t）</w:t>
                  </w:r>
                </w:p>
              </w:tc>
              <w:tc>
                <w:tcPr>
                  <w:tcW w:w="2738" w:type="dxa"/>
                  <w:vAlign w:val="center"/>
                </w:tcPr>
                <w:p>
                  <w:pPr>
                    <w:spacing w:line="360" w:lineRule="exact"/>
                    <w:jc w:val="center"/>
                    <w:rPr>
                      <w:rFonts w:eastAsia="TimesNewRomanPS-BoldMT"/>
                      <w:bCs/>
                      <w:color w:val="auto"/>
                      <w:sz w:val="18"/>
                      <w:szCs w:val="18"/>
                    </w:rPr>
                  </w:pPr>
                  <w:r>
                    <w:rPr>
                      <w:rFonts w:hint="eastAsia" w:eastAsia="TimesNewRomanPS-BoldMT"/>
                      <w:bCs/>
                      <w:color w:val="auto"/>
                      <w:sz w:val="18"/>
                      <w:szCs w:val="18"/>
                    </w:rPr>
                    <w:t>名称</w:t>
                  </w:r>
                </w:p>
              </w:tc>
              <w:tc>
                <w:tcPr>
                  <w:tcW w:w="2005" w:type="dxa"/>
                  <w:vAlign w:val="center"/>
                </w:tcPr>
                <w:p>
                  <w:pPr>
                    <w:pStyle w:val="44"/>
                    <w:adjustRightInd/>
                    <w:spacing w:before="24" w:after="24" w:line="360" w:lineRule="exact"/>
                    <w:rPr>
                      <w:rFonts w:ascii="Times New Roman"/>
                      <w:bCs/>
                      <w:color w:val="auto"/>
                      <w:kern w:val="2"/>
                      <w:sz w:val="18"/>
                      <w:szCs w:val="18"/>
                    </w:rPr>
                  </w:pPr>
                  <w:r>
                    <w:rPr>
                      <w:rFonts w:hint="eastAsia" w:ascii="Times New Roman"/>
                      <w:bCs/>
                      <w:color w:val="auto"/>
                      <w:kern w:val="2"/>
                      <w:sz w:val="18"/>
                      <w:szCs w:val="18"/>
                    </w:rPr>
                    <w:t>年产生量（t）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68" w:type="dxa"/>
                  <w:vAlign w:val="center"/>
                </w:tcPr>
                <w:p>
                  <w:pPr>
                    <w:spacing w:line="360" w:lineRule="exact"/>
                    <w:jc w:val="center"/>
                    <w:rPr>
                      <w:rFonts w:hint="eastAsia" w:ascii="Times New Roman" w:hAnsi="Times New Roman" w:eastAsia="宋体" w:cs="Times New Roman"/>
                      <w:bCs/>
                      <w:color w:val="auto"/>
                      <w:kern w:val="2"/>
                      <w:sz w:val="18"/>
                      <w:szCs w:val="18"/>
                      <w:lang w:val="en-US" w:eastAsia="zh-CN" w:bidi="ar-SA"/>
                    </w:rPr>
                  </w:pPr>
                  <w:r>
                    <w:rPr>
                      <w:rFonts w:hint="eastAsia" w:ascii="Times New Roman" w:hAnsi="Times New Roman" w:eastAsia="宋体" w:cs="Times New Roman"/>
                      <w:bCs/>
                      <w:color w:val="auto"/>
                      <w:kern w:val="2"/>
                      <w:sz w:val="18"/>
                      <w:szCs w:val="18"/>
                      <w:lang w:val="en-US" w:eastAsia="zh-CN" w:bidi="ar-SA"/>
                    </w:rPr>
                    <w:t>废纸</w:t>
                  </w:r>
                </w:p>
              </w:tc>
              <w:tc>
                <w:tcPr>
                  <w:tcW w:w="1268" w:type="dxa"/>
                  <w:vAlign w:val="center"/>
                </w:tcPr>
                <w:p>
                  <w:pPr>
                    <w:spacing w:line="360" w:lineRule="exact"/>
                    <w:jc w:val="center"/>
                    <w:rPr>
                      <w:rFonts w:hint="default" w:eastAsia="宋体"/>
                      <w:color w:val="auto"/>
                      <w:sz w:val="18"/>
                      <w:szCs w:val="18"/>
                      <w:lang w:val="en-US" w:eastAsia="zh-CN"/>
                    </w:rPr>
                  </w:pPr>
                  <w:r>
                    <w:rPr>
                      <w:rFonts w:hint="eastAsia"/>
                      <w:color w:val="auto"/>
                      <w:sz w:val="18"/>
                      <w:szCs w:val="18"/>
                      <w:lang w:val="en-US" w:eastAsia="zh-CN"/>
                    </w:rPr>
                    <w:t>1500</w:t>
                  </w:r>
                </w:p>
              </w:tc>
              <w:tc>
                <w:tcPr>
                  <w:tcW w:w="2738" w:type="dxa"/>
                  <w:vAlign w:val="center"/>
                </w:tcPr>
                <w:p>
                  <w:pPr>
                    <w:spacing w:line="360" w:lineRule="exact"/>
                    <w:jc w:val="center"/>
                    <w:rPr>
                      <w:rFonts w:hint="eastAsia" w:eastAsia="TimesNewRomanPS-BoldMT"/>
                      <w:bCs/>
                      <w:color w:val="auto"/>
                      <w:sz w:val="18"/>
                      <w:szCs w:val="18"/>
                      <w:lang w:val="en-US" w:eastAsia="zh-CN"/>
                    </w:rPr>
                  </w:pPr>
                  <w:r>
                    <w:rPr>
                      <w:rFonts w:hint="eastAsia" w:eastAsia="TimesNewRomanPS-BoldMT"/>
                      <w:bCs/>
                      <w:color w:val="auto"/>
                      <w:sz w:val="18"/>
                      <w:szCs w:val="18"/>
                      <w:lang w:val="en-US" w:eastAsia="zh-CN"/>
                    </w:rPr>
                    <w:t>纸质蛋托</w:t>
                  </w:r>
                </w:p>
              </w:tc>
              <w:tc>
                <w:tcPr>
                  <w:tcW w:w="2005" w:type="dxa"/>
                  <w:vAlign w:val="center"/>
                </w:tcPr>
                <w:p>
                  <w:pPr>
                    <w:pStyle w:val="44"/>
                    <w:adjustRightInd/>
                    <w:spacing w:before="24" w:after="24" w:line="360" w:lineRule="exact"/>
                    <w:rPr>
                      <w:rFonts w:hint="default" w:ascii="Times New Roman" w:eastAsia="宋体"/>
                      <w:bCs/>
                      <w:color w:val="auto"/>
                      <w:kern w:val="2"/>
                      <w:sz w:val="18"/>
                      <w:szCs w:val="18"/>
                      <w:lang w:val="en-US" w:eastAsia="zh-CN"/>
                    </w:rPr>
                  </w:pPr>
                  <w:r>
                    <w:rPr>
                      <w:rFonts w:hint="eastAsia" w:ascii="Times New Roman"/>
                      <w:bCs/>
                      <w:color w:val="auto"/>
                      <w:kern w:val="2"/>
                      <w:sz w:val="18"/>
                      <w:szCs w:val="18"/>
                      <w:lang w:val="en-US" w:eastAsia="zh-CN"/>
                    </w:rPr>
                    <w:t>1999.35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68" w:type="dxa"/>
                  <w:vAlign w:val="center"/>
                </w:tcPr>
                <w:p>
                  <w:pPr>
                    <w:spacing w:line="360" w:lineRule="exact"/>
                    <w:jc w:val="center"/>
                    <w:rPr>
                      <w:rFonts w:hint="eastAsia" w:ascii="Times New Roman" w:hAnsi="Times New Roman" w:eastAsia="宋体" w:cs="Times New Roman"/>
                      <w:bCs/>
                      <w:color w:val="auto"/>
                      <w:kern w:val="2"/>
                      <w:sz w:val="18"/>
                      <w:szCs w:val="18"/>
                      <w:lang w:val="en-US" w:eastAsia="zh-CN" w:bidi="ar-SA"/>
                    </w:rPr>
                  </w:pPr>
                  <w:r>
                    <w:rPr>
                      <w:rFonts w:hint="eastAsia" w:ascii="Times New Roman" w:hAnsi="Times New Roman" w:eastAsia="宋体" w:cs="Times New Roman"/>
                      <w:bCs/>
                      <w:color w:val="auto"/>
                      <w:kern w:val="2"/>
                      <w:sz w:val="18"/>
                      <w:szCs w:val="18"/>
                      <w:lang w:val="en-US" w:eastAsia="zh-CN" w:bidi="ar-SA"/>
                    </w:rPr>
                    <w:t>石粉</w:t>
                  </w:r>
                </w:p>
              </w:tc>
              <w:tc>
                <w:tcPr>
                  <w:tcW w:w="1268" w:type="dxa"/>
                  <w:vAlign w:val="center"/>
                </w:tcPr>
                <w:p>
                  <w:pPr>
                    <w:spacing w:line="360" w:lineRule="exact"/>
                    <w:jc w:val="center"/>
                    <w:rPr>
                      <w:rFonts w:hint="default" w:eastAsia="宋体"/>
                      <w:color w:val="auto"/>
                      <w:sz w:val="18"/>
                      <w:szCs w:val="18"/>
                      <w:lang w:val="en-US" w:eastAsia="zh-CN"/>
                    </w:rPr>
                  </w:pPr>
                  <w:r>
                    <w:rPr>
                      <w:rFonts w:hint="eastAsia"/>
                      <w:color w:val="auto"/>
                      <w:sz w:val="18"/>
                      <w:szCs w:val="18"/>
                      <w:lang w:val="en-US" w:eastAsia="zh-CN"/>
                    </w:rPr>
                    <w:t>500</w:t>
                  </w:r>
                </w:p>
              </w:tc>
              <w:tc>
                <w:tcPr>
                  <w:tcW w:w="2738" w:type="dxa"/>
                  <w:vAlign w:val="center"/>
                </w:tcPr>
                <w:p>
                  <w:pPr>
                    <w:spacing w:line="360" w:lineRule="exact"/>
                    <w:jc w:val="center"/>
                    <w:rPr>
                      <w:rFonts w:hint="default" w:eastAsia="TimesNewRomanPS-BoldMT"/>
                      <w:bCs/>
                      <w:color w:val="auto"/>
                      <w:sz w:val="18"/>
                      <w:szCs w:val="18"/>
                      <w:lang w:val="en-US" w:eastAsia="zh-CN"/>
                    </w:rPr>
                  </w:pPr>
                  <w:r>
                    <w:rPr>
                      <w:rFonts w:hint="eastAsia" w:eastAsia="TimesNewRomanPS-BoldMT"/>
                      <w:bCs/>
                      <w:color w:val="auto"/>
                      <w:sz w:val="18"/>
                      <w:szCs w:val="18"/>
                      <w:lang w:val="en-US" w:eastAsia="zh-CN"/>
                    </w:rPr>
                    <w:t>外排粉尘</w:t>
                  </w:r>
                </w:p>
              </w:tc>
              <w:tc>
                <w:tcPr>
                  <w:tcW w:w="2005" w:type="dxa"/>
                  <w:vAlign w:val="center"/>
                </w:tcPr>
                <w:p>
                  <w:pPr>
                    <w:pStyle w:val="44"/>
                    <w:adjustRightInd/>
                    <w:spacing w:before="24" w:after="24" w:line="360" w:lineRule="exact"/>
                    <w:rPr>
                      <w:rFonts w:hint="default" w:ascii="Times New Roman" w:eastAsia="宋体"/>
                      <w:bCs/>
                      <w:color w:val="auto"/>
                      <w:kern w:val="2"/>
                      <w:sz w:val="18"/>
                      <w:szCs w:val="18"/>
                      <w:lang w:val="en-US" w:eastAsia="zh-CN"/>
                    </w:rPr>
                  </w:pPr>
                  <w:r>
                    <w:rPr>
                      <w:rFonts w:hint="eastAsia" w:ascii="Times New Roman"/>
                      <w:bCs/>
                      <w:color w:val="auto"/>
                      <w:kern w:val="2"/>
                      <w:sz w:val="18"/>
                      <w:szCs w:val="18"/>
                      <w:lang w:val="en-US" w:eastAsia="zh-CN"/>
                    </w:rPr>
                    <w:t>0.0545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68" w:type="dxa"/>
                  <w:vAlign w:val="center"/>
                </w:tcPr>
                <w:p>
                  <w:pPr>
                    <w:spacing w:line="360" w:lineRule="exact"/>
                    <w:jc w:val="center"/>
                    <w:rPr>
                      <w:color w:val="auto"/>
                      <w:sz w:val="18"/>
                      <w:szCs w:val="18"/>
                    </w:rPr>
                  </w:pPr>
                </w:p>
              </w:tc>
              <w:tc>
                <w:tcPr>
                  <w:tcW w:w="1268" w:type="dxa"/>
                  <w:vAlign w:val="center"/>
                </w:tcPr>
                <w:p>
                  <w:pPr>
                    <w:spacing w:line="360" w:lineRule="exact"/>
                    <w:jc w:val="center"/>
                    <w:rPr>
                      <w:rFonts w:hint="default" w:eastAsia="宋体"/>
                      <w:color w:val="auto"/>
                      <w:sz w:val="18"/>
                      <w:szCs w:val="18"/>
                      <w:lang w:val="en-US" w:eastAsia="zh-CN"/>
                    </w:rPr>
                  </w:pPr>
                </w:p>
              </w:tc>
              <w:tc>
                <w:tcPr>
                  <w:tcW w:w="2738" w:type="dxa"/>
                  <w:vAlign w:val="center"/>
                </w:tcPr>
                <w:p>
                  <w:pPr>
                    <w:spacing w:line="360" w:lineRule="exact"/>
                    <w:jc w:val="center"/>
                    <w:rPr>
                      <w:rFonts w:hint="eastAsia" w:eastAsia="TimesNewRomanPS-BoldMT"/>
                      <w:bCs/>
                      <w:color w:val="auto"/>
                      <w:sz w:val="18"/>
                      <w:szCs w:val="18"/>
                      <w:lang w:val="en-US" w:eastAsia="zh-CN"/>
                    </w:rPr>
                  </w:pPr>
                  <w:r>
                    <w:rPr>
                      <w:rFonts w:hint="eastAsia"/>
                      <w:color w:val="auto"/>
                      <w:sz w:val="18"/>
                      <w:szCs w:val="18"/>
                      <w:lang w:val="en-US" w:eastAsia="zh-CN"/>
                    </w:rPr>
                    <w:t>除尘器收集粉尘</w:t>
                  </w:r>
                </w:p>
              </w:tc>
              <w:tc>
                <w:tcPr>
                  <w:tcW w:w="2005" w:type="dxa"/>
                  <w:vAlign w:val="center"/>
                </w:tcPr>
                <w:p>
                  <w:pPr>
                    <w:pStyle w:val="44"/>
                    <w:adjustRightInd/>
                    <w:spacing w:before="24" w:after="24" w:line="360" w:lineRule="exact"/>
                    <w:rPr>
                      <w:rFonts w:hint="default" w:ascii="Times New Roman" w:eastAsia="宋体"/>
                      <w:bCs/>
                      <w:color w:val="auto"/>
                      <w:kern w:val="2"/>
                      <w:sz w:val="18"/>
                      <w:szCs w:val="18"/>
                      <w:lang w:val="en-US" w:eastAsia="zh-CN"/>
                    </w:rPr>
                  </w:pPr>
                  <w:r>
                    <w:rPr>
                      <w:rFonts w:hint="eastAsia" w:ascii="Times New Roman"/>
                      <w:bCs/>
                      <w:color w:val="auto"/>
                      <w:kern w:val="2"/>
                      <w:sz w:val="18"/>
                      <w:szCs w:val="18"/>
                      <w:lang w:val="en-US" w:eastAsia="zh-CN"/>
                    </w:rPr>
                    <w:t>0.4455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068" w:type="dxa"/>
                  <w:vAlign w:val="center"/>
                </w:tcPr>
                <w:p>
                  <w:pPr>
                    <w:spacing w:line="360" w:lineRule="exact"/>
                    <w:jc w:val="center"/>
                    <w:rPr>
                      <w:color w:val="auto"/>
                      <w:sz w:val="18"/>
                      <w:szCs w:val="18"/>
                    </w:rPr>
                  </w:pPr>
                </w:p>
              </w:tc>
              <w:tc>
                <w:tcPr>
                  <w:tcW w:w="1268" w:type="dxa"/>
                  <w:vAlign w:val="center"/>
                </w:tcPr>
                <w:p>
                  <w:pPr>
                    <w:spacing w:line="360" w:lineRule="exact"/>
                    <w:jc w:val="center"/>
                    <w:rPr>
                      <w:rFonts w:hint="default" w:eastAsia="宋体"/>
                      <w:color w:val="auto"/>
                      <w:sz w:val="18"/>
                      <w:szCs w:val="18"/>
                      <w:lang w:val="en-US" w:eastAsia="zh-CN"/>
                    </w:rPr>
                  </w:pPr>
                </w:p>
              </w:tc>
              <w:tc>
                <w:tcPr>
                  <w:tcW w:w="2738" w:type="dxa"/>
                  <w:vAlign w:val="center"/>
                </w:tcPr>
                <w:p>
                  <w:pPr>
                    <w:spacing w:line="360" w:lineRule="exact"/>
                    <w:jc w:val="center"/>
                    <w:rPr>
                      <w:rFonts w:eastAsia="TimesNewRomanPS-BoldMT"/>
                      <w:bCs/>
                      <w:color w:val="auto"/>
                      <w:sz w:val="18"/>
                      <w:szCs w:val="18"/>
                    </w:rPr>
                  </w:pPr>
                  <w:r>
                    <w:rPr>
                      <w:rFonts w:hint="eastAsia"/>
                      <w:color w:val="auto"/>
                      <w:sz w:val="18"/>
                      <w:szCs w:val="18"/>
                      <w:lang w:val="en-US" w:eastAsia="zh-CN"/>
                    </w:rPr>
                    <w:t>分拣废塑料、废金属</w:t>
                  </w:r>
                </w:p>
              </w:tc>
              <w:tc>
                <w:tcPr>
                  <w:tcW w:w="2005" w:type="dxa"/>
                  <w:vAlign w:val="center"/>
                </w:tcPr>
                <w:p>
                  <w:pPr>
                    <w:pStyle w:val="44"/>
                    <w:adjustRightInd/>
                    <w:spacing w:before="24" w:after="24" w:line="360" w:lineRule="exact"/>
                    <w:rPr>
                      <w:rFonts w:hint="default" w:ascii="Times New Roman" w:eastAsia="宋体"/>
                      <w:bCs/>
                      <w:color w:val="auto"/>
                      <w:kern w:val="2"/>
                      <w:sz w:val="18"/>
                      <w:szCs w:val="18"/>
                      <w:lang w:val="en-US" w:eastAsia="zh-CN"/>
                    </w:rPr>
                  </w:pPr>
                  <w:r>
                    <w:rPr>
                      <w:rFonts w:hint="eastAsia" w:ascii="Times New Roman"/>
                      <w:bCs/>
                      <w:color w:val="auto"/>
                      <w:kern w:val="2"/>
                      <w:sz w:val="18"/>
                      <w:szCs w:val="18"/>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3336" w:type="dxa"/>
                  <w:gridSpan w:val="2"/>
                  <w:vAlign w:val="center"/>
                </w:tcPr>
                <w:p>
                  <w:pPr>
                    <w:pStyle w:val="8"/>
                    <w:spacing w:line="360" w:lineRule="exact"/>
                    <w:ind w:left="360" w:hanging="360"/>
                    <w:jc w:val="center"/>
                    <w:rPr>
                      <w:rFonts w:hint="default" w:eastAsia="宋体"/>
                      <w:bCs/>
                      <w:color w:val="auto"/>
                      <w:sz w:val="18"/>
                      <w:szCs w:val="18"/>
                      <w:lang w:val="en-US" w:eastAsia="zh-CN"/>
                    </w:rPr>
                  </w:pPr>
                  <w:r>
                    <w:rPr>
                      <w:rFonts w:hint="eastAsia"/>
                      <w:bCs/>
                      <w:color w:val="auto"/>
                      <w:sz w:val="18"/>
                      <w:szCs w:val="18"/>
                    </w:rPr>
                    <w:t>合计：</w:t>
                  </w:r>
                  <w:r>
                    <w:rPr>
                      <w:rFonts w:hint="eastAsia"/>
                      <w:bCs/>
                      <w:color w:val="auto"/>
                      <w:sz w:val="18"/>
                      <w:szCs w:val="18"/>
                      <w:lang w:val="en-US" w:eastAsia="zh-CN"/>
                    </w:rPr>
                    <w:t>2000</w:t>
                  </w:r>
                </w:p>
              </w:tc>
              <w:tc>
                <w:tcPr>
                  <w:tcW w:w="4743" w:type="dxa"/>
                  <w:gridSpan w:val="2"/>
                  <w:vAlign w:val="center"/>
                </w:tcPr>
                <w:p>
                  <w:pPr>
                    <w:pStyle w:val="8"/>
                    <w:spacing w:line="360" w:lineRule="exact"/>
                    <w:ind w:left="360" w:hanging="360"/>
                    <w:jc w:val="center"/>
                    <w:rPr>
                      <w:rFonts w:hint="default" w:eastAsia="宋体"/>
                      <w:bCs/>
                      <w:color w:val="auto"/>
                      <w:sz w:val="18"/>
                      <w:szCs w:val="18"/>
                      <w:lang w:val="en-US" w:eastAsia="zh-CN"/>
                    </w:rPr>
                  </w:pPr>
                  <w:r>
                    <w:rPr>
                      <w:rFonts w:hint="eastAsia"/>
                      <w:bCs/>
                      <w:color w:val="auto"/>
                      <w:sz w:val="18"/>
                      <w:szCs w:val="18"/>
                    </w:rPr>
                    <w:t>合计：</w:t>
                  </w:r>
                  <w:r>
                    <w:rPr>
                      <w:rFonts w:hint="eastAsia"/>
                      <w:bCs/>
                      <w:color w:val="auto"/>
                      <w:sz w:val="18"/>
                      <w:szCs w:val="18"/>
                      <w:lang w:val="en-US" w:eastAsia="zh-CN"/>
                    </w:rPr>
                    <w:t>2000</w:t>
                  </w:r>
                </w:p>
              </w:tc>
            </w:tr>
          </w:tbl>
          <w:p>
            <w:pPr>
              <w:spacing w:line="360" w:lineRule="auto"/>
              <w:ind w:firstLine="422" w:firstLineChars="200"/>
              <w:rPr>
                <w:b/>
                <w:bCs/>
                <w:color w:val="auto"/>
              </w:rPr>
            </w:pPr>
            <w:r>
              <w:rPr>
                <w:rFonts w:hint="eastAsia"/>
                <w:b/>
                <w:bCs/>
                <w:color w:val="auto"/>
                <w:lang w:val="en-US" w:eastAsia="zh-CN"/>
              </w:rPr>
              <w:t>9</w:t>
            </w:r>
            <w:r>
              <w:rPr>
                <w:rFonts w:hint="eastAsia"/>
                <w:b/>
                <w:bCs/>
                <w:color w:val="auto"/>
              </w:rPr>
              <w:t>、总平面布置（详见附图</w:t>
            </w:r>
            <w:r>
              <w:rPr>
                <w:rFonts w:hint="eastAsia"/>
                <w:b/>
                <w:bCs/>
                <w:color w:val="auto"/>
                <w:lang w:val="en-US" w:eastAsia="zh-CN"/>
              </w:rPr>
              <w:t>3</w:t>
            </w:r>
            <w:r>
              <w:rPr>
                <w:rFonts w:hint="eastAsia"/>
                <w:b/>
                <w:bCs/>
                <w:color w:val="auto"/>
              </w:rPr>
              <w:t>）</w:t>
            </w:r>
          </w:p>
          <w:p>
            <w:pPr>
              <w:spacing w:line="360" w:lineRule="auto"/>
              <w:jc w:val="center"/>
              <w:rPr>
                <w:rFonts w:hint="eastAsia" w:eastAsia="宋体"/>
                <w:b/>
                <w:bCs/>
                <w:color w:val="auto"/>
                <w:lang w:eastAsia="zh-CN"/>
              </w:rPr>
            </w:pPr>
            <w:r>
              <w:rPr>
                <w:rFonts w:hint="eastAsia" w:eastAsia="宋体"/>
                <w:b/>
                <w:bCs/>
                <w:color w:val="auto"/>
                <w:lang w:eastAsia="zh-CN"/>
              </w:rPr>
              <w:drawing>
                <wp:inline distT="0" distB="0" distL="114300" distR="114300">
                  <wp:extent cx="3966210" cy="4657090"/>
                  <wp:effectExtent l="0" t="0" r="11430" b="6350"/>
                  <wp:docPr id="3" name="图片 3" descr="附图3 厂区平面布置图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附图3 厂区平面布置图_00"/>
                          <pic:cNvPicPr>
                            <a:picLocks noChangeAspect="1"/>
                          </pic:cNvPicPr>
                        </pic:nvPicPr>
                        <pic:blipFill>
                          <a:blip r:embed="rId12"/>
                          <a:srcRect l="5417" t="11040" r="4069" b="13844"/>
                          <a:stretch>
                            <a:fillRect/>
                          </a:stretch>
                        </pic:blipFill>
                        <pic:spPr>
                          <a:xfrm>
                            <a:off x="0" y="0"/>
                            <a:ext cx="3966210" cy="4657090"/>
                          </a:xfrm>
                          <a:prstGeom prst="rect">
                            <a:avLst/>
                          </a:prstGeom>
                        </pic:spPr>
                      </pic:pic>
                    </a:graphicData>
                  </a:graphic>
                </wp:inline>
              </w:drawing>
            </w:r>
          </w:p>
          <w:p>
            <w:pPr>
              <w:spacing w:line="360" w:lineRule="auto"/>
              <w:jc w:val="center"/>
              <w:rPr>
                <w:b/>
                <w:bCs/>
                <w:color w:val="auto"/>
                <w:sz w:val="18"/>
                <w:szCs w:val="18"/>
                <w:highlight w:val="none"/>
              </w:rPr>
            </w:pPr>
            <w:r>
              <w:rPr>
                <w:rFonts w:hint="eastAsia"/>
                <w:b/>
                <w:bCs/>
                <w:color w:val="auto"/>
                <w:sz w:val="18"/>
                <w:szCs w:val="18"/>
                <w:highlight w:val="none"/>
              </w:rPr>
              <w:t>图2-</w:t>
            </w:r>
            <w:r>
              <w:rPr>
                <w:rFonts w:hint="eastAsia"/>
                <w:b/>
                <w:bCs/>
                <w:color w:val="auto"/>
                <w:sz w:val="18"/>
                <w:szCs w:val="18"/>
                <w:highlight w:val="none"/>
                <w:lang w:val="en-US" w:eastAsia="zh-CN"/>
              </w:rPr>
              <w:t>3</w:t>
            </w:r>
            <w:r>
              <w:rPr>
                <w:rFonts w:hint="eastAsia"/>
                <w:b/>
                <w:bCs/>
                <w:color w:val="auto"/>
                <w:sz w:val="18"/>
                <w:szCs w:val="18"/>
                <w:highlight w:val="none"/>
              </w:rPr>
              <w:t xml:space="preserve">  平面布置图</w:t>
            </w:r>
          </w:p>
          <w:p>
            <w:pPr>
              <w:spacing w:line="360" w:lineRule="auto"/>
              <w:ind w:firstLine="420" w:firstLineChars="200"/>
              <w:rPr>
                <w:rFonts w:hint="eastAsia"/>
                <w:color w:val="auto"/>
                <w:highlight w:val="none"/>
              </w:rPr>
            </w:pPr>
            <w:r>
              <w:rPr>
                <w:rFonts w:hint="eastAsia"/>
                <w:color w:val="auto"/>
                <w:highlight w:val="none"/>
              </w:rPr>
              <w:t>本项目厂区为矩形，厂区大门位于厂区</w:t>
            </w:r>
            <w:r>
              <w:rPr>
                <w:rFonts w:hint="eastAsia"/>
                <w:color w:val="auto"/>
                <w:highlight w:val="none"/>
                <w:lang w:val="en-US" w:eastAsia="zh-CN"/>
              </w:rPr>
              <w:t>东</w:t>
            </w:r>
            <w:r>
              <w:rPr>
                <w:rFonts w:hint="eastAsia"/>
                <w:color w:val="auto"/>
                <w:highlight w:val="none"/>
              </w:rPr>
              <w:t>北侧，方便车辆进出；厂区西侧由北向南依次为成品</w:t>
            </w:r>
            <w:r>
              <w:rPr>
                <w:rFonts w:hint="eastAsia"/>
                <w:color w:val="auto"/>
                <w:highlight w:val="none"/>
                <w:lang w:val="en-US" w:eastAsia="zh-CN"/>
              </w:rPr>
              <w:t>库房</w:t>
            </w:r>
            <w:r>
              <w:rPr>
                <w:rFonts w:hint="eastAsia"/>
                <w:color w:val="auto"/>
                <w:highlight w:val="none"/>
              </w:rPr>
              <w:t>、</w:t>
            </w:r>
            <w:r>
              <w:rPr>
                <w:rFonts w:hint="eastAsia"/>
                <w:color w:val="auto"/>
                <w:highlight w:val="none"/>
                <w:lang w:val="en-US" w:eastAsia="zh-CN"/>
              </w:rPr>
              <w:t>生产车间、厨房及宿舍</w:t>
            </w:r>
            <w:r>
              <w:rPr>
                <w:rFonts w:hint="eastAsia"/>
                <w:color w:val="auto"/>
                <w:highlight w:val="none"/>
              </w:rPr>
              <w:t>。</w:t>
            </w:r>
          </w:p>
          <w:p>
            <w:pPr>
              <w:spacing w:line="360" w:lineRule="auto"/>
              <w:ind w:firstLine="420" w:firstLineChars="200"/>
              <w:rPr>
                <w:color w:val="auto"/>
                <w:highlight w:val="none"/>
              </w:rPr>
            </w:pPr>
            <w:r>
              <w:rPr>
                <w:rFonts w:hint="eastAsia"/>
                <w:color w:val="auto"/>
                <w:highlight w:val="none"/>
              </w:rPr>
              <w:t>本项目生产车间、办公区域、仓库等布局合理，各功能分区明确，交通便捷，人行、车行、后勤流线清楚分明，有效避免和减少流线交叉。因此，本项目平面布置合理。</w:t>
            </w:r>
          </w:p>
          <w:p>
            <w:pPr>
              <w:spacing w:line="360" w:lineRule="auto"/>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66" w:hRule="atLeast"/>
          <w:jc w:val="center"/>
        </w:trPr>
        <w:tc>
          <w:tcPr>
            <w:tcW w:w="823" w:type="dxa"/>
            <w:vAlign w:val="center"/>
          </w:tcPr>
          <w:p>
            <w:pPr>
              <w:pStyle w:val="20"/>
              <w:adjustRightInd w:val="0"/>
              <w:snapToGrid w:val="0"/>
              <w:spacing w:before="0" w:beforeAutospacing="0" w:after="0" w:afterAutospacing="0"/>
              <w:jc w:val="center"/>
              <w:rPr>
                <w:rFonts w:cs="宋体"/>
                <w:color w:val="auto"/>
                <w:sz w:val="21"/>
                <w:szCs w:val="21"/>
              </w:rPr>
            </w:pPr>
            <w:r>
              <w:rPr>
                <w:rFonts w:hint="eastAsia" w:cs="宋体"/>
                <w:color w:val="auto"/>
                <w:sz w:val="21"/>
                <w:szCs w:val="21"/>
              </w:rPr>
              <w:t>工艺流程和产排污环节</w:t>
            </w:r>
          </w:p>
        </w:tc>
        <w:tc>
          <w:tcPr>
            <w:tcW w:w="8161" w:type="dxa"/>
          </w:tcPr>
          <w:p>
            <w:pPr>
              <w:adjustRightInd w:val="0"/>
              <w:snapToGrid w:val="0"/>
              <w:spacing w:line="360" w:lineRule="auto"/>
              <w:ind w:firstLine="422" w:firstLineChars="200"/>
              <w:rPr>
                <w:b/>
                <w:color w:val="auto"/>
                <w:szCs w:val="21"/>
              </w:rPr>
            </w:pPr>
            <w:r>
              <w:rPr>
                <w:b/>
                <w:color w:val="auto"/>
                <w:szCs w:val="21"/>
              </w:rPr>
              <w:t>工艺流程及污染工艺流程简述（图示）：</w:t>
            </w:r>
          </w:p>
          <w:p>
            <w:pPr>
              <w:adjustRightInd w:val="0"/>
              <w:snapToGrid w:val="0"/>
              <w:spacing w:line="360" w:lineRule="auto"/>
              <w:ind w:firstLine="422" w:firstLineChars="200"/>
              <w:rPr>
                <w:b/>
                <w:color w:val="auto"/>
                <w:szCs w:val="21"/>
              </w:rPr>
            </w:pPr>
            <w:r>
              <w:rPr>
                <w:b/>
                <w:color w:val="auto"/>
                <w:szCs w:val="21"/>
              </w:rPr>
              <w:t>一、施工期施工工艺及产污分析</w:t>
            </w:r>
          </w:p>
          <w:p>
            <w:pPr>
              <w:adjustRightInd w:val="0"/>
              <w:snapToGrid w:val="0"/>
              <w:spacing w:line="360" w:lineRule="auto"/>
              <w:ind w:firstLine="420" w:firstLineChars="200"/>
              <w:rPr>
                <w:rFonts w:hint="eastAsia" w:ascii="Times New Roman" w:hAnsi="Times New Roman" w:cs="Times New Roman"/>
                <w:bCs/>
                <w:color w:val="auto"/>
                <w:szCs w:val="21"/>
              </w:rPr>
            </w:pPr>
            <w:r>
              <w:rPr>
                <w:rFonts w:hint="eastAsia" w:ascii="Times New Roman" w:hAnsi="Times New Roman" w:cs="Times New Roman"/>
                <w:bCs/>
                <w:color w:val="auto"/>
                <w:szCs w:val="21"/>
              </w:rPr>
              <w:t>本项目施工期间的主要环境污染工序包括有：基础工程、主体工程、装饰工程等工序产生的施工机械噪声、车辆运输噪声、扬尘、施工机械柴油燃烧废气、装修废气、建筑垃圾、施工废水、施工人员生活垃圾、施工人员生活污水，施工流程图及产污环节</w:t>
            </w:r>
            <w:r>
              <w:rPr>
                <w:rFonts w:hint="eastAsia" w:ascii="Times New Roman" w:hAnsi="Times New Roman" w:cs="Times New Roman"/>
                <w:bCs/>
                <w:color w:val="auto"/>
                <w:szCs w:val="21"/>
                <w:lang w:val="en-US" w:eastAsia="zh-CN"/>
              </w:rPr>
              <w:t>如下</w:t>
            </w:r>
            <w:r>
              <w:rPr>
                <w:rFonts w:hint="eastAsia" w:ascii="Times New Roman" w:hAnsi="Times New Roman" w:cs="Times New Roman"/>
                <w:bCs/>
                <w:color w:val="auto"/>
                <w:szCs w:val="21"/>
              </w:rPr>
              <w:t>图所示。</w:t>
            </w:r>
          </w:p>
          <w:p>
            <w:pPr>
              <w:keepNext w:val="0"/>
              <w:keepLines w:val="0"/>
              <w:pageBreakBefore w:val="0"/>
              <w:widowControl w:val="0"/>
              <w:kinsoku/>
              <w:wordWrap/>
              <w:overflowPunct/>
              <w:topLinePunct w:val="0"/>
              <w:autoSpaceDE/>
              <w:autoSpaceDN/>
              <w:bidi w:val="0"/>
              <w:adjustRightInd w:val="0"/>
              <w:snapToGrid w:val="0"/>
              <w:spacing w:line="360" w:lineRule="auto"/>
              <w:ind w:firstLine="0" w:firstLineChars="0"/>
              <w:jc w:val="center"/>
              <w:textAlignment w:val="auto"/>
              <w:rPr>
                <w:b/>
                <w:color w:val="auto"/>
                <w:sz w:val="18"/>
                <w:szCs w:val="18"/>
              </w:rPr>
            </w:pPr>
            <w:r>
              <w:rPr>
                <w:color w:val="auto"/>
              </w:rPr>
              <w:drawing>
                <wp:inline distT="0" distB="0" distL="114300" distR="114300">
                  <wp:extent cx="4628515" cy="2002790"/>
                  <wp:effectExtent l="0" t="0" r="635" b="1651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13"/>
                          <a:stretch>
                            <a:fillRect/>
                          </a:stretch>
                        </pic:blipFill>
                        <pic:spPr>
                          <a:xfrm>
                            <a:off x="0" y="0"/>
                            <a:ext cx="4628515" cy="2002790"/>
                          </a:xfrm>
                          <a:prstGeom prst="rect">
                            <a:avLst/>
                          </a:prstGeom>
                          <a:noFill/>
                          <a:ln>
                            <a:noFill/>
                          </a:ln>
                        </pic:spPr>
                      </pic:pic>
                    </a:graphicData>
                  </a:graphic>
                </wp:inline>
              </w:drawing>
            </w:r>
          </w:p>
          <w:p>
            <w:pPr>
              <w:adjustRightInd w:val="0"/>
              <w:snapToGrid w:val="0"/>
              <w:spacing w:line="360" w:lineRule="auto"/>
              <w:ind w:firstLine="361" w:firstLineChars="200"/>
              <w:jc w:val="center"/>
              <w:rPr>
                <w:rFonts w:ascii="宋体" w:hAnsi="宋体"/>
                <w:b/>
                <w:color w:val="auto"/>
                <w:sz w:val="18"/>
                <w:szCs w:val="18"/>
              </w:rPr>
            </w:pPr>
            <w:r>
              <w:rPr>
                <w:b/>
                <w:color w:val="auto"/>
                <w:sz w:val="18"/>
                <w:szCs w:val="18"/>
              </w:rPr>
              <w:t>图</w:t>
            </w:r>
            <w:r>
              <w:rPr>
                <w:rFonts w:hint="eastAsia"/>
                <w:b/>
                <w:color w:val="auto"/>
                <w:sz w:val="18"/>
                <w:szCs w:val="18"/>
              </w:rPr>
              <w:t>2</w:t>
            </w:r>
            <w:r>
              <w:rPr>
                <w:b/>
                <w:color w:val="auto"/>
                <w:sz w:val="18"/>
                <w:szCs w:val="18"/>
              </w:rPr>
              <w:t>-</w:t>
            </w:r>
            <w:r>
              <w:rPr>
                <w:rFonts w:hint="eastAsia"/>
                <w:b/>
                <w:color w:val="auto"/>
                <w:sz w:val="18"/>
                <w:szCs w:val="18"/>
                <w:lang w:val="en-US" w:eastAsia="zh-CN"/>
              </w:rPr>
              <w:t>4</w:t>
            </w:r>
            <w:r>
              <w:rPr>
                <w:b/>
                <w:color w:val="auto"/>
                <w:sz w:val="18"/>
                <w:szCs w:val="18"/>
              </w:rPr>
              <w:t xml:space="preserve"> 施工期工艺流程及产污位置图</w:t>
            </w:r>
          </w:p>
          <w:p>
            <w:pPr>
              <w:adjustRightInd w:val="0"/>
              <w:snapToGrid w:val="0"/>
              <w:spacing w:line="360" w:lineRule="auto"/>
              <w:ind w:firstLine="422" w:firstLineChars="200"/>
              <w:rPr>
                <w:rFonts w:ascii="宋体" w:hAnsi="宋体"/>
                <w:b/>
                <w:color w:val="auto"/>
                <w:szCs w:val="21"/>
              </w:rPr>
            </w:pPr>
            <w:r>
              <w:rPr>
                <w:rFonts w:hint="eastAsia" w:ascii="宋体" w:hAnsi="宋体"/>
                <w:b/>
                <w:color w:val="auto"/>
                <w:szCs w:val="21"/>
              </w:rPr>
              <w:t>二、运营期工艺流程及产污分析</w:t>
            </w:r>
          </w:p>
          <w:p>
            <w:pPr>
              <w:adjustRightInd w:val="0"/>
              <w:snapToGrid w:val="0"/>
              <w:spacing w:line="360" w:lineRule="auto"/>
              <w:ind w:firstLine="422" w:firstLineChars="200"/>
              <w:rPr>
                <w:b/>
                <w:color w:val="auto"/>
                <w:szCs w:val="21"/>
              </w:rPr>
            </w:pPr>
            <w:r>
              <w:rPr>
                <w:rFonts w:hint="eastAsia"/>
                <w:b/>
                <w:color w:val="auto"/>
                <w:szCs w:val="21"/>
              </w:rPr>
              <w:t>1、营运期工艺流程及产污环节图如下：</w:t>
            </w:r>
          </w:p>
          <w:p>
            <w:pPr>
              <w:spacing w:line="360" w:lineRule="auto"/>
              <w:jc w:val="center"/>
              <w:rPr>
                <w:rFonts w:hint="eastAsia" w:eastAsia="宋体"/>
                <w:b/>
                <w:color w:val="auto"/>
                <w:szCs w:val="21"/>
                <w:lang w:eastAsia="zh-CN"/>
              </w:rPr>
            </w:pPr>
            <w:r>
              <w:rPr>
                <w:rFonts w:hint="eastAsia" w:eastAsia="宋体"/>
                <w:b/>
                <w:color w:val="auto"/>
                <w:szCs w:val="21"/>
                <w:lang w:eastAsia="zh-CN"/>
              </w:rPr>
              <w:drawing>
                <wp:inline distT="0" distB="0" distL="114300" distR="114300">
                  <wp:extent cx="2447290" cy="3308350"/>
                  <wp:effectExtent l="0" t="0" r="0" b="0"/>
                  <wp:docPr id="1" name="图片 1" descr="未命名文件(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未命名文件(10)"/>
                          <pic:cNvPicPr>
                            <a:picLocks noChangeAspect="1"/>
                          </pic:cNvPicPr>
                        </pic:nvPicPr>
                        <pic:blipFill>
                          <a:blip r:embed="rId14"/>
                          <a:stretch>
                            <a:fillRect/>
                          </a:stretch>
                        </pic:blipFill>
                        <pic:spPr>
                          <a:xfrm>
                            <a:off x="0" y="0"/>
                            <a:ext cx="2447290" cy="3308350"/>
                          </a:xfrm>
                          <a:prstGeom prst="rect">
                            <a:avLst/>
                          </a:prstGeom>
                        </pic:spPr>
                      </pic:pic>
                    </a:graphicData>
                  </a:graphic>
                </wp:inline>
              </w:drawing>
            </w:r>
          </w:p>
          <w:p>
            <w:pPr>
              <w:spacing w:line="360" w:lineRule="auto"/>
              <w:jc w:val="center"/>
              <w:rPr>
                <w:b/>
                <w:color w:val="auto"/>
                <w:sz w:val="18"/>
                <w:szCs w:val="18"/>
                <w:highlight w:val="none"/>
              </w:rPr>
            </w:pPr>
            <w:r>
              <w:rPr>
                <w:b/>
                <w:color w:val="auto"/>
                <w:sz w:val="18"/>
                <w:szCs w:val="18"/>
                <w:highlight w:val="none"/>
              </w:rPr>
              <w:t>图2-</w:t>
            </w:r>
            <w:r>
              <w:rPr>
                <w:rFonts w:hint="eastAsia"/>
                <w:b/>
                <w:color w:val="auto"/>
                <w:sz w:val="18"/>
                <w:szCs w:val="18"/>
                <w:highlight w:val="none"/>
                <w:lang w:val="en-US" w:eastAsia="zh-CN"/>
              </w:rPr>
              <w:t>5</w:t>
            </w:r>
            <w:r>
              <w:rPr>
                <w:b/>
                <w:color w:val="auto"/>
                <w:sz w:val="18"/>
                <w:szCs w:val="18"/>
                <w:highlight w:val="none"/>
              </w:rPr>
              <w:t xml:space="preserve">  项目营运期生产工艺流程及产污环节图</w:t>
            </w:r>
          </w:p>
          <w:p>
            <w:pPr>
              <w:adjustRightInd w:val="0"/>
              <w:snapToGrid w:val="0"/>
              <w:spacing w:line="360" w:lineRule="auto"/>
              <w:ind w:firstLine="422" w:firstLineChars="200"/>
              <w:rPr>
                <w:b/>
                <w:color w:val="auto"/>
                <w:szCs w:val="21"/>
              </w:rPr>
            </w:pPr>
            <w:r>
              <w:rPr>
                <w:rFonts w:hint="eastAsia"/>
                <w:b/>
                <w:color w:val="auto"/>
                <w:szCs w:val="21"/>
              </w:rPr>
              <w:t>生产</w:t>
            </w:r>
            <w:r>
              <w:rPr>
                <w:b/>
                <w:color w:val="auto"/>
                <w:szCs w:val="21"/>
              </w:rPr>
              <w:t>工艺流程及产污环节简述如下：</w:t>
            </w:r>
          </w:p>
          <w:p>
            <w:pPr>
              <w:adjustRightInd w:val="0"/>
              <w:snapToGrid w:val="0"/>
              <w:spacing w:line="360" w:lineRule="auto"/>
              <w:ind w:firstLine="422" w:firstLineChars="200"/>
              <w:rPr>
                <w:rFonts w:hint="eastAsia"/>
                <w:b/>
                <w:color w:val="auto"/>
                <w:szCs w:val="21"/>
                <w:lang w:eastAsia="zh-CN"/>
              </w:rPr>
            </w:pPr>
            <w:r>
              <w:rPr>
                <w:rFonts w:hint="eastAsia"/>
                <w:b/>
                <w:color w:val="auto"/>
                <w:szCs w:val="21"/>
              </w:rPr>
              <w:t>①分拣</w:t>
            </w:r>
          </w:p>
          <w:p>
            <w:pPr>
              <w:adjustRightInd w:val="0"/>
              <w:snapToGrid w:val="0"/>
              <w:spacing w:line="360" w:lineRule="auto"/>
              <w:ind w:firstLine="420" w:firstLineChars="200"/>
              <w:rPr>
                <w:rFonts w:hint="eastAsia"/>
                <w:b w:val="0"/>
                <w:bCs/>
                <w:color w:val="auto"/>
                <w:szCs w:val="21"/>
              </w:rPr>
            </w:pPr>
            <w:r>
              <w:rPr>
                <w:rFonts w:hint="eastAsia"/>
                <w:b w:val="0"/>
                <w:bCs/>
                <w:color w:val="auto"/>
                <w:szCs w:val="21"/>
              </w:rPr>
              <w:t>项目外购成型打包好的废纸，人工对废纸进行粗分拣，去除一些塑料薄膜及一些金属物料。随后进入制浆工序。废纸的种类包括废牛皮纸，废瓦楞纸，书刊，报纸，办公废纸等。该工序会产生固废。</w:t>
            </w:r>
          </w:p>
          <w:p>
            <w:pPr>
              <w:adjustRightInd w:val="0"/>
              <w:snapToGrid w:val="0"/>
              <w:spacing w:line="360" w:lineRule="auto"/>
              <w:ind w:firstLine="361" w:firstLineChars="200"/>
              <w:rPr>
                <w:b/>
                <w:bCs w:val="0"/>
                <w:color w:val="auto"/>
                <w:sz w:val="18"/>
                <w:szCs w:val="18"/>
              </w:rPr>
            </w:pPr>
            <w:r>
              <w:rPr>
                <w:rFonts w:hint="eastAsia"/>
                <w:b/>
                <w:bCs w:val="0"/>
                <w:color w:val="auto"/>
                <w:sz w:val="18"/>
                <w:szCs w:val="18"/>
              </w:rPr>
              <w:t>（注：本项目原料为废牛皮纸，废瓦楞纸，书刊，报纸，办公废纸等无毒无害的生活、工业废纸，不接受沾染有毒有害的废纸，且对纸制品产品质量要求较低，无需对其进行脱墨处理，本项目仅利用废旧纸张，所有工序均不涉及造纸工艺。）</w:t>
            </w:r>
          </w:p>
          <w:p>
            <w:pPr>
              <w:adjustRightInd w:val="0"/>
              <w:snapToGrid w:val="0"/>
              <w:spacing w:line="360" w:lineRule="auto"/>
              <w:ind w:firstLine="422" w:firstLineChars="200"/>
              <w:rPr>
                <w:rFonts w:hint="eastAsia" w:eastAsia="宋体"/>
                <w:b/>
                <w:color w:val="auto"/>
                <w:szCs w:val="21"/>
                <w:lang w:val="en-US" w:eastAsia="zh-CN"/>
              </w:rPr>
            </w:pPr>
            <w:r>
              <w:rPr>
                <w:rFonts w:hint="eastAsia"/>
                <w:b/>
                <w:color w:val="auto"/>
                <w:szCs w:val="21"/>
              </w:rPr>
              <w:t>②</w:t>
            </w:r>
            <w:r>
              <w:rPr>
                <w:rFonts w:hint="eastAsia"/>
                <w:b/>
                <w:color w:val="auto"/>
                <w:szCs w:val="21"/>
                <w:lang w:val="en-US" w:eastAsia="zh-CN"/>
              </w:rPr>
              <w:t>水力碎浆</w:t>
            </w:r>
          </w:p>
          <w:p>
            <w:pPr>
              <w:adjustRightInd w:val="0"/>
              <w:snapToGrid w:val="0"/>
              <w:spacing w:line="360" w:lineRule="auto"/>
              <w:ind w:firstLine="420" w:firstLineChars="200"/>
              <w:rPr>
                <w:bCs/>
                <w:color w:val="auto"/>
                <w:szCs w:val="21"/>
              </w:rPr>
            </w:pPr>
            <w:r>
              <w:rPr>
                <w:rFonts w:hint="eastAsia"/>
                <w:bCs/>
                <w:color w:val="auto"/>
                <w:szCs w:val="21"/>
              </w:rPr>
              <w:t>将分拣后的废纸倒入水力碎浆机内，加水破碎制得纸浆，纸水比例约为1.122:1，搅碎的纸浆通过水泵流入贮浆池内，该工序污染物主要为设备噪声。</w:t>
            </w:r>
          </w:p>
          <w:p>
            <w:pPr>
              <w:adjustRightInd w:val="0"/>
              <w:snapToGrid w:val="0"/>
              <w:spacing w:line="360" w:lineRule="auto"/>
              <w:ind w:firstLine="422" w:firstLineChars="200"/>
              <w:rPr>
                <w:rFonts w:hint="eastAsia"/>
                <w:b/>
                <w:bCs w:val="0"/>
                <w:color w:val="auto"/>
                <w:szCs w:val="21"/>
              </w:rPr>
            </w:pPr>
            <w:r>
              <w:rPr>
                <w:rFonts w:hint="eastAsia"/>
                <w:b/>
                <w:bCs w:val="0"/>
                <w:color w:val="auto"/>
                <w:szCs w:val="21"/>
                <w:lang w:val="en-US" w:eastAsia="zh-CN"/>
              </w:rPr>
              <w:t>③</w:t>
            </w:r>
            <w:r>
              <w:rPr>
                <w:rFonts w:hint="eastAsia"/>
                <w:b/>
                <w:bCs w:val="0"/>
                <w:color w:val="auto"/>
                <w:szCs w:val="21"/>
              </w:rPr>
              <w:t>兑浆搅拌</w:t>
            </w:r>
          </w:p>
          <w:p>
            <w:pPr>
              <w:adjustRightInd w:val="0"/>
              <w:snapToGrid w:val="0"/>
              <w:spacing w:line="360" w:lineRule="auto"/>
              <w:ind w:firstLine="420" w:firstLineChars="200"/>
              <w:rPr>
                <w:rFonts w:hint="eastAsia"/>
                <w:b w:val="0"/>
                <w:bCs/>
                <w:color w:val="auto"/>
                <w:szCs w:val="21"/>
              </w:rPr>
            </w:pPr>
            <w:r>
              <w:rPr>
                <w:rFonts w:hint="eastAsia"/>
                <w:b w:val="0"/>
                <w:bCs/>
                <w:color w:val="auto"/>
                <w:szCs w:val="21"/>
              </w:rPr>
              <w:t>向兑浆池内添加石粉，通过搅拌机在浆池内进行搅拌，使其兑浆均匀。石粉在投料过程中会产生投料粉尘。</w:t>
            </w:r>
          </w:p>
          <w:p>
            <w:pPr>
              <w:adjustRightInd w:val="0"/>
              <w:snapToGrid w:val="0"/>
              <w:spacing w:line="360" w:lineRule="auto"/>
              <w:ind w:firstLine="422" w:firstLineChars="200"/>
              <w:rPr>
                <w:rFonts w:hint="default" w:eastAsia="宋体"/>
                <w:b/>
                <w:bCs w:val="0"/>
                <w:color w:val="auto"/>
                <w:szCs w:val="21"/>
                <w:lang w:val="en-US" w:eastAsia="zh-CN"/>
              </w:rPr>
            </w:pPr>
            <w:r>
              <w:rPr>
                <w:rFonts w:hint="eastAsia"/>
                <w:b/>
                <w:bCs w:val="0"/>
                <w:color w:val="auto"/>
                <w:szCs w:val="21"/>
                <w:lang w:val="en-US" w:eastAsia="zh-CN"/>
              </w:rPr>
              <w:t>④</w:t>
            </w:r>
            <w:r>
              <w:rPr>
                <w:rFonts w:hint="eastAsia"/>
                <w:b/>
                <w:bCs w:val="0"/>
                <w:color w:val="auto"/>
                <w:szCs w:val="21"/>
              </w:rPr>
              <w:t>磨浆</w:t>
            </w:r>
          </w:p>
          <w:p>
            <w:pPr>
              <w:adjustRightInd w:val="0"/>
              <w:snapToGrid w:val="0"/>
              <w:spacing w:line="360" w:lineRule="auto"/>
              <w:ind w:firstLine="420" w:firstLineChars="200"/>
              <w:rPr>
                <w:rFonts w:hint="eastAsia"/>
                <w:b w:val="0"/>
                <w:bCs/>
                <w:color w:val="auto"/>
                <w:szCs w:val="21"/>
              </w:rPr>
            </w:pPr>
            <w:r>
              <w:rPr>
                <w:rFonts w:hint="eastAsia"/>
                <w:b w:val="0"/>
                <w:bCs/>
                <w:color w:val="auto"/>
                <w:szCs w:val="21"/>
              </w:rPr>
              <w:t>将兑浆后的原料在磨浆池中进行搅拌机搅拌均质后，通过泵泵入成型机的储浆槽中。</w:t>
            </w:r>
          </w:p>
          <w:p>
            <w:pPr>
              <w:adjustRightInd w:val="0"/>
              <w:snapToGrid w:val="0"/>
              <w:spacing w:line="360" w:lineRule="auto"/>
              <w:ind w:firstLine="422" w:firstLineChars="200"/>
              <w:rPr>
                <w:rFonts w:hint="eastAsia" w:eastAsia="宋体"/>
                <w:b/>
                <w:color w:val="auto"/>
                <w:szCs w:val="21"/>
                <w:lang w:val="en-US" w:eastAsia="zh-CN"/>
              </w:rPr>
            </w:pPr>
            <w:r>
              <w:rPr>
                <w:rFonts w:hint="eastAsia"/>
                <w:b/>
                <w:color w:val="auto"/>
                <w:szCs w:val="21"/>
                <w:lang w:val="en-US" w:eastAsia="zh-CN"/>
              </w:rPr>
              <w:t>⑤成型</w:t>
            </w:r>
          </w:p>
          <w:p>
            <w:pPr>
              <w:adjustRightInd w:val="0"/>
              <w:snapToGrid w:val="0"/>
              <w:spacing w:line="360" w:lineRule="auto"/>
              <w:ind w:firstLine="420" w:firstLineChars="200"/>
              <w:rPr>
                <w:rFonts w:hint="eastAsia" w:eastAsia="宋体"/>
                <w:b w:val="0"/>
                <w:bCs/>
                <w:color w:val="auto"/>
                <w:szCs w:val="21"/>
                <w:lang w:eastAsia="zh-CN"/>
              </w:rPr>
            </w:pPr>
            <w:r>
              <w:rPr>
                <w:rFonts w:hint="eastAsia"/>
                <w:b w:val="0"/>
                <w:bCs/>
                <w:color w:val="auto"/>
                <w:szCs w:val="21"/>
              </w:rPr>
              <w:t>供浆泵输送至成型机料斗内的纸浆吸附到成型机模具上，通过真空系统吸力将纸浆吸附到成型机模具上将多余水分吸至气水分离罐内，在由抽水泵将水抽到水池内储存，成型机模具吸附纸浆后从而成型</w:t>
            </w:r>
            <w:r>
              <w:rPr>
                <w:rFonts w:hint="eastAsia"/>
                <w:b w:val="0"/>
                <w:bCs/>
                <w:color w:val="auto"/>
                <w:szCs w:val="21"/>
                <w:lang w:eastAsia="zh-CN"/>
              </w:rPr>
              <w:t>。</w:t>
            </w:r>
          </w:p>
          <w:p>
            <w:pPr>
              <w:adjustRightInd w:val="0"/>
              <w:snapToGrid w:val="0"/>
              <w:spacing w:line="360" w:lineRule="auto"/>
              <w:ind w:firstLine="422" w:firstLineChars="200"/>
              <w:rPr>
                <w:rFonts w:hint="eastAsia"/>
                <w:b/>
                <w:color w:val="auto"/>
                <w:szCs w:val="21"/>
              </w:rPr>
            </w:pPr>
            <w:r>
              <w:rPr>
                <w:rFonts w:hint="eastAsia"/>
                <w:b/>
                <w:color w:val="auto"/>
                <w:szCs w:val="21"/>
                <w:lang w:val="en-US" w:eastAsia="zh-CN"/>
              </w:rPr>
              <w:t>⑥</w:t>
            </w:r>
            <w:r>
              <w:rPr>
                <w:rFonts w:hint="eastAsia"/>
                <w:b/>
                <w:color w:val="auto"/>
                <w:szCs w:val="21"/>
              </w:rPr>
              <w:t>烘干</w:t>
            </w:r>
          </w:p>
          <w:p>
            <w:pPr>
              <w:adjustRightInd w:val="0"/>
              <w:snapToGrid w:val="0"/>
              <w:spacing w:line="360" w:lineRule="auto"/>
              <w:ind w:firstLine="420" w:firstLineChars="200"/>
              <w:rPr>
                <w:b w:val="0"/>
                <w:bCs/>
                <w:color w:val="auto"/>
                <w:szCs w:val="21"/>
              </w:rPr>
            </w:pPr>
            <w:r>
              <w:rPr>
                <w:rFonts w:hint="eastAsia"/>
                <w:b w:val="0"/>
                <w:bCs/>
                <w:color w:val="auto"/>
                <w:szCs w:val="21"/>
              </w:rPr>
              <w:t>成型后的蛋托湿坯（含水率约13%）放入烘干廊道内，</w:t>
            </w:r>
            <w:r>
              <w:rPr>
                <w:rFonts w:hint="eastAsia"/>
                <w:b w:val="0"/>
                <w:bCs/>
                <w:color w:val="auto"/>
                <w:szCs w:val="21"/>
                <w:lang w:val="en-US" w:eastAsia="zh-CN"/>
              </w:rPr>
              <w:t>经烘干炉进行烘干（采用天然气作为燃料）</w:t>
            </w:r>
            <w:r>
              <w:rPr>
                <w:rFonts w:hint="eastAsia"/>
                <w:b w:val="0"/>
                <w:bCs/>
                <w:color w:val="auto"/>
                <w:szCs w:val="21"/>
              </w:rPr>
              <w:t>。</w:t>
            </w:r>
          </w:p>
          <w:p>
            <w:pPr>
              <w:adjustRightInd w:val="0"/>
              <w:snapToGrid w:val="0"/>
              <w:spacing w:line="360" w:lineRule="auto"/>
              <w:ind w:firstLine="422" w:firstLineChars="200"/>
              <w:rPr>
                <w:rFonts w:hint="eastAsia"/>
                <w:b/>
                <w:color w:val="auto"/>
                <w:szCs w:val="21"/>
              </w:rPr>
            </w:pPr>
            <w:r>
              <w:rPr>
                <w:rFonts w:hint="eastAsia"/>
                <w:b/>
                <w:color w:val="auto"/>
                <w:szCs w:val="21"/>
                <w:lang w:val="en-US" w:eastAsia="zh-CN"/>
              </w:rPr>
              <w:t>⑦</w:t>
            </w:r>
            <w:r>
              <w:rPr>
                <w:rFonts w:hint="eastAsia"/>
                <w:b/>
                <w:color w:val="auto"/>
                <w:szCs w:val="21"/>
              </w:rPr>
              <w:t>包装</w:t>
            </w:r>
          </w:p>
          <w:p>
            <w:pPr>
              <w:adjustRightInd w:val="0"/>
              <w:snapToGrid w:val="0"/>
              <w:spacing w:line="360" w:lineRule="auto"/>
              <w:ind w:firstLine="420" w:firstLineChars="200"/>
              <w:rPr>
                <w:rFonts w:hint="eastAsia"/>
                <w:b w:val="0"/>
                <w:bCs/>
                <w:color w:val="auto"/>
                <w:szCs w:val="21"/>
              </w:rPr>
            </w:pPr>
            <w:r>
              <w:rPr>
                <w:rFonts w:hint="eastAsia"/>
                <w:b w:val="0"/>
                <w:bCs/>
                <w:color w:val="auto"/>
                <w:szCs w:val="21"/>
              </w:rPr>
              <w:t>将烘干好的蛋托（含水率为1.6%）进行包装，存放至成品仓库内。</w:t>
            </w:r>
          </w:p>
          <w:p>
            <w:pPr>
              <w:adjustRightInd w:val="0"/>
              <w:snapToGrid w:val="0"/>
              <w:spacing w:line="360" w:lineRule="auto"/>
              <w:ind w:firstLine="422" w:firstLineChars="200"/>
              <w:rPr>
                <w:b/>
                <w:color w:val="auto"/>
                <w:szCs w:val="21"/>
              </w:rPr>
            </w:pPr>
            <w:r>
              <w:rPr>
                <w:rFonts w:hint="eastAsia"/>
                <w:b/>
                <w:color w:val="auto"/>
                <w:szCs w:val="21"/>
              </w:rPr>
              <w:t>2、产污环节</w:t>
            </w:r>
          </w:p>
          <w:p>
            <w:pPr>
              <w:adjustRightInd w:val="0"/>
              <w:snapToGrid w:val="0"/>
              <w:spacing w:line="360" w:lineRule="auto"/>
              <w:ind w:firstLine="420" w:firstLineChars="200"/>
              <w:rPr>
                <w:rFonts w:ascii="宋体" w:hAnsi="宋体"/>
                <w:bCs/>
                <w:color w:val="auto"/>
                <w:szCs w:val="21"/>
              </w:rPr>
            </w:pPr>
            <w:r>
              <w:rPr>
                <w:rFonts w:hint="eastAsia" w:ascii="宋体" w:hAnsi="宋体"/>
                <w:bCs/>
                <w:color w:val="auto"/>
                <w:szCs w:val="21"/>
              </w:rPr>
              <w:t>根据本项目产品生产工艺流程及产污环节图，营运期产生的主要污染物见下表：</w:t>
            </w:r>
          </w:p>
          <w:p>
            <w:pPr>
              <w:pStyle w:val="50"/>
              <w:snapToGrid w:val="0"/>
              <w:spacing w:line="360" w:lineRule="auto"/>
              <w:ind w:firstLine="361" w:firstLineChars="200"/>
              <w:jc w:val="center"/>
              <w:rPr>
                <w:rFonts w:ascii="Times New Roman" w:hAnsi="Times New Roman" w:cs="Times New Roman"/>
                <w:b/>
                <w:bCs/>
                <w:color w:val="auto"/>
                <w:sz w:val="18"/>
                <w:szCs w:val="18"/>
              </w:rPr>
            </w:pPr>
            <w:r>
              <w:rPr>
                <w:rFonts w:ascii="Times New Roman" w:hAnsi="Times New Roman" w:cs="Times New Roman"/>
                <w:b/>
                <w:bCs/>
                <w:color w:val="auto"/>
                <w:sz w:val="18"/>
                <w:szCs w:val="18"/>
              </w:rPr>
              <w:t>表</w:t>
            </w:r>
            <w:r>
              <w:rPr>
                <w:rFonts w:hint="eastAsia" w:ascii="Times New Roman" w:hAnsi="Times New Roman" w:cs="Times New Roman"/>
                <w:b/>
                <w:bCs/>
                <w:color w:val="auto"/>
                <w:sz w:val="18"/>
                <w:szCs w:val="18"/>
              </w:rPr>
              <w:t>2-</w:t>
            </w:r>
            <w:r>
              <w:rPr>
                <w:rFonts w:hint="eastAsia" w:ascii="Times New Roman" w:hAnsi="Times New Roman" w:cs="Times New Roman"/>
                <w:b/>
                <w:bCs/>
                <w:color w:val="auto"/>
                <w:sz w:val="18"/>
                <w:szCs w:val="18"/>
                <w:lang w:val="en-US" w:eastAsia="zh-CN"/>
              </w:rPr>
              <w:t>7</w:t>
            </w:r>
            <w:r>
              <w:rPr>
                <w:rFonts w:ascii="Times New Roman" w:hAnsi="Times New Roman" w:cs="Times New Roman"/>
                <w:b/>
                <w:bCs/>
                <w:color w:val="auto"/>
                <w:sz w:val="18"/>
                <w:szCs w:val="18"/>
              </w:rPr>
              <w:t xml:space="preserve">  主要污染工序及污染物一览表</w:t>
            </w:r>
          </w:p>
          <w:tbl>
            <w:tblPr>
              <w:tblStyle w:val="24"/>
              <w:tblW w:w="8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053"/>
              <w:gridCol w:w="3304"/>
              <w:gridCol w:w="37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jc w:val="center"/>
              </w:trPr>
              <w:tc>
                <w:tcPr>
                  <w:tcW w:w="1053" w:type="dxa"/>
                  <w:vAlign w:val="center"/>
                </w:tcPr>
                <w:p>
                  <w:pPr>
                    <w:jc w:val="center"/>
                    <w:rPr>
                      <w:color w:val="auto"/>
                      <w:sz w:val="18"/>
                      <w:szCs w:val="18"/>
                    </w:rPr>
                  </w:pPr>
                  <w:r>
                    <w:rPr>
                      <w:rFonts w:hint="eastAsia"/>
                      <w:color w:val="auto"/>
                      <w:sz w:val="18"/>
                      <w:szCs w:val="18"/>
                    </w:rPr>
                    <w:t>项目</w:t>
                  </w:r>
                </w:p>
              </w:tc>
              <w:tc>
                <w:tcPr>
                  <w:tcW w:w="3304" w:type="dxa"/>
                  <w:vAlign w:val="center"/>
                </w:tcPr>
                <w:p>
                  <w:pPr>
                    <w:jc w:val="center"/>
                    <w:rPr>
                      <w:color w:val="auto"/>
                      <w:sz w:val="18"/>
                      <w:szCs w:val="18"/>
                    </w:rPr>
                  </w:pPr>
                  <w:r>
                    <w:rPr>
                      <w:rFonts w:hint="eastAsia"/>
                      <w:color w:val="auto"/>
                      <w:sz w:val="18"/>
                      <w:szCs w:val="18"/>
                    </w:rPr>
                    <w:t>污染工序</w:t>
                  </w:r>
                </w:p>
              </w:tc>
              <w:tc>
                <w:tcPr>
                  <w:tcW w:w="3702" w:type="dxa"/>
                  <w:vAlign w:val="center"/>
                </w:tcPr>
                <w:p>
                  <w:pPr>
                    <w:jc w:val="center"/>
                    <w:rPr>
                      <w:color w:val="auto"/>
                      <w:sz w:val="18"/>
                      <w:szCs w:val="18"/>
                    </w:rPr>
                  </w:pPr>
                  <w:r>
                    <w:rPr>
                      <w:rFonts w:hint="eastAsia"/>
                      <w:color w:val="auto"/>
                      <w:sz w:val="18"/>
                      <w:szCs w:val="18"/>
                    </w:rPr>
                    <w:t>污染物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jc w:val="center"/>
              </w:trPr>
              <w:tc>
                <w:tcPr>
                  <w:tcW w:w="1053" w:type="dxa"/>
                  <w:vMerge w:val="restart"/>
                  <w:vAlign w:val="center"/>
                </w:tcPr>
                <w:p>
                  <w:pPr>
                    <w:jc w:val="center"/>
                    <w:rPr>
                      <w:color w:val="auto"/>
                      <w:sz w:val="18"/>
                      <w:szCs w:val="18"/>
                    </w:rPr>
                  </w:pPr>
                  <w:r>
                    <w:rPr>
                      <w:rFonts w:hint="eastAsia"/>
                      <w:color w:val="auto"/>
                      <w:sz w:val="18"/>
                      <w:szCs w:val="18"/>
                    </w:rPr>
                    <w:t>废气</w:t>
                  </w:r>
                </w:p>
              </w:tc>
              <w:tc>
                <w:tcPr>
                  <w:tcW w:w="3304" w:type="dxa"/>
                  <w:vAlign w:val="center"/>
                </w:tcPr>
                <w:p>
                  <w:pPr>
                    <w:spacing w:line="320" w:lineRule="exact"/>
                    <w:jc w:val="center"/>
                    <w:rPr>
                      <w:color w:val="auto"/>
                      <w:sz w:val="18"/>
                      <w:szCs w:val="18"/>
                    </w:rPr>
                  </w:pPr>
                  <w:r>
                    <w:rPr>
                      <w:rFonts w:hint="eastAsia"/>
                      <w:color w:val="auto"/>
                      <w:sz w:val="18"/>
                      <w:szCs w:val="18"/>
                    </w:rPr>
                    <w:t>兑浆搅拌</w:t>
                  </w:r>
                </w:p>
              </w:tc>
              <w:tc>
                <w:tcPr>
                  <w:tcW w:w="3702" w:type="dxa"/>
                  <w:vAlign w:val="center"/>
                </w:tcPr>
                <w:p>
                  <w:pPr>
                    <w:spacing w:line="320" w:lineRule="atLeast"/>
                    <w:jc w:val="center"/>
                    <w:rPr>
                      <w:rFonts w:hint="eastAsia" w:eastAsia="宋体"/>
                      <w:color w:val="auto"/>
                      <w:sz w:val="18"/>
                      <w:szCs w:val="18"/>
                      <w:lang w:val="en-US" w:eastAsia="zh-CN"/>
                    </w:rPr>
                  </w:pPr>
                  <w:r>
                    <w:rPr>
                      <w:rFonts w:hint="eastAsia"/>
                      <w:color w:val="auto"/>
                      <w:sz w:val="18"/>
                      <w:szCs w:val="18"/>
                      <w:lang w:val="en-US" w:eastAsia="zh-CN"/>
                    </w:rPr>
                    <w:t>投料粉尘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jc w:val="center"/>
              </w:trPr>
              <w:tc>
                <w:tcPr>
                  <w:tcW w:w="1053" w:type="dxa"/>
                  <w:vMerge w:val="continue"/>
                  <w:vAlign w:val="center"/>
                </w:tcPr>
                <w:p>
                  <w:pPr>
                    <w:jc w:val="center"/>
                    <w:rPr>
                      <w:rFonts w:hint="eastAsia"/>
                      <w:color w:val="auto"/>
                      <w:sz w:val="18"/>
                      <w:szCs w:val="18"/>
                    </w:rPr>
                  </w:pPr>
                </w:p>
              </w:tc>
              <w:tc>
                <w:tcPr>
                  <w:tcW w:w="3304" w:type="dxa"/>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烘干废气</w:t>
                  </w:r>
                </w:p>
              </w:tc>
              <w:tc>
                <w:tcPr>
                  <w:tcW w:w="3702" w:type="dxa"/>
                  <w:vAlign w:val="center"/>
                </w:tcPr>
                <w:p>
                  <w:pPr>
                    <w:spacing w:line="320" w:lineRule="atLeast"/>
                    <w:jc w:val="center"/>
                    <w:rPr>
                      <w:rFonts w:hint="default"/>
                      <w:color w:val="auto"/>
                      <w:sz w:val="18"/>
                      <w:szCs w:val="18"/>
                      <w:lang w:val="en-US" w:eastAsia="zh-CN"/>
                    </w:rPr>
                  </w:pPr>
                  <w:r>
                    <w:rPr>
                      <w:rFonts w:hint="eastAsia"/>
                      <w:color w:val="auto"/>
                      <w:sz w:val="18"/>
                      <w:szCs w:val="18"/>
                      <w:lang w:val="en-US" w:eastAsia="zh-CN"/>
                    </w:rPr>
                    <w:t>颗粒物、二氧化硫、氮氧化物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jc w:val="center"/>
              </w:trPr>
              <w:tc>
                <w:tcPr>
                  <w:tcW w:w="1053" w:type="dxa"/>
                  <w:vAlign w:val="center"/>
                </w:tcPr>
                <w:p>
                  <w:pPr>
                    <w:jc w:val="center"/>
                    <w:rPr>
                      <w:color w:val="auto"/>
                      <w:sz w:val="18"/>
                      <w:szCs w:val="18"/>
                    </w:rPr>
                  </w:pPr>
                  <w:r>
                    <w:rPr>
                      <w:rFonts w:hint="eastAsia"/>
                      <w:color w:val="auto"/>
                      <w:sz w:val="18"/>
                      <w:szCs w:val="18"/>
                    </w:rPr>
                    <w:t>废水</w:t>
                  </w:r>
                </w:p>
              </w:tc>
              <w:tc>
                <w:tcPr>
                  <w:tcW w:w="3304" w:type="dxa"/>
                  <w:vAlign w:val="center"/>
                </w:tcPr>
                <w:p>
                  <w:pPr>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rPr>
                    <w:t>员工办公生活</w:t>
                  </w:r>
                </w:p>
              </w:tc>
              <w:tc>
                <w:tcPr>
                  <w:tcW w:w="3702" w:type="dxa"/>
                  <w:vAlign w:val="center"/>
                </w:tcPr>
                <w:p>
                  <w:pPr>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rPr>
                    <w:t>生活废水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jc w:val="center"/>
              </w:trPr>
              <w:tc>
                <w:tcPr>
                  <w:tcW w:w="1053" w:type="dxa"/>
                  <w:vMerge w:val="restart"/>
                  <w:vAlign w:val="center"/>
                </w:tcPr>
                <w:p>
                  <w:pPr>
                    <w:jc w:val="center"/>
                    <w:rPr>
                      <w:color w:val="auto"/>
                      <w:sz w:val="18"/>
                      <w:szCs w:val="18"/>
                    </w:rPr>
                  </w:pPr>
                  <w:r>
                    <w:rPr>
                      <w:rFonts w:hint="eastAsia"/>
                      <w:color w:val="auto"/>
                      <w:sz w:val="18"/>
                      <w:szCs w:val="18"/>
                    </w:rPr>
                    <w:t>固废</w:t>
                  </w:r>
                </w:p>
              </w:tc>
              <w:tc>
                <w:tcPr>
                  <w:tcW w:w="3304" w:type="dxa"/>
                  <w:vAlign w:val="center"/>
                </w:tcPr>
                <w:p>
                  <w:pPr>
                    <w:spacing w:line="280" w:lineRule="exact"/>
                    <w:ind w:left="-71" w:leftChars="-34" w:right="-71" w:rightChars="-34"/>
                    <w:jc w:val="center"/>
                    <w:rPr>
                      <w:color w:val="auto"/>
                      <w:sz w:val="18"/>
                      <w:szCs w:val="18"/>
                    </w:rPr>
                  </w:pPr>
                  <w:r>
                    <w:rPr>
                      <w:color w:val="auto"/>
                      <w:sz w:val="18"/>
                      <w:szCs w:val="18"/>
                    </w:rPr>
                    <w:t>办公生活</w:t>
                  </w:r>
                </w:p>
              </w:tc>
              <w:tc>
                <w:tcPr>
                  <w:tcW w:w="3702" w:type="dxa"/>
                  <w:vAlign w:val="center"/>
                </w:tcPr>
                <w:p>
                  <w:pPr>
                    <w:spacing w:line="280" w:lineRule="exact"/>
                    <w:ind w:left="-71" w:leftChars="-34" w:right="-71" w:rightChars="-34"/>
                    <w:jc w:val="center"/>
                    <w:rPr>
                      <w:color w:val="auto"/>
                      <w:sz w:val="18"/>
                      <w:szCs w:val="18"/>
                    </w:rPr>
                  </w:pPr>
                  <w:r>
                    <w:rPr>
                      <w:color w:val="auto"/>
                      <w:sz w:val="18"/>
                      <w:szCs w:val="18"/>
                    </w:rPr>
                    <w:t>生活垃圾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jc w:val="center"/>
              </w:trPr>
              <w:tc>
                <w:tcPr>
                  <w:tcW w:w="1053" w:type="dxa"/>
                  <w:vMerge w:val="continue"/>
                  <w:vAlign w:val="center"/>
                </w:tcPr>
                <w:p>
                  <w:pPr>
                    <w:jc w:val="center"/>
                    <w:rPr>
                      <w:color w:val="auto"/>
                      <w:sz w:val="18"/>
                      <w:szCs w:val="18"/>
                    </w:rPr>
                  </w:pPr>
                </w:p>
              </w:tc>
              <w:tc>
                <w:tcPr>
                  <w:tcW w:w="3304" w:type="dxa"/>
                  <w:vAlign w:val="center"/>
                </w:tcPr>
                <w:p>
                  <w:pPr>
                    <w:spacing w:line="280" w:lineRule="exact"/>
                    <w:ind w:left="-71" w:leftChars="-34" w:right="-71" w:rightChars="-34"/>
                    <w:jc w:val="center"/>
                    <w:rPr>
                      <w:rFonts w:hint="eastAsia" w:eastAsia="宋体"/>
                      <w:color w:val="auto"/>
                      <w:sz w:val="18"/>
                      <w:szCs w:val="18"/>
                      <w:lang w:val="en-US" w:eastAsia="zh-CN"/>
                    </w:rPr>
                  </w:pPr>
                  <w:r>
                    <w:rPr>
                      <w:rFonts w:hint="eastAsia"/>
                      <w:color w:val="auto"/>
                      <w:sz w:val="18"/>
                      <w:szCs w:val="18"/>
                      <w:lang w:val="en-US" w:eastAsia="zh-CN"/>
                    </w:rPr>
                    <w:t>分拣</w:t>
                  </w:r>
                </w:p>
              </w:tc>
              <w:tc>
                <w:tcPr>
                  <w:tcW w:w="3702" w:type="dxa"/>
                  <w:vAlign w:val="center"/>
                </w:tcPr>
                <w:p>
                  <w:pPr>
                    <w:spacing w:line="280" w:lineRule="exact"/>
                    <w:ind w:left="-71" w:leftChars="-34" w:right="-71" w:rightChars="-34"/>
                    <w:jc w:val="center"/>
                    <w:rPr>
                      <w:rFonts w:hint="default" w:eastAsia="宋体"/>
                      <w:color w:val="auto"/>
                      <w:sz w:val="18"/>
                      <w:szCs w:val="18"/>
                      <w:lang w:val="en-US" w:eastAsia="zh-CN"/>
                    </w:rPr>
                  </w:pPr>
                  <w:r>
                    <w:rPr>
                      <w:rFonts w:hint="eastAsia"/>
                      <w:color w:val="auto"/>
                      <w:sz w:val="18"/>
                      <w:szCs w:val="18"/>
                      <w:lang w:val="en-US" w:eastAsia="zh-CN"/>
                    </w:rPr>
                    <w:t>分拣废塑料、废金属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49" w:hRule="atLeast"/>
                <w:jc w:val="center"/>
              </w:trPr>
              <w:tc>
                <w:tcPr>
                  <w:tcW w:w="1053" w:type="dxa"/>
                  <w:vMerge w:val="continue"/>
                  <w:vAlign w:val="center"/>
                </w:tcPr>
                <w:p>
                  <w:pPr>
                    <w:jc w:val="center"/>
                    <w:rPr>
                      <w:color w:val="auto"/>
                      <w:sz w:val="18"/>
                      <w:szCs w:val="18"/>
                    </w:rPr>
                  </w:pPr>
                </w:p>
              </w:tc>
              <w:tc>
                <w:tcPr>
                  <w:tcW w:w="3304" w:type="dxa"/>
                  <w:vAlign w:val="center"/>
                </w:tcPr>
                <w:p>
                  <w:pPr>
                    <w:spacing w:line="280" w:lineRule="exact"/>
                    <w:ind w:left="-71" w:leftChars="-34" w:right="-71" w:rightChars="-34"/>
                    <w:jc w:val="center"/>
                    <w:rPr>
                      <w:rFonts w:hint="default" w:eastAsia="宋体"/>
                      <w:color w:val="auto"/>
                      <w:sz w:val="18"/>
                      <w:szCs w:val="18"/>
                      <w:lang w:val="en-US" w:eastAsia="zh-CN"/>
                    </w:rPr>
                  </w:pPr>
                  <w:r>
                    <w:rPr>
                      <w:rFonts w:hint="eastAsia"/>
                      <w:color w:val="auto"/>
                      <w:sz w:val="18"/>
                      <w:szCs w:val="18"/>
                      <w:lang w:val="en-US" w:eastAsia="zh-CN"/>
                    </w:rPr>
                    <w:t>废气处理</w:t>
                  </w:r>
                </w:p>
              </w:tc>
              <w:tc>
                <w:tcPr>
                  <w:tcW w:w="3702" w:type="dxa"/>
                  <w:vAlign w:val="center"/>
                </w:tcPr>
                <w:p>
                  <w:pPr>
                    <w:spacing w:line="280" w:lineRule="exact"/>
                    <w:ind w:left="-71" w:leftChars="-34" w:right="-71" w:rightChars="-34"/>
                    <w:jc w:val="center"/>
                    <w:rPr>
                      <w:rFonts w:hint="default" w:eastAsia="宋体"/>
                      <w:color w:val="auto"/>
                      <w:sz w:val="18"/>
                      <w:szCs w:val="18"/>
                      <w:lang w:val="en-US" w:eastAsia="zh-CN"/>
                    </w:rPr>
                  </w:pPr>
                  <w:r>
                    <w:rPr>
                      <w:rFonts w:hint="eastAsia"/>
                      <w:color w:val="auto"/>
                      <w:sz w:val="18"/>
                      <w:szCs w:val="18"/>
                      <w:lang w:val="en-US" w:eastAsia="zh-CN"/>
                    </w:rPr>
                    <w:t>除尘器收集粉尘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59" w:hRule="atLeast"/>
                <w:jc w:val="center"/>
              </w:trPr>
              <w:tc>
                <w:tcPr>
                  <w:tcW w:w="1053" w:type="dxa"/>
                  <w:vAlign w:val="center"/>
                </w:tcPr>
                <w:p>
                  <w:pPr>
                    <w:jc w:val="center"/>
                    <w:rPr>
                      <w:color w:val="auto"/>
                      <w:sz w:val="18"/>
                      <w:szCs w:val="18"/>
                    </w:rPr>
                  </w:pPr>
                  <w:r>
                    <w:rPr>
                      <w:rFonts w:hint="eastAsia"/>
                      <w:color w:val="auto"/>
                      <w:sz w:val="18"/>
                      <w:szCs w:val="18"/>
                    </w:rPr>
                    <w:t>噪声</w:t>
                  </w:r>
                </w:p>
              </w:tc>
              <w:tc>
                <w:tcPr>
                  <w:tcW w:w="3304" w:type="dxa"/>
                  <w:vAlign w:val="center"/>
                </w:tcPr>
                <w:p>
                  <w:pPr>
                    <w:jc w:val="center"/>
                    <w:rPr>
                      <w:color w:val="auto"/>
                      <w:sz w:val="18"/>
                      <w:szCs w:val="18"/>
                    </w:rPr>
                  </w:pPr>
                  <w:r>
                    <w:rPr>
                      <w:rFonts w:hint="eastAsia"/>
                      <w:color w:val="auto"/>
                      <w:sz w:val="18"/>
                      <w:szCs w:val="18"/>
                    </w:rPr>
                    <w:t>设备运行</w:t>
                  </w:r>
                </w:p>
              </w:tc>
              <w:tc>
                <w:tcPr>
                  <w:tcW w:w="3702" w:type="dxa"/>
                  <w:vAlign w:val="center"/>
                </w:tcPr>
                <w:p>
                  <w:pPr>
                    <w:jc w:val="center"/>
                    <w:rPr>
                      <w:color w:val="auto"/>
                      <w:sz w:val="18"/>
                      <w:szCs w:val="18"/>
                    </w:rPr>
                  </w:pPr>
                  <w:r>
                    <w:rPr>
                      <w:rFonts w:hint="eastAsia"/>
                      <w:color w:val="auto"/>
                      <w:sz w:val="18"/>
                      <w:szCs w:val="18"/>
                    </w:rPr>
                    <w:t>设备运行噪声</w:t>
                  </w:r>
                </w:p>
              </w:tc>
            </w:tr>
          </w:tbl>
          <w:p>
            <w:pPr>
              <w:adjustRightInd w:val="0"/>
              <w:snapToGrid w:val="0"/>
              <w:spacing w:line="360" w:lineRule="exact"/>
              <w:rPr>
                <w:rFonts w:ascii="宋体" w:hAnsi="宋体"/>
                <w:bCs/>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652" w:hRule="atLeast"/>
          <w:jc w:val="center"/>
        </w:trPr>
        <w:tc>
          <w:tcPr>
            <w:tcW w:w="823" w:type="dxa"/>
            <w:vAlign w:val="center"/>
          </w:tcPr>
          <w:p>
            <w:pPr>
              <w:pStyle w:val="20"/>
              <w:adjustRightInd w:val="0"/>
              <w:snapToGrid w:val="0"/>
              <w:spacing w:before="0" w:beforeAutospacing="0" w:after="0" w:afterAutospacing="0"/>
              <w:jc w:val="center"/>
              <w:rPr>
                <w:rFonts w:cs="宋体"/>
                <w:color w:val="auto"/>
                <w:sz w:val="21"/>
                <w:szCs w:val="21"/>
              </w:rPr>
            </w:pPr>
            <w:r>
              <w:rPr>
                <w:rFonts w:hint="eastAsia" w:cs="宋体"/>
                <w:bCs/>
                <w:color w:val="auto"/>
                <w:kern w:val="2"/>
                <w:sz w:val="21"/>
                <w:szCs w:val="21"/>
              </w:rPr>
              <w:t>与项目有关的原有环境污染问题</w:t>
            </w:r>
          </w:p>
        </w:tc>
        <w:tc>
          <w:tcPr>
            <w:tcW w:w="8161" w:type="dxa"/>
            <w:vAlign w:val="center"/>
          </w:tcPr>
          <w:p>
            <w:pPr>
              <w:spacing w:line="360" w:lineRule="auto"/>
              <w:ind w:firstLine="420" w:firstLineChars="200"/>
              <w:jc w:val="both"/>
              <w:rPr>
                <w:rFonts w:hint="default" w:eastAsia="宋体"/>
                <w:color w:val="auto"/>
                <w:lang w:val="en-US" w:eastAsia="zh-CN"/>
              </w:rPr>
            </w:pPr>
            <w:r>
              <w:rPr>
                <w:rFonts w:hint="eastAsia"/>
                <w:color w:val="auto"/>
                <w:lang w:val="en-US" w:eastAsia="zh-CN"/>
              </w:rPr>
              <w:t>本项目为新建项目，租用玛纳斯众利合纸制品有限公司现有场地、厂房进行建设，玛纳斯众利合纸制品有限公司成立于2007年9月13日，进行纸质品加工、销售。后因经营状况不佳，停止生产。经现场踏勘，目前厂房均为空置，无原有环境污染问题。</w:t>
            </w:r>
          </w:p>
          <w:p>
            <w:pPr>
              <w:spacing w:line="360" w:lineRule="auto"/>
              <w:jc w:val="both"/>
              <w:rPr>
                <w:color w:val="auto"/>
              </w:rPr>
            </w:pPr>
          </w:p>
        </w:tc>
      </w:tr>
    </w:tbl>
    <w:p>
      <w:pPr>
        <w:pStyle w:val="20"/>
        <w:jc w:val="center"/>
        <w:rPr>
          <w:rFonts w:ascii="黑体" w:hAnsi="黑体" w:eastAsia="黑体"/>
          <w:snapToGrid w:val="0"/>
          <w:color w:val="auto"/>
          <w:sz w:val="36"/>
          <w:szCs w:val="36"/>
        </w:rPr>
        <w:sectPr>
          <w:footerReference r:id="rId8" w:type="default"/>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0"/>
        <w:adjustRightInd w:val="0"/>
        <w:snapToGrid w:val="0"/>
        <w:spacing w:before="0" w:beforeAutospacing="0" w:after="0" w:afterAutospacing="0" w:line="14" w:lineRule="auto"/>
        <w:jc w:val="center"/>
        <w:rPr>
          <w:rFonts w:ascii="黑体" w:hAnsi="黑体" w:eastAsia="黑体"/>
          <w:snapToGrid w:val="0"/>
          <w:color w:val="auto"/>
          <w:sz w:val="30"/>
          <w:szCs w:val="30"/>
        </w:rPr>
      </w:pPr>
    </w:p>
    <w:p>
      <w:pPr>
        <w:pStyle w:val="20"/>
        <w:jc w:val="center"/>
        <w:outlineLvl w:val="0"/>
        <w:rPr>
          <w:rFonts w:ascii="黑体" w:hAnsi="黑体" w:eastAsia="黑体"/>
          <w:snapToGrid w:val="0"/>
          <w:color w:val="auto"/>
          <w:sz w:val="30"/>
          <w:szCs w:val="30"/>
        </w:rPr>
      </w:pPr>
      <w:bookmarkStart w:id="9" w:name="_Toc27304"/>
      <w:r>
        <w:rPr>
          <w:rFonts w:hint="eastAsia" w:ascii="黑体" w:hAnsi="黑体" w:eastAsia="黑体"/>
          <w:snapToGrid w:val="0"/>
          <w:color w:val="auto"/>
          <w:sz w:val="30"/>
          <w:szCs w:val="30"/>
        </w:rPr>
        <w:t>三、区域环境质量现状、环境保护目标及评价标准</w:t>
      </w:r>
      <w:bookmarkEnd w:id="9"/>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00"/>
        <w:gridCol w:w="8190"/>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57" w:hRule="atLeast"/>
          <w:jc w:val="center"/>
        </w:trPr>
        <w:tc>
          <w:tcPr>
            <w:tcW w:w="800" w:type="dxa"/>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区域</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环境</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质量</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现状</w:t>
            </w:r>
          </w:p>
        </w:tc>
        <w:tc>
          <w:tcPr>
            <w:tcW w:w="8190" w:type="dxa"/>
            <w:vAlign w:val="center"/>
          </w:tcPr>
          <w:p>
            <w:pPr>
              <w:numPr>
                <w:ilvl w:val="0"/>
                <w:numId w:val="2"/>
              </w:numPr>
              <w:adjustRightInd w:val="0"/>
              <w:snapToGrid w:val="0"/>
              <w:spacing w:before="40" w:after="40" w:line="360" w:lineRule="auto"/>
              <w:ind w:firstLine="422" w:firstLineChars="200"/>
              <w:textAlignment w:val="baseline"/>
              <w:rPr>
                <w:b/>
                <w:color w:val="auto"/>
                <w:szCs w:val="21"/>
              </w:rPr>
            </w:pPr>
            <w:r>
              <w:rPr>
                <w:rFonts w:hint="eastAsia"/>
                <w:b/>
                <w:color w:val="auto"/>
                <w:szCs w:val="21"/>
              </w:rPr>
              <w:t>大气环境质量</w:t>
            </w:r>
          </w:p>
          <w:p>
            <w:pPr>
              <w:numPr>
                <w:ilvl w:val="0"/>
                <w:numId w:val="3"/>
              </w:numPr>
              <w:spacing w:line="360" w:lineRule="auto"/>
              <w:ind w:firstLine="422" w:firstLineChars="200"/>
              <w:rPr>
                <w:b/>
                <w:color w:val="auto"/>
                <w:szCs w:val="21"/>
              </w:rPr>
            </w:pPr>
            <w:r>
              <w:rPr>
                <w:rFonts w:hint="eastAsia"/>
                <w:b/>
                <w:color w:val="auto"/>
                <w:szCs w:val="21"/>
              </w:rPr>
              <w:t>基本污染物环境质量现状</w:t>
            </w:r>
          </w:p>
          <w:p>
            <w:pPr>
              <w:spacing w:line="360" w:lineRule="auto"/>
              <w:ind w:firstLine="420" w:firstLineChars="200"/>
              <w:jc w:val="left"/>
              <w:rPr>
                <w:rFonts w:hint="eastAsia"/>
                <w:color w:val="auto"/>
                <w:highlight w:val="none"/>
              </w:rPr>
            </w:pPr>
            <w:r>
              <w:rPr>
                <w:rFonts w:hint="eastAsia"/>
                <w:color w:val="auto"/>
                <w:highlight w:val="none"/>
              </w:rPr>
              <w:t>根据环境空气质量模型技术支持服务系统中提供的数据</w:t>
            </w:r>
            <w:r>
              <w:rPr>
                <w:rFonts w:hint="eastAsia"/>
                <w:color w:val="auto"/>
                <w:highlight w:val="none"/>
                <w:lang w:eastAsia="zh-CN"/>
              </w:rPr>
              <w:t>，</w:t>
            </w:r>
            <w:r>
              <w:rPr>
                <w:rFonts w:hint="eastAsia"/>
                <w:color w:val="auto"/>
                <w:highlight w:val="none"/>
              </w:rPr>
              <w:t>玛纳斯县202</w:t>
            </w:r>
            <w:r>
              <w:rPr>
                <w:rFonts w:hint="eastAsia"/>
                <w:color w:val="auto"/>
                <w:highlight w:val="none"/>
                <w:lang w:val="en-US" w:eastAsia="zh-CN"/>
              </w:rPr>
              <w:t>2</w:t>
            </w:r>
            <w:r>
              <w:rPr>
                <w:rFonts w:hint="eastAsia"/>
                <w:color w:val="auto"/>
                <w:highlight w:val="none"/>
              </w:rPr>
              <w:t>年SO</w:t>
            </w:r>
            <w:r>
              <w:rPr>
                <w:rFonts w:hint="eastAsia"/>
                <w:color w:val="auto"/>
                <w:highlight w:val="none"/>
                <w:vertAlign w:val="subscript"/>
                <w:lang w:val="en-US" w:eastAsia="zh-CN"/>
              </w:rPr>
              <w:t>2</w:t>
            </w:r>
            <w:r>
              <w:rPr>
                <w:rFonts w:hint="eastAsia"/>
                <w:color w:val="auto"/>
                <w:highlight w:val="none"/>
              </w:rPr>
              <w:t>、NO</w:t>
            </w:r>
            <w:r>
              <w:rPr>
                <w:rFonts w:hint="eastAsia"/>
                <w:color w:val="auto"/>
                <w:highlight w:val="none"/>
                <w:vertAlign w:val="subscript"/>
                <w:lang w:val="en-US" w:eastAsia="zh-CN"/>
              </w:rPr>
              <w:t>2</w:t>
            </w:r>
            <w:r>
              <w:rPr>
                <w:rFonts w:hint="eastAsia"/>
                <w:color w:val="auto"/>
                <w:highlight w:val="none"/>
              </w:rPr>
              <w:t>年平均浓度及CO、</w:t>
            </w:r>
            <w:r>
              <w:rPr>
                <w:rFonts w:hint="eastAsia"/>
                <w:color w:val="auto"/>
                <w:highlight w:val="none"/>
                <w:lang w:val="en-US" w:eastAsia="zh-CN"/>
              </w:rPr>
              <w:t>O</w:t>
            </w:r>
            <w:r>
              <w:rPr>
                <w:rFonts w:hint="eastAsia"/>
                <w:color w:val="auto"/>
                <w:highlight w:val="none"/>
                <w:vertAlign w:val="subscript"/>
                <w:lang w:val="en-US" w:eastAsia="zh-CN"/>
              </w:rPr>
              <w:t>3</w:t>
            </w:r>
            <w:r>
              <w:rPr>
                <w:rFonts w:hint="eastAsia"/>
                <w:color w:val="auto"/>
                <w:highlight w:val="none"/>
              </w:rPr>
              <w:t>。日平均浓度均满足《环境空气质量标准》</w:t>
            </w:r>
            <w:r>
              <w:rPr>
                <w:rFonts w:hint="eastAsia"/>
                <w:color w:val="auto"/>
                <w:highlight w:val="none"/>
                <w:lang w:eastAsia="zh-CN"/>
              </w:rPr>
              <w:t>（</w:t>
            </w:r>
            <w:r>
              <w:rPr>
                <w:rFonts w:hint="eastAsia"/>
                <w:color w:val="auto"/>
                <w:highlight w:val="none"/>
              </w:rPr>
              <w:t>GB 3095-2012</w:t>
            </w:r>
            <w:r>
              <w:rPr>
                <w:rFonts w:hint="eastAsia"/>
                <w:color w:val="auto"/>
                <w:highlight w:val="none"/>
                <w:lang w:eastAsia="zh-CN"/>
              </w:rPr>
              <w:t>）</w:t>
            </w:r>
            <w:r>
              <w:rPr>
                <w:rFonts w:hint="eastAsia"/>
                <w:color w:val="auto"/>
                <w:highlight w:val="none"/>
              </w:rPr>
              <w:t>及其修改单中二级标准限值PM</w:t>
            </w:r>
            <w:r>
              <w:rPr>
                <w:rFonts w:hint="eastAsia"/>
                <w:color w:val="auto"/>
                <w:highlight w:val="none"/>
                <w:vertAlign w:val="subscript"/>
                <w:lang w:val="en-US" w:eastAsia="zh-CN"/>
              </w:rPr>
              <w:t>10</w:t>
            </w:r>
            <w:r>
              <w:rPr>
                <w:rFonts w:hint="eastAsia"/>
                <w:color w:val="auto"/>
                <w:highlight w:val="none"/>
              </w:rPr>
              <w:t>、PM</w:t>
            </w:r>
            <w:r>
              <w:rPr>
                <w:rFonts w:hint="eastAsia"/>
                <w:color w:val="auto"/>
                <w:highlight w:val="none"/>
                <w:vertAlign w:val="subscript"/>
                <w:lang w:val="en-US" w:eastAsia="zh-CN"/>
              </w:rPr>
              <w:t>2.5</w:t>
            </w:r>
            <w:r>
              <w:rPr>
                <w:rFonts w:hint="eastAsia"/>
                <w:color w:val="auto"/>
                <w:highlight w:val="none"/>
              </w:rPr>
              <w:t>年浓度超过《环境空气质量标准》</w:t>
            </w:r>
            <w:r>
              <w:rPr>
                <w:rFonts w:hint="eastAsia"/>
                <w:color w:val="auto"/>
                <w:highlight w:val="none"/>
                <w:lang w:eastAsia="zh-CN"/>
              </w:rPr>
              <w:t>（</w:t>
            </w:r>
            <w:r>
              <w:rPr>
                <w:rFonts w:hint="eastAsia"/>
                <w:color w:val="auto"/>
                <w:highlight w:val="none"/>
              </w:rPr>
              <w:t>GB 3095-2012</w:t>
            </w:r>
            <w:r>
              <w:rPr>
                <w:rFonts w:hint="eastAsia"/>
                <w:color w:val="auto"/>
                <w:highlight w:val="none"/>
                <w:lang w:eastAsia="zh-CN"/>
              </w:rPr>
              <w:t>）</w:t>
            </w:r>
            <w:r>
              <w:rPr>
                <w:rFonts w:hint="eastAsia"/>
                <w:color w:val="auto"/>
                <w:highlight w:val="none"/>
              </w:rPr>
              <w:t>及其修改单中二级标准限值要求，超标主要是由于当地气候条件干燥、自然扬尘较多。项目所在区域属于不达标区。</w:t>
            </w:r>
          </w:p>
          <w:p>
            <w:pPr>
              <w:pStyle w:val="20"/>
              <w:widowControl w:val="0"/>
              <w:spacing w:before="0" w:beforeAutospacing="0" w:after="0" w:afterAutospacing="0" w:line="360" w:lineRule="auto"/>
              <w:ind w:firstLine="361" w:firstLineChars="200"/>
              <w:jc w:val="center"/>
              <w:rPr>
                <w:rFonts w:ascii="Times New Roman" w:hAnsi="Times New Roman"/>
                <w:b/>
                <w:color w:val="auto"/>
                <w:kern w:val="2"/>
                <w:sz w:val="18"/>
                <w:szCs w:val="18"/>
              </w:rPr>
            </w:pPr>
            <w:r>
              <w:rPr>
                <w:rFonts w:ascii="Times New Roman" w:hAnsi="Times New Roman"/>
                <w:b/>
                <w:color w:val="auto"/>
                <w:kern w:val="2"/>
                <w:sz w:val="18"/>
                <w:szCs w:val="18"/>
                <w:lang w:bidi="ar"/>
              </w:rPr>
              <w:t xml:space="preserve">表3-1  </w:t>
            </w:r>
            <w:r>
              <w:rPr>
                <w:rFonts w:hint="eastAsia" w:ascii="Times New Roman" w:hAnsi="Times New Roman"/>
                <w:b/>
                <w:color w:val="auto"/>
                <w:kern w:val="2"/>
                <w:sz w:val="18"/>
                <w:szCs w:val="18"/>
                <w:lang w:val="en-US" w:eastAsia="zh-CN" w:bidi="ar"/>
              </w:rPr>
              <w:t>2022</w:t>
            </w:r>
            <w:r>
              <w:rPr>
                <w:rFonts w:ascii="Times New Roman" w:hAnsi="Times New Roman"/>
                <w:b/>
                <w:color w:val="auto"/>
                <w:kern w:val="2"/>
                <w:sz w:val="18"/>
                <w:szCs w:val="18"/>
                <w:lang w:bidi="ar"/>
              </w:rPr>
              <w:t>年</w:t>
            </w:r>
            <w:r>
              <w:rPr>
                <w:rFonts w:hint="eastAsia" w:ascii="Times New Roman" w:hAnsi="Times New Roman"/>
                <w:b/>
                <w:color w:val="auto"/>
                <w:kern w:val="2"/>
                <w:sz w:val="18"/>
                <w:szCs w:val="18"/>
                <w:lang w:val="en-US" w:eastAsia="zh-CN" w:bidi="ar"/>
              </w:rPr>
              <w:t>玛纳斯县</w:t>
            </w:r>
            <w:r>
              <w:rPr>
                <w:rFonts w:ascii="Times New Roman" w:hAnsi="Times New Roman"/>
                <w:b/>
                <w:color w:val="auto"/>
                <w:kern w:val="2"/>
                <w:sz w:val="18"/>
                <w:szCs w:val="18"/>
                <w:lang w:bidi="ar"/>
              </w:rPr>
              <w:t>空气质量现状评价表</w:t>
            </w:r>
          </w:p>
          <w:tbl>
            <w:tblPr>
              <w:tblStyle w:val="25"/>
              <w:tblW w:w="80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1"/>
              <w:gridCol w:w="2574"/>
              <w:gridCol w:w="1187"/>
              <w:gridCol w:w="1164"/>
              <w:gridCol w:w="1120"/>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center"/>
                </w:tcPr>
                <w:p>
                  <w:pPr>
                    <w:snapToGrid w:val="0"/>
                    <w:spacing w:line="320" w:lineRule="exact"/>
                    <w:jc w:val="center"/>
                    <w:rPr>
                      <w:rFonts w:eastAsia="宋"/>
                      <w:color w:val="auto"/>
                      <w:sz w:val="18"/>
                      <w:szCs w:val="18"/>
                    </w:rPr>
                  </w:pPr>
                  <w:r>
                    <w:rPr>
                      <w:rFonts w:hint="eastAsia" w:eastAsia="宋"/>
                      <w:color w:val="auto"/>
                      <w:sz w:val="18"/>
                      <w:szCs w:val="18"/>
                    </w:rPr>
                    <w:t>污染物</w:t>
                  </w:r>
                </w:p>
              </w:tc>
              <w:tc>
                <w:tcPr>
                  <w:tcW w:w="2574" w:type="dxa"/>
                  <w:vAlign w:val="center"/>
                </w:tcPr>
                <w:p>
                  <w:pPr>
                    <w:snapToGrid w:val="0"/>
                    <w:spacing w:line="320" w:lineRule="exact"/>
                    <w:jc w:val="center"/>
                    <w:rPr>
                      <w:rFonts w:eastAsia="宋"/>
                      <w:color w:val="auto"/>
                      <w:sz w:val="18"/>
                      <w:szCs w:val="18"/>
                    </w:rPr>
                  </w:pPr>
                  <w:r>
                    <w:rPr>
                      <w:rFonts w:hint="eastAsia" w:eastAsia="宋"/>
                      <w:color w:val="auto"/>
                      <w:sz w:val="18"/>
                      <w:szCs w:val="18"/>
                    </w:rPr>
                    <w:t>评价指标</w:t>
                  </w:r>
                </w:p>
              </w:tc>
              <w:tc>
                <w:tcPr>
                  <w:tcW w:w="1187" w:type="dxa"/>
                  <w:vAlign w:val="center"/>
                </w:tcPr>
                <w:p>
                  <w:pPr>
                    <w:snapToGrid w:val="0"/>
                    <w:spacing w:line="320" w:lineRule="exact"/>
                    <w:jc w:val="center"/>
                    <w:rPr>
                      <w:rFonts w:eastAsia="宋"/>
                      <w:color w:val="auto"/>
                      <w:sz w:val="18"/>
                      <w:szCs w:val="18"/>
                    </w:rPr>
                  </w:pPr>
                  <w:r>
                    <w:rPr>
                      <w:rFonts w:hint="eastAsia" w:eastAsia="宋"/>
                      <w:color w:val="auto"/>
                      <w:sz w:val="18"/>
                      <w:szCs w:val="18"/>
                    </w:rPr>
                    <w:t>现状浓度（</w:t>
                  </w:r>
                  <w:r>
                    <w:rPr>
                      <w:rFonts w:eastAsia="宋"/>
                      <w:color w:val="auto"/>
                      <w:sz w:val="18"/>
                      <w:szCs w:val="18"/>
                    </w:rPr>
                    <w:t>μ</w:t>
                  </w:r>
                  <w:r>
                    <w:rPr>
                      <w:rFonts w:hint="eastAsia" w:eastAsia="宋"/>
                      <w:color w:val="auto"/>
                      <w:sz w:val="18"/>
                      <w:szCs w:val="18"/>
                    </w:rPr>
                    <w:t>g/m</w:t>
                  </w:r>
                  <w:r>
                    <w:rPr>
                      <w:rFonts w:hint="eastAsia" w:eastAsia="宋"/>
                      <w:color w:val="auto"/>
                      <w:sz w:val="18"/>
                      <w:szCs w:val="18"/>
                      <w:vertAlign w:val="superscript"/>
                    </w:rPr>
                    <w:t>3</w:t>
                  </w:r>
                  <w:r>
                    <w:rPr>
                      <w:rFonts w:hint="eastAsia" w:eastAsia="宋"/>
                      <w:color w:val="auto"/>
                      <w:sz w:val="18"/>
                      <w:szCs w:val="18"/>
                    </w:rPr>
                    <w:t>）</w:t>
                  </w:r>
                </w:p>
              </w:tc>
              <w:tc>
                <w:tcPr>
                  <w:tcW w:w="1164" w:type="dxa"/>
                  <w:vAlign w:val="center"/>
                </w:tcPr>
                <w:p>
                  <w:pPr>
                    <w:snapToGrid w:val="0"/>
                    <w:spacing w:line="320" w:lineRule="exact"/>
                    <w:jc w:val="center"/>
                    <w:rPr>
                      <w:rFonts w:eastAsia="宋"/>
                      <w:color w:val="auto"/>
                      <w:sz w:val="18"/>
                      <w:szCs w:val="18"/>
                    </w:rPr>
                  </w:pPr>
                  <w:r>
                    <w:rPr>
                      <w:rFonts w:hint="eastAsia" w:eastAsia="宋"/>
                      <w:color w:val="auto"/>
                      <w:sz w:val="18"/>
                      <w:szCs w:val="18"/>
                    </w:rPr>
                    <w:t>标准值（</w:t>
                  </w:r>
                  <w:r>
                    <w:rPr>
                      <w:rFonts w:eastAsia="宋"/>
                      <w:color w:val="auto"/>
                      <w:sz w:val="18"/>
                      <w:szCs w:val="18"/>
                    </w:rPr>
                    <w:t>μ</w:t>
                  </w:r>
                  <w:r>
                    <w:rPr>
                      <w:rFonts w:hint="eastAsia" w:eastAsia="宋"/>
                      <w:color w:val="auto"/>
                      <w:sz w:val="18"/>
                      <w:szCs w:val="18"/>
                    </w:rPr>
                    <w:t>g/m</w:t>
                  </w:r>
                  <w:r>
                    <w:rPr>
                      <w:rFonts w:hint="eastAsia" w:eastAsia="宋"/>
                      <w:color w:val="auto"/>
                      <w:sz w:val="18"/>
                      <w:szCs w:val="18"/>
                      <w:vertAlign w:val="superscript"/>
                    </w:rPr>
                    <w:t>3</w:t>
                  </w:r>
                  <w:r>
                    <w:rPr>
                      <w:rFonts w:hint="eastAsia" w:eastAsia="宋"/>
                      <w:color w:val="auto"/>
                      <w:sz w:val="18"/>
                      <w:szCs w:val="18"/>
                    </w:rPr>
                    <w:t>）</w:t>
                  </w:r>
                </w:p>
              </w:tc>
              <w:tc>
                <w:tcPr>
                  <w:tcW w:w="1120" w:type="dxa"/>
                  <w:vAlign w:val="center"/>
                </w:tcPr>
                <w:p>
                  <w:pPr>
                    <w:snapToGrid w:val="0"/>
                    <w:spacing w:line="320" w:lineRule="exact"/>
                    <w:jc w:val="center"/>
                    <w:rPr>
                      <w:rFonts w:eastAsia="宋"/>
                      <w:color w:val="auto"/>
                      <w:sz w:val="18"/>
                      <w:szCs w:val="18"/>
                    </w:rPr>
                  </w:pPr>
                  <w:r>
                    <w:rPr>
                      <w:rFonts w:hint="eastAsia" w:eastAsia="宋"/>
                      <w:color w:val="auto"/>
                      <w:sz w:val="18"/>
                      <w:szCs w:val="18"/>
                    </w:rPr>
                    <w:t>占标率</w:t>
                  </w:r>
                </w:p>
              </w:tc>
              <w:tc>
                <w:tcPr>
                  <w:tcW w:w="1240" w:type="dxa"/>
                  <w:vAlign w:val="center"/>
                </w:tcPr>
                <w:p>
                  <w:pPr>
                    <w:snapToGrid w:val="0"/>
                    <w:spacing w:line="320" w:lineRule="exact"/>
                    <w:jc w:val="center"/>
                    <w:rPr>
                      <w:rFonts w:eastAsia="宋"/>
                      <w:color w:val="auto"/>
                      <w:sz w:val="18"/>
                      <w:szCs w:val="18"/>
                    </w:rPr>
                  </w:pPr>
                  <w:r>
                    <w:rPr>
                      <w:rFonts w:hint="eastAsia" w:eastAsia="宋"/>
                      <w:color w:val="auto"/>
                      <w:sz w:val="18"/>
                      <w:szCs w:val="18"/>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center"/>
                </w:tcPr>
                <w:p>
                  <w:pPr>
                    <w:snapToGrid w:val="0"/>
                    <w:spacing w:line="320" w:lineRule="exact"/>
                    <w:jc w:val="center"/>
                    <w:rPr>
                      <w:rFonts w:eastAsia="宋"/>
                      <w:color w:val="auto"/>
                      <w:sz w:val="18"/>
                      <w:szCs w:val="18"/>
                    </w:rPr>
                  </w:pPr>
                  <w:r>
                    <w:rPr>
                      <w:color w:val="auto"/>
                      <w:sz w:val="18"/>
                      <w:szCs w:val="18"/>
                    </w:rPr>
                    <w:t>SO</w:t>
                  </w:r>
                  <w:r>
                    <w:rPr>
                      <w:color w:val="auto"/>
                      <w:sz w:val="18"/>
                      <w:szCs w:val="18"/>
                      <w:vertAlign w:val="subscript"/>
                    </w:rPr>
                    <w:t>2</w:t>
                  </w:r>
                </w:p>
              </w:tc>
              <w:tc>
                <w:tcPr>
                  <w:tcW w:w="2574" w:type="dxa"/>
                  <w:vAlign w:val="center"/>
                </w:tcPr>
                <w:p>
                  <w:pPr>
                    <w:snapToGrid w:val="0"/>
                    <w:spacing w:line="320" w:lineRule="exact"/>
                    <w:jc w:val="center"/>
                    <w:rPr>
                      <w:rFonts w:eastAsia="宋"/>
                      <w:color w:val="auto"/>
                      <w:sz w:val="18"/>
                      <w:szCs w:val="18"/>
                    </w:rPr>
                  </w:pPr>
                  <w:r>
                    <w:rPr>
                      <w:rFonts w:hint="eastAsia" w:eastAsia="宋"/>
                      <w:color w:val="auto"/>
                      <w:sz w:val="18"/>
                      <w:szCs w:val="18"/>
                    </w:rPr>
                    <w:t>年平均浓度</w:t>
                  </w:r>
                </w:p>
              </w:tc>
              <w:tc>
                <w:tcPr>
                  <w:tcW w:w="1187"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lang w:val="en-US" w:eastAsia="zh-CN"/>
                    </w:rPr>
                    <w:t>18</w:t>
                  </w:r>
                </w:p>
              </w:tc>
              <w:tc>
                <w:tcPr>
                  <w:tcW w:w="1164" w:type="dxa"/>
                  <w:vAlign w:val="center"/>
                </w:tcPr>
                <w:p>
                  <w:pPr>
                    <w:snapToGrid w:val="0"/>
                    <w:spacing w:line="320" w:lineRule="exact"/>
                    <w:jc w:val="center"/>
                    <w:rPr>
                      <w:rFonts w:eastAsia="宋"/>
                      <w:color w:val="auto"/>
                      <w:sz w:val="18"/>
                      <w:szCs w:val="18"/>
                    </w:rPr>
                  </w:pPr>
                  <w:r>
                    <w:rPr>
                      <w:rFonts w:hint="eastAsia" w:eastAsia="宋"/>
                      <w:color w:val="auto"/>
                      <w:sz w:val="18"/>
                      <w:szCs w:val="18"/>
                    </w:rPr>
                    <w:t>60</w:t>
                  </w:r>
                </w:p>
              </w:tc>
              <w:tc>
                <w:tcPr>
                  <w:tcW w:w="1120"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lang w:val="en-US" w:eastAsia="zh-CN"/>
                    </w:rPr>
                    <w:t>30%</w:t>
                  </w:r>
                </w:p>
              </w:tc>
              <w:tc>
                <w:tcPr>
                  <w:tcW w:w="1240" w:type="dxa"/>
                  <w:vAlign w:val="center"/>
                </w:tcPr>
                <w:p>
                  <w:pPr>
                    <w:snapToGrid w:val="0"/>
                    <w:spacing w:line="320" w:lineRule="exact"/>
                    <w:jc w:val="center"/>
                    <w:rPr>
                      <w:rFonts w:eastAsia="宋"/>
                      <w:color w:val="auto"/>
                      <w:sz w:val="18"/>
                      <w:szCs w:val="18"/>
                    </w:rPr>
                  </w:pPr>
                  <w:r>
                    <w:rPr>
                      <w:rFonts w:hint="eastAsia" w:eastAsia="宋"/>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center"/>
                </w:tcPr>
                <w:p>
                  <w:pPr>
                    <w:snapToGrid w:val="0"/>
                    <w:spacing w:line="320" w:lineRule="exact"/>
                    <w:jc w:val="center"/>
                    <w:rPr>
                      <w:rFonts w:eastAsia="宋"/>
                      <w:color w:val="auto"/>
                      <w:sz w:val="18"/>
                      <w:szCs w:val="18"/>
                    </w:rPr>
                  </w:pPr>
                  <w:r>
                    <w:rPr>
                      <w:color w:val="auto"/>
                      <w:sz w:val="18"/>
                      <w:szCs w:val="18"/>
                    </w:rPr>
                    <w:t>NO</w:t>
                  </w:r>
                  <w:r>
                    <w:rPr>
                      <w:color w:val="auto"/>
                      <w:sz w:val="18"/>
                      <w:szCs w:val="18"/>
                      <w:vertAlign w:val="subscript"/>
                    </w:rPr>
                    <w:t>2</w:t>
                  </w:r>
                </w:p>
              </w:tc>
              <w:tc>
                <w:tcPr>
                  <w:tcW w:w="2574" w:type="dxa"/>
                  <w:vAlign w:val="center"/>
                </w:tcPr>
                <w:p>
                  <w:pPr>
                    <w:snapToGrid w:val="0"/>
                    <w:spacing w:line="320" w:lineRule="exact"/>
                    <w:jc w:val="center"/>
                    <w:rPr>
                      <w:rFonts w:eastAsia="宋"/>
                      <w:color w:val="auto"/>
                      <w:sz w:val="18"/>
                      <w:szCs w:val="18"/>
                    </w:rPr>
                  </w:pPr>
                  <w:r>
                    <w:rPr>
                      <w:rFonts w:hint="eastAsia" w:eastAsia="宋"/>
                      <w:color w:val="auto"/>
                      <w:sz w:val="18"/>
                      <w:szCs w:val="18"/>
                    </w:rPr>
                    <w:t>年平均浓度</w:t>
                  </w:r>
                </w:p>
              </w:tc>
              <w:tc>
                <w:tcPr>
                  <w:tcW w:w="1187"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lang w:val="en-US" w:eastAsia="zh-CN"/>
                    </w:rPr>
                    <w:t>20</w:t>
                  </w:r>
                </w:p>
              </w:tc>
              <w:tc>
                <w:tcPr>
                  <w:tcW w:w="1164" w:type="dxa"/>
                  <w:vAlign w:val="center"/>
                </w:tcPr>
                <w:p>
                  <w:pPr>
                    <w:snapToGrid w:val="0"/>
                    <w:spacing w:line="320" w:lineRule="exact"/>
                    <w:jc w:val="center"/>
                    <w:rPr>
                      <w:rFonts w:eastAsia="宋"/>
                      <w:color w:val="auto"/>
                      <w:sz w:val="18"/>
                      <w:szCs w:val="18"/>
                    </w:rPr>
                  </w:pPr>
                  <w:r>
                    <w:rPr>
                      <w:rFonts w:hint="eastAsia" w:eastAsia="宋"/>
                      <w:color w:val="auto"/>
                      <w:sz w:val="18"/>
                      <w:szCs w:val="18"/>
                    </w:rPr>
                    <w:t>40</w:t>
                  </w:r>
                </w:p>
              </w:tc>
              <w:tc>
                <w:tcPr>
                  <w:tcW w:w="1120"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lang w:val="en-US" w:eastAsia="zh-CN"/>
                    </w:rPr>
                    <w:t>50%</w:t>
                  </w:r>
                </w:p>
              </w:tc>
              <w:tc>
                <w:tcPr>
                  <w:tcW w:w="1240" w:type="dxa"/>
                  <w:vAlign w:val="center"/>
                </w:tcPr>
                <w:p>
                  <w:pPr>
                    <w:snapToGrid w:val="0"/>
                    <w:spacing w:line="320" w:lineRule="exact"/>
                    <w:jc w:val="center"/>
                    <w:rPr>
                      <w:rFonts w:eastAsia="宋"/>
                      <w:color w:val="auto"/>
                      <w:sz w:val="18"/>
                      <w:szCs w:val="18"/>
                    </w:rPr>
                  </w:pPr>
                  <w:r>
                    <w:rPr>
                      <w:rFonts w:hint="eastAsia" w:eastAsia="宋"/>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center"/>
                </w:tcPr>
                <w:p>
                  <w:pPr>
                    <w:snapToGrid w:val="0"/>
                    <w:spacing w:line="320" w:lineRule="exact"/>
                    <w:jc w:val="center"/>
                    <w:rPr>
                      <w:rFonts w:eastAsia="宋"/>
                      <w:color w:val="auto"/>
                      <w:sz w:val="18"/>
                      <w:szCs w:val="18"/>
                    </w:rPr>
                  </w:pPr>
                  <w:r>
                    <w:rPr>
                      <w:color w:val="auto"/>
                      <w:sz w:val="18"/>
                      <w:szCs w:val="18"/>
                    </w:rPr>
                    <w:t>PM</w:t>
                  </w:r>
                  <w:r>
                    <w:rPr>
                      <w:color w:val="auto"/>
                      <w:sz w:val="18"/>
                      <w:szCs w:val="18"/>
                      <w:vertAlign w:val="subscript"/>
                    </w:rPr>
                    <w:t>10</w:t>
                  </w:r>
                </w:p>
              </w:tc>
              <w:tc>
                <w:tcPr>
                  <w:tcW w:w="2574" w:type="dxa"/>
                  <w:vAlign w:val="center"/>
                </w:tcPr>
                <w:p>
                  <w:pPr>
                    <w:snapToGrid w:val="0"/>
                    <w:spacing w:line="320" w:lineRule="exact"/>
                    <w:jc w:val="center"/>
                    <w:rPr>
                      <w:rFonts w:eastAsia="宋"/>
                      <w:color w:val="auto"/>
                      <w:sz w:val="18"/>
                      <w:szCs w:val="18"/>
                    </w:rPr>
                  </w:pPr>
                  <w:r>
                    <w:rPr>
                      <w:rFonts w:hint="eastAsia" w:eastAsia="宋"/>
                      <w:color w:val="auto"/>
                      <w:sz w:val="18"/>
                      <w:szCs w:val="18"/>
                    </w:rPr>
                    <w:t>年平均浓度</w:t>
                  </w:r>
                </w:p>
              </w:tc>
              <w:tc>
                <w:tcPr>
                  <w:tcW w:w="1187"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lang w:val="en-US" w:eastAsia="zh-CN"/>
                    </w:rPr>
                    <w:t>95</w:t>
                  </w:r>
                </w:p>
              </w:tc>
              <w:tc>
                <w:tcPr>
                  <w:tcW w:w="1164" w:type="dxa"/>
                  <w:vAlign w:val="center"/>
                </w:tcPr>
                <w:p>
                  <w:pPr>
                    <w:snapToGrid w:val="0"/>
                    <w:spacing w:line="320" w:lineRule="exact"/>
                    <w:jc w:val="center"/>
                    <w:rPr>
                      <w:rFonts w:eastAsia="宋"/>
                      <w:color w:val="auto"/>
                      <w:sz w:val="18"/>
                      <w:szCs w:val="18"/>
                    </w:rPr>
                  </w:pPr>
                  <w:r>
                    <w:rPr>
                      <w:rFonts w:hint="eastAsia" w:eastAsia="宋"/>
                      <w:color w:val="auto"/>
                      <w:sz w:val="18"/>
                      <w:szCs w:val="18"/>
                    </w:rPr>
                    <w:t>70</w:t>
                  </w:r>
                </w:p>
              </w:tc>
              <w:tc>
                <w:tcPr>
                  <w:tcW w:w="1120"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highlight w:val="none"/>
                      <w:lang w:val="en-US" w:eastAsia="zh-CN"/>
                    </w:rPr>
                    <w:t>136%</w:t>
                  </w:r>
                </w:p>
              </w:tc>
              <w:tc>
                <w:tcPr>
                  <w:tcW w:w="1240" w:type="dxa"/>
                  <w:vAlign w:val="center"/>
                </w:tcPr>
                <w:p>
                  <w:pPr>
                    <w:snapToGrid w:val="0"/>
                    <w:spacing w:line="320" w:lineRule="exact"/>
                    <w:jc w:val="center"/>
                    <w:rPr>
                      <w:rFonts w:eastAsia="宋"/>
                      <w:color w:val="auto"/>
                      <w:sz w:val="18"/>
                      <w:szCs w:val="18"/>
                    </w:rPr>
                  </w:pPr>
                  <w:r>
                    <w:rPr>
                      <w:rFonts w:hint="eastAsia" w:eastAsia="宋"/>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center"/>
                </w:tcPr>
                <w:p>
                  <w:pPr>
                    <w:snapToGrid w:val="0"/>
                    <w:spacing w:line="320" w:lineRule="exact"/>
                    <w:jc w:val="center"/>
                    <w:rPr>
                      <w:rFonts w:eastAsia="宋"/>
                      <w:color w:val="auto"/>
                      <w:sz w:val="18"/>
                      <w:szCs w:val="18"/>
                    </w:rPr>
                  </w:pPr>
                  <w:r>
                    <w:rPr>
                      <w:color w:val="auto"/>
                      <w:sz w:val="18"/>
                      <w:szCs w:val="18"/>
                    </w:rPr>
                    <w:t>PM</w:t>
                  </w:r>
                  <w:r>
                    <w:rPr>
                      <w:color w:val="auto"/>
                      <w:sz w:val="18"/>
                      <w:szCs w:val="18"/>
                      <w:vertAlign w:val="subscript"/>
                    </w:rPr>
                    <w:t>2.5</w:t>
                  </w:r>
                </w:p>
              </w:tc>
              <w:tc>
                <w:tcPr>
                  <w:tcW w:w="2574" w:type="dxa"/>
                  <w:vAlign w:val="center"/>
                </w:tcPr>
                <w:p>
                  <w:pPr>
                    <w:snapToGrid w:val="0"/>
                    <w:spacing w:line="320" w:lineRule="exact"/>
                    <w:jc w:val="center"/>
                    <w:rPr>
                      <w:rFonts w:eastAsia="宋"/>
                      <w:color w:val="auto"/>
                      <w:sz w:val="18"/>
                      <w:szCs w:val="18"/>
                    </w:rPr>
                  </w:pPr>
                  <w:r>
                    <w:rPr>
                      <w:rFonts w:hint="eastAsia" w:eastAsia="宋"/>
                      <w:color w:val="auto"/>
                      <w:sz w:val="18"/>
                      <w:szCs w:val="18"/>
                    </w:rPr>
                    <w:t>年平均浓度</w:t>
                  </w:r>
                </w:p>
              </w:tc>
              <w:tc>
                <w:tcPr>
                  <w:tcW w:w="1187"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lang w:val="en-US" w:eastAsia="zh-CN"/>
                    </w:rPr>
                    <w:t>58</w:t>
                  </w:r>
                </w:p>
              </w:tc>
              <w:tc>
                <w:tcPr>
                  <w:tcW w:w="1164" w:type="dxa"/>
                  <w:vAlign w:val="center"/>
                </w:tcPr>
                <w:p>
                  <w:pPr>
                    <w:snapToGrid w:val="0"/>
                    <w:spacing w:line="320" w:lineRule="exact"/>
                    <w:jc w:val="center"/>
                    <w:rPr>
                      <w:rFonts w:eastAsia="宋"/>
                      <w:color w:val="auto"/>
                      <w:sz w:val="18"/>
                      <w:szCs w:val="18"/>
                    </w:rPr>
                  </w:pPr>
                  <w:r>
                    <w:rPr>
                      <w:rFonts w:hint="eastAsia" w:eastAsia="宋"/>
                      <w:color w:val="auto"/>
                      <w:sz w:val="18"/>
                      <w:szCs w:val="18"/>
                    </w:rPr>
                    <w:t>35</w:t>
                  </w:r>
                </w:p>
              </w:tc>
              <w:tc>
                <w:tcPr>
                  <w:tcW w:w="1120"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highlight w:val="none"/>
                      <w:lang w:val="en-US" w:eastAsia="zh-CN"/>
                    </w:rPr>
                    <w:t>166%</w:t>
                  </w:r>
                </w:p>
              </w:tc>
              <w:tc>
                <w:tcPr>
                  <w:tcW w:w="1240" w:type="dxa"/>
                  <w:vAlign w:val="center"/>
                </w:tcPr>
                <w:p>
                  <w:pPr>
                    <w:snapToGrid w:val="0"/>
                    <w:spacing w:line="320" w:lineRule="exact"/>
                    <w:jc w:val="center"/>
                    <w:rPr>
                      <w:rFonts w:eastAsia="宋"/>
                      <w:color w:val="auto"/>
                      <w:sz w:val="18"/>
                      <w:szCs w:val="18"/>
                    </w:rPr>
                  </w:pPr>
                  <w:r>
                    <w:rPr>
                      <w:rFonts w:hint="eastAsia" w:eastAsia="宋"/>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center"/>
                </w:tcPr>
                <w:p>
                  <w:pPr>
                    <w:snapToGrid w:val="0"/>
                    <w:spacing w:line="320" w:lineRule="exact"/>
                    <w:jc w:val="center"/>
                    <w:rPr>
                      <w:rFonts w:eastAsia="宋"/>
                      <w:color w:val="auto"/>
                      <w:sz w:val="18"/>
                      <w:szCs w:val="18"/>
                    </w:rPr>
                  </w:pPr>
                  <w:r>
                    <w:rPr>
                      <w:color w:val="auto"/>
                      <w:sz w:val="18"/>
                      <w:szCs w:val="18"/>
                    </w:rPr>
                    <w:t>CO</w:t>
                  </w:r>
                </w:p>
              </w:tc>
              <w:tc>
                <w:tcPr>
                  <w:tcW w:w="2574" w:type="dxa"/>
                  <w:vAlign w:val="center"/>
                </w:tcPr>
                <w:p>
                  <w:pPr>
                    <w:snapToGrid w:val="0"/>
                    <w:spacing w:line="320" w:lineRule="exact"/>
                    <w:jc w:val="center"/>
                    <w:rPr>
                      <w:rFonts w:eastAsia="宋"/>
                      <w:color w:val="auto"/>
                      <w:sz w:val="18"/>
                      <w:szCs w:val="18"/>
                    </w:rPr>
                  </w:pPr>
                  <w:r>
                    <w:rPr>
                      <w:rFonts w:hint="eastAsia" w:eastAsia="宋"/>
                      <w:color w:val="auto"/>
                      <w:sz w:val="18"/>
                      <w:szCs w:val="18"/>
                    </w:rPr>
                    <w:t>24小时平均第95百分位数</w:t>
                  </w:r>
                </w:p>
              </w:tc>
              <w:tc>
                <w:tcPr>
                  <w:tcW w:w="1187"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lang w:val="en-US" w:eastAsia="zh-CN"/>
                    </w:rPr>
                    <w:t>2400</w:t>
                  </w:r>
                </w:p>
              </w:tc>
              <w:tc>
                <w:tcPr>
                  <w:tcW w:w="1164" w:type="dxa"/>
                  <w:vAlign w:val="center"/>
                </w:tcPr>
                <w:p>
                  <w:pPr>
                    <w:snapToGrid w:val="0"/>
                    <w:spacing w:line="320" w:lineRule="exact"/>
                    <w:jc w:val="center"/>
                    <w:rPr>
                      <w:rFonts w:eastAsia="宋"/>
                      <w:color w:val="auto"/>
                      <w:sz w:val="18"/>
                      <w:szCs w:val="18"/>
                    </w:rPr>
                  </w:pPr>
                  <w:r>
                    <w:rPr>
                      <w:rFonts w:hint="eastAsia" w:eastAsia="宋"/>
                      <w:color w:val="auto"/>
                      <w:sz w:val="18"/>
                      <w:szCs w:val="18"/>
                    </w:rPr>
                    <w:t>4000</w:t>
                  </w:r>
                </w:p>
              </w:tc>
              <w:tc>
                <w:tcPr>
                  <w:tcW w:w="1120"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lang w:val="en-US" w:eastAsia="zh-CN"/>
                    </w:rPr>
                    <w:t>60%</w:t>
                  </w:r>
                </w:p>
              </w:tc>
              <w:tc>
                <w:tcPr>
                  <w:tcW w:w="1240" w:type="dxa"/>
                  <w:vAlign w:val="center"/>
                </w:tcPr>
                <w:p>
                  <w:pPr>
                    <w:snapToGrid w:val="0"/>
                    <w:spacing w:line="320" w:lineRule="exact"/>
                    <w:jc w:val="center"/>
                    <w:rPr>
                      <w:rFonts w:eastAsia="宋"/>
                      <w:color w:val="auto"/>
                      <w:sz w:val="18"/>
                      <w:szCs w:val="18"/>
                    </w:rPr>
                  </w:pPr>
                  <w:r>
                    <w:rPr>
                      <w:rFonts w:hint="eastAsia" w:eastAsia="宋"/>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791" w:type="dxa"/>
                  <w:vAlign w:val="center"/>
                </w:tcPr>
                <w:p>
                  <w:pPr>
                    <w:snapToGrid w:val="0"/>
                    <w:spacing w:line="320" w:lineRule="exact"/>
                    <w:jc w:val="center"/>
                    <w:rPr>
                      <w:rFonts w:eastAsia="宋"/>
                      <w:color w:val="auto"/>
                      <w:sz w:val="18"/>
                      <w:szCs w:val="18"/>
                    </w:rPr>
                  </w:pPr>
                  <w:r>
                    <w:rPr>
                      <w:color w:val="auto"/>
                      <w:sz w:val="18"/>
                      <w:szCs w:val="18"/>
                    </w:rPr>
                    <w:t>O</w:t>
                  </w:r>
                  <w:r>
                    <w:rPr>
                      <w:color w:val="auto"/>
                      <w:sz w:val="18"/>
                      <w:szCs w:val="18"/>
                      <w:vertAlign w:val="subscript"/>
                    </w:rPr>
                    <w:t>3</w:t>
                  </w:r>
                </w:p>
              </w:tc>
              <w:tc>
                <w:tcPr>
                  <w:tcW w:w="2574" w:type="dxa"/>
                  <w:vAlign w:val="center"/>
                </w:tcPr>
                <w:p>
                  <w:pPr>
                    <w:snapToGrid w:val="0"/>
                    <w:spacing w:line="320" w:lineRule="exact"/>
                    <w:jc w:val="center"/>
                    <w:rPr>
                      <w:rFonts w:eastAsia="宋"/>
                      <w:color w:val="auto"/>
                      <w:sz w:val="18"/>
                      <w:szCs w:val="18"/>
                    </w:rPr>
                  </w:pPr>
                  <w:r>
                    <w:rPr>
                      <w:rFonts w:hint="eastAsia" w:eastAsia="宋"/>
                      <w:color w:val="auto"/>
                      <w:sz w:val="18"/>
                      <w:szCs w:val="18"/>
                    </w:rPr>
                    <w:t>最大8小时平均第90百分位数</w:t>
                  </w:r>
                </w:p>
              </w:tc>
              <w:tc>
                <w:tcPr>
                  <w:tcW w:w="1187"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lang w:val="en-US" w:eastAsia="zh-CN"/>
                    </w:rPr>
                    <w:t>70</w:t>
                  </w:r>
                </w:p>
              </w:tc>
              <w:tc>
                <w:tcPr>
                  <w:tcW w:w="1164" w:type="dxa"/>
                  <w:vAlign w:val="center"/>
                </w:tcPr>
                <w:p>
                  <w:pPr>
                    <w:snapToGrid w:val="0"/>
                    <w:spacing w:line="320" w:lineRule="exact"/>
                    <w:jc w:val="center"/>
                    <w:rPr>
                      <w:rFonts w:eastAsia="宋"/>
                      <w:color w:val="auto"/>
                      <w:sz w:val="18"/>
                      <w:szCs w:val="18"/>
                    </w:rPr>
                  </w:pPr>
                  <w:r>
                    <w:rPr>
                      <w:rFonts w:hint="eastAsia" w:eastAsia="宋"/>
                      <w:color w:val="auto"/>
                      <w:sz w:val="18"/>
                      <w:szCs w:val="18"/>
                    </w:rPr>
                    <w:t>160</w:t>
                  </w:r>
                </w:p>
              </w:tc>
              <w:tc>
                <w:tcPr>
                  <w:tcW w:w="1120" w:type="dxa"/>
                  <w:vAlign w:val="center"/>
                </w:tcPr>
                <w:p>
                  <w:pPr>
                    <w:snapToGrid w:val="0"/>
                    <w:spacing w:line="320" w:lineRule="exact"/>
                    <w:jc w:val="center"/>
                    <w:rPr>
                      <w:rFonts w:hint="default" w:eastAsia="宋"/>
                      <w:color w:val="auto"/>
                      <w:sz w:val="18"/>
                      <w:szCs w:val="18"/>
                      <w:lang w:val="en-US" w:eastAsia="zh-CN"/>
                    </w:rPr>
                  </w:pPr>
                  <w:r>
                    <w:rPr>
                      <w:rFonts w:hint="eastAsia" w:eastAsia="宋"/>
                      <w:color w:val="auto"/>
                      <w:sz w:val="18"/>
                      <w:szCs w:val="18"/>
                      <w:lang w:val="en-US" w:eastAsia="zh-CN"/>
                    </w:rPr>
                    <w:t>44%</w:t>
                  </w:r>
                </w:p>
              </w:tc>
              <w:tc>
                <w:tcPr>
                  <w:tcW w:w="1240" w:type="dxa"/>
                  <w:vAlign w:val="center"/>
                </w:tcPr>
                <w:p>
                  <w:pPr>
                    <w:snapToGrid w:val="0"/>
                    <w:spacing w:line="320" w:lineRule="exact"/>
                    <w:jc w:val="center"/>
                    <w:rPr>
                      <w:rFonts w:eastAsia="宋"/>
                      <w:color w:val="auto"/>
                      <w:sz w:val="18"/>
                      <w:szCs w:val="18"/>
                    </w:rPr>
                  </w:pPr>
                  <w:r>
                    <w:rPr>
                      <w:rFonts w:hint="eastAsia" w:eastAsia="宋"/>
                      <w:color w:val="auto"/>
                      <w:sz w:val="18"/>
                      <w:szCs w:val="18"/>
                    </w:rPr>
                    <w:t>达标</w:t>
                  </w:r>
                </w:p>
              </w:tc>
            </w:tr>
          </w:tbl>
          <w:p>
            <w:pPr>
              <w:spacing w:line="360" w:lineRule="auto"/>
              <w:ind w:firstLine="420" w:firstLineChars="200"/>
              <w:jc w:val="left"/>
              <w:rPr>
                <w:rFonts w:hint="eastAsia" w:eastAsia="宋体"/>
                <w:color w:val="auto"/>
                <w:sz w:val="21"/>
                <w:szCs w:val="21"/>
                <w:lang w:eastAsia="zh-CN"/>
              </w:rPr>
            </w:pPr>
            <w:r>
              <w:rPr>
                <w:color w:val="auto"/>
                <w:sz w:val="21"/>
                <w:szCs w:val="21"/>
              </w:rPr>
              <w:t>由上表可知，</w:t>
            </w:r>
            <w:r>
              <w:rPr>
                <w:rFonts w:hint="eastAsia"/>
                <w:color w:val="auto"/>
                <w:sz w:val="21"/>
                <w:szCs w:val="21"/>
                <w:lang w:val="en-US" w:eastAsia="zh-CN"/>
              </w:rPr>
              <w:t>玛纳斯县</w:t>
            </w:r>
            <w:r>
              <w:rPr>
                <w:color w:val="auto"/>
                <w:sz w:val="21"/>
                <w:szCs w:val="21"/>
              </w:rPr>
              <w:t>202</w:t>
            </w:r>
            <w:r>
              <w:rPr>
                <w:rFonts w:hint="eastAsia"/>
                <w:color w:val="auto"/>
                <w:sz w:val="21"/>
                <w:szCs w:val="21"/>
                <w:lang w:val="en-US" w:eastAsia="zh-CN"/>
              </w:rPr>
              <w:t>2</w:t>
            </w:r>
            <w:r>
              <w:rPr>
                <w:color w:val="auto"/>
                <w:sz w:val="21"/>
                <w:szCs w:val="21"/>
              </w:rPr>
              <w:t>年PM</w:t>
            </w:r>
            <w:r>
              <w:rPr>
                <w:color w:val="auto"/>
                <w:sz w:val="21"/>
                <w:szCs w:val="21"/>
                <w:vertAlign w:val="subscript"/>
              </w:rPr>
              <w:t>10</w:t>
            </w:r>
            <w:r>
              <w:rPr>
                <w:rFonts w:hint="eastAsia"/>
                <w:color w:val="auto"/>
                <w:sz w:val="21"/>
                <w:szCs w:val="21"/>
                <w:lang w:eastAsia="zh-CN"/>
              </w:rPr>
              <w:t>、</w:t>
            </w:r>
            <w:r>
              <w:rPr>
                <w:color w:val="auto"/>
                <w:sz w:val="21"/>
                <w:szCs w:val="21"/>
              </w:rPr>
              <w:t>PM</w:t>
            </w:r>
            <w:r>
              <w:rPr>
                <w:color w:val="auto"/>
                <w:sz w:val="21"/>
                <w:szCs w:val="21"/>
                <w:vertAlign w:val="subscript"/>
              </w:rPr>
              <w:t>2.5</w:t>
            </w:r>
            <w:r>
              <w:rPr>
                <w:rFonts w:hint="eastAsia"/>
                <w:color w:val="auto"/>
                <w:sz w:val="21"/>
                <w:szCs w:val="21"/>
                <w:lang w:val="en-US" w:eastAsia="zh-CN"/>
              </w:rPr>
              <w:t>不</w:t>
            </w:r>
            <w:r>
              <w:rPr>
                <w:rFonts w:hint="eastAsia"/>
                <w:color w:val="auto"/>
                <w:sz w:val="21"/>
                <w:szCs w:val="21"/>
              </w:rPr>
              <w:t>能满足</w:t>
            </w:r>
            <w:r>
              <w:rPr>
                <w:color w:val="auto"/>
                <w:sz w:val="21"/>
                <w:szCs w:val="21"/>
              </w:rPr>
              <w:t>《环境空气质量标准》（GB3095-2012）中二级标准限值</w:t>
            </w:r>
            <w:r>
              <w:rPr>
                <w:rFonts w:hint="eastAsia"/>
                <w:color w:val="auto"/>
                <w:sz w:val="21"/>
                <w:szCs w:val="21"/>
              </w:rPr>
              <w:t>要求。因此</w:t>
            </w:r>
            <w:r>
              <w:rPr>
                <w:rFonts w:hint="eastAsia"/>
                <w:color w:val="auto"/>
                <w:sz w:val="21"/>
                <w:szCs w:val="21"/>
                <w:lang w:val="en-US" w:eastAsia="zh-CN"/>
              </w:rPr>
              <w:t>玛纳斯县</w:t>
            </w:r>
            <w:r>
              <w:rPr>
                <w:rFonts w:hint="eastAsia"/>
                <w:color w:val="auto"/>
                <w:sz w:val="21"/>
                <w:szCs w:val="21"/>
              </w:rPr>
              <w:t>属于</w:t>
            </w:r>
            <w:r>
              <w:rPr>
                <w:rFonts w:hint="eastAsia"/>
                <w:color w:val="auto"/>
                <w:sz w:val="21"/>
                <w:szCs w:val="21"/>
                <w:lang w:val="en-US" w:eastAsia="zh-CN"/>
              </w:rPr>
              <w:t>不</w:t>
            </w:r>
            <w:r>
              <w:rPr>
                <w:rFonts w:hint="eastAsia"/>
                <w:color w:val="auto"/>
                <w:sz w:val="21"/>
                <w:szCs w:val="21"/>
              </w:rPr>
              <w:t>达标区。</w:t>
            </w:r>
          </w:p>
          <w:p>
            <w:pPr>
              <w:spacing w:line="360" w:lineRule="auto"/>
              <w:ind w:firstLine="422" w:firstLineChars="200"/>
              <w:jc w:val="left"/>
              <w:rPr>
                <w:b/>
                <w:bCs/>
                <w:color w:val="auto"/>
              </w:rPr>
            </w:pPr>
            <w:r>
              <w:rPr>
                <w:b/>
                <w:bCs/>
                <w:color w:val="auto"/>
              </w:rPr>
              <w:t>2、其他污染物环境质量现状评价</w:t>
            </w:r>
          </w:p>
          <w:p>
            <w:pPr>
              <w:spacing w:line="360" w:lineRule="auto"/>
              <w:ind w:firstLine="420" w:firstLineChars="200"/>
              <w:jc w:val="left"/>
              <w:rPr>
                <w:rFonts w:hint="default" w:eastAsia="宋体"/>
                <w:color w:val="auto"/>
                <w:szCs w:val="21"/>
                <w:highlight w:val="yellow"/>
                <w:lang w:val="en-US" w:eastAsia="zh-CN"/>
              </w:rPr>
            </w:pPr>
            <w:r>
              <w:rPr>
                <w:color w:val="auto"/>
                <w:szCs w:val="21"/>
              </w:rPr>
              <w:t>本次环评</w:t>
            </w:r>
            <w:r>
              <w:rPr>
                <w:rFonts w:hint="eastAsia"/>
                <w:color w:val="auto"/>
                <w:szCs w:val="21"/>
                <w:lang w:val="en-US" w:eastAsia="zh-CN"/>
              </w:rPr>
              <w:t>委托</w:t>
            </w:r>
            <w:r>
              <w:rPr>
                <w:rFonts w:hint="eastAsia"/>
                <w:color w:val="auto"/>
                <w:szCs w:val="21"/>
                <w:highlight w:val="none"/>
                <w:lang w:val="en-US" w:eastAsia="zh-CN"/>
              </w:rPr>
              <w:t>新疆锡水金山环境科技有限公司于2023年8月15日~8月17日</w:t>
            </w:r>
            <w:r>
              <w:rPr>
                <w:color w:val="auto"/>
                <w:szCs w:val="21"/>
              </w:rPr>
              <w:t>对本项目所在地进行TSP</w:t>
            </w:r>
            <w:r>
              <w:rPr>
                <w:rFonts w:hint="eastAsia"/>
                <w:color w:val="auto"/>
                <w:szCs w:val="21"/>
              </w:rPr>
              <w:t>、NO</w:t>
            </w:r>
            <w:r>
              <w:rPr>
                <w:rFonts w:hint="eastAsia"/>
                <w:color w:val="auto"/>
                <w:szCs w:val="21"/>
                <w:vertAlign w:val="subscript"/>
              </w:rPr>
              <w:t>X</w:t>
            </w:r>
            <w:r>
              <w:rPr>
                <w:color w:val="auto"/>
                <w:szCs w:val="21"/>
              </w:rPr>
              <w:t>的监测。</w:t>
            </w:r>
            <w:r>
              <w:rPr>
                <w:rFonts w:hint="eastAsia"/>
                <w:color w:val="auto"/>
                <w:szCs w:val="21"/>
                <w:lang w:val="en-US" w:eastAsia="zh-CN"/>
              </w:rPr>
              <w:t>并出具了监测报告</w:t>
            </w:r>
            <w:r>
              <w:rPr>
                <w:rFonts w:hint="eastAsia"/>
                <w:color w:val="auto"/>
                <w:szCs w:val="21"/>
                <w:highlight w:val="none"/>
                <w:lang w:val="en-US" w:eastAsia="zh-CN"/>
              </w:rPr>
              <w:t>（WT202308139），见附件6。</w:t>
            </w:r>
          </w:p>
          <w:p>
            <w:pPr>
              <w:spacing w:line="360" w:lineRule="auto"/>
              <w:ind w:firstLine="420" w:firstLineChars="200"/>
              <w:rPr>
                <w:color w:val="auto"/>
                <w:szCs w:val="21"/>
              </w:rPr>
            </w:pPr>
            <w:r>
              <w:rPr>
                <w:rFonts w:hint="eastAsia"/>
                <w:color w:val="auto"/>
                <w:szCs w:val="21"/>
              </w:rPr>
              <w:t>（1）监测点位</w:t>
            </w:r>
          </w:p>
          <w:p>
            <w:pPr>
              <w:spacing w:line="360" w:lineRule="auto"/>
              <w:ind w:firstLine="630" w:firstLineChars="300"/>
              <w:rPr>
                <w:color w:val="auto"/>
                <w:szCs w:val="21"/>
              </w:rPr>
            </w:pPr>
            <w:r>
              <w:rPr>
                <w:rFonts w:hint="eastAsia"/>
                <w:color w:val="auto"/>
                <w:szCs w:val="21"/>
              </w:rPr>
              <w:t>项目厂区西</w:t>
            </w:r>
            <w:r>
              <w:rPr>
                <w:rFonts w:hint="eastAsia"/>
                <w:color w:val="auto"/>
                <w:szCs w:val="21"/>
                <w:lang w:val="en-US" w:eastAsia="zh-CN"/>
              </w:rPr>
              <w:t>南</w:t>
            </w:r>
            <w:r>
              <w:rPr>
                <w:rFonts w:hint="eastAsia"/>
                <w:color w:val="auto"/>
                <w:szCs w:val="21"/>
              </w:rPr>
              <w:t>侧1m处。</w:t>
            </w:r>
          </w:p>
          <w:p>
            <w:pPr>
              <w:spacing w:line="360" w:lineRule="auto"/>
              <w:ind w:firstLine="420" w:firstLineChars="200"/>
              <w:rPr>
                <w:color w:val="auto"/>
                <w:szCs w:val="21"/>
              </w:rPr>
            </w:pPr>
            <w:r>
              <w:rPr>
                <w:rFonts w:hint="eastAsia"/>
                <w:color w:val="auto"/>
                <w:szCs w:val="21"/>
              </w:rPr>
              <w:t>（2）监测项目：</w:t>
            </w:r>
            <w:r>
              <w:rPr>
                <w:color w:val="auto"/>
                <w:szCs w:val="21"/>
              </w:rPr>
              <w:t>TSP</w:t>
            </w:r>
            <w:r>
              <w:rPr>
                <w:rFonts w:hint="eastAsia"/>
                <w:color w:val="auto"/>
                <w:szCs w:val="21"/>
              </w:rPr>
              <w:t>、NO</w:t>
            </w:r>
            <w:r>
              <w:rPr>
                <w:rFonts w:hint="eastAsia"/>
                <w:color w:val="auto"/>
                <w:szCs w:val="21"/>
                <w:vertAlign w:val="subscript"/>
              </w:rPr>
              <w:t>X</w:t>
            </w:r>
            <w:r>
              <w:rPr>
                <w:rFonts w:hint="eastAsia"/>
                <w:color w:val="auto"/>
                <w:szCs w:val="21"/>
              </w:rPr>
              <w:t>。</w:t>
            </w:r>
          </w:p>
          <w:p>
            <w:pPr>
              <w:spacing w:line="360" w:lineRule="auto"/>
              <w:ind w:firstLine="420" w:firstLineChars="200"/>
              <w:rPr>
                <w:color w:val="auto"/>
                <w:szCs w:val="21"/>
              </w:rPr>
            </w:pPr>
            <w:r>
              <w:rPr>
                <w:rFonts w:hint="eastAsia"/>
                <w:color w:val="auto"/>
                <w:szCs w:val="21"/>
              </w:rPr>
              <w:t>（3）监测时间</w:t>
            </w:r>
          </w:p>
          <w:p>
            <w:pPr>
              <w:spacing w:line="360" w:lineRule="auto"/>
              <w:ind w:firstLine="630" w:firstLineChars="300"/>
              <w:rPr>
                <w:color w:val="auto"/>
                <w:szCs w:val="21"/>
              </w:rPr>
            </w:pPr>
            <w:r>
              <w:rPr>
                <w:rFonts w:hint="eastAsia"/>
                <w:color w:val="auto"/>
                <w:szCs w:val="21"/>
              </w:rPr>
              <w:t>采样时间为</w:t>
            </w:r>
            <w:r>
              <w:rPr>
                <w:rFonts w:hint="eastAsia"/>
                <w:color w:val="auto"/>
                <w:szCs w:val="21"/>
                <w:highlight w:val="none"/>
              </w:rPr>
              <w:t>2023年</w:t>
            </w:r>
            <w:r>
              <w:rPr>
                <w:rFonts w:hint="eastAsia"/>
                <w:color w:val="auto"/>
                <w:szCs w:val="21"/>
                <w:highlight w:val="none"/>
                <w:lang w:val="en-US" w:eastAsia="zh-CN"/>
              </w:rPr>
              <w:t>8</w:t>
            </w:r>
            <w:r>
              <w:rPr>
                <w:rFonts w:hint="eastAsia"/>
                <w:color w:val="auto"/>
                <w:szCs w:val="21"/>
                <w:highlight w:val="none"/>
              </w:rPr>
              <w:t>月</w:t>
            </w:r>
            <w:r>
              <w:rPr>
                <w:rFonts w:hint="eastAsia"/>
                <w:color w:val="auto"/>
                <w:szCs w:val="21"/>
                <w:highlight w:val="none"/>
                <w:lang w:val="en-US" w:eastAsia="zh-CN"/>
              </w:rPr>
              <w:t>15</w:t>
            </w:r>
            <w:r>
              <w:rPr>
                <w:rFonts w:hint="eastAsia"/>
                <w:color w:val="auto"/>
                <w:szCs w:val="21"/>
                <w:highlight w:val="none"/>
              </w:rPr>
              <w:t>日至</w:t>
            </w:r>
            <w:r>
              <w:rPr>
                <w:rFonts w:hint="eastAsia"/>
                <w:color w:val="auto"/>
                <w:szCs w:val="21"/>
                <w:highlight w:val="none"/>
                <w:lang w:val="en-US" w:eastAsia="zh-CN"/>
              </w:rPr>
              <w:t>8</w:t>
            </w:r>
            <w:r>
              <w:rPr>
                <w:rFonts w:hint="eastAsia"/>
                <w:color w:val="auto"/>
                <w:szCs w:val="21"/>
                <w:highlight w:val="none"/>
              </w:rPr>
              <w:t>月</w:t>
            </w:r>
            <w:r>
              <w:rPr>
                <w:rFonts w:hint="eastAsia"/>
                <w:color w:val="auto"/>
                <w:szCs w:val="21"/>
                <w:highlight w:val="none"/>
                <w:lang w:val="en-US" w:eastAsia="zh-CN"/>
              </w:rPr>
              <w:t>17</w:t>
            </w:r>
            <w:r>
              <w:rPr>
                <w:rFonts w:hint="eastAsia"/>
                <w:color w:val="auto"/>
                <w:szCs w:val="21"/>
                <w:highlight w:val="none"/>
              </w:rPr>
              <w:t>日</w:t>
            </w:r>
            <w:r>
              <w:rPr>
                <w:rFonts w:hint="eastAsia"/>
                <w:color w:val="auto"/>
                <w:szCs w:val="21"/>
              </w:rPr>
              <w:t>连续3天采样。</w:t>
            </w:r>
          </w:p>
          <w:p>
            <w:pPr>
              <w:spacing w:line="360" w:lineRule="auto"/>
              <w:ind w:firstLine="420" w:firstLineChars="200"/>
              <w:rPr>
                <w:color w:val="auto"/>
                <w:szCs w:val="21"/>
              </w:rPr>
            </w:pPr>
            <w:r>
              <w:rPr>
                <w:rFonts w:hint="eastAsia"/>
                <w:color w:val="auto"/>
                <w:szCs w:val="21"/>
              </w:rPr>
              <w:t>（4）监测结果</w:t>
            </w:r>
          </w:p>
          <w:p>
            <w:pPr>
              <w:spacing w:line="360" w:lineRule="auto"/>
              <w:ind w:firstLine="420" w:firstLineChars="200"/>
              <w:rPr>
                <w:color w:val="auto"/>
                <w:szCs w:val="21"/>
              </w:rPr>
            </w:pPr>
            <w:r>
              <w:rPr>
                <w:rFonts w:hint="eastAsia"/>
                <w:color w:val="auto"/>
                <w:szCs w:val="21"/>
              </w:rPr>
              <w:t>监测结果见下表：</w:t>
            </w:r>
          </w:p>
          <w:p>
            <w:pPr>
              <w:widowControl/>
              <w:spacing w:line="360" w:lineRule="auto"/>
              <w:jc w:val="center"/>
              <w:rPr>
                <w:b/>
                <w:color w:val="auto"/>
                <w:sz w:val="18"/>
                <w:szCs w:val="18"/>
                <w:highlight w:val="none"/>
              </w:rPr>
            </w:pPr>
            <w:r>
              <w:rPr>
                <w:rFonts w:hint="eastAsia" w:ascii="宋体" w:hAnsi="宋体" w:cs="宋体"/>
                <w:b/>
                <w:color w:val="auto"/>
                <w:kern w:val="0"/>
                <w:sz w:val="18"/>
                <w:szCs w:val="18"/>
                <w:highlight w:val="none"/>
                <w:lang w:bidi="ar"/>
              </w:rPr>
              <w:t>表</w:t>
            </w:r>
            <w:r>
              <w:rPr>
                <w:b/>
                <w:color w:val="auto"/>
                <w:kern w:val="0"/>
                <w:sz w:val="18"/>
                <w:szCs w:val="18"/>
                <w:highlight w:val="none"/>
                <w:lang w:bidi="ar"/>
              </w:rPr>
              <w:t>3-</w:t>
            </w:r>
            <w:r>
              <w:rPr>
                <w:rFonts w:hint="eastAsia"/>
                <w:b/>
                <w:color w:val="auto"/>
                <w:kern w:val="0"/>
                <w:sz w:val="18"/>
                <w:szCs w:val="18"/>
                <w:highlight w:val="none"/>
                <w:lang w:bidi="ar"/>
              </w:rPr>
              <w:t>2</w:t>
            </w:r>
            <w:r>
              <w:rPr>
                <w:b/>
                <w:color w:val="auto"/>
                <w:kern w:val="0"/>
                <w:sz w:val="18"/>
                <w:szCs w:val="18"/>
                <w:highlight w:val="none"/>
                <w:lang w:bidi="ar"/>
              </w:rPr>
              <w:t xml:space="preserve"> </w:t>
            </w:r>
            <w:r>
              <w:rPr>
                <w:rFonts w:hint="eastAsia"/>
                <w:b/>
                <w:color w:val="auto"/>
                <w:kern w:val="0"/>
                <w:sz w:val="18"/>
                <w:szCs w:val="18"/>
                <w:highlight w:val="none"/>
                <w:lang w:bidi="ar"/>
              </w:rPr>
              <w:t xml:space="preserve"> </w:t>
            </w:r>
            <w:r>
              <w:rPr>
                <w:rFonts w:hint="eastAsia" w:ascii="宋体" w:hAnsi="宋体" w:cs="宋体"/>
                <w:b/>
                <w:color w:val="auto"/>
                <w:kern w:val="0"/>
                <w:sz w:val="18"/>
                <w:szCs w:val="18"/>
                <w:highlight w:val="none"/>
                <w:lang w:bidi="ar"/>
              </w:rPr>
              <w:t>项目所在地环境空气质量现状监测结果统计表   单位</w:t>
            </w:r>
            <w:r>
              <w:rPr>
                <w:rFonts w:hint="eastAsia" w:ascii="宋体" w:hAnsi="宋体" w:cs="宋体"/>
                <w:b/>
                <w:color w:val="auto"/>
                <w:kern w:val="0"/>
                <w:sz w:val="18"/>
                <w:szCs w:val="18"/>
                <w:highlight w:val="none"/>
                <w:lang w:eastAsia="zh-CN" w:bidi="ar"/>
              </w:rPr>
              <w:t>：</w:t>
            </w:r>
            <w:r>
              <w:rPr>
                <w:rFonts w:hint="eastAsia" w:ascii="宋体" w:hAnsi="宋体" w:cs="宋体"/>
                <w:b/>
                <w:color w:val="auto"/>
                <w:kern w:val="0"/>
                <w:sz w:val="18"/>
                <w:szCs w:val="18"/>
                <w:highlight w:val="none"/>
                <w:lang w:val="en-US" w:eastAsia="zh-CN" w:bidi="ar"/>
              </w:rPr>
              <w:t>m</w:t>
            </w:r>
            <w:r>
              <w:rPr>
                <w:rFonts w:hint="default" w:ascii="Times New Roman" w:hAnsi="Times New Roman" w:cs="Times New Roman"/>
                <w:b/>
                <w:bCs/>
                <w:color w:val="auto"/>
                <w:sz w:val="18"/>
                <w:szCs w:val="18"/>
                <w:highlight w:val="none"/>
                <w:lang w:bidi="ar"/>
              </w:rPr>
              <w:t>g/m</w:t>
            </w:r>
            <w:r>
              <w:rPr>
                <w:rFonts w:hint="default" w:ascii="Times New Roman" w:hAnsi="Times New Roman" w:cs="Times New Roman"/>
                <w:b/>
                <w:bCs/>
                <w:color w:val="auto"/>
                <w:sz w:val="18"/>
                <w:szCs w:val="18"/>
                <w:highlight w:val="none"/>
                <w:vertAlign w:val="superscript"/>
                <w:lang w:bidi="ar"/>
              </w:rPr>
              <w:t>3</w:t>
            </w:r>
          </w:p>
          <w:tbl>
            <w:tblPr>
              <w:tblStyle w:val="25"/>
              <w:tblW w:w="80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1"/>
              <w:gridCol w:w="862"/>
              <w:gridCol w:w="862"/>
              <w:gridCol w:w="1724"/>
              <w:gridCol w:w="1723"/>
              <w:gridCol w:w="1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1" w:type="dxa"/>
                  <w:vAlign w:val="center"/>
                </w:tcPr>
                <w:p>
                  <w:pPr>
                    <w:spacing w:line="360" w:lineRule="exact"/>
                    <w:jc w:val="center"/>
                    <w:rPr>
                      <w:color w:val="auto"/>
                      <w:sz w:val="18"/>
                      <w:szCs w:val="18"/>
                      <w:lang w:bidi="ar"/>
                    </w:rPr>
                  </w:pPr>
                  <w:r>
                    <w:rPr>
                      <w:rFonts w:hint="eastAsia"/>
                      <w:color w:val="auto"/>
                      <w:sz w:val="18"/>
                      <w:szCs w:val="18"/>
                      <w:lang w:bidi="ar"/>
                    </w:rPr>
                    <w:t>监测点位</w:t>
                  </w:r>
                </w:p>
              </w:tc>
              <w:tc>
                <w:tcPr>
                  <w:tcW w:w="1724" w:type="dxa"/>
                  <w:gridSpan w:val="2"/>
                  <w:vAlign w:val="center"/>
                </w:tcPr>
                <w:p>
                  <w:pPr>
                    <w:spacing w:line="360" w:lineRule="exact"/>
                    <w:jc w:val="center"/>
                    <w:rPr>
                      <w:color w:val="auto"/>
                      <w:sz w:val="18"/>
                      <w:szCs w:val="18"/>
                      <w:lang w:bidi="ar"/>
                    </w:rPr>
                  </w:pPr>
                  <w:r>
                    <w:rPr>
                      <w:rFonts w:hint="eastAsia"/>
                      <w:color w:val="auto"/>
                      <w:sz w:val="18"/>
                      <w:szCs w:val="18"/>
                      <w:lang w:bidi="ar"/>
                    </w:rPr>
                    <w:t>监测项目</w:t>
                  </w:r>
                </w:p>
              </w:tc>
              <w:tc>
                <w:tcPr>
                  <w:tcW w:w="1724" w:type="dxa"/>
                  <w:vAlign w:val="center"/>
                </w:tcPr>
                <w:p>
                  <w:pPr>
                    <w:spacing w:line="360" w:lineRule="exact"/>
                    <w:jc w:val="center"/>
                    <w:rPr>
                      <w:rFonts w:hint="default" w:eastAsia="宋体"/>
                      <w:color w:val="auto"/>
                      <w:sz w:val="18"/>
                      <w:szCs w:val="18"/>
                      <w:lang w:val="en-US" w:eastAsia="zh-CN" w:bidi="ar"/>
                    </w:rPr>
                  </w:pPr>
                  <w:r>
                    <w:rPr>
                      <w:rFonts w:hint="eastAsia"/>
                      <w:color w:val="auto"/>
                      <w:sz w:val="18"/>
                      <w:szCs w:val="18"/>
                      <w:lang w:bidi="ar"/>
                    </w:rPr>
                    <w:t>2023.</w:t>
                  </w:r>
                  <w:r>
                    <w:rPr>
                      <w:rFonts w:hint="eastAsia"/>
                      <w:color w:val="auto"/>
                      <w:sz w:val="18"/>
                      <w:szCs w:val="18"/>
                      <w:lang w:val="en-US" w:eastAsia="zh-CN" w:bidi="ar"/>
                    </w:rPr>
                    <w:t>8.15</w:t>
                  </w:r>
                </w:p>
              </w:tc>
              <w:tc>
                <w:tcPr>
                  <w:tcW w:w="1723" w:type="dxa"/>
                  <w:vAlign w:val="center"/>
                </w:tcPr>
                <w:p>
                  <w:pPr>
                    <w:spacing w:line="360" w:lineRule="exact"/>
                    <w:jc w:val="center"/>
                    <w:rPr>
                      <w:rFonts w:hint="default" w:eastAsia="宋体"/>
                      <w:color w:val="auto"/>
                      <w:sz w:val="18"/>
                      <w:szCs w:val="18"/>
                      <w:lang w:val="en-US" w:eastAsia="zh-CN" w:bidi="ar"/>
                    </w:rPr>
                  </w:pPr>
                  <w:r>
                    <w:rPr>
                      <w:rFonts w:hint="eastAsia"/>
                      <w:color w:val="auto"/>
                      <w:sz w:val="18"/>
                      <w:szCs w:val="18"/>
                      <w:lang w:bidi="ar"/>
                    </w:rPr>
                    <w:t>2023.</w:t>
                  </w:r>
                  <w:r>
                    <w:rPr>
                      <w:rFonts w:hint="eastAsia"/>
                      <w:color w:val="auto"/>
                      <w:sz w:val="18"/>
                      <w:szCs w:val="18"/>
                      <w:lang w:val="en-US" w:eastAsia="zh-CN" w:bidi="ar"/>
                    </w:rPr>
                    <w:t>8.16</w:t>
                  </w:r>
                </w:p>
              </w:tc>
              <w:tc>
                <w:tcPr>
                  <w:tcW w:w="1677" w:type="dxa"/>
                  <w:vAlign w:val="center"/>
                </w:tcPr>
                <w:p>
                  <w:pPr>
                    <w:spacing w:line="360" w:lineRule="exact"/>
                    <w:jc w:val="center"/>
                    <w:rPr>
                      <w:rFonts w:hint="default" w:eastAsia="宋体"/>
                      <w:color w:val="auto"/>
                      <w:sz w:val="18"/>
                      <w:szCs w:val="18"/>
                      <w:lang w:val="en-US" w:eastAsia="zh-CN" w:bidi="ar"/>
                    </w:rPr>
                  </w:pPr>
                  <w:r>
                    <w:rPr>
                      <w:rFonts w:hint="eastAsia"/>
                      <w:color w:val="auto"/>
                      <w:sz w:val="18"/>
                      <w:szCs w:val="18"/>
                      <w:lang w:bidi="ar"/>
                    </w:rPr>
                    <w:t>2023.</w:t>
                  </w:r>
                  <w:r>
                    <w:rPr>
                      <w:rFonts w:hint="eastAsia"/>
                      <w:color w:val="auto"/>
                      <w:sz w:val="18"/>
                      <w:szCs w:val="18"/>
                      <w:lang w:val="en-US" w:eastAsia="zh-CN" w:bidi="ar"/>
                    </w:rPr>
                    <w:t>8.17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1" w:type="dxa"/>
                  <w:vMerge w:val="restart"/>
                  <w:vAlign w:val="center"/>
                </w:tcPr>
                <w:p>
                  <w:pPr>
                    <w:spacing w:line="360" w:lineRule="exact"/>
                    <w:jc w:val="center"/>
                    <w:rPr>
                      <w:color w:val="auto"/>
                      <w:sz w:val="18"/>
                      <w:szCs w:val="18"/>
                      <w:lang w:bidi="ar"/>
                    </w:rPr>
                  </w:pPr>
                  <w:r>
                    <w:rPr>
                      <w:rFonts w:hint="eastAsia"/>
                      <w:color w:val="auto"/>
                      <w:sz w:val="18"/>
                      <w:szCs w:val="18"/>
                      <w:lang w:bidi="ar"/>
                    </w:rPr>
                    <w:t>1#</w:t>
                  </w:r>
                </w:p>
              </w:tc>
              <w:tc>
                <w:tcPr>
                  <w:tcW w:w="1724" w:type="dxa"/>
                  <w:gridSpan w:val="2"/>
                  <w:vAlign w:val="center"/>
                </w:tcPr>
                <w:p>
                  <w:pPr>
                    <w:spacing w:line="360" w:lineRule="exact"/>
                    <w:jc w:val="center"/>
                    <w:rPr>
                      <w:color w:val="auto"/>
                      <w:sz w:val="18"/>
                      <w:szCs w:val="18"/>
                      <w:lang w:bidi="ar"/>
                    </w:rPr>
                  </w:pPr>
                  <w:r>
                    <w:rPr>
                      <w:rFonts w:hint="eastAsia"/>
                      <w:color w:val="auto"/>
                      <w:sz w:val="18"/>
                      <w:szCs w:val="18"/>
                      <w:lang w:bidi="ar"/>
                    </w:rPr>
                    <w:t>TSP</w:t>
                  </w:r>
                </w:p>
              </w:tc>
              <w:tc>
                <w:tcPr>
                  <w:tcW w:w="1724" w:type="dxa"/>
                  <w:vAlign w:val="center"/>
                </w:tcPr>
                <w:p>
                  <w:pPr>
                    <w:spacing w:line="360" w:lineRule="exact"/>
                    <w:jc w:val="center"/>
                    <w:rPr>
                      <w:rFonts w:hint="default" w:eastAsia="宋体"/>
                      <w:color w:val="auto"/>
                      <w:sz w:val="18"/>
                      <w:szCs w:val="18"/>
                      <w:lang w:val="en-US" w:eastAsia="zh-CN" w:bidi="ar"/>
                    </w:rPr>
                  </w:pPr>
                  <w:r>
                    <w:rPr>
                      <w:rFonts w:hint="eastAsia"/>
                      <w:color w:val="auto"/>
                      <w:sz w:val="18"/>
                      <w:szCs w:val="18"/>
                      <w:lang w:val="en-US" w:eastAsia="zh-CN" w:bidi="ar"/>
                    </w:rPr>
                    <w:t>0.223</w:t>
                  </w:r>
                </w:p>
              </w:tc>
              <w:tc>
                <w:tcPr>
                  <w:tcW w:w="1723" w:type="dxa"/>
                  <w:vAlign w:val="center"/>
                </w:tcPr>
                <w:p>
                  <w:pPr>
                    <w:spacing w:line="360" w:lineRule="exact"/>
                    <w:jc w:val="center"/>
                    <w:rPr>
                      <w:rFonts w:hint="default" w:eastAsia="宋体"/>
                      <w:color w:val="auto"/>
                      <w:sz w:val="18"/>
                      <w:szCs w:val="18"/>
                      <w:lang w:val="en-US" w:eastAsia="zh-CN" w:bidi="ar"/>
                    </w:rPr>
                  </w:pPr>
                  <w:r>
                    <w:rPr>
                      <w:rFonts w:hint="eastAsia"/>
                      <w:color w:val="auto"/>
                      <w:sz w:val="18"/>
                      <w:szCs w:val="18"/>
                      <w:lang w:val="en-US" w:eastAsia="zh-CN" w:bidi="ar"/>
                    </w:rPr>
                    <w:t>0.206</w:t>
                  </w:r>
                </w:p>
              </w:tc>
              <w:tc>
                <w:tcPr>
                  <w:tcW w:w="1677" w:type="dxa"/>
                  <w:vAlign w:val="center"/>
                </w:tcPr>
                <w:p>
                  <w:pPr>
                    <w:spacing w:line="360" w:lineRule="exact"/>
                    <w:jc w:val="center"/>
                    <w:rPr>
                      <w:rFonts w:hint="default" w:eastAsia="宋体"/>
                      <w:color w:val="auto"/>
                      <w:sz w:val="18"/>
                      <w:szCs w:val="18"/>
                      <w:lang w:val="en-US" w:eastAsia="zh-CN" w:bidi="ar"/>
                    </w:rPr>
                  </w:pPr>
                  <w:r>
                    <w:rPr>
                      <w:rFonts w:hint="eastAsia"/>
                      <w:color w:val="auto"/>
                      <w:sz w:val="18"/>
                      <w:szCs w:val="18"/>
                      <w:lang w:val="en-US" w:eastAsia="zh-CN" w:bidi="ar"/>
                    </w:rPr>
                    <w:t>0.216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1" w:type="dxa"/>
                  <w:vMerge w:val="continue"/>
                  <w:vAlign w:val="center"/>
                </w:tcPr>
                <w:p>
                  <w:pPr>
                    <w:spacing w:line="360" w:lineRule="exact"/>
                    <w:jc w:val="center"/>
                    <w:rPr>
                      <w:color w:val="auto"/>
                      <w:sz w:val="18"/>
                      <w:szCs w:val="18"/>
                      <w:lang w:bidi="ar"/>
                    </w:rPr>
                  </w:pPr>
                </w:p>
              </w:tc>
              <w:tc>
                <w:tcPr>
                  <w:tcW w:w="862" w:type="dxa"/>
                  <w:vMerge w:val="restart"/>
                  <w:vAlign w:val="center"/>
                </w:tcPr>
                <w:p>
                  <w:pPr>
                    <w:spacing w:line="360" w:lineRule="exact"/>
                    <w:jc w:val="center"/>
                    <w:rPr>
                      <w:color w:val="auto"/>
                      <w:sz w:val="18"/>
                      <w:szCs w:val="18"/>
                      <w:lang w:bidi="ar"/>
                    </w:rPr>
                  </w:pPr>
                  <w:r>
                    <w:rPr>
                      <w:rFonts w:hint="eastAsia"/>
                      <w:color w:val="auto"/>
                      <w:sz w:val="18"/>
                      <w:szCs w:val="18"/>
                      <w:lang w:bidi="ar"/>
                    </w:rPr>
                    <w:t>NO</w:t>
                  </w:r>
                  <w:r>
                    <w:rPr>
                      <w:rFonts w:hint="eastAsia"/>
                      <w:color w:val="auto"/>
                      <w:sz w:val="18"/>
                      <w:szCs w:val="18"/>
                      <w:vertAlign w:val="subscript"/>
                      <w:lang w:bidi="ar"/>
                    </w:rPr>
                    <w:t>X</w:t>
                  </w:r>
                </w:p>
              </w:tc>
              <w:tc>
                <w:tcPr>
                  <w:tcW w:w="862" w:type="dxa"/>
                  <w:vAlign w:val="center"/>
                </w:tcPr>
                <w:p>
                  <w:pPr>
                    <w:spacing w:line="360" w:lineRule="exact"/>
                    <w:jc w:val="center"/>
                    <w:rPr>
                      <w:color w:val="auto"/>
                      <w:sz w:val="18"/>
                      <w:szCs w:val="18"/>
                      <w:lang w:bidi="ar"/>
                    </w:rPr>
                  </w:pPr>
                  <w:r>
                    <w:rPr>
                      <w:rFonts w:hint="eastAsia"/>
                      <w:color w:val="auto"/>
                      <w:sz w:val="18"/>
                      <w:szCs w:val="18"/>
                      <w:lang w:bidi="ar"/>
                    </w:rPr>
                    <w:t>第一次</w:t>
                  </w:r>
                </w:p>
              </w:tc>
              <w:tc>
                <w:tcPr>
                  <w:tcW w:w="1724" w:type="dxa"/>
                  <w:vAlign w:val="center"/>
                </w:tcPr>
                <w:p>
                  <w:pPr>
                    <w:spacing w:line="360" w:lineRule="exact"/>
                    <w:jc w:val="center"/>
                    <w:rPr>
                      <w:rFonts w:hint="default" w:eastAsia="宋体"/>
                      <w:color w:val="auto"/>
                      <w:sz w:val="18"/>
                      <w:szCs w:val="18"/>
                      <w:lang w:val="en-US" w:eastAsia="zh-CN" w:bidi="ar"/>
                    </w:rPr>
                  </w:pPr>
                  <w:r>
                    <w:rPr>
                      <w:rFonts w:hint="eastAsia"/>
                      <w:color w:val="auto"/>
                      <w:sz w:val="18"/>
                      <w:szCs w:val="18"/>
                      <w:lang w:val="en-US" w:eastAsia="zh-CN" w:bidi="ar"/>
                    </w:rPr>
                    <w:t>&lt;0.005</w:t>
                  </w:r>
                </w:p>
              </w:tc>
              <w:tc>
                <w:tcPr>
                  <w:tcW w:w="1723" w:type="dxa"/>
                  <w:vAlign w:val="center"/>
                </w:tcPr>
                <w:p>
                  <w:pPr>
                    <w:spacing w:line="360" w:lineRule="exact"/>
                    <w:jc w:val="center"/>
                    <w:rPr>
                      <w:color w:val="auto"/>
                      <w:sz w:val="18"/>
                      <w:szCs w:val="18"/>
                      <w:lang w:bidi="ar"/>
                    </w:rPr>
                  </w:pPr>
                  <w:r>
                    <w:rPr>
                      <w:rFonts w:hint="eastAsia"/>
                      <w:color w:val="auto"/>
                      <w:sz w:val="18"/>
                      <w:szCs w:val="18"/>
                      <w:lang w:val="en-US" w:eastAsia="zh-CN" w:bidi="ar"/>
                    </w:rPr>
                    <w:t>&lt;0.005</w:t>
                  </w:r>
                </w:p>
              </w:tc>
              <w:tc>
                <w:tcPr>
                  <w:tcW w:w="1677" w:type="dxa"/>
                  <w:vAlign w:val="center"/>
                </w:tcPr>
                <w:p>
                  <w:pPr>
                    <w:spacing w:line="360" w:lineRule="exact"/>
                    <w:jc w:val="center"/>
                    <w:rPr>
                      <w:color w:val="auto"/>
                      <w:sz w:val="18"/>
                      <w:szCs w:val="18"/>
                      <w:lang w:bidi="ar"/>
                    </w:rPr>
                  </w:pPr>
                  <w:r>
                    <w:rPr>
                      <w:rFonts w:hint="eastAsia"/>
                      <w:color w:val="auto"/>
                      <w:sz w:val="18"/>
                      <w:szCs w:val="18"/>
                      <w:lang w:val="en-US" w:eastAsia="zh-CN" w:bidi="ar"/>
                    </w:rPr>
                    <w:t>&lt;0.005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1" w:type="dxa"/>
                  <w:vMerge w:val="continue"/>
                  <w:vAlign w:val="center"/>
                </w:tcPr>
                <w:p>
                  <w:pPr>
                    <w:spacing w:line="360" w:lineRule="exact"/>
                    <w:jc w:val="center"/>
                    <w:rPr>
                      <w:color w:val="auto"/>
                      <w:sz w:val="18"/>
                      <w:szCs w:val="18"/>
                      <w:lang w:bidi="ar"/>
                    </w:rPr>
                  </w:pPr>
                </w:p>
              </w:tc>
              <w:tc>
                <w:tcPr>
                  <w:tcW w:w="862" w:type="dxa"/>
                  <w:vMerge w:val="continue"/>
                  <w:vAlign w:val="center"/>
                </w:tcPr>
                <w:p>
                  <w:pPr>
                    <w:spacing w:line="360" w:lineRule="exact"/>
                    <w:jc w:val="center"/>
                    <w:rPr>
                      <w:color w:val="auto"/>
                      <w:sz w:val="18"/>
                      <w:szCs w:val="18"/>
                      <w:lang w:bidi="ar"/>
                    </w:rPr>
                  </w:pPr>
                </w:p>
              </w:tc>
              <w:tc>
                <w:tcPr>
                  <w:tcW w:w="862" w:type="dxa"/>
                  <w:vAlign w:val="center"/>
                </w:tcPr>
                <w:p>
                  <w:pPr>
                    <w:spacing w:line="360" w:lineRule="exact"/>
                    <w:jc w:val="center"/>
                    <w:rPr>
                      <w:color w:val="auto"/>
                      <w:sz w:val="18"/>
                      <w:szCs w:val="18"/>
                      <w:lang w:bidi="ar"/>
                    </w:rPr>
                  </w:pPr>
                  <w:r>
                    <w:rPr>
                      <w:rFonts w:hint="eastAsia"/>
                      <w:color w:val="auto"/>
                      <w:sz w:val="18"/>
                      <w:szCs w:val="18"/>
                      <w:lang w:bidi="ar"/>
                    </w:rPr>
                    <w:t>第二次</w:t>
                  </w:r>
                </w:p>
              </w:tc>
              <w:tc>
                <w:tcPr>
                  <w:tcW w:w="1724" w:type="dxa"/>
                  <w:vAlign w:val="center"/>
                </w:tcPr>
                <w:p>
                  <w:pPr>
                    <w:spacing w:line="360" w:lineRule="exact"/>
                    <w:jc w:val="center"/>
                    <w:rPr>
                      <w:color w:val="auto"/>
                      <w:sz w:val="18"/>
                      <w:szCs w:val="18"/>
                      <w:lang w:bidi="ar"/>
                    </w:rPr>
                  </w:pPr>
                  <w:r>
                    <w:rPr>
                      <w:rFonts w:hint="eastAsia"/>
                      <w:color w:val="auto"/>
                      <w:sz w:val="18"/>
                      <w:szCs w:val="18"/>
                      <w:lang w:val="en-US" w:eastAsia="zh-CN" w:bidi="ar"/>
                    </w:rPr>
                    <w:t>&lt;0.005</w:t>
                  </w:r>
                </w:p>
              </w:tc>
              <w:tc>
                <w:tcPr>
                  <w:tcW w:w="1723" w:type="dxa"/>
                  <w:vAlign w:val="center"/>
                </w:tcPr>
                <w:p>
                  <w:pPr>
                    <w:spacing w:line="360" w:lineRule="exact"/>
                    <w:jc w:val="center"/>
                    <w:rPr>
                      <w:color w:val="auto"/>
                      <w:sz w:val="18"/>
                      <w:szCs w:val="18"/>
                      <w:lang w:bidi="ar"/>
                    </w:rPr>
                  </w:pPr>
                  <w:r>
                    <w:rPr>
                      <w:rFonts w:hint="eastAsia"/>
                      <w:color w:val="auto"/>
                      <w:sz w:val="18"/>
                      <w:szCs w:val="18"/>
                      <w:lang w:val="en-US" w:eastAsia="zh-CN" w:bidi="ar"/>
                    </w:rPr>
                    <w:t>&lt;0.005</w:t>
                  </w:r>
                </w:p>
              </w:tc>
              <w:tc>
                <w:tcPr>
                  <w:tcW w:w="1677" w:type="dxa"/>
                  <w:vAlign w:val="center"/>
                </w:tcPr>
                <w:p>
                  <w:pPr>
                    <w:spacing w:line="360" w:lineRule="exact"/>
                    <w:jc w:val="center"/>
                    <w:rPr>
                      <w:color w:val="auto"/>
                      <w:sz w:val="18"/>
                      <w:szCs w:val="18"/>
                      <w:lang w:bidi="ar"/>
                    </w:rPr>
                  </w:pPr>
                  <w:r>
                    <w:rPr>
                      <w:rFonts w:hint="eastAsia"/>
                      <w:color w:val="auto"/>
                      <w:sz w:val="18"/>
                      <w:szCs w:val="18"/>
                      <w:lang w:val="en-US" w:eastAsia="zh-CN" w:bidi="ar"/>
                    </w:rPr>
                    <w:t>&lt;0.005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1" w:type="dxa"/>
                  <w:vMerge w:val="continue"/>
                  <w:vAlign w:val="center"/>
                </w:tcPr>
                <w:p>
                  <w:pPr>
                    <w:spacing w:line="360" w:lineRule="exact"/>
                    <w:jc w:val="center"/>
                    <w:rPr>
                      <w:color w:val="auto"/>
                      <w:sz w:val="18"/>
                      <w:szCs w:val="18"/>
                      <w:lang w:bidi="ar"/>
                    </w:rPr>
                  </w:pPr>
                </w:p>
              </w:tc>
              <w:tc>
                <w:tcPr>
                  <w:tcW w:w="862" w:type="dxa"/>
                  <w:vMerge w:val="continue"/>
                  <w:vAlign w:val="center"/>
                </w:tcPr>
                <w:p>
                  <w:pPr>
                    <w:spacing w:line="360" w:lineRule="exact"/>
                    <w:jc w:val="center"/>
                    <w:rPr>
                      <w:color w:val="auto"/>
                      <w:sz w:val="18"/>
                      <w:szCs w:val="18"/>
                      <w:lang w:bidi="ar"/>
                    </w:rPr>
                  </w:pPr>
                </w:p>
              </w:tc>
              <w:tc>
                <w:tcPr>
                  <w:tcW w:w="862" w:type="dxa"/>
                  <w:vAlign w:val="center"/>
                </w:tcPr>
                <w:p>
                  <w:pPr>
                    <w:spacing w:line="360" w:lineRule="exact"/>
                    <w:jc w:val="center"/>
                    <w:rPr>
                      <w:color w:val="auto"/>
                      <w:sz w:val="18"/>
                      <w:szCs w:val="18"/>
                      <w:lang w:bidi="ar"/>
                    </w:rPr>
                  </w:pPr>
                  <w:r>
                    <w:rPr>
                      <w:rFonts w:hint="eastAsia"/>
                      <w:color w:val="auto"/>
                      <w:sz w:val="18"/>
                      <w:szCs w:val="18"/>
                      <w:lang w:bidi="ar"/>
                    </w:rPr>
                    <w:t>第三次</w:t>
                  </w:r>
                </w:p>
              </w:tc>
              <w:tc>
                <w:tcPr>
                  <w:tcW w:w="1724" w:type="dxa"/>
                  <w:vAlign w:val="center"/>
                </w:tcPr>
                <w:p>
                  <w:pPr>
                    <w:spacing w:line="360" w:lineRule="exact"/>
                    <w:jc w:val="center"/>
                    <w:rPr>
                      <w:color w:val="auto"/>
                      <w:sz w:val="18"/>
                      <w:szCs w:val="18"/>
                      <w:lang w:bidi="ar"/>
                    </w:rPr>
                  </w:pPr>
                  <w:r>
                    <w:rPr>
                      <w:rFonts w:hint="eastAsia"/>
                      <w:color w:val="auto"/>
                      <w:sz w:val="18"/>
                      <w:szCs w:val="18"/>
                      <w:lang w:val="en-US" w:eastAsia="zh-CN" w:bidi="ar"/>
                    </w:rPr>
                    <w:t>&lt;0.005</w:t>
                  </w:r>
                </w:p>
              </w:tc>
              <w:tc>
                <w:tcPr>
                  <w:tcW w:w="1723" w:type="dxa"/>
                  <w:vAlign w:val="center"/>
                </w:tcPr>
                <w:p>
                  <w:pPr>
                    <w:spacing w:line="360" w:lineRule="exact"/>
                    <w:jc w:val="center"/>
                    <w:rPr>
                      <w:color w:val="auto"/>
                      <w:sz w:val="18"/>
                      <w:szCs w:val="18"/>
                      <w:lang w:bidi="ar"/>
                    </w:rPr>
                  </w:pPr>
                  <w:r>
                    <w:rPr>
                      <w:rFonts w:hint="eastAsia"/>
                      <w:color w:val="auto"/>
                      <w:sz w:val="18"/>
                      <w:szCs w:val="18"/>
                      <w:lang w:val="en-US" w:eastAsia="zh-CN" w:bidi="ar"/>
                    </w:rPr>
                    <w:t>&lt;0.005</w:t>
                  </w:r>
                </w:p>
              </w:tc>
              <w:tc>
                <w:tcPr>
                  <w:tcW w:w="1677" w:type="dxa"/>
                  <w:vAlign w:val="center"/>
                </w:tcPr>
                <w:p>
                  <w:pPr>
                    <w:spacing w:line="360" w:lineRule="exact"/>
                    <w:jc w:val="center"/>
                    <w:rPr>
                      <w:color w:val="auto"/>
                      <w:sz w:val="18"/>
                      <w:szCs w:val="18"/>
                      <w:lang w:bidi="ar"/>
                    </w:rPr>
                  </w:pPr>
                  <w:r>
                    <w:rPr>
                      <w:rFonts w:hint="eastAsia"/>
                      <w:color w:val="auto"/>
                      <w:sz w:val="18"/>
                      <w:szCs w:val="18"/>
                      <w:lang w:val="en-US" w:eastAsia="zh-CN" w:bidi="ar"/>
                    </w:rPr>
                    <w:t>&lt;0.005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71" w:type="dxa"/>
                  <w:vMerge w:val="continue"/>
                  <w:vAlign w:val="center"/>
                </w:tcPr>
                <w:p>
                  <w:pPr>
                    <w:spacing w:line="360" w:lineRule="exact"/>
                    <w:jc w:val="center"/>
                    <w:rPr>
                      <w:color w:val="auto"/>
                      <w:sz w:val="18"/>
                      <w:szCs w:val="18"/>
                      <w:lang w:bidi="ar"/>
                    </w:rPr>
                  </w:pPr>
                </w:p>
              </w:tc>
              <w:tc>
                <w:tcPr>
                  <w:tcW w:w="862" w:type="dxa"/>
                  <w:vMerge w:val="continue"/>
                  <w:vAlign w:val="center"/>
                </w:tcPr>
                <w:p>
                  <w:pPr>
                    <w:spacing w:line="360" w:lineRule="exact"/>
                    <w:jc w:val="center"/>
                    <w:rPr>
                      <w:color w:val="auto"/>
                      <w:sz w:val="18"/>
                      <w:szCs w:val="18"/>
                      <w:lang w:bidi="ar"/>
                    </w:rPr>
                  </w:pPr>
                </w:p>
              </w:tc>
              <w:tc>
                <w:tcPr>
                  <w:tcW w:w="862" w:type="dxa"/>
                  <w:vAlign w:val="center"/>
                </w:tcPr>
                <w:p>
                  <w:pPr>
                    <w:spacing w:line="360" w:lineRule="exact"/>
                    <w:jc w:val="center"/>
                    <w:rPr>
                      <w:color w:val="auto"/>
                      <w:sz w:val="18"/>
                      <w:szCs w:val="18"/>
                      <w:lang w:bidi="ar"/>
                    </w:rPr>
                  </w:pPr>
                  <w:r>
                    <w:rPr>
                      <w:rFonts w:hint="eastAsia"/>
                      <w:color w:val="auto"/>
                      <w:sz w:val="18"/>
                      <w:szCs w:val="18"/>
                      <w:lang w:bidi="ar"/>
                    </w:rPr>
                    <w:t>第四次</w:t>
                  </w:r>
                </w:p>
              </w:tc>
              <w:tc>
                <w:tcPr>
                  <w:tcW w:w="1724" w:type="dxa"/>
                  <w:vAlign w:val="center"/>
                </w:tcPr>
                <w:p>
                  <w:pPr>
                    <w:spacing w:line="360" w:lineRule="exact"/>
                    <w:jc w:val="center"/>
                    <w:rPr>
                      <w:color w:val="auto"/>
                      <w:sz w:val="18"/>
                      <w:szCs w:val="18"/>
                      <w:lang w:bidi="ar"/>
                    </w:rPr>
                  </w:pPr>
                  <w:r>
                    <w:rPr>
                      <w:rFonts w:hint="eastAsia"/>
                      <w:color w:val="auto"/>
                      <w:sz w:val="18"/>
                      <w:szCs w:val="18"/>
                      <w:lang w:val="en-US" w:eastAsia="zh-CN" w:bidi="ar"/>
                    </w:rPr>
                    <w:t>&lt;0.005</w:t>
                  </w:r>
                </w:p>
              </w:tc>
              <w:tc>
                <w:tcPr>
                  <w:tcW w:w="1723" w:type="dxa"/>
                  <w:vAlign w:val="center"/>
                </w:tcPr>
                <w:p>
                  <w:pPr>
                    <w:spacing w:line="360" w:lineRule="exact"/>
                    <w:jc w:val="center"/>
                    <w:rPr>
                      <w:color w:val="auto"/>
                      <w:sz w:val="18"/>
                      <w:szCs w:val="18"/>
                      <w:lang w:bidi="ar"/>
                    </w:rPr>
                  </w:pPr>
                  <w:r>
                    <w:rPr>
                      <w:rFonts w:hint="eastAsia"/>
                      <w:color w:val="auto"/>
                      <w:sz w:val="18"/>
                      <w:szCs w:val="18"/>
                      <w:lang w:val="en-US" w:eastAsia="zh-CN" w:bidi="ar"/>
                    </w:rPr>
                    <w:t>&lt;0.005</w:t>
                  </w:r>
                </w:p>
              </w:tc>
              <w:tc>
                <w:tcPr>
                  <w:tcW w:w="1677" w:type="dxa"/>
                  <w:vAlign w:val="center"/>
                </w:tcPr>
                <w:p>
                  <w:pPr>
                    <w:spacing w:line="360" w:lineRule="exact"/>
                    <w:jc w:val="center"/>
                    <w:rPr>
                      <w:color w:val="auto"/>
                      <w:sz w:val="18"/>
                      <w:szCs w:val="18"/>
                      <w:lang w:bidi="ar"/>
                    </w:rPr>
                  </w:pPr>
                  <w:r>
                    <w:rPr>
                      <w:rFonts w:hint="eastAsia"/>
                      <w:color w:val="auto"/>
                      <w:sz w:val="18"/>
                      <w:szCs w:val="18"/>
                      <w:lang w:val="en-US" w:eastAsia="zh-CN" w:bidi="ar"/>
                    </w:rPr>
                    <w:t>&lt;0.005</w:t>
                  </w:r>
                </w:p>
              </w:tc>
            </w:tr>
          </w:tbl>
          <w:p>
            <w:pPr>
              <w:widowControl/>
              <w:spacing w:line="360" w:lineRule="auto"/>
              <w:ind w:firstLine="420" w:firstLineChars="200"/>
              <w:jc w:val="left"/>
              <w:rPr>
                <w:color w:val="auto"/>
                <w:szCs w:val="21"/>
              </w:rPr>
            </w:pPr>
            <w:r>
              <w:rPr>
                <w:color w:val="auto"/>
                <w:kern w:val="0"/>
                <w:szCs w:val="21"/>
                <w:lang w:bidi="ar"/>
              </w:rPr>
              <w:t>（5）评价标准</w:t>
            </w:r>
          </w:p>
          <w:p>
            <w:pPr>
              <w:pStyle w:val="20"/>
              <w:widowControl w:val="0"/>
              <w:spacing w:before="0" w:beforeAutospacing="0" w:after="0" w:afterAutospacing="0" w:line="360" w:lineRule="auto"/>
              <w:ind w:firstLine="420" w:firstLineChars="200"/>
              <w:jc w:val="both"/>
              <w:rPr>
                <w:rFonts w:hint="eastAsia" w:ascii="Times New Roman" w:hAnsi="Times New Roman" w:eastAsia="宋体"/>
                <w:color w:val="auto"/>
                <w:kern w:val="2"/>
                <w:sz w:val="21"/>
                <w:szCs w:val="21"/>
                <w:lang w:eastAsia="zh-CN" w:bidi="ar"/>
              </w:rPr>
            </w:pPr>
            <w:r>
              <w:rPr>
                <w:rFonts w:ascii="Times New Roman" w:hAnsi="Times New Roman"/>
                <w:color w:val="auto"/>
                <w:sz w:val="21"/>
                <w:szCs w:val="21"/>
              </w:rPr>
              <w:t>TSP、</w:t>
            </w:r>
            <w:r>
              <w:rPr>
                <w:rFonts w:ascii="Times New Roman" w:hAnsi="Times New Roman"/>
                <w:color w:val="auto"/>
                <w:kern w:val="2"/>
                <w:sz w:val="21"/>
                <w:szCs w:val="21"/>
                <w:lang w:bidi="ar"/>
              </w:rPr>
              <w:t>NO</w:t>
            </w:r>
            <w:r>
              <w:rPr>
                <w:rFonts w:ascii="Times New Roman" w:hAnsi="Times New Roman"/>
                <w:color w:val="auto"/>
                <w:kern w:val="2"/>
                <w:sz w:val="21"/>
                <w:szCs w:val="21"/>
                <w:vertAlign w:val="subscript"/>
                <w:lang w:bidi="ar"/>
              </w:rPr>
              <w:t>X</w:t>
            </w:r>
            <w:r>
              <w:rPr>
                <w:rFonts w:ascii="Times New Roman" w:hAnsi="Times New Roman"/>
                <w:color w:val="auto"/>
                <w:kern w:val="2"/>
                <w:sz w:val="21"/>
                <w:szCs w:val="21"/>
                <w:lang w:bidi="ar"/>
              </w:rPr>
              <w:t>执行《环境空气质量标准》（GB3095-2012）中表2环境空气污染物其他项目浓度限值</w:t>
            </w:r>
            <w:r>
              <w:rPr>
                <w:rFonts w:hint="eastAsia" w:ascii="Times New Roman" w:hAnsi="Times New Roman"/>
                <w:color w:val="auto"/>
                <w:kern w:val="2"/>
                <w:sz w:val="21"/>
                <w:szCs w:val="21"/>
                <w:lang w:eastAsia="zh-CN" w:bidi="ar"/>
              </w:rPr>
              <w:t>。</w:t>
            </w:r>
          </w:p>
          <w:p>
            <w:pPr>
              <w:spacing w:line="360" w:lineRule="auto"/>
              <w:ind w:firstLine="420" w:firstLineChars="200"/>
              <w:rPr>
                <w:color w:val="auto"/>
                <w:szCs w:val="21"/>
              </w:rPr>
            </w:pPr>
            <w:r>
              <w:rPr>
                <w:color w:val="auto"/>
                <w:szCs w:val="21"/>
                <w:lang w:bidi="ar"/>
              </w:rPr>
              <w:t>（6）评价方法</w:t>
            </w:r>
          </w:p>
          <w:p>
            <w:pPr>
              <w:spacing w:line="360" w:lineRule="auto"/>
              <w:ind w:firstLine="420" w:firstLineChars="200"/>
              <w:rPr>
                <w:color w:val="auto"/>
                <w:szCs w:val="21"/>
              </w:rPr>
            </w:pPr>
            <w:r>
              <w:rPr>
                <w:color w:val="auto"/>
                <w:szCs w:val="21"/>
                <w:lang w:bidi="ar"/>
              </w:rPr>
              <w:t>采用单因子指数法对大气环境现状进行评价，计算式如下：</w:t>
            </w:r>
          </w:p>
          <w:p>
            <w:pPr>
              <w:spacing w:line="360" w:lineRule="auto"/>
              <w:ind w:firstLine="2730" w:firstLineChars="1300"/>
              <w:rPr>
                <w:color w:val="auto"/>
                <w:szCs w:val="21"/>
              </w:rPr>
            </w:pPr>
            <w:r>
              <w:rPr>
                <w:color w:val="auto"/>
                <w:szCs w:val="21"/>
                <w:lang w:bidi="ar"/>
              </w:rPr>
              <w:t xml:space="preserve">Pi = Ci /Si </w:t>
            </w:r>
          </w:p>
          <w:p>
            <w:pPr>
              <w:spacing w:line="360" w:lineRule="auto"/>
              <w:ind w:firstLine="420" w:firstLineChars="200"/>
              <w:rPr>
                <w:color w:val="auto"/>
                <w:szCs w:val="21"/>
              </w:rPr>
            </w:pPr>
            <w:r>
              <w:rPr>
                <w:color w:val="auto"/>
                <w:szCs w:val="21"/>
                <w:lang w:bidi="ar"/>
              </w:rPr>
              <w:t>式中：Pi——i种污染物的单项指数；</w:t>
            </w:r>
          </w:p>
          <w:p>
            <w:pPr>
              <w:spacing w:line="360" w:lineRule="auto"/>
              <w:ind w:firstLine="1050" w:firstLineChars="500"/>
              <w:rPr>
                <w:color w:val="auto"/>
                <w:szCs w:val="21"/>
              </w:rPr>
            </w:pPr>
            <w:r>
              <w:rPr>
                <w:color w:val="auto"/>
                <w:szCs w:val="21"/>
                <w:lang w:bidi="ar"/>
              </w:rPr>
              <w:t>Ci——i种污染物的实测浓度，mg/Nm</w:t>
            </w:r>
            <w:r>
              <w:rPr>
                <w:color w:val="auto"/>
                <w:szCs w:val="21"/>
                <w:vertAlign w:val="superscript"/>
                <w:lang w:bidi="ar"/>
              </w:rPr>
              <w:t>3</w:t>
            </w:r>
            <w:r>
              <w:rPr>
                <w:color w:val="auto"/>
                <w:szCs w:val="21"/>
                <w:lang w:bidi="ar"/>
              </w:rPr>
              <w:t>；</w:t>
            </w:r>
          </w:p>
          <w:p>
            <w:pPr>
              <w:spacing w:line="360" w:lineRule="auto"/>
              <w:ind w:firstLine="1050" w:firstLineChars="500"/>
              <w:rPr>
                <w:color w:val="auto"/>
                <w:szCs w:val="21"/>
              </w:rPr>
            </w:pPr>
            <w:r>
              <w:rPr>
                <w:color w:val="auto"/>
                <w:szCs w:val="21"/>
                <w:lang w:bidi="ar"/>
              </w:rPr>
              <w:t>Si——i种污染物的评价标准，mg/Nm</w:t>
            </w:r>
            <w:r>
              <w:rPr>
                <w:color w:val="auto"/>
                <w:szCs w:val="21"/>
                <w:vertAlign w:val="superscript"/>
                <w:lang w:bidi="ar"/>
              </w:rPr>
              <w:t>3</w:t>
            </w:r>
            <w:r>
              <w:rPr>
                <w:color w:val="auto"/>
                <w:szCs w:val="21"/>
                <w:lang w:bidi="ar"/>
              </w:rPr>
              <w:t>。</w:t>
            </w:r>
          </w:p>
          <w:p>
            <w:pPr>
              <w:spacing w:line="360" w:lineRule="auto"/>
              <w:ind w:firstLine="420" w:firstLineChars="200"/>
              <w:rPr>
                <w:color w:val="auto"/>
                <w:szCs w:val="21"/>
              </w:rPr>
            </w:pPr>
            <w:r>
              <w:rPr>
                <w:color w:val="auto"/>
                <w:szCs w:val="21"/>
                <w:lang w:bidi="ar"/>
              </w:rPr>
              <w:t>当Pi值大于1.0时，表明大气环境已经受到该项评价因子所表征的污染物的污染，Pi值越大，受污染程度越重；否则反之。</w:t>
            </w:r>
          </w:p>
          <w:p>
            <w:pPr>
              <w:numPr>
                <w:ilvl w:val="0"/>
                <w:numId w:val="4"/>
              </w:numPr>
              <w:spacing w:line="360" w:lineRule="auto"/>
              <w:ind w:firstLine="420" w:firstLineChars="200"/>
              <w:rPr>
                <w:color w:val="auto"/>
                <w:szCs w:val="21"/>
              </w:rPr>
            </w:pPr>
            <w:r>
              <w:rPr>
                <w:color w:val="auto"/>
                <w:szCs w:val="21"/>
                <w:lang w:bidi="ar"/>
              </w:rPr>
              <w:t>大气环境现状结论</w:t>
            </w:r>
          </w:p>
          <w:p>
            <w:pPr>
              <w:spacing w:line="360" w:lineRule="auto"/>
              <w:jc w:val="center"/>
              <w:rPr>
                <w:b/>
                <w:bCs/>
                <w:color w:val="auto"/>
                <w:sz w:val="18"/>
                <w:szCs w:val="18"/>
                <w:highlight w:val="none"/>
              </w:rPr>
            </w:pPr>
            <w:r>
              <w:rPr>
                <w:b/>
                <w:bCs/>
                <w:color w:val="auto"/>
                <w:sz w:val="18"/>
                <w:szCs w:val="18"/>
                <w:highlight w:val="none"/>
              </w:rPr>
              <w:t>表3-3  环境空气质量现状评价结果</w:t>
            </w:r>
          </w:p>
          <w:tbl>
            <w:tblPr>
              <w:tblStyle w:val="25"/>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800"/>
              <w:gridCol w:w="724"/>
              <w:gridCol w:w="1880"/>
              <w:gridCol w:w="1150"/>
              <w:gridCol w:w="805"/>
              <w:gridCol w:w="878"/>
              <w:gridCol w:w="11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restart"/>
                  <w:vAlign w:val="center"/>
                </w:tcPr>
                <w:p>
                  <w:pPr>
                    <w:spacing w:line="320" w:lineRule="exact"/>
                    <w:jc w:val="center"/>
                    <w:rPr>
                      <w:bCs/>
                      <w:color w:val="auto"/>
                      <w:sz w:val="18"/>
                      <w:szCs w:val="18"/>
                    </w:rPr>
                  </w:pPr>
                  <w:r>
                    <w:rPr>
                      <w:bCs/>
                      <w:color w:val="auto"/>
                      <w:sz w:val="18"/>
                      <w:szCs w:val="18"/>
                    </w:rPr>
                    <w:t>采用点</w:t>
                  </w:r>
                </w:p>
              </w:tc>
              <w:tc>
                <w:tcPr>
                  <w:tcW w:w="800" w:type="dxa"/>
                  <w:vMerge w:val="restart"/>
                  <w:vAlign w:val="center"/>
                </w:tcPr>
                <w:p>
                  <w:pPr>
                    <w:spacing w:line="320" w:lineRule="exact"/>
                    <w:jc w:val="center"/>
                    <w:rPr>
                      <w:bCs/>
                      <w:color w:val="auto"/>
                      <w:sz w:val="18"/>
                      <w:szCs w:val="18"/>
                    </w:rPr>
                  </w:pPr>
                  <w:r>
                    <w:rPr>
                      <w:bCs/>
                      <w:color w:val="auto"/>
                      <w:sz w:val="18"/>
                      <w:szCs w:val="18"/>
                    </w:rPr>
                    <w:t>监测项目</w:t>
                  </w:r>
                </w:p>
              </w:tc>
              <w:tc>
                <w:tcPr>
                  <w:tcW w:w="724" w:type="dxa"/>
                  <w:vMerge w:val="restart"/>
                  <w:vAlign w:val="center"/>
                </w:tcPr>
                <w:p>
                  <w:pPr>
                    <w:spacing w:line="320" w:lineRule="exact"/>
                    <w:jc w:val="center"/>
                    <w:rPr>
                      <w:bCs/>
                      <w:color w:val="auto"/>
                      <w:sz w:val="18"/>
                      <w:szCs w:val="18"/>
                    </w:rPr>
                  </w:pPr>
                  <w:r>
                    <w:rPr>
                      <w:bCs/>
                      <w:color w:val="auto"/>
                      <w:sz w:val="18"/>
                      <w:szCs w:val="18"/>
                    </w:rPr>
                    <w:t>采样天数</w:t>
                  </w:r>
                </w:p>
              </w:tc>
              <w:tc>
                <w:tcPr>
                  <w:tcW w:w="5864" w:type="dxa"/>
                  <w:gridSpan w:val="5"/>
                  <w:vAlign w:val="center"/>
                </w:tcPr>
                <w:p>
                  <w:pPr>
                    <w:spacing w:line="320" w:lineRule="exact"/>
                    <w:jc w:val="center"/>
                    <w:rPr>
                      <w:bCs/>
                      <w:color w:val="auto"/>
                      <w:sz w:val="18"/>
                      <w:szCs w:val="18"/>
                    </w:rPr>
                  </w:pPr>
                  <w:r>
                    <w:rPr>
                      <w:bCs/>
                      <w:color w:val="auto"/>
                      <w:sz w:val="18"/>
                      <w:szCs w:val="18"/>
                    </w:rPr>
                    <w:t>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vAlign w:val="center"/>
                </w:tcPr>
                <w:p>
                  <w:pPr>
                    <w:spacing w:line="320" w:lineRule="exact"/>
                    <w:jc w:val="center"/>
                    <w:rPr>
                      <w:bCs/>
                      <w:color w:val="auto"/>
                      <w:sz w:val="18"/>
                      <w:szCs w:val="18"/>
                    </w:rPr>
                  </w:pPr>
                </w:p>
              </w:tc>
              <w:tc>
                <w:tcPr>
                  <w:tcW w:w="800" w:type="dxa"/>
                  <w:vMerge w:val="continue"/>
                  <w:vAlign w:val="center"/>
                </w:tcPr>
                <w:p>
                  <w:pPr>
                    <w:spacing w:line="320" w:lineRule="exact"/>
                    <w:jc w:val="center"/>
                    <w:rPr>
                      <w:bCs/>
                      <w:color w:val="auto"/>
                      <w:sz w:val="18"/>
                      <w:szCs w:val="18"/>
                    </w:rPr>
                  </w:pPr>
                </w:p>
              </w:tc>
              <w:tc>
                <w:tcPr>
                  <w:tcW w:w="724" w:type="dxa"/>
                  <w:vMerge w:val="continue"/>
                  <w:vAlign w:val="center"/>
                </w:tcPr>
                <w:p>
                  <w:pPr>
                    <w:spacing w:line="320" w:lineRule="exact"/>
                    <w:jc w:val="center"/>
                    <w:rPr>
                      <w:bCs/>
                      <w:color w:val="auto"/>
                      <w:sz w:val="18"/>
                      <w:szCs w:val="18"/>
                    </w:rPr>
                  </w:pPr>
                </w:p>
              </w:tc>
              <w:tc>
                <w:tcPr>
                  <w:tcW w:w="1880" w:type="dxa"/>
                  <w:vAlign w:val="center"/>
                </w:tcPr>
                <w:p>
                  <w:pPr>
                    <w:widowControl/>
                    <w:spacing w:line="320" w:lineRule="exact"/>
                    <w:jc w:val="center"/>
                    <w:rPr>
                      <w:bCs/>
                      <w:color w:val="auto"/>
                      <w:sz w:val="18"/>
                      <w:szCs w:val="18"/>
                    </w:rPr>
                  </w:pPr>
                  <w:r>
                    <w:rPr>
                      <w:bCs/>
                      <w:color w:val="auto"/>
                      <w:kern w:val="0"/>
                      <w:sz w:val="18"/>
                      <w:szCs w:val="18"/>
                      <w:lang w:bidi="ar"/>
                    </w:rPr>
                    <w:t>浓度范围</w:t>
                  </w:r>
                </w:p>
              </w:tc>
              <w:tc>
                <w:tcPr>
                  <w:tcW w:w="1150" w:type="dxa"/>
                  <w:vAlign w:val="center"/>
                </w:tcPr>
                <w:p>
                  <w:pPr>
                    <w:spacing w:line="320" w:lineRule="exact"/>
                    <w:jc w:val="center"/>
                    <w:rPr>
                      <w:bCs/>
                      <w:color w:val="auto"/>
                      <w:sz w:val="18"/>
                      <w:szCs w:val="18"/>
                    </w:rPr>
                  </w:pPr>
                  <w:r>
                    <w:rPr>
                      <w:bCs/>
                      <w:color w:val="auto"/>
                      <w:kern w:val="0"/>
                      <w:sz w:val="18"/>
                      <w:szCs w:val="18"/>
                      <w:lang w:bidi="ar"/>
                    </w:rPr>
                    <w:t>评价标准</w:t>
                  </w:r>
                </w:p>
              </w:tc>
              <w:tc>
                <w:tcPr>
                  <w:tcW w:w="805" w:type="dxa"/>
                  <w:vAlign w:val="center"/>
                </w:tcPr>
                <w:p>
                  <w:pPr>
                    <w:spacing w:line="320" w:lineRule="exact"/>
                    <w:jc w:val="center"/>
                    <w:rPr>
                      <w:bCs/>
                      <w:color w:val="auto"/>
                      <w:sz w:val="18"/>
                      <w:szCs w:val="18"/>
                    </w:rPr>
                  </w:pPr>
                  <w:r>
                    <w:rPr>
                      <w:bCs/>
                      <w:color w:val="auto"/>
                      <w:sz w:val="18"/>
                      <w:szCs w:val="18"/>
                    </w:rPr>
                    <w:t>Pimax</w:t>
                  </w:r>
                </w:p>
              </w:tc>
              <w:tc>
                <w:tcPr>
                  <w:tcW w:w="878" w:type="dxa"/>
                  <w:vAlign w:val="center"/>
                </w:tcPr>
                <w:p>
                  <w:pPr>
                    <w:spacing w:line="320" w:lineRule="exact"/>
                    <w:jc w:val="center"/>
                    <w:rPr>
                      <w:bCs/>
                      <w:color w:val="auto"/>
                      <w:sz w:val="18"/>
                      <w:szCs w:val="18"/>
                    </w:rPr>
                  </w:pPr>
                  <w:r>
                    <w:rPr>
                      <w:bCs/>
                      <w:color w:val="auto"/>
                      <w:sz w:val="18"/>
                      <w:szCs w:val="18"/>
                    </w:rPr>
                    <w:t>超标率（%）</w:t>
                  </w:r>
                </w:p>
              </w:tc>
              <w:tc>
                <w:tcPr>
                  <w:tcW w:w="1151" w:type="dxa"/>
                  <w:vAlign w:val="center"/>
                </w:tcPr>
                <w:p>
                  <w:pPr>
                    <w:spacing w:line="320" w:lineRule="exact"/>
                    <w:jc w:val="center"/>
                    <w:rPr>
                      <w:bCs/>
                      <w:color w:val="auto"/>
                      <w:sz w:val="18"/>
                      <w:szCs w:val="18"/>
                    </w:rPr>
                  </w:pPr>
                  <w:r>
                    <w:rPr>
                      <w:color w:val="auto"/>
                      <w:sz w:val="18"/>
                      <w:szCs w:val="18"/>
                    </w:rPr>
                    <w:t>最大超标倍数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restart"/>
                  <w:vAlign w:val="center"/>
                </w:tcPr>
                <w:p>
                  <w:pPr>
                    <w:spacing w:line="320" w:lineRule="exact"/>
                    <w:jc w:val="center"/>
                    <w:rPr>
                      <w:bCs/>
                      <w:color w:val="auto"/>
                      <w:sz w:val="18"/>
                      <w:szCs w:val="18"/>
                    </w:rPr>
                  </w:pPr>
                  <w:r>
                    <w:rPr>
                      <w:bCs/>
                      <w:color w:val="auto"/>
                      <w:sz w:val="18"/>
                      <w:szCs w:val="18"/>
                    </w:rPr>
                    <w:t>1#</w:t>
                  </w:r>
                </w:p>
              </w:tc>
              <w:tc>
                <w:tcPr>
                  <w:tcW w:w="800" w:type="dxa"/>
                  <w:vAlign w:val="center"/>
                </w:tcPr>
                <w:p>
                  <w:pPr>
                    <w:spacing w:line="320" w:lineRule="exact"/>
                    <w:jc w:val="center"/>
                    <w:rPr>
                      <w:bCs/>
                      <w:color w:val="auto"/>
                      <w:sz w:val="18"/>
                      <w:szCs w:val="18"/>
                    </w:rPr>
                  </w:pPr>
                  <w:r>
                    <w:rPr>
                      <w:color w:val="auto"/>
                      <w:sz w:val="18"/>
                      <w:szCs w:val="18"/>
                    </w:rPr>
                    <w:t>TSP</w:t>
                  </w:r>
                </w:p>
              </w:tc>
              <w:tc>
                <w:tcPr>
                  <w:tcW w:w="724" w:type="dxa"/>
                  <w:vMerge w:val="restart"/>
                  <w:vAlign w:val="center"/>
                </w:tcPr>
                <w:p>
                  <w:pPr>
                    <w:spacing w:line="320" w:lineRule="exact"/>
                    <w:jc w:val="center"/>
                    <w:rPr>
                      <w:bCs/>
                      <w:color w:val="auto"/>
                      <w:sz w:val="18"/>
                      <w:szCs w:val="18"/>
                    </w:rPr>
                  </w:pPr>
                  <w:r>
                    <w:rPr>
                      <w:rFonts w:hint="eastAsia"/>
                      <w:bCs/>
                      <w:color w:val="auto"/>
                      <w:sz w:val="18"/>
                      <w:szCs w:val="18"/>
                    </w:rPr>
                    <w:t>3</w:t>
                  </w:r>
                </w:p>
              </w:tc>
              <w:tc>
                <w:tcPr>
                  <w:tcW w:w="1880" w:type="dxa"/>
                  <w:vAlign w:val="center"/>
                </w:tcPr>
                <w:p>
                  <w:pPr>
                    <w:spacing w:line="320" w:lineRule="exact"/>
                    <w:jc w:val="center"/>
                    <w:rPr>
                      <w:bCs/>
                      <w:color w:val="auto"/>
                      <w:sz w:val="18"/>
                      <w:szCs w:val="18"/>
                    </w:rPr>
                  </w:pPr>
                  <w:r>
                    <w:rPr>
                      <w:rFonts w:hint="eastAsia"/>
                      <w:bCs/>
                      <w:color w:val="auto"/>
                      <w:sz w:val="18"/>
                      <w:szCs w:val="18"/>
                    </w:rPr>
                    <w:t>0.</w:t>
                  </w:r>
                  <w:r>
                    <w:rPr>
                      <w:rFonts w:hint="eastAsia"/>
                      <w:bCs/>
                      <w:color w:val="auto"/>
                      <w:sz w:val="18"/>
                      <w:szCs w:val="18"/>
                      <w:lang w:val="en-US" w:eastAsia="zh-CN"/>
                    </w:rPr>
                    <w:t>206</w:t>
                  </w:r>
                  <w:r>
                    <w:rPr>
                      <w:bCs/>
                      <w:color w:val="auto"/>
                      <w:sz w:val="18"/>
                      <w:szCs w:val="18"/>
                    </w:rPr>
                    <w:t>~</w:t>
                  </w:r>
                  <w:r>
                    <w:rPr>
                      <w:rFonts w:hint="eastAsia"/>
                      <w:bCs/>
                      <w:color w:val="auto"/>
                      <w:sz w:val="18"/>
                      <w:szCs w:val="18"/>
                    </w:rPr>
                    <w:t>0.</w:t>
                  </w:r>
                  <w:r>
                    <w:rPr>
                      <w:rFonts w:hint="eastAsia"/>
                      <w:bCs/>
                      <w:color w:val="auto"/>
                      <w:sz w:val="18"/>
                      <w:szCs w:val="18"/>
                      <w:lang w:val="en-US" w:eastAsia="zh-CN"/>
                    </w:rPr>
                    <w:t>223</w:t>
                  </w:r>
                  <w:r>
                    <w:rPr>
                      <w:bCs/>
                      <w:color w:val="auto"/>
                      <w:kern w:val="0"/>
                      <w:sz w:val="18"/>
                      <w:szCs w:val="18"/>
                      <w:lang w:bidi="ar"/>
                    </w:rPr>
                    <w:t>mg/m</w:t>
                  </w:r>
                  <w:r>
                    <w:rPr>
                      <w:bCs/>
                      <w:color w:val="auto"/>
                      <w:kern w:val="0"/>
                      <w:sz w:val="18"/>
                      <w:szCs w:val="18"/>
                      <w:vertAlign w:val="superscript"/>
                      <w:lang w:bidi="ar"/>
                    </w:rPr>
                    <w:t>3</w:t>
                  </w:r>
                </w:p>
              </w:tc>
              <w:tc>
                <w:tcPr>
                  <w:tcW w:w="1150" w:type="dxa"/>
                  <w:vAlign w:val="center"/>
                </w:tcPr>
                <w:p>
                  <w:pPr>
                    <w:spacing w:line="320" w:lineRule="exact"/>
                    <w:jc w:val="center"/>
                    <w:rPr>
                      <w:bCs/>
                      <w:color w:val="auto"/>
                      <w:sz w:val="18"/>
                      <w:szCs w:val="18"/>
                    </w:rPr>
                  </w:pPr>
                  <w:r>
                    <w:rPr>
                      <w:bCs/>
                      <w:color w:val="auto"/>
                      <w:sz w:val="18"/>
                      <w:szCs w:val="18"/>
                    </w:rPr>
                    <w:t>0.3</w:t>
                  </w:r>
                  <w:r>
                    <w:rPr>
                      <w:bCs/>
                      <w:color w:val="auto"/>
                      <w:kern w:val="0"/>
                      <w:sz w:val="18"/>
                      <w:szCs w:val="18"/>
                      <w:lang w:bidi="ar"/>
                    </w:rPr>
                    <w:t>mg/m</w:t>
                  </w:r>
                  <w:r>
                    <w:rPr>
                      <w:bCs/>
                      <w:color w:val="auto"/>
                      <w:kern w:val="0"/>
                      <w:sz w:val="18"/>
                      <w:szCs w:val="18"/>
                      <w:vertAlign w:val="superscript"/>
                      <w:lang w:bidi="ar"/>
                    </w:rPr>
                    <w:t>3</w:t>
                  </w:r>
                </w:p>
              </w:tc>
              <w:tc>
                <w:tcPr>
                  <w:tcW w:w="805" w:type="dxa"/>
                  <w:vAlign w:val="center"/>
                </w:tcPr>
                <w:p>
                  <w:pPr>
                    <w:spacing w:line="320" w:lineRule="exact"/>
                    <w:jc w:val="center"/>
                    <w:rPr>
                      <w:rFonts w:hint="default" w:eastAsia="宋体"/>
                      <w:bCs/>
                      <w:color w:val="auto"/>
                      <w:sz w:val="18"/>
                      <w:szCs w:val="18"/>
                      <w:lang w:val="en-US" w:eastAsia="zh-CN"/>
                    </w:rPr>
                  </w:pPr>
                  <w:r>
                    <w:rPr>
                      <w:rFonts w:hint="eastAsia"/>
                      <w:bCs/>
                      <w:color w:val="auto"/>
                      <w:sz w:val="18"/>
                      <w:szCs w:val="18"/>
                    </w:rPr>
                    <w:t>0.</w:t>
                  </w:r>
                  <w:r>
                    <w:rPr>
                      <w:rFonts w:hint="eastAsia"/>
                      <w:bCs/>
                      <w:color w:val="auto"/>
                      <w:sz w:val="18"/>
                      <w:szCs w:val="18"/>
                      <w:lang w:val="en-US" w:eastAsia="zh-CN"/>
                    </w:rPr>
                    <w:t>74</w:t>
                  </w:r>
                </w:p>
              </w:tc>
              <w:tc>
                <w:tcPr>
                  <w:tcW w:w="878" w:type="dxa"/>
                  <w:vAlign w:val="center"/>
                </w:tcPr>
                <w:p>
                  <w:pPr>
                    <w:spacing w:line="320" w:lineRule="exact"/>
                    <w:jc w:val="center"/>
                    <w:rPr>
                      <w:bCs/>
                      <w:color w:val="auto"/>
                      <w:sz w:val="18"/>
                      <w:szCs w:val="18"/>
                    </w:rPr>
                  </w:pPr>
                  <w:r>
                    <w:rPr>
                      <w:color w:val="auto"/>
                      <w:sz w:val="18"/>
                      <w:szCs w:val="18"/>
                    </w:rPr>
                    <w:t>0</w:t>
                  </w:r>
                </w:p>
              </w:tc>
              <w:tc>
                <w:tcPr>
                  <w:tcW w:w="1151" w:type="dxa"/>
                  <w:vAlign w:val="center"/>
                </w:tcPr>
                <w:p>
                  <w:pPr>
                    <w:spacing w:line="320" w:lineRule="exact"/>
                    <w:jc w:val="center"/>
                    <w:rPr>
                      <w:bCs/>
                      <w:color w:val="auto"/>
                      <w:sz w:val="18"/>
                      <w:szCs w:val="18"/>
                    </w:rPr>
                  </w:pPr>
                  <w:r>
                    <w:rPr>
                      <w:bCs/>
                      <w:color w:val="auto"/>
                      <w:sz w:val="18"/>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70" w:type="dxa"/>
                  <w:vMerge w:val="continue"/>
                  <w:vAlign w:val="center"/>
                </w:tcPr>
                <w:p>
                  <w:pPr>
                    <w:spacing w:line="320" w:lineRule="exact"/>
                    <w:jc w:val="center"/>
                    <w:rPr>
                      <w:bCs/>
                      <w:color w:val="auto"/>
                      <w:sz w:val="18"/>
                      <w:szCs w:val="18"/>
                    </w:rPr>
                  </w:pPr>
                </w:p>
              </w:tc>
              <w:tc>
                <w:tcPr>
                  <w:tcW w:w="800" w:type="dxa"/>
                  <w:vAlign w:val="center"/>
                </w:tcPr>
                <w:p>
                  <w:pPr>
                    <w:spacing w:line="320" w:lineRule="exact"/>
                    <w:jc w:val="center"/>
                    <w:rPr>
                      <w:color w:val="auto"/>
                      <w:sz w:val="18"/>
                      <w:szCs w:val="18"/>
                      <w:lang w:bidi="ar"/>
                    </w:rPr>
                  </w:pPr>
                  <w:r>
                    <w:rPr>
                      <w:rFonts w:hint="eastAsia"/>
                      <w:color w:val="auto"/>
                      <w:sz w:val="18"/>
                      <w:szCs w:val="18"/>
                      <w:lang w:bidi="ar"/>
                    </w:rPr>
                    <w:t>NO</w:t>
                  </w:r>
                  <w:r>
                    <w:rPr>
                      <w:rFonts w:hint="eastAsia"/>
                      <w:color w:val="auto"/>
                      <w:sz w:val="18"/>
                      <w:szCs w:val="18"/>
                      <w:vertAlign w:val="subscript"/>
                      <w:lang w:bidi="ar"/>
                    </w:rPr>
                    <w:t>X</w:t>
                  </w:r>
                </w:p>
              </w:tc>
              <w:tc>
                <w:tcPr>
                  <w:tcW w:w="724" w:type="dxa"/>
                  <w:vMerge w:val="continue"/>
                  <w:vAlign w:val="center"/>
                </w:tcPr>
                <w:p>
                  <w:pPr>
                    <w:spacing w:line="320" w:lineRule="exact"/>
                    <w:jc w:val="center"/>
                    <w:rPr>
                      <w:bCs/>
                      <w:color w:val="auto"/>
                      <w:sz w:val="18"/>
                      <w:szCs w:val="18"/>
                    </w:rPr>
                  </w:pPr>
                </w:p>
              </w:tc>
              <w:tc>
                <w:tcPr>
                  <w:tcW w:w="1880" w:type="dxa"/>
                  <w:vAlign w:val="center"/>
                </w:tcPr>
                <w:p>
                  <w:pPr>
                    <w:spacing w:line="320" w:lineRule="exact"/>
                    <w:jc w:val="center"/>
                    <w:rPr>
                      <w:bCs/>
                      <w:color w:val="auto"/>
                      <w:sz w:val="18"/>
                      <w:szCs w:val="18"/>
                    </w:rPr>
                  </w:pPr>
                  <w:r>
                    <w:rPr>
                      <w:rFonts w:hint="eastAsia"/>
                      <w:color w:val="auto"/>
                      <w:sz w:val="18"/>
                      <w:szCs w:val="18"/>
                      <w:lang w:val="en-US" w:eastAsia="zh-CN" w:bidi="ar"/>
                    </w:rPr>
                    <w:t>&lt;0.005</w:t>
                  </w:r>
                  <w:r>
                    <w:rPr>
                      <w:bCs/>
                      <w:color w:val="auto"/>
                      <w:kern w:val="0"/>
                      <w:sz w:val="18"/>
                      <w:szCs w:val="18"/>
                      <w:lang w:bidi="ar"/>
                    </w:rPr>
                    <w:t>mg/m</w:t>
                  </w:r>
                  <w:r>
                    <w:rPr>
                      <w:bCs/>
                      <w:color w:val="auto"/>
                      <w:kern w:val="0"/>
                      <w:sz w:val="18"/>
                      <w:szCs w:val="18"/>
                      <w:vertAlign w:val="superscript"/>
                      <w:lang w:bidi="ar"/>
                    </w:rPr>
                    <w:t>3</w:t>
                  </w:r>
                </w:p>
              </w:tc>
              <w:tc>
                <w:tcPr>
                  <w:tcW w:w="1150" w:type="dxa"/>
                  <w:vAlign w:val="center"/>
                </w:tcPr>
                <w:p>
                  <w:pPr>
                    <w:spacing w:line="320" w:lineRule="exact"/>
                    <w:jc w:val="center"/>
                    <w:rPr>
                      <w:bCs/>
                      <w:color w:val="auto"/>
                      <w:sz w:val="18"/>
                      <w:szCs w:val="18"/>
                    </w:rPr>
                  </w:pPr>
                  <w:r>
                    <w:rPr>
                      <w:rFonts w:hint="eastAsia"/>
                      <w:bCs/>
                      <w:color w:val="auto"/>
                      <w:sz w:val="18"/>
                      <w:szCs w:val="18"/>
                    </w:rPr>
                    <w:t>0.2</w:t>
                  </w:r>
                  <w:r>
                    <w:rPr>
                      <w:rFonts w:hint="eastAsia"/>
                      <w:bCs/>
                      <w:color w:val="auto"/>
                      <w:sz w:val="18"/>
                      <w:szCs w:val="18"/>
                      <w:lang w:val="en-US" w:eastAsia="zh-CN"/>
                    </w:rPr>
                    <w:t>5</w:t>
                  </w:r>
                  <w:r>
                    <w:rPr>
                      <w:bCs/>
                      <w:color w:val="auto"/>
                      <w:kern w:val="0"/>
                      <w:sz w:val="18"/>
                      <w:szCs w:val="18"/>
                      <w:lang w:bidi="ar"/>
                    </w:rPr>
                    <w:t>mg/m</w:t>
                  </w:r>
                  <w:r>
                    <w:rPr>
                      <w:bCs/>
                      <w:color w:val="auto"/>
                      <w:kern w:val="0"/>
                      <w:sz w:val="18"/>
                      <w:szCs w:val="18"/>
                      <w:vertAlign w:val="superscript"/>
                      <w:lang w:bidi="ar"/>
                    </w:rPr>
                    <w:t>3</w:t>
                  </w:r>
                </w:p>
              </w:tc>
              <w:tc>
                <w:tcPr>
                  <w:tcW w:w="805" w:type="dxa"/>
                  <w:vAlign w:val="center"/>
                </w:tcPr>
                <w:p>
                  <w:pPr>
                    <w:spacing w:line="320" w:lineRule="exact"/>
                    <w:jc w:val="center"/>
                    <w:rPr>
                      <w:rFonts w:hint="eastAsia" w:eastAsia="宋体"/>
                      <w:bCs/>
                      <w:color w:val="auto"/>
                      <w:sz w:val="18"/>
                      <w:szCs w:val="18"/>
                      <w:lang w:eastAsia="zh-CN"/>
                    </w:rPr>
                  </w:pPr>
                  <w:r>
                    <w:rPr>
                      <w:rFonts w:hint="eastAsia"/>
                      <w:bCs/>
                      <w:color w:val="auto"/>
                      <w:sz w:val="18"/>
                      <w:szCs w:val="18"/>
                      <w:lang w:val="en-US" w:eastAsia="zh-CN"/>
                    </w:rPr>
                    <w:t>/</w:t>
                  </w:r>
                </w:p>
              </w:tc>
              <w:tc>
                <w:tcPr>
                  <w:tcW w:w="878" w:type="dxa"/>
                  <w:vAlign w:val="center"/>
                </w:tcPr>
                <w:p>
                  <w:pPr>
                    <w:spacing w:line="320" w:lineRule="exact"/>
                    <w:jc w:val="center"/>
                    <w:rPr>
                      <w:color w:val="auto"/>
                      <w:sz w:val="18"/>
                      <w:szCs w:val="18"/>
                    </w:rPr>
                  </w:pPr>
                  <w:r>
                    <w:rPr>
                      <w:rFonts w:hint="eastAsia"/>
                      <w:color w:val="auto"/>
                      <w:sz w:val="18"/>
                      <w:szCs w:val="18"/>
                    </w:rPr>
                    <w:t>0</w:t>
                  </w:r>
                </w:p>
              </w:tc>
              <w:tc>
                <w:tcPr>
                  <w:tcW w:w="1151" w:type="dxa"/>
                  <w:vAlign w:val="center"/>
                </w:tcPr>
                <w:p>
                  <w:pPr>
                    <w:spacing w:line="320" w:lineRule="exact"/>
                    <w:jc w:val="center"/>
                    <w:rPr>
                      <w:bCs/>
                      <w:color w:val="auto"/>
                      <w:sz w:val="18"/>
                      <w:szCs w:val="18"/>
                    </w:rPr>
                  </w:pPr>
                  <w:r>
                    <w:rPr>
                      <w:rFonts w:hint="eastAsia"/>
                      <w:bCs/>
                      <w:color w:val="auto"/>
                      <w:sz w:val="18"/>
                      <w:szCs w:val="18"/>
                    </w:rPr>
                    <w:t>/</w:t>
                  </w:r>
                </w:p>
              </w:tc>
            </w:tr>
          </w:tbl>
          <w:p>
            <w:pPr>
              <w:pStyle w:val="20"/>
              <w:widowControl w:val="0"/>
              <w:spacing w:before="0" w:beforeAutospacing="0" w:after="0" w:afterAutospacing="0" w:line="360" w:lineRule="auto"/>
              <w:ind w:firstLine="420" w:firstLineChars="200"/>
              <w:jc w:val="both"/>
              <w:rPr>
                <w:rFonts w:ascii="Times New Roman" w:hAnsi="Times New Roman"/>
                <w:color w:val="auto"/>
                <w:kern w:val="2"/>
                <w:sz w:val="21"/>
                <w:szCs w:val="21"/>
                <w:lang w:bidi="ar"/>
              </w:rPr>
            </w:pPr>
            <w:r>
              <w:rPr>
                <w:rFonts w:ascii="Times New Roman" w:hAnsi="Times New Roman"/>
                <w:bCs/>
                <w:color w:val="auto"/>
                <w:sz w:val="21"/>
                <w:szCs w:val="21"/>
              </w:rPr>
              <w:t>根据评价结果，监测期间</w:t>
            </w:r>
            <w:r>
              <w:rPr>
                <w:rFonts w:ascii="Times New Roman" w:hAnsi="Times New Roman"/>
                <w:color w:val="auto"/>
                <w:sz w:val="21"/>
                <w:szCs w:val="21"/>
              </w:rPr>
              <w:t>TSP</w:t>
            </w:r>
            <w:r>
              <w:rPr>
                <w:rFonts w:hint="eastAsia" w:ascii="Times New Roman" w:hAnsi="Times New Roman"/>
                <w:color w:val="auto"/>
                <w:sz w:val="21"/>
                <w:szCs w:val="21"/>
              </w:rPr>
              <w:t>、</w:t>
            </w:r>
            <w:r>
              <w:rPr>
                <w:rFonts w:ascii="Times New Roman" w:hAnsi="Times New Roman"/>
                <w:color w:val="auto"/>
                <w:kern w:val="2"/>
                <w:sz w:val="21"/>
                <w:szCs w:val="21"/>
                <w:lang w:bidi="ar"/>
              </w:rPr>
              <w:t>NO</w:t>
            </w:r>
            <w:r>
              <w:rPr>
                <w:rFonts w:ascii="Times New Roman" w:hAnsi="Times New Roman"/>
                <w:color w:val="auto"/>
                <w:kern w:val="2"/>
                <w:sz w:val="21"/>
                <w:szCs w:val="21"/>
                <w:vertAlign w:val="subscript"/>
                <w:lang w:bidi="ar"/>
              </w:rPr>
              <w:t>X</w:t>
            </w:r>
            <w:r>
              <w:rPr>
                <w:rFonts w:ascii="Times New Roman" w:hAnsi="Times New Roman"/>
                <w:bCs/>
                <w:color w:val="auto"/>
                <w:sz w:val="21"/>
                <w:szCs w:val="21"/>
              </w:rPr>
              <w:t>满足</w:t>
            </w:r>
            <w:r>
              <w:rPr>
                <w:rFonts w:ascii="Times New Roman" w:hAnsi="Times New Roman"/>
                <w:color w:val="auto"/>
                <w:kern w:val="2"/>
                <w:sz w:val="21"/>
                <w:szCs w:val="21"/>
                <w:lang w:bidi="ar"/>
              </w:rPr>
              <w:t>《环境空气质量标准》（GB3095-2012）中表2环境空气污染物其他项目浓度限值</w:t>
            </w:r>
            <w:r>
              <w:rPr>
                <w:rFonts w:hint="eastAsia" w:ascii="Times New Roman" w:hAnsi="Times New Roman"/>
                <w:color w:val="auto"/>
                <w:kern w:val="2"/>
                <w:sz w:val="21"/>
                <w:szCs w:val="21"/>
                <w:lang w:bidi="ar"/>
              </w:rPr>
              <w:t>。</w:t>
            </w:r>
          </w:p>
          <w:p>
            <w:pPr>
              <w:spacing w:line="360" w:lineRule="auto"/>
              <w:ind w:firstLine="422" w:firstLineChars="200"/>
              <w:jc w:val="left"/>
              <w:rPr>
                <w:b/>
                <w:bCs/>
                <w:color w:val="auto"/>
              </w:rPr>
            </w:pPr>
            <w:r>
              <w:rPr>
                <w:b/>
                <w:bCs/>
                <w:color w:val="auto"/>
              </w:rPr>
              <w:t>二、地表水环境质量现状及评价</w:t>
            </w:r>
          </w:p>
          <w:p>
            <w:pPr>
              <w:spacing w:line="360" w:lineRule="auto"/>
              <w:ind w:firstLine="420" w:firstLineChars="200"/>
              <w:jc w:val="left"/>
              <w:rPr>
                <w:rFonts w:hint="eastAsia"/>
                <w:b w:val="0"/>
                <w:bCs w:val="0"/>
                <w:color w:val="auto"/>
              </w:rPr>
            </w:pPr>
            <w:r>
              <w:rPr>
                <w:rFonts w:hint="eastAsia"/>
                <w:b w:val="0"/>
                <w:bCs w:val="0"/>
                <w:color w:val="auto"/>
              </w:rPr>
              <w:t>根据《环境影响评价技术导则地表水环境》</w:t>
            </w:r>
            <w:r>
              <w:rPr>
                <w:rFonts w:hint="eastAsia"/>
                <w:b w:val="0"/>
                <w:bCs w:val="0"/>
                <w:color w:val="auto"/>
                <w:lang w:eastAsia="zh-CN"/>
              </w:rPr>
              <w:t>（</w:t>
            </w:r>
            <w:r>
              <w:rPr>
                <w:rFonts w:hint="eastAsia"/>
                <w:b w:val="0"/>
                <w:bCs w:val="0"/>
                <w:color w:val="auto"/>
              </w:rPr>
              <w:t>HJ 2.3-2018</w:t>
            </w:r>
            <w:r>
              <w:rPr>
                <w:rFonts w:hint="eastAsia"/>
                <w:b w:val="0"/>
                <w:bCs w:val="0"/>
                <w:color w:val="auto"/>
                <w:lang w:eastAsia="zh-CN"/>
              </w:rPr>
              <w:t>）</w:t>
            </w:r>
            <w:r>
              <w:rPr>
                <w:rFonts w:hint="eastAsia"/>
                <w:b w:val="0"/>
                <w:bCs w:val="0"/>
                <w:color w:val="auto"/>
              </w:rPr>
              <w:t>要求，“建设项目生产工艺中有废水产生，但作为回水利用，不排放到外环境的，按三级B评价</w:t>
            </w:r>
            <w:r>
              <w:rPr>
                <w:rFonts w:hint="eastAsia"/>
                <w:b w:val="0"/>
                <w:bCs w:val="0"/>
                <w:color w:val="auto"/>
                <w:lang w:eastAsia="zh-CN"/>
              </w:rPr>
              <w:t>；间接排放建设项目评价等级为三级B。</w:t>
            </w:r>
            <w:r>
              <w:rPr>
                <w:rFonts w:hint="eastAsia"/>
                <w:b w:val="0"/>
                <w:bCs w:val="0"/>
                <w:color w:val="auto"/>
              </w:rPr>
              <w:t>”本项目产生的</w:t>
            </w:r>
            <w:r>
              <w:rPr>
                <w:rFonts w:hint="eastAsia"/>
                <w:b w:val="0"/>
                <w:bCs w:val="0"/>
                <w:color w:val="auto"/>
                <w:lang w:val="en-US" w:eastAsia="zh-CN"/>
              </w:rPr>
              <w:t>生产</w:t>
            </w:r>
            <w:r>
              <w:rPr>
                <w:rFonts w:hint="eastAsia"/>
                <w:b w:val="0"/>
                <w:bCs w:val="0"/>
                <w:color w:val="auto"/>
              </w:rPr>
              <w:t>废水全部循环利用，</w:t>
            </w:r>
            <w:r>
              <w:rPr>
                <w:rFonts w:hint="eastAsia"/>
                <w:b w:val="0"/>
                <w:bCs w:val="0"/>
                <w:color w:val="auto"/>
                <w:lang w:val="en-US" w:eastAsia="zh-CN"/>
              </w:rPr>
              <w:t>不外排；</w:t>
            </w:r>
            <w:r>
              <w:rPr>
                <w:rFonts w:hint="eastAsia"/>
                <w:b w:val="0"/>
                <w:bCs w:val="0"/>
                <w:color w:val="auto"/>
              </w:rPr>
              <w:t>生活污水直接排入市政污水管网，最终进入玛纳斯县污水处理厂。因此地表水评价等级为三级B。</w:t>
            </w:r>
          </w:p>
          <w:p>
            <w:pPr>
              <w:spacing w:line="360" w:lineRule="auto"/>
              <w:ind w:firstLine="422" w:firstLineChars="200"/>
              <w:jc w:val="left"/>
              <w:rPr>
                <w:b/>
                <w:bCs/>
                <w:color w:val="auto"/>
              </w:rPr>
            </w:pPr>
            <w:r>
              <w:rPr>
                <w:rFonts w:hint="eastAsia"/>
                <w:b/>
                <w:bCs/>
                <w:color w:val="auto"/>
              </w:rPr>
              <w:t>三</w:t>
            </w:r>
            <w:r>
              <w:rPr>
                <w:b/>
                <w:bCs/>
                <w:color w:val="auto"/>
              </w:rPr>
              <w:t>、声环境质量现状</w:t>
            </w:r>
          </w:p>
          <w:p>
            <w:pPr>
              <w:spacing w:line="360" w:lineRule="auto"/>
              <w:ind w:firstLine="420" w:firstLineChars="200"/>
              <w:jc w:val="left"/>
              <w:rPr>
                <w:rFonts w:hint="default" w:eastAsia="宋体"/>
                <w:color w:val="auto"/>
                <w:szCs w:val="21"/>
                <w:highlight w:val="yellow"/>
                <w:lang w:val="en-US" w:eastAsia="zh-CN"/>
              </w:rPr>
            </w:pPr>
            <w:r>
              <w:rPr>
                <w:color w:val="auto"/>
                <w:szCs w:val="21"/>
              </w:rPr>
              <w:t>本次环评</w:t>
            </w:r>
            <w:r>
              <w:rPr>
                <w:rFonts w:hint="eastAsia"/>
                <w:color w:val="auto"/>
                <w:szCs w:val="21"/>
                <w:lang w:val="en-US" w:eastAsia="zh-CN"/>
              </w:rPr>
              <w:t>委托</w:t>
            </w:r>
            <w:r>
              <w:rPr>
                <w:rFonts w:hint="eastAsia"/>
                <w:color w:val="auto"/>
                <w:szCs w:val="21"/>
                <w:highlight w:val="none"/>
                <w:lang w:val="en-US" w:eastAsia="zh-CN"/>
              </w:rPr>
              <w:t>新疆锡水金山环境科技有限公司于2023年8月16日</w:t>
            </w:r>
            <w:r>
              <w:rPr>
                <w:color w:val="auto"/>
                <w:szCs w:val="21"/>
              </w:rPr>
              <w:t>对本项目</w:t>
            </w:r>
            <w:r>
              <w:rPr>
                <w:rFonts w:hint="eastAsia"/>
                <w:color w:val="auto"/>
                <w:szCs w:val="21"/>
                <w:lang w:val="en-US" w:eastAsia="zh-CN"/>
              </w:rPr>
              <w:t>厂界噪声</w:t>
            </w:r>
            <w:r>
              <w:rPr>
                <w:color w:val="auto"/>
                <w:szCs w:val="21"/>
              </w:rPr>
              <w:t>的监测。</w:t>
            </w:r>
            <w:r>
              <w:rPr>
                <w:rFonts w:hint="eastAsia"/>
                <w:color w:val="auto"/>
                <w:szCs w:val="21"/>
                <w:lang w:val="en-US" w:eastAsia="zh-CN"/>
              </w:rPr>
              <w:t>并出具了监测报告</w:t>
            </w:r>
            <w:r>
              <w:rPr>
                <w:rFonts w:hint="eastAsia"/>
                <w:color w:val="auto"/>
                <w:szCs w:val="21"/>
                <w:highlight w:val="none"/>
                <w:lang w:val="en-US" w:eastAsia="zh-CN"/>
              </w:rPr>
              <w:t>（WT202308139），见附件4。</w:t>
            </w:r>
          </w:p>
          <w:p>
            <w:pPr>
              <w:spacing w:line="360" w:lineRule="auto"/>
              <w:ind w:firstLine="420" w:firstLineChars="200"/>
              <w:rPr>
                <w:bCs/>
                <w:color w:val="auto"/>
                <w:szCs w:val="21"/>
              </w:rPr>
            </w:pPr>
            <w:r>
              <w:rPr>
                <w:rFonts w:hint="eastAsia"/>
                <w:bCs/>
                <w:color w:val="auto"/>
                <w:szCs w:val="21"/>
              </w:rPr>
              <w:t>监测结果如下：</w:t>
            </w:r>
          </w:p>
          <w:p>
            <w:pPr>
              <w:jc w:val="center"/>
              <w:rPr>
                <w:b/>
                <w:bCs/>
                <w:color w:val="auto"/>
                <w:sz w:val="18"/>
                <w:szCs w:val="18"/>
                <w:highlight w:val="none"/>
              </w:rPr>
            </w:pPr>
            <w:r>
              <w:rPr>
                <w:b/>
                <w:bCs/>
                <w:color w:val="auto"/>
                <w:sz w:val="18"/>
                <w:szCs w:val="18"/>
                <w:highlight w:val="none"/>
              </w:rPr>
              <w:t>表3-</w:t>
            </w:r>
            <w:r>
              <w:rPr>
                <w:rFonts w:hint="eastAsia"/>
                <w:b/>
                <w:bCs/>
                <w:color w:val="auto"/>
                <w:sz w:val="18"/>
                <w:szCs w:val="18"/>
                <w:highlight w:val="none"/>
                <w:lang w:val="en-US" w:eastAsia="zh-CN"/>
              </w:rPr>
              <w:t>4</w:t>
            </w:r>
            <w:r>
              <w:rPr>
                <w:b/>
                <w:bCs/>
                <w:color w:val="auto"/>
                <w:sz w:val="18"/>
                <w:szCs w:val="18"/>
                <w:highlight w:val="none"/>
              </w:rPr>
              <w:t xml:space="preserve">  声环境质量监测结果一览表  单位：等效声级Leq[dB](A）</w:t>
            </w:r>
          </w:p>
          <w:tbl>
            <w:tblPr>
              <w:tblStyle w:val="25"/>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0"/>
              <w:gridCol w:w="2153"/>
              <w:gridCol w:w="1240"/>
              <w:gridCol w:w="1240"/>
              <w:gridCol w:w="1080"/>
              <w:gridCol w:w="12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0" w:type="dxa"/>
                  <w:vMerge w:val="restart"/>
                  <w:vAlign w:val="center"/>
                </w:tcPr>
                <w:p>
                  <w:pPr>
                    <w:jc w:val="center"/>
                    <w:rPr>
                      <w:color w:val="auto"/>
                      <w:sz w:val="18"/>
                      <w:szCs w:val="18"/>
                    </w:rPr>
                  </w:pPr>
                  <w:r>
                    <w:rPr>
                      <w:rFonts w:hint="eastAsia"/>
                      <w:color w:val="auto"/>
                      <w:sz w:val="18"/>
                      <w:szCs w:val="18"/>
                    </w:rPr>
                    <w:t>点位编号</w:t>
                  </w:r>
                </w:p>
              </w:tc>
              <w:tc>
                <w:tcPr>
                  <w:tcW w:w="2153" w:type="dxa"/>
                  <w:vMerge w:val="restart"/>
                  <w:vAlign w:val="center"/>
                </w:tcPr>
                <w:p>
                  <w:pPr>
                    <w:jc w:val="center"/>
                    <w:rPr>
                      <w:color w:val="auto"/>
                      <w:sz w:val="18"/>
                      <w:szCs w:val="18"/>
                    </w:rPr>
                  </w:pPr>
                  <w:r>
                    <w:rPr>
                      <w:rFonts w:hint="eastAsia"/>
                      <w:color w:val="auto"/>
                      <w:sz w:val="18"/>
                      <w:szCs w:val="18"/>
                    </w:rPr>
                    <w:t>点位名称</w:t>
                  </w:r>
                </w:p>
              </w:tc>
              <w:tc>
                <w:tcPr>
                  <w:tcW w:w="2480" w:type="dxa"/>
                  <w:gridSpan w:val="2"/>
                  <w:vAlign w:val="center"/>
                </w:tcPr>
                <w:p>
                  <w:pPr>
                    <w:jc w:val="center"/>
                    <w:rPr>
                      <w:rFonts w:hint="eastAsia"/>
                      <w:color w:val="auto"/>
                      <w:sz w:val="18"/>
                      <w:szCs w:val="18"/>
                    </w:rPr>
                  </w:pPr>
                  <w:r>
                    <w:rPr>
                      <w:rFonts w:hint="eastAsia"/>
                      <w:color w:val="auto"/>
                      <w:sz w:val="18"/>
                      <w:szCs w:val="18"/>
                    </w:rPr>
                    <w:t>2023年</w:t>
                  </w:r>
                  <w:r>
                    <w:rPr>
                      <w:rFonts w:hint="eastAsia"/>
                      <w:color w:val="auto"/>
                      <w:sz w:val="18"/>
                      <w:szCs w:val="18"/>
                      <w:lang w:val="en-US" w:eastAsia="zh-CN"/>
                    </w:rPr>
                    <w:t>8</w:t>
                  </w:r>
                  <w:r>
                    <w:rPr>
                      <w:rFonts w:hint="eastAsia"/>
                      <w:color w:val="auto"/>
                      <w:sz w:val="18"/>
                      <w:szCs w:val="18"/>
                    </w:rPr>
                    <w:t>月</w:t>
                  </w:r>
                  <w:r>
                    <w:rPr>
                      <w:rFonts w:hint="eastAsia"/>
                      <w:color w:val="auto"/>
                      <w:sz w:val="18"/>
                      <w:szCs w:val="18"/>
                      <w:lang w:val="en-US" w:eastAsia="zh-CN"/>
                    </w:rPr>
                    <w:t>16</w:t>
                  </w:r>
                  <w:r>
                    <w:rPr>
                      <w:rFonts w:hint="eastAsia"/>
                      <w:color w:val="auto"/>
                      <w:sz w:val="18"/>
                      <w:szCs w:val="18"/>
                    </w:rPr>
                    <w:t>日</w:t>
                  </w:r>
                </w:p>
              </w:tc>
              <w:tc>
                <w:tcPr>
                  <w:tcW w:w="1080" w:type="dxa"/>
                  <w:vMerge w:val="restart"/>
                  <w:vAlign w:val="center"/>
                </w:tcPr>
                <w:p>
                  <w:pPr>
                    <w:jc w:val="center"/>
                    <w:rPr>
                      <w:color w:val="auto"/>
                      <w:sz w:val="18"/>
                      <w:szCs w:val="18"/>
                    </w:rPr>
                  </w:pPr>
                  <w:r>
                    <w:rPr>
                      <w:color w:val="auto"/>
                      <w:sz w:val="18"/>
                      <w:szCs w:val="18"/>
                    </w:rPr>
                    <w:t>评价标准</w:t>
                  </w:r>
                </w:p>
              </w:tc>
              <w:tc>
                <w:tcPr>
                  <w:tcW w:w="1225" w:type="dxa"/>
                  <w:vMerge w:val="restart"/>
                  <w:vAlign w:val="center"/>
                </w:tcPr>
                <w:p>
                  <w:pPr>
                    <w:jc w:val="center"/>
                    <w:rPr>
                      <w:color w:val="auto"/>
                      <w:sz w:val="18"/>
                      <w:szCs w:val="18"/>
                    </w:rPr>
                  </w:pPr>
                  <w:r>
                    <w:rPr>
                      <w:rFonts w:hint="eastAsia"/>
                      <w:color w:val="auto"/>
                      <w:sz w:val="18"/>
                      <w:szCs w:val="18"/>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0" w:type="dxa"/>
                  <w:vMerge w:val="continue"/>
                  <w:vAlign w:val="center"/>
                </w:tcPr>
                <w:p>
                  <w:pPr>
                    <w:jc w:val="center"/>
                    <w:rPr>
                      <w:color w:val="auto"/>
                      <w:sz w:val="18"/>
                      <w:szCs w:val="18"/>
                    </w:rPr>
                  </w:pPr>
                </w:p>
              </w:tc>
              <w:tc>
                <w:tcPr>
                  <w:tcW w:w="2153" w:type="dxa"/>
                  <w:vMerge w:val="continue"/>
                  <w:vAlign w:val="center"/>
                </w:tcPr>
                <w:p>
                  <w:pPr>
                    <w:jc w:val="center"/>
                    <w:rPr>
                      <w:color w:val="auto"/>
                      <w:sz w:val="18"/>
                      <w:szCs w:val="18"/>
                    </w:rPr>
                  </w:pPr>
                </w:p>
              </w:tc>
              <w:tc>
                <w:tcPr>
                  <w:tcW w:w="1240" w:type="dxa"/>
                  <w:vAlign w:val="center"/>
                </w:tcPr>
                <w:p>
                  <w:pPr>
                    <w:jc w:val="center"/>
                    <w:rPr>
                      <w:color w:val="auto"/>
                      <w:sz w:val="18"/>
                      <w:szCs w:val="18"/>
                    </w:rPr>
                  </w:pPr>
                  <w:r>
                    <w:rPr>
                      <w:color w:val="auto"/>
                      <w:sz w:val="18"/>
                      <w:szCs w:val="18"/>
                    </w:rPr>
                    <w:t>昼间</w:t>
                  </w:r>
                </w:p>
              </w:tc>
              <w:tc>
                <w:tcPr>
                  <w:tcW w:w="1240" w:type="dxa"/>
                  <w:vAlign w:val="center"/>
                </w:tcPr>
                <w:p>
                  <w:pPr>
                    <w:jc w:val="center"/>
                    <w:rPr>
                      <w:rFonts w:hint="eastAsia" w:eastAsia="宋体"/>
                      <w:color w:val="auto"/>
                      <w:sz w:val="18"/>
                      <w:szCs w:val="18"/>
                      <w:lang w:val="en-US" w:eastAsia="zh-CN"/>
                    </w:rPr>
                  </w:pPr>
                  <w:r>
                    <w:rPr>
                      <w:rFonts w:hint="eastAsia"/>
                      <w:color w:val="auto"/>
                      <w:sz w:val="18"/>
                      <w:szCs w:val="18"/>
                      <w:lang w:val="en-US" w:eastAsia="zh-CN"/>
                    </w:rPr>
                    <w:t>夜间</w:t>
                  </w:r>
                </w:p>
              </w:tc>
              <w:tc>
                <w:tcPr>
                  <w:tcW w:w="1080" w:type="dxa"/>
                  <w:vMerge w:val="continue"/>
                  <w:vAlign w:val="center"/>
                </w:tcPr>
                <w:p>
                  <w:pPr>
                    <w:jc w:val="center"/>
                    <w:rPr>
                      <w:color w:val="auto"/>
                      <w:sz w:val="18"/>
                      <w:szCs w:val="18"/>
                    </w:rPr>
                  </w:pPr>
                  <w:r>
                    <w:rPr>
                      <w:color w:val="auto"/>
                      <w:sz w:val="18"/>
                      <w:szCs w:val="18"/>
                    </w:rPr>
                    <w:t>昼间</w:t>
                  </w:r>
                </w:p>
              </w:tc>
              <w:tc>
                <w:tcPr>
                  <w:tcW w:w="1225" w:type="dxa"/>
                  <w:vMerge w:val="continue"/>
                  <w:vAlign w:val="center"/>
                </w:tcPr>
                <w:p>
                  <w:pPr>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0" w:type="dxa"/>
                  <w:vAlign w:val="center"/>
                </w:tcPr>
                <w:p>
                  <w:pPr>
                    <w:jc w:val="center"/>
                    <w:rPr>
                      <w:color w:val="auto"/>
                      <w:sz w:val="18"/>
                      <w:szCs w:val="18"/>
                    </w:rPr>
                  </w:pPr>
                  <w:r>
                    <w:rPr>
                      <w:color w:val="auto"/>
                      <w:sz w:val="18"/>
                      <w:szCs w:val="18"/>
                    </w:rPr>
                    <w:t>1#</w:t>
                  </w:r>
                </w:p>
              </w:tc>
              <w:tc>
                <w:tcPr>
                  <w:tcW w:w="2153" w:type="dxa"/>
                  <w:vAlign w:val="center"/>
                </w:tcPr>
                <w:p>
                  <w:pPr>
                    <w:pStyle w:val="44"/>
                    <w:spacing w:before="24" w:after="24"/>
                    <w:rPr>
                      <w:rFonts w:ascii="Times New Roman"/>
                      <w:color w:val="auto"/>
                      <w:kern w:val="2"/>
                      <w:sz w:val="18"/>
                      <w:szCs w:val="18"/>
                    </w:rPr>
                  </w:pPr>
                  <w:r>
                    <w:rPr>
                      <w:rFonts w:hint="eastAsia" w:ascii="Times New Roman"/>
                      <w:color w:val="auto"/>
                      <w:kern w:val="2"/>
                      <w:sz w:val="18"/>
                      <w:szCs w:val="18"/>
                    </w:rPr>
                    <w:t>项目地</w:t>
                  </w:r>
                  <w:r>
                    <w:rPr>
                      <w:rFonts w:hint="eastAsia" w:ascii="Times New Roman"/>
                      <w:color w:val="auto"/>
                      <w:kern w:val="2"/>
                      <w:sz w:val="18"/>
                      <w:szCs w:val="18"/>
                      <w:lang w:val="en-US" w:eastAsia="zh-CN"/>
                    </w:rPr>
                    <w:t>东</w:t>
                  </w:r>
                  <w:r>
                    <w:rPr>
                      <w:rFonts w:hint="eastAsia" w:ascii="Times New Roman"/>
                      <w:color w:val="auto"/>
                      <w:kern w:val="2"/>
                      <w:sz w:val="18"/>
                      <w:szCs w:val="18"/>
                    </w:rPr>
                    <w:t>侧厂界外1m</w:t>
                  </w:r>
                </w:p>
              </w:tc>
              <w:tc>
                <w:tcPr>
                  <w:tcW w:w="1240" w:type="dxa"/>
                  <w:vAlign w:val="center"/>
                </w:tcPr>
                <w:p>
                  <w:pPr>
                    <w:jc w:val="center"/>
                    <w:rPr>
                      <w:rFonts w:hint="default" w:eastAsia="宋体"/>
                      <w:color w:val="auto"/>
                      <w:sz w:val="18"/>
                      <w:szCs w:val="18"/>
                      <w:lang w:val="en-US" w:eastAsia="zh-CN"/>
                    </w:rPr>
                  </w:pPr>
                  <w:r>
                    <w:rPr>
                      <w:rFonts w:hint="eastAsia"/>
                      <w:color w:val="auto"/>
                      <w:sz w:val="18"/>
                      <w:szCs w:val="18"/>
                      <w:lang w:val="en-US" w:eastAsia="zh-CN"/>
                    </w:rPr>
                    <w:t>52</w:t>
                  </w:r>
                </w:p>
              </w:tc>
              <w:tc>
                <w:tcPr>
                  <w:tcW w:w="1240" w:type="dxa"/>
                  <w:vAlign w:val="center"/>
                </w:tcPr>
                <w:p>
                  <w:pPr>
                    <w:jc w:val="center"/>
                    <w:rPr>
                      <w:rFonts w:hint="default"/>
                      <w:color w:val="auto"/>
                      <w:sz w:val="18"/>
                      <w:szCs w:val="18"/>
                      <w:lang w:val="en-US" w:eastAsia="zh-CN"/>
                    </w:rPr>
                  </w:pPr>
                  <w:r>
                    <w:rPr>
                      <w:rFonts w:hint="eastAsia"/>
                      <w:color w:val="auto"/>
                      <w:sz w:val="18"/>
                      <w:szCs w:val="18"/>
                      <w:lang w:val="en-US" w:eastAsia="zh-CN"/>
                    </w:rPr>
                    <w:t>40</w:t>
                  </w:r>
                </w:p>
              </w:tc>
              <w:tc>
                <w:tcPr>
                  <w:tcW w:w="1080" w:type="dxa"/>
                  <w:vMerge w:val="restart"/>
                  <w:vAlign w:val="center"/>
                </w:tcPr>
                <w:p>
                  <w:pPr>
                    <w:jc w:val="center"/>
                    <w:rPr>
                      <w:rFonts w:hint="default" w:eastAsia="宋体"/>
                      <w:color w:val="auto"/>
                      <w:sz w:val="18"/>
                      <w:szCs w:val="18"/>
                      <w:lang w:val="en-US" w:eastAsia="zh-CN"/>
                    </w:rPr>
                  </w:pPr>
                  <w:r>
                    <w:rPr>
                      <w:rFonts w:hint="eastAsia"/>
                      <w:color w:val="auto"/>
                      <w:sz w:val="18"/>
                      <w:szCs w:val="18"/>
                      <w:lang w:val="en-US" w:eastAsia="zh-CN"/>
                    </w:rPr>
                    <w:t>昼间</w:t>
                  </w:r>
                  <w:r>
                    <w:rPr>
                      <w:rFonts w:hint="eastAsia"/>
                      <w:color w:val="auto"/>
                      <w:sz w:val="18"/>
                      <w:szCs w:val="18"/>
                    </w:rPr>
                    <w:t>6</w:t>
                  </w:r>
                  <w:r>
                    <w:rPr>
                      <w:rFonts w:hint="eastAsia"/>
                      <w:color w:val="auto"/>
                      <w:sz w:val="18"/>
                      <w:szCs w:val="18"/>
                      <w:lang w:val="en-US" w:eastAsia="zh-CN"/>
                    </w:rPr>
                    <w:t>0、夜间50</w:t>
                  </w:r>
                </w:p>
              </w:tc>
              <w:tc>
                <w:tcPr>
                  <w:tcW w:w="1225" w:type="dxa"/>
                  <w:vAlign w:val="center"/>
                </w:tcPr>
                <w:p>
                  <w:pPr>
                    <w:jc w:val="center"/>
                    <w:rPr>
                      <w:color w:val="auto"/>
                      <w:sz w:val="18"/>
                      <w:szCs w:val="18"/>
                    </w:rPr>
                  </w:pPr>
                  <w:r>
                    <w:rPr>
                      <w:rFonts w:hint="eastAsia"/>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0" w:type="dxa"/>
                  <w:vAlign w:val="center"/>
                </w:tcPr>
                <w:p>
                  <w:pPr>
                    <w:jc w:val="center"/>
                    <w:rPr>
                      <w:color w:val="auto"/>
                      <w:sz w:val="18"/>
                      <w:szCs w:val="18"/>
                    </w:rPr>
                  </w:pPr>
                  <w:r>
                    <w:rPr>
                      <w:color w:val="auto"/>
                      <w:sz w:val="18"/>
                      <w:szCs w:val="18"/>
                    </w:rPr>
                    <w:t>2#</w:t>
                  </w:r>
                </w:p>
              </w:tc>
              <w:tc>
                <w:tcPr>
                  <w:tcW w:w="2153" w:type="dxa"/>
                  <w:vAlign w:val="center"/>
                </w:tcPr>
                <w:p>
                  <w:pPr>
                    <w:pStyle w:val="44"/>
                    <w:spacing w:before="24" w:after="24"/>
                    <w:rPr>
                      <w:rFonts w:ascii="Times New Roman"/>
                      <w:color w:val="auto"/>
                      <w:kern w:val="2"/>
                      <w:sz w:val="18"/>
                      <w:szCs w:val="18"/>
                    </w:rPr>
                  </w:pPr>
                  <w:r>
                    <w:rPr>
                      <w:rFonts w:hint="eastAsia" w:ascii="Times New Roman"/>
                      <w:color w:val="auto"/>
                      <w:kern w:val="2"/>
                      <w:sz w:val="18"/>
                      <w:szCs w:val="18"/>
                    </w:rPr>
                    <w:t>项目地</w:t>
                  </w:r>
                  <w:r>
                    <w:rPr>
                      <w:rFonts w:hint="eastAsia" w:ascii="Times New Roman"/>
                      <w:color w:val="auto"/>
                      <w:kern w:val="2"/>
                      <w:sz w:val="18"/>
                      <w:szCs w:val="18"/>
                      <w:lang w:val="en-US" w:eastAsia="zh-CN"/>
                    </w:rPr>
                    <w:t>南</w:t>
                  </w:r>
                  <w:r>
                    <w:rPr>
                      <w:rFonts w:hint="eastAsia" w:ascii="Times New Roman"/>
                      <w:color w:val="auto"/>
                      <w:kern w:val="2"/>
                      <w:sz w:val="18"/>
                      <w:szCs w:val="18"/>
                    </w:rPr>
                    <w:t>侧厂界外1m</w:t>
                  </w:r>
                </w:p>
              </w:tc>
              <w:tc>
                <w:tcPr>
                  <w:tcW w:w="1240" w:type="dxa"/>
                  <w:vAlign w:val="center"/>
                </w:tcPr>
                <w:p>
                  <w:pPr>
                    <w:jc w:val="center"/>
                    <w:rPr>
                      <w:rFonts w:hint="default" w:eastAsia="宋体"/>
                      <w:color w:val="auto"/>
                      <w:sz w:val="18"/>
                      <w:szCs w:val="18"/>
                      <w:lang w:val="en-US" w:eastAsia="zh-CN"/>
                    </w:rPr>
                  </w:pPr>
                  <w:r>
                    <w:rPr>
                      <w:rFonts w:hint="eastAsia"/>
                      <w:color w:val="auto"/>
                      <w:sz w:val="18"/>
                      <w:szCs w:val="18"/>
                      <w:lang w:val="en-US" w:eastAsia="zh-CN"/>
                    </w:rPr>
                    <w:t>48</w:t>
                  </w:r>
                </w:p>
              </w:tc>
              <w:tc>
                <w:tcPr>
                  <w:tcW w:w="1240" w:type="dxa"/>
                  <w:vAlign w:val="center"/>
                </w:tcPr>
                <w:p>
                  <w:pPr>
                    <w:jc w:val="center"/>
                    <w:rPr>
                      <w:rFonts w:hint="default"/>
                      <w:color w:val="auto"/>
                      <w:sz w:val="18"/>
                      <w:szCs w:val="18"/>
                      <w:lang w:val="en-US" w:eastAsia="zh-CN"/>
                    </w:rPr>
                  </w:pPr>
                  <w:r>
                    <w:rPr>
                      <w:rFonts w:hint="eastAsia"/>
                      <w:color w:val="auto"/>
                      <w:sz w:val="18"/>
                      <w:szCs w:val="18"/>
                      <w:lang w:val="en-US" w:eastAsia="zh-CN"/>
                    </w:rPr>
                    <w:t>38</w:t>
                  </w:r>
                </w:p>
              </w:tc>
              <w:tc>
                <w:tcPr>
                  <w:tcW w:w="1080" w:type="dxa"/>
                  <w:vMerge w:val="continue"/>
                  <w:vAlign w:val="center"/>
                </w:tcPr>
                <w:p>
                  <w:pPr>
                    <w:jc w:val="center"/>
                    <w:rPr>
                      <w:color w:val="auto"/>
                      <w:sz w:val="18"/>
                      <w:szCs w:val="18"/>
                    </w:rPr>
                  </w:pPr>
                </w:p>
              </w:tc>
              <w:tc>
                <w:tcPr>
                  <w:tcW w:w="1225" w:type="dxa"/>
                  <w:vAlign w:val="center"/>
                </w:tcPr>
                <w:p>
                  <w:pPr>
                    <w:jc w:val="center"/>
                    <w:rPr>
                      <w:color w:val="auto"/>
                      <w:sz w:val="18"/>
                      <w:szCs w:val="18"/>
                    </w:rPr>
                  </w:pPr>
                  <w:r>
                    <w:rPr>
                      <w:rFonts w:hint="eastAsia"/>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0" w:type="dxa"/>
                  <w:vAlign w:val="center"/>
                </w:tcPr>
                <w:p>
                  <w:pPr>
                    <w:jc w:val="center"/>
                    <w:rPr>
                      <w:color w:val="auto"/>
                      <w:sz w:val="18"/>
                      <w:szCs w:val="18"/>
                    </w:rPr>
                  </w:pPr>
                  <w:r>
                    <w:rPr>
                      <w:color w:val="auto"/>
                      <w:sz w:val="18"/>
                      <w:szCs w:val="18"/>
                    </w:rPr>
                    <w:t>3#</w:t>
                  </w:r>
                </w:p>
              </w:tc>
              <w:tc>
                <w:tcPr>
                  <w:tcW w:w="2153" w:type="dxa"/>
                  <w:vAlign w:val="center"/>
                </w:tcPr>
                <w:p>
                  <w:pPr>
                    <w:pStyle w:val="44"/>
                    <w:spacing w:before="24" w:after="24"/>
                    <w:rPr>
                      <w:rFonts w:ascii="Times New Roman"/>
                      <w:color w:val="auto"/>
                      <w:kern w:val="2"/>
                      <w:sz w:val="18"/>
                      <w:szCs w:val="18"/>
                    </w:rPr>
                  </w:pPr>
                  <w:r>
                    <w:rPr>
                      <w:rFonts w:hint="eastAsia" w:ascii="Times New Roman"/>
                      <w:color w:val="auto"/>
                      <w:kern w:val="2"/>
                      <w:sz w:val="18"/>
                      <w:szCs w:val="18"/>
                    </w:rPr>
                    <w:t>项目地</w:t>
                  </w:r>
                  <w:r>
                    <w:rPr>
                      <w:rFonts w:hint="eastAsia" w:ascii="Times New Roman"/>
                      <w:color w:val="auto"/>
                      <w:kern w:val="2"/>
                      <w:sz w:val="18"/>
                      <w:szCs w:val="18"/>
                      <w:lang w:val="en-US" w:eastAsia="zh-CN"/>
                    </w:rPr>
                    <w:t>西</w:t>
                  </w:r>
                  <w:r>
                    <w:rPr>
                      <w:rFonts w:hint="eastAsia" w:ascii="Times New Roman"/>
                      <w:color w:val="auto"/>
                      <w:kern w:val="2"/>
                      <w:sz w:val="18"/>
                      <w:szCs w:val="18"/>
                    </w:rPr>
                    <w:t>侧厂界外1m</w:t>
                  </w:r>
                </w:p>
              </w:tc>
              <w:tc>
                <w:tcPr>
                  <w:tcW w:w="1240" w:type="dxa"/>
                  <w:vAlign w:val="center"/>
                </w:tcPr>
                <w:p>
                  <w:pPr>
                    <w:jc w:val="center"/>
                    <w:rPr>
                      <w:rFonts w:hint="default" w:eastAsia="宋体"/>
                      <w:color w:val="auto"/>
                      <w:sz w:val="18"/>
                      <w:szCs w:val="18"/>
                      <w:lang w:val="en-US" w:eastAsia="zh-CN"/>
                    </w:rPr>
                  </w:pPr>
                  <w:r>
                    <w:rPr>
                      <w:rFonts w:hint="eastAsia"/>
                      <w:color w:val="auto"/>
                      <w:sz w:val="18"/>
                      <w:szCs w:val="18"/>
                      <w:lang w:val="en-US" w:eastAsia="zh-CN"/>
                    </w:rPr>
                    <w:t>44</w:t>
                  </w:r>
                </w:p>
              </w:tc>
              <w:tc>
                <w:tcPr>
                  <w:tcW w:w="1240" w:type="dxa"/>
                  <w:vAlign w:val="center"/>
                </w:tcPr>
                <w:p>
                  <w:pPr>
                    <w:jc w:val="center"/>
                    <w:rPr>
                      <w:rFonts w:hint="default"/>
                      <w:color w:val="auto"/>
                      <w:sz w:val="18"/>
                      <w:szCs w:val="18"/>
                      <w:lang w:val="en-US" w:eastAsia="zh-CN"/>
                    </w:rPr>
                  </w:pPr>
                  <w:r>
                    <w:rPr>
                      <w:rFonts w:hint="eastAsia"/>
                      <w:color w:val="auto"/>
                      <w:sz w:val="18"/>
                      <w:szCs w:val="18"/>
                      <w:lang w:val="en-US" w:eastAsia="zh-CN"/>
                    </w:rPr>
                    <w:t>38</w:t>
                  </w:r>
                </w:p>
              </w:tc>
              <w:tc>
                <w:tcPr>
                  <w:tcW w:w="1080" w:type="dxa"/>
                  <w:vMerge w:val="continue"/>
                  <w:vAlign w:val="center"/>
                </w:tcPr>
                <w:p>
                  <w:pPr>
                    <w:jc w:val="center"/>
                    <w:rPr>
                      <w:color w:val="auto"/>
                      <w:sz w:val="18"/>
                      <w:szCs w:val="18"/>
                    </w:rPr>
                  </w:pPr>
                </w:p>
              </w:tc>
              <w:tc>
                <w:tcPr>
                  <w:tcW w:w="1225" w:type="dxa"/>
                  <w:vAlign w:val="center"/>
                </w:tcPr>
                <w:p>
                  <w:pPr>
                    <w:jc w:val="center"/>
                    <w:rPr>
                      <w:color w:val="auto"/>
                      <w:sz w:val="18"/>
                      <w:szCs w:val="18"/>
                    </w:rPr>
                  </w:pPr>
                  <w:r>
                    <w:rPr>
                      <w:rFonts w:hint="eastAsia"/>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20" w:type="dxa"/>
                  <w:vAlign w:val="center"/>
                </w:tcPr>
                <w:p>
                  <w:pPr>
                    <w:jc w:val="center"/>
                    <w:rPr>
                      <w:color w:val="auto"/>
                      <w:sz w:val="18"/>
                      <w:szCs w:val="18"/>
                    </w:rPr>
                  </w:pPr>
                  <w:r>
                    <w:rPr>
                      <w:color w:val="auto"/>
                      <w:sz w:val="18"/>
                      <w:szCs w:val="18"/>
                    </w:rPr>
                    <w:t>4#</w:t>
                  </w:r>
                </w:p>
              </w:tc>
              <w:tc>
                <w:tcPr>
                  <w:tcW w:w="2153" w:type="dxa"/>
                  <w:vAlign w:val="center"/>
                </w:tcPr>
                <w:p>
                  <w:pPr>
                    <w:pStyle w:val="44"/>
                    <w:spacing w:before="24" w:after="24"/>
                    <w:rPr>
                      <w:rFonts w:ascii="Times New Roman"/>
                      <w:color w:val="auto"/>
                      <w:kern w:val="2"/>
                      <w:sz w:val="18"/>
                      <w:szCs w:val="18"/>
                    </w:rPr>
                  </w:pPr>
                  <w:r>
                    <w:rPr>
                      <w:rFonts w:hint="eastAsia" w:ascii="Times New Roman"/>
                      <w:color w:val="auto"/>
                      <w:kern w:val="2"/>
                      <w:sz w:val="18"/>
                      <w:szCs w:val="18"/>
                    </w:rPr>
                    <w:t>项目地</w:t>
                  </w:r>
                  <w:r>
                    <w:rPr>
                      <w:rFonts w:hint="eastAsia" w:ascii="Times New Roman"/>
                      <w:color w:val="auto"/>
                      <w:kern w:val="2"/>
                      <w:sz w:val="18"/>
                      <w:szCs w:val="18"/>
                      <w:lang w:val="en-US" w:eastAsia="zh-CN"/>
                    </w:rPr>
                    <w:t>北</w:t>
                  </w:r>
                  <w:r>
                    <w:rPr>
                      <w:rFonts w:hint="eastAsia" w:ascii="Times New Roman"/>
                      <w:color w:val="auto"/>
                      <w:kern w:val="2"/>
                      <w:sz w:val="18"/>
                      <w:szCs w:val="18"/>
                    </w:rPr>
                    <w:t>侧厂界外1m</w:t>
                  </w:r>
                </w:p>
              </w:tc>
              <w:tc>
                <w:tcPr>
                  <w:tcW w:w="1240" w:type="dxa"/>
                  <w:vAlign w:val="center"/>
                </w:tcPr>
                <w:p>
                  <w:pPr>
                    <w:jc w:val="center"/>
                    <w:rPr>
                      <w:rFonts w:hint="default" w:eastAsia="宋体"/>
                      <w:color w:val="auto"/>
                      <w:sz w:val="18"/>
                      <w:szCs w:val="18"/>
                      <w:lang w:val="en-US" w:eastAsia="zh-CN"/>
                    </w:rPr>
                  </w:pPr>
                  <w:r>
                    <w:rPr>
                      <w:rFonts w:hint="eastAsia"/>
                      <w:color w:val="auto"/>
                      <w:sz w:val="18"/>
                      <w:szCs w:val="18"/>
                      <w:lang w:val="en-US" w:eastAsia="zh-CN"/>
                    </w:rPr>
                    <w:t>45</w:t>
                  </w:r>
                </w:p>
              </w:tc>
              <w:tc>
                <w:tcPr>
                  <w:tcW w:w="1240" w:type="dxa"/>
                  <w:vAlign w:val="center"/>
                </w:tcPr>
                <w:p>
                  <w:pPr>
                    <w:jc w:val="center"/>
                    <w:rPr>
                      <w:rFonts w:hint="default"/>
                      <w:color w:val="auto"/>
                      <w:sz w:val="18"/>
                      <w:szCs w:val="18"/>
                      <w:lang w:val="en-US" w:eastAsia="zh-CN"/>
                    </w:rPr>
                  </w:pPr>
                  <w:r>
                    <w:rPr>
                      <w:rFonts w:hint="eastAsia"/>
                      <w:color w:val="auto"/>
                      <w:sz w:val="18"/>
                      <w:szCs w:val="18"/>
                      <w:lang w:val="en-US" w:eastAsia="zh-CN"/>
                    </w:rPr>
                    <w:t>39</w:t>
                  </w:r>
                </w:p>
              </w:tc>
              <w:tc>
                <w:tcPr>
                  <w:tcW w:w="1080" w:type="dxa"/>
                  <w:vMerge w:val="continue"/>
                  <w:vAlign w:val="center"/>
                </w:tcPr>
                <w:p>
                  <w:pPr>
                    <w:jc w:val="center"/>
                    <w:rPr>
                      <w:color w:val="auto"/>
                      <w:sz w:val="18"/>
                      <w:szCs w:val="18"/>
                    </w:rPr>
                  </w:pPr>
                </w:p>
              </w:tc>
              <w:tc>
                <w:tcPr>
                  <w:tcW w:w="1225" w:type="dxa"/>
                  <w:vAlign w:val="center"/>
                </w:tcPr>
                <w:p>
                  <w:pPr>
                    <w:jc w:val="center"/>
                    <w:rPr>
                      <w:color w:val="auto"/>
                      <w:sz w:val="18"/>
                      <w:szCs w:val="18"/>
                    </w:rPr>
                  </w:pPr>
                  <w:r>
                    <w:rPr>
                      <w:rFonts w:hint="eastAsia"/>
                      <w:color w:val="auto"/>
                      <w:sz w:val="18"/>
                      <w:szCs w:val="18"/>
                    </w:rPr>
                    <w:t>达标</w:t>
                  </w:r>
                </w:p>
              </w:tc>
            </w:tr>
          </w:tbl>
          <w:p>
            <w:pPr>
              <w:spacing w:line="360" w:lineRule="auto"/>
              <w:ind w:firstLine="420" w:firstLineChars="200"/>
              <w:rPr>
                <w:bCs/>
                <w:color w:val="auto"/>
                <w:szCs w:val="21"/>
              </w:rPr>
            </w:pPr>
            <w:r>
              <w:rPr>
                <w:bCs/>
                <w:color w:val="auto"/>
                <w:szCs w:val="21"/>
              </w:rPr>
              <w:t>由监测结果可知，监测点的监测值满足《声环境质量标准》（GB3096-2008）中</w:t>
            </w:r>
            <w:r>
              <w:rPr>
                <w:rFonts w:hint="eastAsia"/>
                <w:bCs/>
                <w:color w:val="auto"/>
                <w:szCs w:val="21"/>
                <w:lang w:val="en-US" w:eastAsia="zh-CN"/>
              </w:rPr>
              <w:t>2</w:t>
            </w:r>
            <w:r>
              <w:rPr>
                <w:bCs/>
                <w:color w:val="auto"/>
                <w:szCs w:val="21"/>
              </w:rPr>
              <w:t>类区标准限值，说明现状声环境噪声满足区域声环境功能区划要求。</w:t>
            </w:r>
          </w:p>
          <w:p>
            <w:pPr>
              <w:widowControl/>
              <w:spacing w:line="360" w:lineRule="auto"/>
              <w:ind w:firstLine="422" w:firstLineChars="200"/>
              <w:rPr>
                <w:rFonts w:ascii="宋体" w:hAnsi="宋体" w:cs="宋体"/>
                <w:b/>
                <w:bCs/>
                <w:color w:val="auto"/>
                <w:kern w:val="0"/>
                <w:szCs w:val="21"/>
              </w:rPr>
            </w:pPr>
            <w:r>
              <w:rPr>
                <w:rFonts w:hint="eastAsia" w:ascii="宋体" w:hAnsi="宋体" w:cs="宋体"/>
                <w:b/>
                <w:bCs/>
                <w:color w:val="auto"/>
                <w:kern w:val="0"/>
                <w:szCs w:val="21"/>
              </w:rPr>
              <w:t>四、土壤</w:t>
            </w:r>
            <w:r>
              <w:rPr>
                <w:rFonts w:hint="eastAsia" w:ascii="宋体" w:hAnsi="宋体" w:cs="宋体"/>
                <w:b/>
                <w:bCs/>
                <w:color w:val="auto"/>
                <w:kern w:val="0"/>
                <w:szCs w:val="21"/>
                <w:lang w:eastAsia="zh-CN"/>
              </w:rPr>
              <w:t>、</w:t>
            </w:r>
            <w:r>
              <w:rPr>
                <w:rFonts w:hint="eastAsia" w:ascii="宋体" w:hAnsi="宋体" w:cs="宋体"/>
                <w:b/>
                <w:bCs/>
                <w:color w:val="auto"/>
                <w:kern w:val="0"/>
                <w:szCs w:val="21"/>
                <w:lang w:val="en-US" w:eastAsia="zh-CN"/>
              </w:rPr>
              <w:t>地下水</w:t>
            </w:r>
            <w:r>
              <w:rPr>
                <w:rFonts w:hint="eastAsia" w:ascii="宋体" w:hAnsi="宋体" w:cs="宋体"/>
                <w:b/>
                <w:bCs/>
                <w:color w:val="auto"/>
                <w:kern w:val="0"/>
                <w:szCs w:val="21"/>
              </w:rPr>
              <w:t>环境质量现状</w:t>
            </w:r>
          </w:p>
          <w:p>
            <w:pPr>
              <w:widowControl/>
              <w:spacing w:line="360" w:lineRule="auto"/>
              <w:ind w:firstLine="420" w:firstLineChars="200"/>
              <w:rPr>
                <w:rFonts w:hint="eastAsia" w:ascii="宋体" w:hAnsi="宋体" w:eastAsia="宋体" w:cs="宋体"/>
                <w:color w:val="auto"/>
                <w:kern w:val="0"/>
                <w:szCs w:val="21"/>
              </w:rPr>
            </w:pPr>
            <w:r>
              <w:rPr>
                <w:rFonts w:hint="default" w:ascii="宋体" w:hAnsi="宋体" w:eastAsia="宋体" w:cs="宋体"/>
                <w:color w:val="auto"/>
                <w:kern w:val="0"/>
                <w:szCs w:val="21"/>
                <w:lang w:val="en-US" w:eastAsia="zh-CN"/>
              </w:rPr>
              <w:t>本项目不存在地下水、土壤环境污染途径，不涉及项目地下水、土壤环境现状监测。</w:t>
            </w:r>
          </w:p>
          <w:p>
            <w:pPr>
              <w:widowControl/>
              <w:spacing w:line="360" w:lineRule="auto"/>
              <w:ind w:firstLine="422" w:firstLineChars="200"/>
              <w:rPr>
                <w:rFonts w:ascii="宋体" w:hAnsi="宋体" w:cs="宋体"/>
                <w:b/>
                <w:bCs/>
                <w:color w:val="auto"/>
                <w:kern w:val="0"/>
                <w:szCs w:val="21"/>
              </w:rPr>
            </w:pPr>
            <w:r>
              <w:rPr>
                <w:rFonts w:hint="eastAsia" w:ascii="宋体" w:hAnsi="宋体" w:cs="宋体"/>
                <w:b/>
                <w:bCs/>
                <w:color w:val="auto"/>
                <w:kern w:val="0"/>
                <w:szCs w:val="21"/>
                <w:lang w:val="en-US" w:eastAsia="zh-CN"/>
              </w:rPr>
              <w:t>五</w:t>
            </w:r>
            <w:r>
              <w:rPr>
                <w:rFonts w:hint="eastAsia" w:ascii="宋体" w:hAnsi="宋体" w:cs="宋体"/>
                <w:b/>
                <w:bCs/>
                <w:color w:val="auto"/>
                <w:kern w:val="0"/>
                <w:szCs w:val="21"/>
              </w:rPr>
              <w:t>、生态环境质量现状及评价</w:t>
            </w:r>
          </w:p>
          <w:p>
            <w:pPr>
              <w:widowControl/>
              <w:spacing w:line="360" w:lineRule="auto"/>
              <w:ind w:firstLine="420" w:firstLineChars="200"/>
              <w:rPr>
                <w:rFonts w:ascii="宋体" w:hAnsi="宋体" w:cs="宋体"/>
                <w:color w:val="auto"/>
                <w:kern w:val="0"/>
                <w:szCs w:val="21"/>
              </w:rPr>
            </w:pPr>
            <w:r>
              <w:rPr>
                <w:rFonts w:hint="eastAsia" w:ascii="宋体" w:hAnsi="宋体" w:cs="宋体"/>
                <w:color w:val="auto"/>
                <w:kern w:val="0"/>
                <w:szCs w:val="21"/>
              </w:rPr>
              <w:t>本项目位于新疆昌吉回族自治州玛纳斯县兰州湾镇，评价区域内无自然保护区、文物保护单位、集中式供水水源地和珍稀濒危野生动植物等敏感目标，不需开展生态现状调查。</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环境</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保护</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目标</w:t>
            </w:r>
          </w:p>
        </w:tc>
        <w:tc>
          <w:tcPr>
            <w:tcW w:w="8190" w:type="dxa"/>
            <w:vAlign w:val="center"/>
          </w:tcPr>
          <w:p>
            <w:pPr>
              <w:pStyle w:val="74"/>
              <w:spacing w:line="360" w:lineRule="auto"/>
              <w:ind w:firstLine="422" w:firstLineChars="200"/>
              <w:rPr>
                <w:rFonts w:ascii="Times New Roman" w:hAnsi="Times New Roman" w:cs="Times New Roman"/>
                <w:b/>
                <w:bCs/>
                <w:color w:val="auto"/>
                <w:kern w:val="2"/>
                <w:sz w:val="21"/>
                <w:szCs w:val="21"/>
              </w:rPr>
            </w:pPr>
            <w:r>
              <w:rPr>
                <w:rFonts w:hint="eastAsia" w:ascii="Times New Roman" w:hAnsi="Times New Roman" w:cs="Times New Roman"/>
                <w:b/>
                <w:bCs/>
                <w:color w:val="auto"/>
                <w:kern w:val="2"/>
                <w:sz w:val="21"/>
                <w:szCs w:val="21"/>
              </w:rPr>
              <w:t>1、大气环境</w:t>
            </w:r>
          </w:p>
          <w:p>
            <w:pPr>
              <w:pStyle w:val="74"/>
              <w:spacing w:line="360" w:lineRule="auto"/>
              <w:ind w:firstLine="420" w:firstLineChars="200"/>
              <w:rPr>
                <w:rFonts w:hint="eastAsia" w:ascii="Times New Roman" w:hAnsi="Times New Roman" w:eastAsia="宋体" w:cs="Times New Roman"/>
                <w:color w:val="auto"/>
                <w:kern w:val="2"/>
                <w:sz w:val="21"/>
                <w:szCs w:val="21"/>
                <w:highlight w:val="yellow"/>
                <w:lang w:eastAsia="zh-CN"/>
              </w:rPr>
            </w:pPr>
            <w:r>
              <w:rPr>
                <w:rFonts w:hint="eastAsia" w:ascii="Times New Roman" w:hAnsi="Times New Roman" w:cs="Times New Roman"/>
                <w:color w:val="auto"/>
                <w:kern w:val="2"/>
                <w:sz w:val="21"/>
                <w:szCs w:val="21"/>
              </w:rPr>
              <w:t>本项目厂界外500米范围内</w:t>
            </w:r>
            <w:r>
              <w:rPr>
                <w:rFonts w:hint="eastAsia" w:ascii="Times New Roman" w:hAnsi="Times New Roman" w:cs="Times New Roman"/>
                <w:color w:val="auto"/>
                <w:kern w:val="2"/>
                <w:sz w:val="21"/>
                <w:szCs w:val="21"/>
                <w:lang w:val="en-US" w:eastAsia="zh-CN"/>
              </w:rPr>
              <w:t>无</w:t>
            </w:r>
            <w:r>
              <w:rPr>
                <w:rFonts w:hint="eastAsia" w:ascii="Times New Roman" w:hAnsi="Times New Roman" w:cs="Times New Roman"/>
                <w:color w:val="auto"/>
                <w:kern w:val="2"/>
                <w:sz w:val="21"/>
                <w:szCs w:val="21"/>
              </w:rPr>
              <w:t>环境空气保护目标</w:t>
            </w:r>
            <w:r>
              <w:rPr>
                <w:rFonts w:hint="eastAsia" w:ascii="Times New Roman" w:hAnsi="Times New Roman" w:cs="Times New Roman"/>
                <w:color w:val="auto"/>
                <w:kern w:val="2"/>
                <w:sz w:val="21"/>
                <w:szCs w:val="21"/>
                <w:lang w:eastAsia="zh-CN"/>
              </w:rPr>
              <w:t>。</w:t>
            </w:r>
          </w:p>
          <w:p>
            <w:pPr>
              <w:pStyle w:val="74"/>
              <w:spacing w:line="360" w:lineRule="auto"/>
              <w:ind w:firstLine="422" w:firstLineChars="200"/>
              <w:rPr>
                <w:rFonts w:ascii="Times New Roman" w:hAnsi="Times New Roman" w:cs="Times New Roman"/>
                <w:b/>
                <w:bCs/>
                <w:color w:val="auto"/>
                <w:kern w:val="2"/>
                <w:sz w:val="21"/>
                <w:szCs w:val="21"/>
              </w:rPr>
            </w:pPr>
            <w:r>
              <w:rPr>
                <w:rFonts w:hint="eastAsia" w:ascii="Times New Roman" w:hAnsi="Times New Roman" w:cs="Times New Roman"/>
                <w:b/>
                <w:bCs/>
                <w:color w:val="auto"/>
                <w:kern w:val="2"/>
                <w:sz w:val="21"/>
                <w:szCs w:val="21"/>
              </w:rPr>
              <w:t>2、声环境</w:t>
            </w:r>
          </w:p>
          <w:p>
            <w:pPr>
              <w:pStyle w:val="74"/>
              <w:spacing w:line="360" w:lineRule="auto"/>
              <w:ind w:firstLine="420" w:firstLineChars="200"/>
              <w:rPr>
                <w:rFonts w:ascii="Times New Roman" w:hAnsi="Times New Roman" w:cs="Times New Roman"/>
                <w:color w:val="auto"/>
                <w:kern w:val="2"/>
                <w:sz w:val="21"/>
                <w:szCs w:val="21"/>
              </w:rPr>
            </w:pPr>
            <w:r>
              <w:rPr>
                <w:rFonts w:ascii="Times New Roman" w:hAnsi="Times New Roman" w:cs="Times New Roman"/>
                <w:color w:val="auto"/>
                <w:kern w:val="2"/>
                <w:sz w:val="21"/>
                <w:szCs w:val="21"/>
              </w:rPr>
              <w:t>本项目厂界外50m范围内无声</w:t>
            </w:r>
            <w:r>
              <w:rPr>
                <w:rFonts w:hint="eastAsia" w:ascii="Times New Roman" w:hAnsi="Times New Roman" w:cs="Times New Roman"/>
                <w:color w:val="auto"/>
                <w:kern w:val="2"/>
                <w:sz w:val="21"/>
                <w:szCs w:val="21"/>
                <w:lang w:eastAsia="zh-CN"/>
              </w:rPr>
              <w:t>环境保护</w:t>
            </w:r>
            <w:r>
              <w:rPr>
                <w:rFonts w:ascii="Times New Roman" w:hAnsi="Times New Roman" w:cs="Times New Roman"/>
                <w:color w:val="auto"/>
                <w:kern w:val="2"/>
                <w:sz w:val="21"/>
                <w:szCs w:val="21"/>
              </w:rPr>
              <w:t>目标。</w:t>
            </w:r>
          </w:p>
          <w:p>
            <w:pPr>
              <w:pStyle w:val="74"/>
              <w:spacing w:line="360" w:lineRule="auto"/>
              <w:ind w:firstLine="422" w:firstLineChars="200"/>
              <w:rPr>
                <w:rFonts w:ascii="Times New Roman" w:hAnsi="Times New Roman" w:cs="Times New Roman"/>
                <w:b/>
                <w:bCs/>
                <w:color w:val="auto"/>
                <w:kern w:val="2"/>
                <w:sz w:val="21"/>
                <w:szCs w:val="21"/>
              </w:rPr>
            </w:pPr>
            <w:r>
              <w:rPr>
                <w:rFonts w:hint="eastAsia" w:ascii="Times New Roman" w:hAnsi="Times New Roman" w:cs="Times New Roman"/>
                <w:b/>
                <w:bCs/>
                <w:color w:val="auto"/>
                <w:kern w:val="2"/>
                <w:sz w:val="21"/>
                <w:szCs w:val="21"/>
              </w:rPr>
              <w:t>3、地下水环境</w:t>
            </w:r>
          </w:p>
          <w:p>
            <w:pPr>
              <w:pStyle w:val="74"/>
              <w:spacing w:line="360" w:lineRule="auto"/>
              <w:ind w:firstLine="420" w:firstLineChars="200"/>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本项目厂界外500m范围内无地下水集中式饮用水水源和热水、矿泉水、温泉等特殊地下水资源。</w:t>
            </w:r>
          </w:p>
          <w:p>
            <w:pPr>
              <w:pStyle w:val="74"/>
              <w:spacing w:line="360" w:lineRule="auto"/>
              <w:ind w:firstLine="422" w:firstLineChars="200"/>
              <w:rPr>
                <w:rFonts w:ascii="Times New Roman" w:hAnsi="Times New Roman" w:cs="Times New Roman"/>
                <w:color w:val="auto"/>
                <w:kern w:val="2"/>
                <w:sz w:val="21"/>
                <w:szCs w:val="21"/>
              </w:rPr>
            </w:pPr>
            <w:r>
              <w:rPr>
                <w:rFonts w:hint="eastAsia" w:ascii="Times New Roman" w:hAnsi="Times New Roman" w:cs="Times New Roman"/>
                <w:b/>
                <w:bCs/>
                <w:color w:val="auto"/>
                <w:kern w:val="2"/>
                <w:sz w:val="21"/>
                <w:szCs w:val="21"/>
              </w:rPr>
              <w:t>4、生态环境</w:t>
            </w:r>
          </w:p>
          <w:p>
            <w:pPr>
              <w:pStyle w:val="74"/>
              <w:spacing w:line="360" w:lineRule="auto"/>
              <w:ind w:firstLine="420" w:firstLineChars="200"/>
              <w:rPr>
                <w:rFonts w:ascii="Times New Roman" w:hAnsi="Times New Roman" w:cs="Times New Roman"/>
                <w:b/>
                <w:bCs/>
                <w:color w:val="auto"/>
                <w:kern w:val="2"/>
                <w:sz w:val="21"/>
                <w:szCs w:val="21"/>
              </w:rPr>
            </w:pPr>
            <w:r>
              <w:rPr>
                <w:rFonts w:hint="eastAsia" w:ascii="Times New Roman" w:hAnsi="Times New Roman" w:cs="Times New Roman"/>
                <w:color w:val="auto"/>
                <w:kern w:val="2"/>
                <w:sz w:val="21"/>
                <w:szCs w:val="21"/>
              </w:rPr>
              <w:t>本项目用地范围内无生态环境保护目标。</w:t>
            </w:r>
          </w:p>
          <w:p>
            <w:pPr>
              <w:adjustRightInd w:val="0"/>
              <w:snapToGrid w:val="0"/>
              <w:jc w:val="center"/>
              <w:rPr>
                <w:rFonts w:ascii="宋体" w:hAnsi="宋体" w:cs="宋体"/>
                <w:color w:val="auto"/>
                <w:kern w:val="0"/>
                <w:szCs w:val="21"/>
              </w:rPr>
            </w:pPr>
          </w:p>
          <w:p>
            <w:pPr>
              <w:adjustRightInd w:val="0"/>
              <w:snapToGrid w:val="0"/>
              <w:jc w:val="center"/>
              <w:rPr>
                <w:rFonts w:ascii="宋体" w:hAnsi="宋体" w:cs="宋体"/>
                <w:color w:val="auto"/>
                <w:kern w:val="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00" w:type="dxa"/>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污染</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物排</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放控</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制标</w:t>
            </w:r>
          </w:p>
          <w:p>
            <w:pPr>
              <w:adjustRightInd w:val="0"/>
              <w:snapToGrid w:val="0"/>
              <w:jc w:val="center"/>
              <w:rPr>
                <w:rFonts w:hint="eastAsia" w:ascii="宋体" w:hAnsi="宋体" w:eastAsia="宋体" w:cs="宋体"/>
                <w:color w:val="auto"/>
                <w:kern w:val="0"/>
                <w:sz w:val="21"/>
                <w:szCs w:val="21"/>
                <w:lang w:val="en-US" w:eastAsia="zh-CN" w:bidi="ar-SA"/>
              </w:rPr>
            </w:pPr>
            <w:r>
              <w:rPr>
                <w:rFonts w:hint="eastAsia" w:ascii="宋体" w:hAnsi="宋体" w:cs="宋体"/>
                <w:color w:val="auto"/>
                <w:kern w:val="0"/>
                <w:szCs w:val="21"/>
              </w:rPr>
              <w:t>准</w:t>
            </w:r>
          </w:p>
        </w:tc>
        <w:tc>
          <w:tcPr>
            <w:tcW w:w="8190" w:type="dxa"/>
            <w:vAlign w:val="center"/>
          </w:tcPr>
          <w:p>
            <w:pPr>
              <w:pStyle w:val="61"/>
              <w:spacing w:line="360" w:lineRule="auto"/>
              <w:ind w:left="0" w:firstLine="422" w:firstLineChars="200"/>
              <w:rPr>
                <w:b/>
                <w:color w:val="auto"/>
                <w:sz w:val="21"/>
                <w:szCs w:val="21"/>
              </w:rPr>
            </w:pPr>
            <w:r>
              <w:rPr>
                <w:rFonts w:hint="eastAsia"/>
                <w:b/>
                <w:bCs/>
                <w:color w:val="auto"/>
                <w:sz w:val="21"/>
                <w:szCs w:val="21"/>
              </w:rPr>
              <w:t>1、废气</w:t>
            </w:r>
          </w:p>
          <w:p>
            <w:pPr>
              <w:spacing w:line="360" w:lineRule="auto"/>
              <w:ind w:firstLine="420" w:firstLineChars="200"/>
              <w:jc w:val="left"/>
              <w:rPr>
                <w:rFonts w:hint="eastAsia"/>
                <w:snapToGrid w:val="0"/>
                <w:color w:val="auto"/>
                <w:kern w:val="0"/>
                <w:szCs w:val="21"/>
                <w:lang w:val="en-US" w:eastAsia="zh-CN"/>
              </w:rPr>
            </w:pPr>
            <w:r>
              <w:rPr>
                <w:rFonts w:hint="default" w:eastAsia="宋体"/>
                <w:snapToGrid w:val="0"/>
                <w:color w:val="auto"/>
                <w:kern w:val="0"/>
                <w:szCs w:val="21"/>
                <w:lang w:val="en-US" w:eastAsia="zh-CN"/>
              </w:rPr>
              <w:t>兑浆搅拌工序产生的投料粉尘排放执行《大气污染物综合排放标准》表2中二级标准。</w:t>
            </w:r>
            <w:r>
              <w:rPr>
                <w:rFonts w:hint="eastAsia"/>
                <w:snapToGrid w:val="0"/>
                <w:color w:val="auto"/>
                <w:kern w:val="0"/>
                <w:szCs w:val="21"/>
                <w:lang w:val="en-US" w:eastAsia="zh-CN"/>
              </w:rPr>
              <w:t>食堂油烟参照执行《饮食业油烟排放标准》（试用）（GB18483-2001）标准。烘干废气执行《新疆维吾尔自治区工业炉窑大气污染治理实施方案》（新大气发〔2019〕127号）中重点区域工业炉窑排放标准限值、《工业炉窑大气污染物排放标准》（GB9078-1996）中限值要求。</w:t>
            </w:r>
          </w:p>
          <w:p>
            <w:pPr>
              <w:spacing w:line="360" w:lineRule="auto"/>
              <w:jc w:val="center"/>
              <w:rPr>
                <w:rFonts w:ascii="宋体" w:hAnsi="宋体" w:cs="宋体"/>
                <w:b/>
                <w:bCs/>
                <w:color w:val="auto"/>
                <w:sz w:val="18"/>
                <w:szCs w:val="18"/>
              </w:rPr>
            </w:pPr>
            <w:r>
              <w:rPr>
                <w:b/>
                <w:bCs/>
                <w:color w:val="auto"/>
                <w:sz w:val="18"/>
                <w:szCs w:val="18"/>
              </w:rPr>
              <w:t>表</w:t>
            </w:r>
            <w:r>
              <w:rPr>
                <w:rFonts w:hint="eastAsia"/>
                <w:b/>
                <w:bCs/>
                <w:color w:val="auto"/>
                <w:sz w:val="18"/>
                <w:szCs w:val="18"/>
              </w:rPr>
              <w:t>3-</w:t>
            </w:r>
            <w:r>
              <w:rPr>
                <w:rFonts w:hint="eastAsia"/>
                <w:b/>
                <w:bCs/>
                <w:color w:val="auto"/>
                <w:sz w:val="18"/>
                <w:szCs w:val="18"/>
                <w:lang w:val="en-US" w:eastAsia="zh-CN"/>
              </w:rPr>
              <w:t>5</w:t>
            </w:r>
            <w:r>
              <w:rPr>
                <w:b/>
                <w:bCs/>
                <w:color w:val="auto"/>
                <w:sz w:val="18"/>
                <w:szCs w:val="18"/>
              </w:rPr>
              <w:t xml:space="preserve">  </w:t>
            </w:r>
            <w:r>
              <w:rPr>
                <w:rFonts w:hint="eastAsia"/>
                <w:b/>
                <w:bCs/>
                <w:color w:val="auto"/>
                <w:sz w:val="18"/>
                <w:szCs w:val="18"/>
              </w:rPr>
              <w:t>大气污染物有组织排放标准</w:t>
            </w:r>
          </w:p>
          <w:tbl>
            <w:tblPr>
              <w:tblStyle w:val="25"/>
              <w:tblW w:w="8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0"/>
              <w:gridCol w:w="1041"/>
              <w:gridCol w:w="860"/>
              <w:gridCol w:w="896"/>
              <w:gridCol w:w="1641"/>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00" w:type="dxa"/>
                  <w:vMerge w:val="restart"/>
                  <w:vAlign w:val="center"/>
                </w:tcPr>
                <w:p>
                  <w:pPr>
                    <w:spacing w:line="320" w:lineRule="exact"/>
                    <w:jc w:val="center"/>
                    <w:rPr>
                      <w:color w:val="auto"/>
                      <w:sz w:val="18"/>
                      <w:szCs w:val="18"/>
                    </w:rPr>
                  </w:pPr>
                  <w:r>
                    <w:rPr>
                      <w:rFonts w:hint="eastAsia"/>
                      <w:color w:val="auto"/>
                      <w:sz w:val="18"/>
                      <w:szCs w:val="18"/>
                    </w:rPr>
                    <w:t>污染物</w:t>
                  </w:r>
                </w:p>
              </w:tc>
              <w:tc>
                <w:tcPr>
                  <w:tcW w:w="1041" w:type="dxa"/>
                  <w:vMerge w:val="restart"/>
                  <w:vAlign w:val="center"/>
                </w:tcPr>
                <w:p>
                  <w:pPr>
                    <w:spacing w:line="320" w:lineRule="exact"/>
                    <w:jc w:val="center"/>
                    <w:rPr>
                      <w:color w:val="auto"/>
                      <w:sz w:val="18"/>
                      <w:szCs w:val="18"/>
                    </w:rPr>
                  </w:pPr>
                  <w:r>
                    <w:rPr>
                      <w:color w:val="auto"/>
                      <w:sz w:val="18"/>
                      <w:szCs w:val="18"/>
                    </w:rPr>
                    <w:t>最高允许排放浓度（mg/m</w:t>
                  </w:r>
                  <w:r>
                    <w:rPr>
                      <w:color w:val="auto"/>
                      <w:sz w:val="18"/>
                      <w:szCs w:val="18"/>
                      <w:vertAlign w:val="superscript"/>
                    </w:rPr>
                    <w:t>3</w:t>
                  </w:r>
                  <w:r>
                    <w:rPr>
                      <w:color w:val="auto"/>
                      <w:sz w:val="18"/>
                      <w:szCs w:val="18"/>
                    </w:rPr>
                    <w:t>）</w:t>
                  </w:r>
                </w:p>
              </w:tc>
              <w:tc>
                <w:tcPr>
                  <w:tcW w:w="1756" w:type="dxa"/>
                  <w:gridSpan w:val="2"/>
                  <w:vAlign w:val="center"/>
                </w:tcPr>
                <w:p>
                  <w:pPr>
                    <w:spacing w:line="320" w:lineRule="exact"/>
                    <w:jc w:val="center"/>
                    <w:rPr>
                      <w:color w:val="auto"/>
                      <w:sz w:val="18"/>
                      <w:szCs w:val="18"/>
                    </w:rPr>
                  </w:pPr>
                  <w:r>
                    <w:rPr>
                      <w:rFonts w:hint="eastAsia"/>
                      <w:color w:val="auto"/>
                      <w:sz w:val="18"/>
                      <w:szCs w:val="18"/>
                    </w:rPr>
                    <w:t>最高允许排放速率</w:t>
                  </w:r>
                </w:p>
              </w:tc>
              <w:tc>
                <w:tcPr>
                  <w:tcW w:w="1641" w:type="dxa"/>
                  <w:vMerge w:val="restart"/>
                  <w:vAlign w:val="center"/>
                </w:tcPr>
                <w:p>
                  <w:pPr>
                    <w:spacing w:line="320" w:lineRule="exact"/>
                    <w:jc w:val="center"/>
                    <w:rPr>
                      <w:color w:val="auto"/>
                      <w:sz w:val="18"/>
                      <w:szCs w:val="18"/>
                    </w:rPr>
                  </w:pPr>
                  <w:r>
                    <w:rPr>
                      <w:color w:val="auto"/>
                      <w:sz w:val="18"/>
                      <w:szCs w:val="18"/>
                    </w:rPr>
                    <w:t>无组织排放监控浓度限值（mg/m</w:t>
                  </w:r>
                  <w:r>
                    <w:rPr>
                      <w:color w:val="auto"/>
                      <w:sz w:val="18"/>
                      <w:szCs w:val="18"/>
                      <w:vertAlign w:val="superscript"/>
                    </w:rPr>
                    <w:t>3</w:t>
                  </w:r>
                  <w:r>
                    <w:rPr>
                      <w:color w:val="auto"/>
                      <w:sz w:val="18"/>
                      <w:szCs w:val="18"/>
                    </w:rPr>
                    <w:t>）</w:t>
                  </w:r>
                </w:p>
              </w:tc>
              <w:tc>
                <w:tcPr>
                  <w:tcW w:w="2839" w:type="dxa"/>
                  <w:vMerge w:val="restart"/>
                  <w:vAlign w:val="center"/>
                </w:tcPr>
                <w:p>
                  <w:pPr>
                    <w:spacing w:line="320" w:lineRule="exact"/>
                    <w:jc w:val="center"/>
                    <w:rPr>
                      <w:color w:val="auto"/>
                      <w:sz w:val="18"/>
                      <w:szCs w:val="18"/>
                    </w:rPr>
                  </w:pPr>
                  <w:r>
                    <w:rPr>
                      <w:color w:val="auto"/>
                      <w:sz w:val="18"/>
                      <w:szCs w:val="18"/>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00" w:type="dxa"/>
                  <w:vMerge w:val="continue"/>
                  <w:vAlign w:val="center"/>
                </w:tcPr>
                <w:p>
                  <w:pPr>
                    <w:spacing w:line="320" w:lineRule="exact"/>
                    <w:jc w:val="center"/>
                    <w:rPr>
                      <w:color w:val="auto"/>
                      <w:sz w:val="18"/>
                      <w:szCs w:val="18"/>
                    </w:rPr>
                  </w:pPr>
                </w:p>
              </w:tc>
              <w:tc>
                <w:tcPr>
                  <w:tcW w:w="1041" w:type="dxa"/>
                  <w:vMerge w:val="continue"/>
                  <w:vAlign w:val="center"/>
                </w:tcPr>
                <w:p>
                  <w:pPr>
                    <w:spacing w:line="320" w:lineRule="exact"/>
                    <w:jc w:val="center"/>
                    <w:rPr>
                      <w:color w:val="auto"/>
                      <w:sz w:val="18"/>
                      <w:szCs w:val="18"/>
                    </w:rPr>
                  </w:pPr>
                </w:p>
              </w:tc>
              <w:tc>
                <w:tcPr>
                  <w:tcW w:w="860" w:type="dxa"/>
                  <w:vAlign w:val="center"/>
                </w:tcPr>
                <w:p>
                  <w:pPr>
                    <w:spacing w:line="320" w:lineRule="exact"/>
                    <w:jc w:val="center"/>
                    <w:rPr>
                      <w:color w:val="auto"/>
                      <w:sz w:val="18"/>
                      <w:szCs w:val="18"/>
                    </w:rPr>
                  </w:pPr>
                  <w:r>
                    <w:rPr>
                      <w:rFonts w:hint="eastAsia"/>
                      <w:color w:val="auto"/>
                      <w:sz w:val="18"/>
                      <w:szCs w:val="18"/>
                    </w:rPr>
                    <w:t>排气筒高度</w:t>
                  </w:r>
                </w:p>
              </w:tc>
              <w:tc>
                <w:tcPr>
                  <w:tcW w:w="896" w:type="dxa"/>
                  <w:vAlign w:val="center"/>
                </w:tcPr>
                <w:p>
                  <w:pPr>
                    <w:spacing w:line="320" w:lineRule="exact"/>
                    <w:jc w:val="center"/>
                    <w:rPr>
                      <w:color w:val="auto"/>
                      <w:sz w:val="18"/>
                      <w:szCs w:val="18"/>
                    </w:rPr>
                  </w:pPr>
                  <w:r>
                    <w:rPr>
                      <w:rFonts w:hint="eastAsia"/>
                      <w:color w:val="auto"/>
                      <w:sz w:val="18"/>
                      <w:szCs w:val="18"/>
                    </w:rPr>
                    <w:t>二级</w:t>
                  </w:r>
                </w:p>
              </w:tc>
              <w:tc>
                <w:tcPr>
                  <w:tcW w:w="1641" w:type="dxa"/>
                  <w:vMerge w:val="continue"/>
                  <w:vAlign w:val="center"/>
                </w:tcPr>
                <w:p>
                  <w:pPr>
                    <w:spacing w:line="320" w:lineRule="exact"/>
                    <w:jc w:val="center"/>
                    <w:rPr>
                      <w:color w:val="auto"/>
                      <w:sz w:val="18"/>
                      <w:szCs w:val="18"/>
                    </w:rPr>
                  </w:pPr>
                </w:p>
              </w:tc>
              <w:tc>
                <w:tcPr>
                  <w:tcW w:w="2839" w:type="dxa"/>
                  <w:vMerge w:val="continue"/>
                  <w:vAlign w:val="center"/>
                </w:tcPr>
                <w:p>
                  <w:pPr>
                    <w:spacing w:line="320" w:lineRule="exact"/>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jc w:val="center"/>
              </w:trPr>
              <w:tc>
                <w:tcPr>
                  <w:tcW w:w="800"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投料粉尘</w:t>
                  </w:r>
                </w:p>
              </w:tc>
              <w:tc>
                <w:tcPr>
                  <w:tcW w:w="1041" w:type="dxa"/>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120</w:t>
                  </w:r>
                </w:p>
              </w:tc>
              <w:tc>
                <w:tcPr>
                  <w:tcW w:w="860" w:type="dxa"/>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15</w:t>
                  </w:r>
                </w:p>
              </w:tc>
              <w:tc>
                <w:tcPr>
                  <w:tcW w:w="896" w:type="dxa"/>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3.5</w:t>
                  </w:r>
                </w:p>
              </w:tc>
              <w:tc>
                <w:tcPr>
                  <w:tcW w:w="1641" w:type="dxa"/>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1.0</w:t>
                  </w:r>
                </w:p>
              </w:tc>
              <w:tc>
                <w:tcPr>
                  <w:tcW w:w="2839" w:type="dxa"/>
                  <w:vAlign w:val="center"/>
                </w:tcPr>
                <w:p>
                  <w:pPr>
                    <w:spacing w:line="320" w:lineRule="exact"/>
                    <w:jc w:val="center"/>
                    <w:rPr>
                      <w:color w:val="auto"/>
                      <w:sz w:val="18"/>
                      <w:szCs w:val="18"/>
                    </w:rPr>
                  </w:pPr>
                  <w:r>
                    <w:rPr>
                      <w:rFonts w:hint="eastAsia"/>
                      <w:color w:val="auto"/>
                      <w:sz w:val="18"/>
                      <w:szCs w:val="18"/>
                    </w:rPr>
                    <w:t>《大气污染物综合排放标准》（GB16297-1996）表2</w:t>
                  </w:r>
                </w:p>
              </w:tc>
            </w:tr>
          </w:tbl>
          <w:p>
            <w:pPr>
              <w:pStyle w:val="6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baseline"/>
              <w:rPr>
                <w:rFonts w:hint="default" w:ascii="Times New Roman" w:hAnsi="Times New Roman" w:cs="Times New Roman"/>
                <w:b/>
                <w:color w:val="auto"/>
                <w:sz w:val="21"/>
                <w:szCs w:val="21"/>
                <w:lang w:val="en-US" w:eastAsia="zh-CN"/>
              </w:rPr>
            </w:pPr>
            <w:r>
              <w:rPr>
                <w:rFonts w:hint="eastAsia" w:cs="Times New Roman"/>
                <w:b/>
                <w:color w:val="auto"/>
                <w:sz w:val="18"/>
                <w:szCs w:val="18"/>
                <w:lang w:val="en-US" w:eastAsia="zh-CN"/>
              </w:rPr>
              <w:t>表3-6  饮食业单位的油烟最高允许排放浓度和油烟净化设施最低去除效率</w:t>
            </w:r>
          </w:p>
          <w:tbl>
            <w:tblPr>
              <w:tblStyle w:val="24"/>
              <w:tblW w:w="8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2986"/>
              <w:gridCol w:w="1777"/>
              <w:gridCol w:w="1771"/>
              <w:gridCol w:w="15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14" w:hRule="atLeast"/>
                <w:jc w:val="center"/>
              </w:trPr>
              <w:tc>
                <w:tcPr>
                  <w:tcW w:w="2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b w:val="0"/>
                      <w:bCs w:val="0"/>
                      <w:color w:val="auto"/>
                      <w:kern w:val="2"/>
                      <w:sz w:val="18"/>
                      <w:szCs w:val="18"/>
                    </w:rPr>
                  </w:pPr>
                  <w:r>
                    <w:rPr>
                      <w:rFonts w:hint="default" w:ascii="Times New Roman" w:hAnsi="Times New Roman" w:eastAsia="宋体" w:cs="Times New Roman"/>
                      <w:b w:val="0"/>
                      <w:bCs w:val="0"/>
                      <w:color w:val="auto"/>
                      <w:kern w:val="2"/>
                      <w:sz w:val="18"/>
                      <w:szCs w:val="18"/>
                      <w:lang w:val="en-US" w:eastAsia="zh-CN" w:bidi="ar"/>
                    </w:rPr>
                    <w:t>规模</w:t>
                  </w:r>
                </w:p>
              </w:tc>
              <w:tc>
                <w:tcPr>
                  <w:tcW w:w="17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b w:val="0"/>
                      <w:bCs w:val="0"/>
                      <w:color w:val="auto"/>
                      <w:kern w:val="2"/>
                      <w:sz w:val="18"/>
                      <w:szCs w:val="18"/>
                    </w:rPr>
                  </w:pPr>
                  <w:r>
                    <w:rPr>
                      <w:rFonts w:hint="default" w:ascii="Times New Roman" w:hAnsi="Times New Roman" w:eastAsia="宋体" w:cs="Times New Roman"/>
                      <w:b w:val="0"/>
                      <w:bCs w:val="0"/>
                      <w:color w:val="auto"/>
                      <w:kern w:val="2"/>
                      <w:sz w:val="18"/>
                      <w:szCs w:val="18"/>
                      <w:lang w:val="en-US" w:eastAsia="zh-CN" w:bidi="ar"/>
                    </w:rPr>
                    <w:t>小型</w:t>
                  </w:r>
                </w:p>
              </w:tc>
              <w:tc>
                <w:tcPr>
                  <w:tcW w:w="17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b w:val="0"/>
                      <w:bCs w:val="0"/>
                      <w:color w:val="auto"/>
                      <w:kern w:val="2"/>
                      <w:sz w:val="18"/>
                      <w:szCs w:val="18"/>
                    </w:rPr>
                  </w:pPr>
                  <w:r>
                    <w:rPr>
                      <w:rFonts w:hint="default" w:ascii="Times New Roman" w:hAnsi="Times New Roman" w:eastAsia="宋体" w:cs="Times New Roman"/>
                      <w:b w:val="0"/>
                      <w:bCs w:val="0"/>
                      <w:color w:val="auto"/>
                      <w:kern w:val="2"/>
                      <w:sz w:val="18"/>
                      <w:szCs w:val="18"/>
                      <w:lang w:val="en-US" w:eastAsia="zh-CN" w:bidi="ar"/>
                    </w:rPr>
                    <w:t>中型</w:t>
                  </w:r>
                </w:p>
              </w:tc>
              <w:tc>
                <w:tcPr>
                  <w:tcW w:w="15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b w:val="0"/>
                      <w:bCs w:val="0"/>
                      <w:color w:val="auto"/>
                      <w:kern w:val="2"/>
                      <w:sz w:val="18"/>
                      <w:szCs w:val="18"/>
                    </w:rPr>
                  </w:pPr>
                  <w:r>
                    <w:rPr>
                      <w:rFonts w:hint="default" w:ascii="Times New Roman" w:hAnsi="Times New Roman" w:eastAsia="宋体" w:cs="Times New Roman"/>
                      <w:b w:val="0"/>
                      <w:bCs w:val="0"/>
                      <w:color w:val="auto"/>
                      <w:kern w:val="2"/>
                      <w:sz w:val="18"/>
                      <w:szCs w:val="18"/>
                      <w:lang w:val="en-US" w:eastAsia="zh-CN" w:bidi="ar"/>
                    </w:rPr>
                    <w:t>大型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 w:hRule="atLeast"/>
                <w:jc w:val="center"/>
              </w:trPr>
              <w:tc>
                <w:tcPr>
                  <w:tcW w:w="2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lang w:val="en-US" w:eastAsia="zh-CN" w:bidi="ar"/>
                    </w:rPr>
                    <w:t>最高允许排放浓度（mg/m</w:t>
                  </w:r>
                  <w:r>
                    <w:rPr>
                      <w:rFonts w:hint="default" w:ascii="Times New Roman" w:hAnsi="Times New Roman" w:eastAsia="宋体" w:cs="Times New Roman"/>
                      <w:color w:val="auto"/>
                      <w:kern w:val="2"/>
                      <w:sz w:val="18"/>
                      <w:szCs w:val="18"/>
                      <w:vertAlign w:val="superscript"/>
                      <w:lang w:val="en-US" w:eastAsia="zh-CN" w:bidi="ar"/>
                    </w:rPr>
                    <w:t>3</w:t>
                  </w:r>
                  <w:r>
                    <w:rPr>
                      <w:rFonts w:hint="default" w:ascii="Times New Roman" w:hAnsi="Times New Roman" w:eastAsia="宋体" w:cs="Times New Roman"/>
                      <w:color w:val="auto"/>
                      <w:kern w:val="2"/>
                      <w:sz w:val="18"/>
                      <w:szCs w:val="18"/>
                      <w:lang w:val="en-US" w:eastAsia="zh-CN" w:bidi="ar"/>
                    </w:rPr>
                    <w:t>）</w:t>
                  </w:r>
                </w:p>
              </w:tc>
              <w:tc>
                <w:tcPr>
                  <w:tcW w:w="5133" w:type="dxa"/>
                  <w:gridSpan w:val="3"/>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lang w:val="en-US" w:eastAsia="zh-CN" w:bidi="ar"/>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 w:hRule="atLeast"/>
                <w:jc w:val="center"/>
              </w:trPr>
              <w:tc>
                <w:tcPr>
                  <w:tcW w:w="298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lang w:val="en-US" w:eastAsia="zh-CN" w:bidi="ar"/>
                    </w:rPr>
                    <w:t>净化设施最低去除率（%</w:t>
                  </w:r>
                  <w:r>
                    <w:rPr>
                      <w:rFonts w:hint="eastAsia" w:ascii="宋体" w:hAnsi="宋体" w:eastAsia="宋体" w:cs="宋体"/>
                      <w:color w:val="auto"/>
                      <w:kern w:val="2"/>
                      <w:sz w:val="18"/>
                      <w:szCs w:val="18"/>
                      <w:lang w:val="en-US" w:eastAsia="zh-CN" w:bidi="ar"/>
                    </w:rPr>
                    <w:t>）</w:t>
                  </w:r>
                </w:p>
              </w:tc>
              <w:tc>
                <w:tcPr>
                  <w:tcW w:w="1777"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lang w:val="en-US" w:eastAsia="zh-CN" w:bidi="ar"/>
                    </w:rPr>
                    <w:t>60</w:t>
                  </w:r>
                </w:p>
              </w:tc>
              <w:tc>
                <w:tcPr>
                  <w:tcW w:w="177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lang w:val="en-US" w:eastAsia="zh-CN" w:bidi="ar"/>
                    </w:rPr>
                    <w:t>75</w:t>
                  </w:r>
                </w:p>
              </w:tc>
              <w:tc>
                <w:tcPr>
                  <w:tcW w:w="1585"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00" w:lineRule="exact"/>
                    <w:ind w:left="0" w:right="0"/>
                    <w:jc w:val="center"/>
                    <w:rPr>
                      <w:rFonts w:hint="default" w:ascii="Times New Roman" w:hAnsi="Times New Roman" w:eastAsia="宋体" w:cs="Times New Roman"/>
                      <w:color w:val="auto"/>
                      <w:kern w:val="2"/>
                      <w:sz w:val="18"/>
                      <w:szCs w:val="18"/>
                    </w:rPr>
                  </w:pPr>
                  <w:r>
                    <w:rPr>
                      <w:rFonts w:hint="default" w:ascii="Times New Roman" w:hAnsi="Times New Roman" w:eastAsia="宋体" w:cs="Times New Roman"/>
                      <w:color w:val="auto"/>
                      <w:kern w:val="2"/>
                      <w:sz w:val="18"/>
                      <w:szCs w:val="18"/>
                      <w:lang w:val="en-US" w:eastAsia="zh-CN" w:bidi="ar"/>
                    </w:rPr>
                    <w:t>85</w:t>
                  </w:r>
                </w:p>
              </w:tc>
            </w:tr>
          </w:tbl>
          <w:p>
            <w:pPr>
              <w:pStyle w:val="61"/>
              <w:keepNext w:val="0"/>
              <w:keepLines w:val="0"/>
              <w:pageBreakBefore w:val="0"/>
              <w:widowControl w:val="0"/>
              <w:suppressLineNumbers w:val="0"/>
              <w:kinsoku/>
              <w:wordWrap/>
              <w:overflowPunct/>
              <w:topLinePunct w:val="0"/>
              <w:autoSpaceDE/>
              <w:autoSpaceDN/>
              <w:bidi w:val="0"/>
              <w:adjustRightInd w:val="0"/>
              <w:snapToGrid/>
              <w:spacing w:before="0" w:beforeAutospacing="0" w:after="0" w:afterAutospacing="0" w:line="360" w:lineRule="auto"/>
              <w:ind w:left="0" w:right="0" w:firstLine="0" w:firstLineChars="0"/>
              <w:jc w:val="center"/>
              <w:textAlignment w:val="baseline"/>
              <w:rPr>
                <w:rFonts w:hint="default" w:ascii="宋体" w:hAnsi="宋体" w:cs="宋体"/>
                <w:b/>
                <w:bCs/>
                <w:color w:val="auto"/>
                <w:sz w:val="18"/>
                <w:szCs w:val="18"/>
                <w:lang w:val="en-US"/>
              </w:rPr>
            </w:pPr>
            <w:r>
              <w:rPr>
                <w:rFonts w:hint="eastAsia" w:ascii="Times New Roman" w:hAnsi="Times New Roman" w:eastAsia="宋体" w:cs="Times New Roman"/>
                <w:b/>
                <w:color w:val="auto"/>
                <w:sz w:val="18"/>
                <w:szCs w:val="18"/>
                <w:lang w:val="en-US" w:eastAsia="zh-CN"/>
              </w:rPr>
              <w:t>表3-7  烘干废气排放标准</w:t>
            </w:r>
          </w:p>
          <w:tbl>
            <w:tblPr>
              <w:tblStyle w:val="25"/>
              <w:tblW w:w="80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7"/>
              <w:gridCol w:w="2450"/>
              <w:gridCol w:w="43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67" w:type="dxa"/>
                  <w:vMerge w:val="restart"/>
                  <w:vAlign w:val="center"/>
                </w:tcPr>
                <w:p>
                  <w:pPr>
                    <w:spacing w:line="320" w:lineRule="exact"/>
                    <w:jc w:val="center"/>
                    <w:rPr>
                      <w:color w:val="auto"/>
                      <w:sz w:val="18"/>
                      <w:szCs w:val="18"/>
                    </w:rPr>
                  </w:pPr>
                  <w:r>
                    <w:rPr>
                      <w:rFonts w:hint="eastAsia"/>
                      <w:color w:val="auto"/>
                      <w:sz w:val="18"/>
                      <w:szCs w:val="18"/>
                    </w:rPr>
                    <w:t>污染物</w:t>
                  </w:r>
                </w:p>
              </w:tc>
              <w:tc>
                <w:tcPr>
                  <w:tcW w:w="2450" w:type="dxa"/>
                  <w:vMerge w:val="restart"/>
                  <w:vAlign w:val="center"/>
                </w:tcPr>
                <w:p>
                  <w:pPr>
                    <w:spacing w:line="320" w:lineRule="exact"/>
                    <w:jc w:val="center"/>
                    <w:rPr>
                      <w:color w:val="auto"/>
                      <w:sz w:val="18"/>
                      <w:szCs w:val="18"/>
                    </w:rPr>
                  </w:pPr>
                  <w:r>
                    <w:rPr>
                      <w:color w:val="auto"/>
                      <w:sz w:val="18"/>
                      <w:szCs w:val="18"/>
                    </w:rPr>
                    <w:t>最高允许排放浓度（mg/m</w:t>
                  </w:r>
                  <w:r>
                    <w:rPr>
                      <w:color w:val="auto"/>
                      <w:sz w:val="18"/>
                      <w:szCs w:val="18"/>
                      <w:vertAlign w:val="superscript"/>
                    </w:rPr>
                    <w:t>3</w:t>
                  </w:r>
                  <w:r>
                    <w:rPr>
                      <w:color w:val="auto"/>
                      <w:sz w:val="18"/>
                      <w:szCs w:val="18"/>
                    </w:rPr>
                    <w:t>）</w:t>
                  </w:r>
                </w:p>
              </w:tc>
              <w:tc>
                <w:tcPr>
                  <w:tcW w:w="4384" w:type="dxa"/>
                  <w:vMerge w:val="restart"/>
                  <w:vAlign w:val="center"/>
                </w:tcPr>
                <w:p>
                  <w:pPr>
                    <w:spacing w:line="320" w:lineRule="exact"/>
                    <w:jc w:val="center"/>
                    <w:rPr>
                      <w:color w:val="auto"/>
                      <w:sz w:val="18"/>
                      <w:szCs w:val="18"/>
                    </w:rPr>
                  </w:pPr>
                  <w:r>
                    <w:rPr>
                      <w:color w:val="auto"/>
                      <w:sz w:val="18"/>
                      <w:szCs w:val="18"/>
                    </w:rPr>
                    <w:t>标准来源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167" w:type="dxa"/>
                  <w:vMerge w:val="continue"/>
                  <w:vAlign w:val="center"/>
                </w:tcPr>
                <w:p>
                  <w:pPr>
                    <w:spacing w:line="320" w:lineRule="exact"/>
                    <w:jc w:val="center"/>
                    <w:rPr>
                      <w:color w:val="auto"/>
                      <w:sz w:val="18"/>
                      <w:szCs w:val="18"/>
                    </w:rPr>
                  </w:pPr>
                </w:p>
              </w:tc>
              <w:tc>
                <w:tcPr>
                  <w:tcW w:w="2450" w:type="dxa"/>
                  <w:vMerge w:val="continue"/>
                  <w:vAlign w:val="center"/>
                </w:tcPr>
                <w:p>
                  <w:pPr>
                    <w:spacing w:line="320" w:lineRule="exact"/>
                    <w:jc w:val="center"/>
                    <w:rPr>
                      <w:color w:val="auto"/>
                      <w:sz w:val="18"/>
                      <w:szCs w:val="18"/>
                    </w:rPr>
                  </w:pPr>
                </w:p>
              </w:tc>
              <w:tc>
                <w:tcPr>
                  <w:tcW w:w="4384" w:type="dxa"/>
                  <w:vMerge w:val="continue"/>
                  <w:vAlign w:val="center"/>
                </w:tcPr>
                <w:p>
                  <w:pPr>
                    <w:spacing w:line="320" w:lineRule="exact"/>
                    <w:jc w:val="center"/>
                    <w:rPr>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7" w:type="dxa"/>
                  <w:vAlign w:val="center"/>
                </w:tcPr>
                <w:p>
                  <w:pPr>
                    <w:spacing w:line="320" w:lineRule="exact"/>
                    <w:jc w:val="center"/>
                    <w:rPr>
                      <w:rFonts w:hint="default" w:eastAsia="宋体"/>
                      <w:color w:val="auto"/>
                      <w:sz w:val="18"/>
                      <w:szCs w:val="18"/>
                      <w:lang w:val="en-US" w:eastAsia="zh-CN"/>
                    </w:rPr>
                  </w:pPr>
                  <w:r>
                    <w:rPr>
                      <w:rFonts w:hint="eastAsia" w:eastAsia="宋体"/>
                      <w:color w:val="auto"/>
                      <w:sz w:val="18"/>
                      <w:szCs w:val="18"/>
                      <w:lang w:val="en-US" w:eastAsia="zh-CN"/>
                    </w:rPr>
                    <w:t>烟（粉）尘</w:t>
                  </w:r>
                </w:p>
              </w:tc>
              <w:tc>
                <w:tcPr>
                  <w:tcW w:w="2450" w:type="dxa"/>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30</w:t>
                  </w:r>
                </w:p>
              </w:tc>
              <w:tc>
                <w:tcPr>
                  <w:tcW w:w="4384" w:type="dxa"/>
                  <w:vMerge w:val="restart"/>
                  <w:vAlign w:val="center"/>
                </w:tcPr>
                <w:p>
                  <w:pPr>
                    <w:spacing w:line="320" w:lineRule="exact"/>
                    <w:jc w:val="center"/>
                    <w:rPr>
                      <w:color w:val="auto"/>
                      <w:sz w:val="18"/>
                      <w:szCs w:val="18"/>
                    </w:rPr>
                  </w:pPr>
                  <w:r>
                    <w:rPr>
                      <w:rFonts w:hint="eastAsia"/>
                      <w:color w:val="auto"/>
                      <w:sz w:val="18"/>
                      <w:szCs w:val="18"/>
                    </w:rPr>
                    <w:t>《新疆维吾尔自治区工业炉窑大气污染治理实施方案》（新大气发〔2019〕127号）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7" w:type="dxa"/>
                  <w:vAlign w:val="center"/>
                </w:tcPr>
                <w:p>
                  <w:pPr>
                    <w:spacing w:line="320" w:lineRule="exact"/>
                    <w:jc w:val="center"/>
                    <w:rPr>
                      <w:rFonts w:hint="eastAsia"/>
                      <w:color w:val="auto"/>
                      <w:sz w:val="18"/>
                      <w:szCs w:val="18"/>
                      <w:lang w:val="en-US" w:eastAsia="zh-CN"/>
                    </w:rPr>
                  </w:pPr>
                  <w:r>
                    <w:rPr>
                      <w:rFonts w:hint="eastAsia"/>
                      <w:color w:val="auto"/>
                      <w:sz w:val="18"/>
                      <w:szCs w:val="18"/>
                      <w:lang w:val="en-US" w:eastAsia="zh-CN"/>
                    </w:rPr>
                    <w:t>二氧化硫</w:t>
                  </w:r>
                </w:p>
              </w:tc>
              <w:tc>
                <w:tcPr>
                  <w:tcW w:w="2450" w:type="dxa"/>
                  <w:vAlign w:val="center"/>
                </w:tcPr>
                <w:p>
                  <w:pPr>
                    <w:spacing w:line="320" w:lineRule="exact"/>
                    <w:jc w:val="center"/>
                    <w:rPr>
                      <w:rFonts w:hint="default"/>
                      <w:color w:val="auto"/>
                      <w:sz w:val="18"/>
                      <w:szCs w:val="18"/>
                      <w:lang w:val="en-US" w:eastAsia="zh-CN"/>
                    </w:rPr>
                  </w:pPr>
                  <w:r>
                    <w:rPr>
                      <w:rFonts w:hint="eastAsia"/>
                      <w:color w:val="auto"/>
                      <w:sz w:val="18"/>
                      <w:szCs w:val="18"/>
                      <w:lang w:val="en-US" w:eastAsia="zh-CN"/>
                    </w:rPr>
                    <w:t>200</w:t>
                  </w:r>
                </w:p>
              </w:tc>
              <w:tc>
                <w:tcPr>
                  <w:tcW w:w="4384" w:type="dxa"/>
                  <w:vMerge w:val="continue"/>
                  <w:vAlign w:val="center"/>
                </w:tcPr>
                <w:p>
                  <w:pPr>
                    <w:spacing w:line="320" w:lineRule="exact"/>
                    <w:jc w:val="center"/>
                    <w:rPr>
                      <w:rFonts w:hint="eastAsia"/>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7" w:type="dxa"/>
                  <w:vAlign w:val="center"/>
                </w:tcPr>
                <w:p>
                  <w:pPr>
                    <w:spacing w:line="320" w:lineRule="exact"/>
                    <w:jc w:val="center"/>
                    <w:rPr>
                      <w:rFonts w:hint="eastAsia"/>
                      <w:color w:val="auto"/>
                      <w:sz w:val="18"/>
                      <w:szCs w:val="18"/>
                      <w:lang w:val="en-US" w:eastAsia="zh-CN"/>
                    </w:rPr>
                  </w:pPr>
                  <w:r>
                    <w:rPr>
                      <w:rFonts w:hint="eastAsia"/>
                      <w:color w:val="auto"/>
                      <w:sz w:val="18"/>
                      <w:szCs w:val="18"/>
                      <w:lang w:val="en-US" w:eastAsia="zh-CN"/>
                    </w:rPr>
                    <w:t>氮氧化物</w:t>
                  </w:r>
                </w:p>
              </w:tc>
              <w:tc>
                <w:tcPr>
                  <w:tcW w:w="2450" w:type="dxa"/>
                  <w:vAlign w:val="center"/>
                </w:tcPr>
                <w:p>
                  <w:pPr>
                    <w:spacing w:line="320" w:lineRule="exact"/>
                    <w:jc w:val="center"/>
                    <w:rPr>
                      <w:rFonts w:hint="default"/>
                      <w:color w:val="auto"/>
                      <w:sz w:val="18"/>
                      <w:szCs w:val="18"/>
                      <w:lang w:val="en-US" w:eastAsia="zh-CN"/>
                    </w:rPr>
                  </w:pPr>
                  <w:r>
                    <w:rPr>
                      <w:rFonts w:hint="eastAsia"/>
                      <w:color w:val="auto"/>
                      <w:sz w:val="18"/>
                      <w:szCs w:val="18"/>
                      <w:lang w:val="en-US" w:eastAsia="zh-CN"/>
                    </w:rPr>
                    <w:t>300</w:t>
                  </w:r>
                </w:p>
              </w:tc>
              <w:tc>
                <w:tcPr>
                  <w:tcW w:w="4384" w:type="dxa"/>
                  <w:vMerge w:val="continue"/>
                  <w:vAlign w:val="center"/>
                </w:tcPr>
                <w:p>
                  <w:pPr>
                    <w:spacing w:line="320" w:lineRule="exact"/>
                    <w:jc w:val="center"/>
                    <w:rPr>
                      <w:rFonts w:hint="eastAsia"/>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67" w:type="dxa"/>
                  <w:vAlign w:val="center"/>
                </w:tcPr>
                <w:p>
                  <w:pPr>
                    <w:spacing w:line="320" w:lineRule="exact"/>
                    <w:jc w:val="center"/>
                    <w:rPr>
                      <w:rFonts w:hint="eastAsia"/>
                      <w:color w:val="auto"/>
                      <w:sz w:val="18"/>
                      <w:szCs w:val="18"/>
                      <w:lang w:val="en-US" w:eastAsia="zh-CN"/>
                    </w:rPr>
                  </w:pPr>
                  <w:r>
                    <w:rPr>
                      <w:rFonts w:hint="eastAsia" w:eastAsia="宋体"/>
                      <w:color w:val="auto"/>
                      <w:sz w:val="18"/>
                      <w:szCs w:val="18"/>
                      <w:lang w:val="en-US" w:eastAsia="zh-CN"/>
                    </w:rPr>
                    <w:t>烟（粉）尘</w:t>
                  </w:r>
                </w:p>
              </w:tc>
              <w:tc>
                <w:tcPr>
                  <w:tcW w:w="2450" w:type="dxa"/>
                  <w:vAlign w:val="center"/>
                </w:tcPr>
                <w:p>
                  <w:pPr>
                    <w:spacing w:line="320" w:lineRule="exact"/>
                    <w:jc w:val="center"/>
                    <w:rPr>
                      <w:rFonts w:hint="default"/>
                      <w:color w:val="auto"/>
                      <w:sz w:val="18"/>
                      <w:szCs w:val="18"/>
                      <w:lang w:val="en-US" w:eastAsia="zh-CN"/>
                    </w:rPr>
                  </w:pPr>
                  <w:r>
                    <w:rPr>
                      <w:rFonts w:hint="eastAsia"/>
                      <w:color w:val="auto"/>
                      <w:sz w:val="18"/>
                      <w:szCs w:val="18"/>
                      <w:lang w:val="en-US" w:eastAsia="zh-CN"/>
                    </w:rPr>
                    <w:t>200</w:t>
                  </w:r>
                </w:p>
              </w:tc>
              <w:tc>
                <w:tcPr>
                  <w:tcW w:w="4384" w:type="dxa"/>
                  <w:vAlign w:val="center"/>
                </w:tcPr>
                <w:p>
                  <w:pPr>
                    <w:spacing w:line="320" w:lineRule="exact"/>
                    <w:jc w:val="center"/>
                    <w:rPr>
                      <w:rFonts w:hint="eastAsia"/>
                      <w:color w:val="auto"/>
                      <w:sz w:val="18"/>
                      <w:szCs w:val="18"/>
                      <w:lang w:val="en-US" w:eastAsia="zh-CN"/>
                    </w:rPr>
                  </w:pPr>
                  <w:r>
                    <w:rPr>
                      <w:rFonts w:hint="eastAsia"/>
                      <w:color w:val="auto"/>
                      <w:sz w:val="18"/>
                      <w:szCs w:val="18"/>
                      <w:lang w:val="en-US" w:eastAsia="zh-CN"/>
                    </w:rPr>
                    <w:t>《工业炉窑大气污染物排放标准》（GB9078-1996）</w:t>
                  </w:r>
                </w:p>
              </w:tc>
            </w:tr>
          </w:tbl>
          <w:p>
            <w:pPr>
              <w:pStyle w:val="61"/>
              <w:spacing w:line="360" w:lineRule="auto"/>
              <w:ind w:left="0" w:firstLine="422" w:firstLineChars="200"/>
              <w:rPr>
                <w:b/>
                <w:color w:val="auto"/>
                <w:sz w:val="21"/>
                <w:szCs w:val="21"/>
              </w:rPr>
            </w:pPr>
            <w:r>
              <w:rPr>
                <w:rFonts w:hint="eastAsia"/>
                <w:b/>
                <w:color w:val="auto"/>
                <w:sz w:val="21"/>
                <w:szCs w:val="21"/>
              </w:rPr>
              <w:t>2、废水</w:t>
            </w:r>
          </w:p>
          <w:p>
            <w:pPr>
              <w:spacing w:line="360" w:lineRule="auto"/>
              <w:ind w:firstLine="420" w:firstLineChars="200"/>
              <w:jc w:val="left"/>
              <w:rPr>
                <w:rFonts w:hint="eastAsia" w:eastAsia="宋体"/>
                <w:color w:val="auto"/>
                <w:szCs w:val="21"/>
                <w:lang w:val="en-US" w:eastAsia="zh-CN"/>
              </w:rPr>
            </w:pPr>
            <w:r>
              <w:rPr>
                <w:rFonts w:hint="eastAsia"/>
                <w:color w:val="auto"/>
                <w:szCs w:val="21"/>
              </w:rPr>
              <w:t>本项目运营期废水主要为生活污水，</w:t>
            </w:r>
            <w:r>
              <w:rPr>
                <w:rFonts w:hint="eastAsia"/>
                <w:b w:val="0"/>
                <w:bCs w:val="0"/>
                <w:color w:val="auto"/>
              </w:rPr>
              <w:t>生活污水直接排入市政污水管网，最终进入玛纳斯县污水处理厂</w:t>
            </w:r>
            <w:r>
              <w:rPr>
                <w:rFonts w:hint="eastAsia"/>
                <w:b w:val="0"/>
                <w:bCs w:val="0"/>
                <w:color w:val="auto"/>
                <w:lang w:eastAsia="zh-CN"/>
              </w:rPr>
              <w:t>。废水排放执行《污水综合排放标准》（GB8978-1996）表4中的三级排放标准（</w:t>
            </w:r>
            <w:r>
              <w:rPr>
                <w:rFonts w:hint="eastAsia"/>
                <w:b w:val="0"/>
                <w:bCs w:val="0"/>
                <w:color w:val="auto"/>
                <w:lang w:val="en-US" w:eastAsia="zh-CN"/>
              </w:rPr>
              <w:t>即</w:t>
            </w:r>
            <w:r>
              <w:rPr>
                <w:rFonts w:hint="eastAsia"/>
                <w:b w:val="0"/>
                <w:bCs w:val="0"/>
                <w:color w:val="auto"/>
              </w:rPr>
              <w:t>玛纳斯县污水处理厂</w:t>
            </w:r>
            <w:r>
              <w:rPr>
                <w:rFonts w:hint="eastAsia"/>
                <w:b w:val="0"/>
                <w:bCs w:val="0"/>
                <w:color w:val="auto"/>
                <w:lang w:val="en-US" w:eastAsia="zh-CN"/>
              </w:rPr>
              <w:t>纳管标准</w:t>
            </w:r>
            <w:r>
              <w:rPr>
                <w:rFonts w:hint="eastAsia"/>
                <w:b w:val="0"/>
                <w:bCs w:val="0"/>
                <w:color w:val="auto"/>
                <w:lang w:eastAsia="zh-CN"/>
              </w:rPr>
              <w:t>）。</w:t>
            </w:r>
          </w:p>
          <w:p>
            <w:pPr>
              <w:pStyle w:val="61"/>
              <w:keepNext w:val="0"/>
              <w:keepLines w:val="0"/>
              <w:pageBreakBefore w:val="0"/>
              <w:widowControl w:val="0"/>
              <w:kinsoku/>
              <w:wordWrap/>
              <w:overflowPunct/>
              <w:topLinePunct w:val="0"/>
              <w:autoSpaceDE/>
              <w:autoSpaceDN/>
              <w:bidi w:val="0"/>
              <w:adjustRightInd w:val="0"/>
              <w:snapToGrid/>
              <w:spacing w:line="360" w:lineRule="auto"/>
              <w:ind w:left="0" w:leftChars="0" w:right="0" w:firstLine="0"/>
              <w:jc w:val="center"/>
              <w:textAlignment w:val="baseline"/>
              <w:rPr>
                <w:rFonts w:hint="default" w:ascii="Times New Roman" w:hAnsi="Times New Roman" w:eastAsia="宋体" w:cs="Times New Roman"/>
                <w:b/>
                <w:color w:val="auto"/>
                <w:kern w:val="2"/>
                <w:sz w:val="18"/>
                <w:szCs w:val="18"/>
                <w:lang w:val="en-US" w:eastAsia="zh-CN" w:bidi="ar-SA"/>
              </w:rPr>
            </w:pPr>
            <w:r>
              <w:rPr>
                <w:rFonts w:hint="eastAsia" w:ascii="Times New Roman" w:hAnsi="Times New Roman" w:eastAsia="宋体" w:cs="Times New Roman"/>
                <w:b/>
                <w:color w:val="auto"/>
                <w:kern w:val="2"/>
                <w:sz w:val="18"/>
                <w:szCs w:val="18"/>
                <w:lang w:val="en-US" w:eastAsia="zh-CN" w:bidi="ar-SA"/>
              </w:rPr>
              <w:t>表3-</w:t>
            </w:r>
            <w:r>
              <w:rPr>
                <w:rFonts w:hint="eastAsia" w:cs="Times New Roman"/>
                <w:b/>
                <w:color w:val="auto"/>
                <w:kern w:val="2"/>
                <w:sz w:val="18"/>
                <w:szCs w:val="18"/>
                <w:lang w:val="en-US" w:eastAsia="zh-CN" w:bidi="ar-SA"/>
              </w:rPr>
              <w:t>8</w:t>
            </w:r>
            <w:r>
              <w:rPr>
                <w:rFonts w:hint="eastAsia" w:ascii="Times New Roman" w:hAnsi="Times New Roman" w:eastAsia="宋体" w:cs="Times New Roman"/>
                <w:b/>
                <w:color w:val="auto"/>
                <w:kern w:val="2"/>
                <w:sz w:val="18"/>
                <w:szCs w:val="18"/>
                <w:lang w:val="en-US" w:eastAsia="zh-CN" w:bidi="ar-SA"/>
              </w:rPr>
              <w:t xml:space="preserve">  《污水综合排放标准》（GB8978-1996）三级排放标准</w:t>
            </w:r>
            <w:r>
              <w:rPr>
                <w:rFonts w:hint="eastAsia" w:cs="Times New Roman"/>
                <w:b/>
                <w:color w:val="auto"/>
                <w:kern w:val="2"/>
                <w:sz w:val="18"/>
                <w:szCs w:val="18"/>
                <w:lang w:val="en-US" w:eastAsia="zh-CN" w:bidi="ar-SA"/>
              </w:rPr>
              <w:t xml:space="preserve">  单位mg/L</w:t>
            </w:r>
          </w:p>
          <w:tbl>
            <w:tblPr>
              <w:tblStyle w:val="25"/>
              <w:tblW w:w="80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36"/>
              <w:gridCol w:w="1336"/>
              <w:gridCol w:w="1336"/>
              <w:gridCol w:w="1336"/>
              <w:gridCol w:w="1336"/>
              <w:gridCol w:w="13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rPr>
              <w:tc>
                <w:tcPr>
                  <w:tcW w:w="1336" w:type="dxa"/>
                </w:tcPr>
                <w:p>
                  <w:pPr>
                    <w:pStyle w:val="94"/>
                    <w:bidi w:val="0"/>
                    <w:rPr>
                      <w:rFonts w:hint="default" w:eastAsia="宋体"/>
                      <w:color w:val="auto"/>
                      <w:lang w:val="en-US" w:eastAsia="zh-CN"/>
                    </w:rPr>
                  </w:pPr>
                  <w:r>
                    <w:rPr>
                      <w:rFonts w:hint="eastAsia"/>
                      <w:color w:val="auto"/>
                      <w:lang w:val="en-US" w:eastAsia="zh-CN"/>
                    </w:rPr>
                    <w:t>pH</w:t>
                  </w:r>
                </w:p>
              </w:tc>
              <w:tc>
                <w:tcPr>
                  <w:tcW w:w="1336" w:type="dxa"/>
                  <w:vAlign w:val="top"/>
                </w:tcPr>
                <w:p>
                  <w:pPr>
                    <w:pStyle w:val="94"/>
                    <w:bidi w:val="0"/>
                    <w:rPr>
                      <w:rFonts w:hint="default" w:ascii="Times New Roman" w:hAnsi="Times New Roman" w:eastAsia="宋体" w:cs="Times New Roman"/>
                      <w:color w:val="auto"/>
                      <w:kern w:val="0"/>
                      <w:sz w:val="18"/>
                      <w:szCs w:val="21"/>
                      <w:lang w:val="en-US" w:eastAsia="zh-CN" w:bidi="ar-SA"/>
                    </w:rPr>
                  </w:pPr>
                  <w:r>
                    <w:rPr>
                      <w:rFonts w:hint="eastAsia"/>
                      <w:color w:val="auto"/>
                      <w:lang w:val="en-US" w:eastAsia="zh-CN"/>
                    </w:rPr>
                    <w:t>COD</w:t>
                  </w:r>
                </w:p>
              </w:tc>
              <w:tc>
                <w:tcPr>
                  <w:tcW w:w="1336" w:type="dxa"/>
                  <w:vAlign w:val="top"/>
                </w:tcPr>
                <w:p>
                  <w:pPr>
                    <w:pStyle w:val="94"/>
                    <w:bidi w:val="0"/>
                    <w:rPr>
                      <w:rFonts w:hint="default" w:ascii="Times New Roman" w:hAnsi="Times New Roman" w:eastAsia="宋体" w:cs="Times New Roman"/>
                      <w:color w:val="auto"/>
                      <w:kern w:val="0"/>
                      <w:sz w:val="18"/>
                      <w:szCs w:val="21"/>
                      <w:lang w:val="en-US" w:eastAsia="zh-CN" w:bidi="ar-SA"/>
                    </w:rPr>
                  </w:pPr>
                  <w:r>
                    <w:rPr>
                      <w:rFonts w:hint="eastAsia"/>
                      <w:color w:val="auto"/>
                      <w:lang w:val="en-US" w:eastAsia="zh-CN"/>
                    </w:rPr>
                    <w:t>BOD</w:t>
                  </w:r>
                  <w:r>
                    <w:rPr>
                      <w:rFonts w:hint="eastAsia"/>
                      <w:color w:val="auto"/>
                      <w:vertAlign w:val="subscript"/>
                      <w:lang w:val="en-US" w:eastAsia="zh-CN"/>
                    </w:rPr>
                    <w:t>5</w:t>
                  </w:r>
                </w:p>
              </w:tc>
              <w:tc>
                <w:tcPr>
                  <w:tcW w:w="1336" w:type="dxa"/>
                  <w:vAlign w:val="top"/>
                </w:tcPr>
                <w:p>
                  <w:pPr>
                    <w:pStyle w:val="94"/>
                    <w:bidi w:val="0"/>
                    <w:rPr>
                      <w:rFonts w:hint="default" w:ascii="Times New Roman" w:hAnsi="Times New Roman" w:eastAsia="宋体" w:cs="Times New Roman"/>
                      <w:color w:val="auto"/>
                      <w:kern w:val="0"/>
                      <w:sz w:val="18"/>
                      <w:szCs w:val="21"/>
                      <w:lang w:val="en-US" w:eastAsia="zh-CN" w:bidi="ar-SA"/>
                    </w:rPr>
                  </w:pPr>
                  <w:r>
                    <w:rPr>
                      <w:rFonts w:hint="eastAsia"/>
                      <w:color w:val="auto"/>
                      <w:lang w:val="en-US" w:eastAsia="zh-CN"/>
                    </w:rPr>
                    <w:t>SS</w:t>
                  </w:r>
                </w:p>
              </w:tc>
              <w:tc>
                <w:tcPr>
                  <w:tcW w:w="1336" w:type="dxa"/>
                  <w:vAlign w:val="top"/>
                </w:tcPr>
                <w:p>
                  <w:pPr>
                    <w:pStyle w:val="94"/>
                    <w:bidi w:val="0"/>
                    <w:rPr>
                      <w:rFonts w:hint="eastAsia" w:ascii="Times New Roman" w:hAnsi="Times New Roman" w:eastAsia="宋体" w:cs="Times New Roman"/>
                      <w:color w:val="auto"/>
                      <w:kern w:val="0"/>
                      <w:sz w:val="18"/>
                      <w:szCs w:val="21"/>
                      <w:lang w:val="en-US" w:eastAsia="zh-CN" w:bidi="ar-SA"/>
                    </w:rPr>
                  </w:pPr>
                  <w:r>
                    <w:rPr>
                      <w:rFonts w:hint="eastAsia"/>
                      <w:color w:val="auto"/>
                      <w:lang w:val="en-US" w:eastAsia="zh-CN"/>
                    </w:rPr>
                    <w:t>石油类</w:t>
                  </w:r>
                </w:p>
              </w:tc>
              <w:tc>
                <w:tcPr>
                  <w:tcW w:w="1336" w:type="dxa"/>
                  <w:vAlign w:val="top"/>
                </w:tcPr>
                <w:p>
                  <w:pPr>
                    <w:pStyle w:val="94"/>
                    <w:bidi w:val="0"/>
                    <w:rPr>
                      <w:rFonts w:hint="eastAsia" w:ascii="Times New Roman" w:hAnsi="Times New Roman" w:eastAsia="宋体" w:cs="Times New Roman"/>
                      <w:color w:val="auto"/>
                      <w:kern w:val="0"/>
                      <w:sz w:val="18"/>
                      <w:szCs w:val="21"/>
                      <w:lang w:val="en-US" w:eastAsia="zh-CN" w:bidi="ar-SA"/>
                    </w:rPr>
                  </w:pPr>
                  <w:r>
                    <w:rPr>
                      <w:rFonts w:hint="eastAsia"/>
                      <w:color w:val="auto"/>
                      <w:lang w:val="en-US" w:eastAsia="zh-CN"/>
                    </w:rPr>
                    <w:t>氨氮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1336" w:type="dxa"/>
                </w:tcPr>
                <w:p>
                  <w:pPr>
                    <w:pStyle w:val="94"/>
                    <w:bidi w:val="0"/>
                    <w:rPr>
                      <w:rFonts w:hint="default" w:eastAsia="宋体"/>
                      <w:color w:val="auto"/>
                      <w:lang w:val="en-US" w:eastAsia="zh-CN"/>
                    </w:rPr>
                  </w:pPr>
                  <w:r>
                    <w:rPr>
                      <w:rFonts w:hint="eastAsia"/>
                      <w:color w:val="auto"/>
                      <w:lang w:val="en-US" w:eastAsia="zh-CN"/>
                    </w:rPr>
                    <w:t>6~9</w:t>
                  </w:r>
                </w:p>
              </w:tc>
              <w:tc>
                <w:tcPr>
                  <w:tcW w:w="1336" w:type="dxa"/>
                </w:tcPr>
                <w:p>
                  <w:pPr>
                    <w:pStyle w:val="94"/>
                    <w:bidi w:val="0"/>
                    <w:rPr>
                      <w:rFonts w:hint="default" w:eastAsia="宋体"/>
                      <w:color w:val="auto"/>
                      <w:lang w:val="en-US" w:eastAsia="zh-CN"/>
                    </w:rPr>
                  </w:pPr>
                  <w:r>
                    <w:rPr>
                      <w:rFonts w:hint="eastAsia"/>
                      <w:color w:val="auto"/>
                      <w:lang w:val="en-US" w:eastAsia="zh-CN"/>
                    </w:rPr>
                    <w:t>500</w:t>
                  </w:r>
                </w:p>
              </w:tc>
              <w:tc>
                <w:tcPr>
                  <w:tcW w:w="1336" w:type="dxa"/>
                </w:tcPr>
                <w:p>
                  <w:pPr>
                    <w:pStyle w:val="94"/>
                    <w:bidi w:val="0"/>
                    <w:rPr>
                      <w:rFonts w:hint="default" w:eastAsia="宋体"/>
                      <w:color w:val="auto"/>
                      <w:lang w:val="en-US" w:eastAsia="zh-CN"/>
                    </w:rPr>
                  </w:pPr>
                  <w:r>
                    <w:rPr>
                      <w:rFonts w:hint="eastAsia"/>
                      <w:color w:val="auto"/>
                      <w:lang w:val="en-US" w:eastAsia="zh-CN"/>
                    </w:rPr>
                    <w:t>300</w:t>
                  </w:r>
                </w:p>
              </w:tc>
              <w:tc>
                <w:tcPr>
                  <w:tcW w:w="1336" w:type="dxa"/>
                </w:tcPr>
                <w:p>
                  <w:pPr>
                    <w:pStyle w:val="94"/>
                    <w:bidi w:val="0"/>
                    <w:rPr>
                      <w:rFonts w:hint="default" w:eastAsia="宋体"/>
                      <w:color w:val="auto"/>
                      <w:lang w:val="en-US" w:eastAsia="zh-CN"/>
                    </w:rPr>
                  </w:pPr>
                  <w:r>
                    <w:rPr>
                      <w:rFonts w:hint="eastAsia"/>
                      <w:color w:val="auto"/>
                      <w:lang w:val="en-US" w:eastAsia="zh-CN"/>
                    </w:rPr>
                    <w:t>400</w:t>
                  </w:r>
                </w:p>
              </w:tc>
              <w:tc>
                <w:tcPr>
                  <w:tcW w:w="1336" w:type="dxa"/>
                </w:tcPr>
                <w:p>
                  <w:pPr>
                    <w:pStyle w:val="94"/>
                    <w:bidi w:val="0"/>
                    <w:rPr>
                      <w:rFonts w:hint="default" w:eastAsia="宋体"/>
                      <w:color w:val="auto"/>
                      <w:lang w:val="en-US" w:eastAsia="zh-CN"/>
                    </w:rPr>
                  </w:pPr>
                  <w:r>
                    <w:rPr>
                      <w:rFonts w:hint="eastAsia"/>
                      <w:color w:val="auto"/>
                      <w:lang w:val="en-US" w:eastAsia="zh-CN"/>
                    </w:rPr>
                    <w:t>20</w:t>
                  </w:r>
                </w:p>
              </w:tc>
              <w:tc>
                <w:tcPr>
                  <w:tcW w:w="1336" w:type="dxa"/>
                </w:tcPr>
                <w:p>
                  <w:pPr>
                    <w:pStyle w:val="94"/>
                    <w:bidi w:val="0"/>
                    <w:rPr>
                      <w:rFonts w:hint="default" w:eastAsia="宋体"/>
                      <w:color w:val="auto"/>
                      <w:lang w:val="en-US" w:eastAsia="zh-CN"/>
                    </w:rPr>
                  </w:pPr>
                  <w:r>
                    <w:rPr>
                      <w:rFonts w:hint="eastAsia"/>
                      <w:color w:val="auto"/>
                      <w:lang w:val="en-US" w:eastAsia="zh-CN"/>
                    </w:rPr>
                    <w:t>/</w:t>
                  </w:r>
                </w:p>
              </w:tc>
            </w:tr>
          </w:tbl>
          <w:p>
            <w:pPr>
              <w:pStyle w:val="61"/>
              <w:spacing w:line="360" w:lineRule="auto"/>
              <w:ind w:left="420" w:leftChars="200" w:firstLine="0"/>
              <w:rPr>
                <w:b/>
                <w:color w:val="auto"/>
                <w:sz w:val="21"/>
                <w:szCs w:val="21"/>
              </w:rPr>
            </w:pPr>
            <w:r>
              <w:rPr>
                <w:rFonts w:hint="eastAsia"/>
                <w:b/>
                <w:color w:val="auto"/>
                <w:sz w:val="21"/>
                <w:szCs w:val="21"/>
              </w:rPr>
              <w:t>3、噪声</w:t>
            </w:r>
          </w:p>
          <w:p>
            <w:pPr>
              <w:pStyle w:val="61"/>
              <w:spacing w:line="360" w:lineRule="auto"/>
              <w:ind w:left="0" w:firstLine="420" w:firstLineChars="200"/>
              <w:rPr>
                <w:color w:val="auto"/>
                <w:sz w:val="21"/>
                <w:szCs w:val="21"/>
              </w:rPr>
            </w:pPr>
            <w:r>
              <w:rPr>
                <w:color w:val="auto"/>
                <w:sz w:val="21"/>
                <w:szCs w:val="21"/>
              </w:rPr>
              <w:t>施工期噪声执行《建筑施工场界环境噪声排放标准》(GB12523-2011)限值，</w:t>
            </w:r>
            <w:r>
              <w:rPr>
                <w:color w:val="auto"/>
                <w:sz w:val="21"/>
                <w:szCs w:val="21"/>
                <w:u w:val="single"/>
              </w:rPr>
              <w:t>昼间70</w:t>
            </w:r>
            <w:r>
              <w:rPr>
                <w:bCs/>
                <w:color w:val="auto"/>
                <w:sz w:val="21"/>
                <w:szCs w:val="21"/>
                <w:u w:val="single"/>
              </w:rPr>
              <w:t>[dB(A)]、夜间55[dB(A)]</w:t>
            </w:r>
            <w:r>
              <w:rPr>
                <w:color w:val="auto"/>
                <w:sz w:val="21"/>
                <w:szCs w:val="21"/>
              </w:rPr>
              <w:t>。</w:t>
            </w:r>
          </w:p>
          <w:p>
            <w:pPr>
              <w:pStyle w:val="61"/>
              <w:spacing w:line="360" w:lineRule="auto"/>
              <w:ind w:left="0" w:firstLine="420" w:firstLineChars="200"/>
              <w:rPr>
                <w:color w:val="auto"/>
                <w:sz w:val="21"/>
                <w:szCs w:val="21"/>
              </w:rPr>
            </w:pPr>
            <w:r>
              <w:rPr>
                <w:bCs/>
                <w:color w:val="auto"/>
                <w:sz w:val="21"/>
                <w:szCs w:val="21"/>
              </w:rPr>
              <w:t>营运期执行</w:t>
            </w:r>
            <w:r>
              <w:rPr>
                <w:color w:val="auto"/>
                <w:sz w:val="21"/>
                <w:szCs w:val="21"/>
              </w:rPr>
              <w:t>《工业企业厂界环境噪声排放标准》（GB12348-2008）</w:t>
            </w:r>
            <w:r>
              <w:rPr>
                <w:rFonts w:hint="eastAsia"/>
                <w:color w:val="auto"/>
                <w:sz w:val="21"/>
                <w:szCs w:val="21"/>
                <w:lang w:val="en-US" w:eastAsia="zh-CN"/>
              </w:rPr>
              <w:t>2</w:t>
            </w:r>
            <w:r>
              <w:rPr>
                <w:color w:val="auto"/>
                <w:sz w:val="21"/>
                <w:szCs w:val="21"/>
              </w:rPr>
              <w:t>类标准。</w:t>
            </w:r>
          </w:p>
          <w:p>
            <w:pPr>
              <w:snapToGrid w:val="0"/>
              <w:spacing w:line="360" w:lineRule="auto"/>
              <w:jc w:val="center"/>
              <w:rPr>
                <w:color w:val="auto"/>
                <w:sz w:val="18"/>
                <w:szCs w:val="18"/>
              </w:rPr>
            </w:pPr>
            <w:r>
              <w:rPr>
                <w:b/>
                <w:color w:val="auto"/>
                <w:sz w:val="18"/>
                <w:szCs w:val="18"/>
              </w:rPr>
              <w:t>表</w:t>
            </w:r>
            <w:r>
              <w:rPr>
                <w:rFonts w:hint="eastAsia"/>
                <w:b/>
                <w:color w:val="auto"/>
                <w:sz w:val="18"/>
                <w:szCs w:val="18"/>
              </w:rPr>
              <w:t>3-</w:t>
            </w:r>
            <w:r>
              <w:rPr>
                <w:rFonts w:hint="eastAsia"/>
                <w:b/>
                <w:color w:val="auto"/>
                <w:sz w:val="18"/>
                <w:szCs w:val="18"/>
                <w:lang w:val="en-US" w:eastAsia="zh-CN"/>
              </w:rPr>
              <w:t>9</w:t>
            </w:r>
            <w:r>
              <w:rPr>
                <w:b/>
                <w:color w:val="auto"/>
                <w:sz w:val="18"/>
                <w:szCs w:val="18"/>
              </w:rPr>
              <w:t xml:space="preserve">   工业企业厂界环境噪声排放标准    单位：dB（A）</w:t>
            </w:r>
          </w:p>
          <w:tbl>
            <w:tblPr>
              <w:tblStyle w:val="24"/>
              <w:tblW w:w="8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998"/>
              <w:gridCol w:w="2319"/>
              <w:gridCol w:w="27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98" w:type="dxa"/>
                  <w:vAlign w:val="center"/>
                </w:tcPr>
                <w:p>
                  <w:pPr>
                    <w:jc w:val="center"/>
                    <w:rPr>
                      <w:color w:val="auto"/>
                      <w:sz w:val="18"/>
                      <w:szCs w:val="18"/>
                    </w:rPr>
                  </w:pPr>
                  <w:r>
                    <w:rPr>
                      <w:color w:val="auto"/>
                      <w:sz w:val="18"/>
                      <w:szCs w:val="18"/>
                    </w:rPr>
                    <w:t>时段</w:t>
                  </w:r>
                </w:p>
              </w:tc>
              <w:tc>
                <w:tcPr>
                  <w:tcW w:w="2319" w:type="dxa"/>
                  <w:vAlign w:val="center"/>
                </w:tcPr>
                <w:p>
                  <w:pPr>
                    <w:jc w:val="center"/>
                    <w:rPr>
                      <w:color w:val="auto"/>
                      <w:sz w:val="18"/>
                      <w:szCs w:val="18"/>
                    </w:rPr>
                  </w:pPr>
                  <w:r>
                    <w:rPr>
                      <w:color w:val="auto"/>
                      <w:sz w:val="18"/>
                      <w:szCs w:val="18"/>
                    </w:rPr>
                    <w:t>昼间[dBA)]</w:t>
                  </w:r>
                </w:p>
              </w:tc>
              <w:tc>
                <w:tcPr>
                  <w:tcW w:w="2741" w:type="dxa"/>
                  <w:vAlign w:val="center"/>
                </w:tcPr>
                <w:p>
                  <w:pPr>
                    <w:jc w:val="center"/>
                    <w:rPr>
                      <w:color w:val="auto"/>
                      <w:sz w:val="18"/>
                      <w:szCs w:val="18"/>
                    </w:rPr>
                  </w:pPr>
                  <w:r>
                    <w:rPr>
                      <w:color w:val="auto"/>
                      <w:sz w:val="18"/>
                      <w:szCs w:val="18"/>
                    </w:rPr>
                    <w:t>夜间[dBA)]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2998" w:type="dxa"/>
                  <w:vAlign w:val="center"/>
                </w:tcPr>
                <w:p>
                  <w:pPr>
                    <w:jc w:val="center"/>
                    <w:rPr>
                      <w:color w:val="auto"/>
                      <w:sz w:val="18"/>
                      <w:szCs w:val="18"/>
                    </w:rPr>
                  </w:pPr>
                  <w:r>
                    <w:rPr>
                      <w:color w:val="auto"/>
                      <w:sz w:val="18"/>
                      <w:szCs w:val="18"/>
                    </w:rPr>
                    <w:t>GB12348-2008</w:t>
                  </w:r>
                </w:p>
              </w:tc>
              <w:tc>
                <w:tcPr>
                  <w:tcW w:w="2319" w:type="dxa"/>
                  <w:vAlign w:val="center"/>
                </w:tcPr>
                <w:p>
                  <w:pPr>
                    <w:jc w:val="center"/>
                    <w:rPr>
                      <w:rFonts w:hint="eastAsia" w:eastAsia="宋体"/>
                      <w:color w:val="auto"/>
                      <w:sz w:val="18"/>
                      <w:szCs w:val="18"/>
                      <w:lang w:val="en-US" w:eastAsia="zh-CN"/>
                    </w:rPr>
                  </w:pPr>
                  <w:r>
                    <w:rPr>
                      <w:color w:val="auto"/>
                      <w:sz w:val="18"/>
                      <w:szCs w:val="18"/>
                    </w:rPr>
                    <w:t>6</w:t>
                  </w:r>
                  <w:r>
                    <w:rPr>
                      <w:rFonts w:hint="eastAsia"/>
                      <w:color w:val="auto"/>
                      <w:sz w:val="18"/>
                      <w:szCs w:val="18"/>
                      <w:lang w:val="en-US" w:eastAsia="zh-CN"/>
                    </w:rPr>
                    <w:t>0</w:t>
                  </w:r>
                </w:p>
              </w:tc>
              <w:tc>
                <w:tcPr>
                  <w:tcW w:w="2741" w:type="dxa"/>
                  <w:vAlign w:val="center"/>
                </w:tcPr>
                <w:p>
                  <w:pPr>
                    <w:jc w:val="center"/>
                    <w:rPr>
                      <w:rFonts w:hint="eastAsia" w:eastAsia="宋体"/>
                      <w:color w:val="auto"/>
                      <w:sz w:val="18"/>
                      <w:szCs w:val="18"/>
                      <w:lang w:val="en-US" w:eastAsia="zh-CN"/>
                    </w:rPr>
                  </w:pPr>
                  <w:r>
                    <w:rPr>
                      <w:color w:val="auto"/>
                      <w:sz w:val="18"/>
                      <w:szCs w:val="18"/>
                    </w:rPr>
                    <w:t>5</w:t>
                  </w:r>
                  <w:r>
                    <w:rPr>
                      <w:rFonts w:hint="eastAsia"/>
                      <w:color w:val="auto"/>
                      <w:sz w:val="18"/>
                      <w:szCs w:val="18"/>
                      <w:lang w:val="en-US" w:eastAsia="zh-CN"/>
                    </w:rPr>
                    <w:t>0</w:t>
                  </w:r>
                </w:p>
              </w:tc>
            </w:tr>
          </w:tbl>
          <w:p>
            <w:pPr>
              <w:pStyle w:val="61"/>
              <w:spacing w:line="360" w:lineRule="auto"/>
              <w:ind w:left="0" w:firstLine="422" w:firstLineChars="200"/>
              <w:rPr>
                <w:b/>
                <w:color w:val="auto"/>
                <w:sz w:val="21"/>
                <w:szCs w:val="21"/>
              </w:rPr>
            </w:pPr>
            <w:r>
              <w:rPr>
                <w:rFonts w:hint="eastAsia"/>
                <w:b/>
                <w:color w:val="auto"/>
                <w:sz w:val="21"/>
                <w:szCs w:val="21"/>
              </w:rPr>
              <w:t>4、固体废物</w:t>
            </w:r>
          </w:p>
          <w:p>
            <w:pPr>
              <w:pStyle w:val="61"/>
              <w:spacing w:line="360" w:lineRule="auto"/>
              <w:ind w:left="0" w:leftChars="0" w:right="113" w:rightChars="0" w:firstLine="420" w:firstLineChars="200"/>
              <w:rPr>
                <w:rFonts w:hint="eastAsia" w:ascii="宋体" w:hAnsi="宋体" w:eastAsia="宋体" w:cs="宋体"/>
                <w:color w:val="auto"/>
                <w:kern w:val="0"/>
                <w:sz w:val="24"/>
                <w:szCs w:val="21"/>
                <w:lang w:val="en-US" w:eastAsia="zh-CN" w:bidi="ar-SA"/>
              </w:rPr>
            </w:pPr>
            <w:r>
              <w:rPr>
                <w:bCs/>
                <w:color w:val="auto"/>
                <w:sz w:val="21"/>
                <w:szCs w:val="21"/>
              </w:rPr>
              <w:t>一般工业固体废物处理执行《一般工业固体废物贮存和填埋污染控制标准》（GB18599-2020）</w:t>
            </w:r>
            <w:r>
              <w:rPr>
                <w:rFonts w:hint="eastAsia"/>
                <w:bCs/>
                <w:color w:val="auto"/>
                <w:sz w:val="21"/>
                <w:szCs w:val="21"/>
                <w:lang w:eastAsia="zh-CN"/>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330" w:hRule="atLeast"/>
          <w:jc w:val="center"/>
        </w:trPr>
        <w:tc>
          <w:tcPr>
            <w:tcW w:w="800" w:type="dxa"/>
            <w:vAlign w:val="center"/>
          </w:tcPr>
          <w:p>
            <w:pPr>
              <w:adjustRightInd w:val="0"/>
              <w:snapToGrid w:val="0"/>
              <w:jc w:val="center"/>
              <w:rPr>
                <w:rFonts w:ascii="宋体" w:hAnsi="宋体" w:cs="宋体"/>
                <w:color w:val="auto"/>
                <w:kern w:val="0"/>
                <w:szCs w:val="21"/>
              </w:rPr>
            </w:pPr>
            <w:r>
              <w:rPr>
                <w:rFonts w:hint="eastAsia" w:ascii="宋体" w:hAnsi="宋体" w:cs="宋体"/>
                <w:color w:val="auto"/>
                <w:kern w:val="0"/>
                <w:szCs w:val="21"/>
              </w:rPr>
              <w:t>总量</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控制</w:t>
            </w:r>
          </w:p>
          <w:p>
            <w:pPr>
              <w:adjustRightInd w:val="0"/>
              <w:snapToGrid w:val="0"/>
              <w:jc w:val="center"/>
              <w:rPr>
                <w:rFonts w:ascii="宋体" w:hAnsi="宋体" w:cs="宋体"/>
                <w:color w:val="auto"/>
                <w:kern w:val="0"/>
                <w:szCs w:val="21"/>
              </w:rPr>
            </w:pPr>
            <w:r>
              <w:rPr>
                <w:rFonts w:hint="eastAsia" w:ascii="宋体" w:hAnsi="宋体" w:cs="宋体"/>
                <w:color w:val="auto"/>
                <w:kern w:val="0"/>
                <w:szCs w:val="21"/>
              </w:rPr>
              <w:t>指标</w:t>
            </w:r>
          </w:p>
        </w:tc>
        <w:tc>
          <w:tcPr>
            <w:tcW w:w="8190" w:type="dxa"/>
          </w:tcPr>
          <w:p>
            <w:pPr>
              <w:spacing w:line="360" w:lineRule="auto"/>
              <w:ind w:firstLine="420" w:firstLineChars="200"/>
              <w:jc w:val="left"/>
              <w:rPr>
                <w:rFonts w:hint="default" w:eastAsia="宋体"/>
                <w:color w:val="auto"/>
                <w:szCs w:val="21"/>
                <w:lang w:val="en-US" w:eastAsia="zh-CN"/>
              </w:rPr>
            </w:pPr>
            <w:r>
              <w:rPr>
                <w:color w:val="auto"/>
              </w:rPr>
              <w:t>本项目</w:t>
            </w:r>
            <w:r>
              <w:rPr>
                <w:rFonts w:hint="eastAsia"/>
                <w:color w:val="auto"/>
                <w:lang w:val="en-US" w:eastAsia="zh-CN"/>
              </w:rPr>
              <w:t>无</w:t>
            </w:r>
            <w:r>
              <w:rPr>
                <w:rFonts w:hint="eastAsia"/>
                <w:color w:val="auto"/>
              </w:rPr>
              <w:t>生产</w:t>
            </w:r>
            <w:r>
              <w:rPr>
                <w:color w:val="auto"/>
              </w:rPr>
              <w:t>废水</w:t>
            </w:r>
            <w:r>
              <w:rPr>
                <w:rFonts w:hint="eastAsia"/>
                <w:color w:val="auto"/>
                <w:lang w:val="en-US" w:eastAsia="zh-CN"/>
              </w:rPr>
              <w:t>外排</w:t>
            </w:r>
            <w:r>
              <w:rPr>
                <w:color w:val="auto"/>
              </w:rPr>
              <w:t>，生活污水</w:t>
            </w:r>
            <w:r>
              <w:rPr>
                <w:rFonts w:hint="eastAsia"/>
                <w:b w:val="0"/>
                <w:bCs w:val="0"/>
                <w:color w:val="auto"/>
              </w:rPr>
              <w:t>直接排入市政污水管网，最终进入玛纳斯县污水处理厂</w:t>
            </w:r>
            <w:r>
              <w:rPr>
                <w:rFonts w:hint="eastAsia"/>
                <w:b w:val="0"/>
                <w:bCs w:val="0"/>
                <w:color w:val="auto"/>
                <w:lang w:eastAsia="zh-CN"/>
              </w:rPr>
              <w:t>，</w:t>
            </w:r>
            <w:r>
              <w:rPr>
                <w:rFonts w:hint="eastAsia"/>
                <w:b w:val="0"/>
                <w:bCs w:val="0"/>
                <w:color w:val="auto"/>
                <w:lang w:val="en-US" w:eastAsia="zh-CN"/>
              </w:rPr>
              <w:t>处理达</w:t>
            </w:r>
            <w:r>
              <w:rPr>
                <w:rFonts w:hint="eastAsia"/>
                <w:b w:val="0"/>
                <w:bCs w:val="0"/>
                <w:color w:val="auto"/>
              </w:rPr>
              <w:t>《城镇污水处理厂污染物排放标准》（GB18918-2002）一级B标准</w:t>
            </w:r>
            <w:r>
              <w:rPr>
                <w:rFonts w:hint="eastAsia"/>
                <w:b w:val="0"/>
                <w:bCs w:val="0"/>
                <w:color w:val="auto"/>
                <w:lang w:val="en-US" w:eastAsia="zh-CN"/>
              </w:rPr>
              <w:t>后排放。不做总量控制要求。</w:t>
            </w:r>
          </w:p>
          <w:p>
            <w:pPr>
              <w:spacing w:line="360" w:lineRule="auto"/>
              <w:ind w:firstLine="420" w:firstLineChars="200"/>
              <w:jc w:val="left"/>
              <w:rPr>
                <w:color w:val="auto"/>
                <w:highlight w:val="none"/>
              </w:rPr>
            </w:pPr>
            <w:r>
              <w:rPr>
                <w:color w:val="auto"/>
                <w:highlight w:val="none"/>
              </w:rPr>
              <w:t>大气污染物中</w:t>
            </w:r>
            <w:r>
              <w:rPr>
                <w:rFonts w:hint="eastAsia"/>
                <w:color w:val="auto"/>
                <w:highlight w:val="none"/>
                <w:lang w:val="en-US" w:eastAsia="zh-CN"/>
              </w:rPr>
              <w:t>颗粒物、二氧化硫、</w:t>
            </w:r>
            <w:r>
              <w:rPr>
                <w:color w:val="auto"/>
                <w:highlight w:val="none"/>
              </w:rPr>
              <w:t>NO</w:t>
            </w:r>
            <w:r>
              <w:rPr>
                <w:color w:val="auto"/>
                <w:highlight w:val="none"/>
                <w:vertAlign w:val="subscript"/>
              </w:rPr>
              <w:t>X</w:t>
            </w:r>
            <w:r>
              <w:rPr>
                <w:color w:val="auto"/>
                <w:highlight w:val="none"/>
              </w:rPr>
              <w:t>的建议总量控制指标见下表。</w:t>
            </w:r>
          </w:p>
          <w:p>
            <w:pPr>
              <w:snapToGrid w:val="0"/>
              <w:spacing w:line="360" w:lineRule="auto"/>
              <w:jc w:val="center"/>
              <w:rPr>
                <w:b/>
                <w:color w:val="auto"/>
                <w:sz w:val="18"/>
                <w:szCs w:val="18"/>
              </w:rPr>
            </w:pPr>
            <w:r>
              <w:rPr>
                <w:rFonts w:hint="eastAsia"/>
                <w:b/>
                <w:color w:val="auto"/>
                <w:sz w:val="18"/>
                <w:szCs w:val="18"/>
              </w:rPr>
              <w:t>表3-</w:t>
            </w:r>
            <w:r>
              <w:rPr>
                <w:rFonts w:hint="eastAsia"/>
                <w:b/>
                <w:color w:val="auto"/>
                <w:sz w:val="18"/>
                <w:szCs w:val="18"/>
                <w:lang w:val="en-US" w:eastAsia="zh-CN"/>
              </w:rPr>
              <w:t>10</w:t>
            </w:r>
            <w:r>
              <w:rPr>
                <w:rFonts w:hint="eastAsia"/>
                <w:b/>
                <w:color w:val="auto"/>
                <w:sz w:val="18"/>
                <w:szCs w:val="18"/>
              </w:rPr>
              <w:t xml:space="preserve">  本项目污染物控制指标   单位：t/a</w:t>
            </w:r>
          </w:p>
          <w:tbl>
            <w:tblPr>
              <w:tblStyle w:val="25"/>
              <w:tblW w:w="7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3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110" w:type="dxa"/>
                  <w:vAlign w:val="center"/>
                </w:tcPr>
                <w:p>
                  <w:pPr>
                    <w:autoSpaceDE w:val="0"/>
                    <w:autoSpaceDN w:val="0"/>
                    <w:adjustRightInd w:val="0"/>
                    <w:snapToGrid w:val="0"/>
                    <w:spacing w:line="400" w:lineRule="exact"/>
                    <w:jc w:val="center"/>
                    <w:rPr>
                      <w:color w:val="auto"/>
                      <w:sz w:val="18"/>
                      <w:szCs w:val="18"/>
                    </w:rPr>
                  </w:pPr>
                  <w:r>
                    <w:rPr>
                      <w:color w:val="auto"/>
                      <w:sz w:val="18"/>
                      <w:szCs w:val="18"/>
                    </w:rPr>
                    <w:t>项目</w:t>
                  </w:r>
                </w:p>
              </w:tc>
              <w:tc>
                <w:tcPr>
                  <w:tcW w:w="3829" w:type="dxa"/>
                  <w:vAlign w:val="center"/>
                </w:tcPr>
                <w:p>
                  <w:pPr>
                    <w:autoSpaceDE w:val="0"/>
                    <w:autoSpaceDN w:val="0"/>
                    <w:adjustRightInd w:val="0"/>
                    <w:snapToGrid w:val="0"/>
                    <w:spacing w:line="400" w:lineRule="exact"/>
                    <w:jc w:val="center"/>
                    <w:rPr>
                      <w:color w:val="auto"/>
                      <w:sz w:val="18"/>
                      <w:szCs w:val="18"/>
                    </w:rPr>
                  </w:pPr>
                  <w:r>
                    <w:rPr>
                      <w:rFonts w:hint="eastAsia"/>
                      <w:color w:val="auto"/>
                      <w:sz w:val="18"/>
                      <w:szCs w:val="18"/>
                    </w:rPr>
                    <w:t>总量控制指标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10" w:type="dxa"/>
                  <w:vAlign w:val="center"/>
                </w:tcPr>
                <w:p>
                  <w:pPr>
                    <w:autoSpaceDE w:val="0"/>
                    <w:autoSpaceDN w:val="0"/>
                    <w:adjustRightInd w:val="0"/>
                    <w:snapToGrid w:val="0"/>
                    <w:spacing w:line="400" w:lineRule="exact"/>
                    <w:jc w:val="center"/>
                    <w:rPr>
                      <w:rFonts w:hint="eastAsia" w:eastAsia="宋体"/>
                      <w:color w:val="auto"/>
                      <w:sz w:val="18"/>
                      <w:szCs w:val="18"/>
                      <w:highlight w:val="yellow"/>
                      <w:lang w:val="en-US" w:eastAsia="zh-CN"/>
                    </w:rPr>
                  </w:pPr>
                  <w:r>
                    <w:rPr>
                      <w:rFonts w:hint="eastAsia"/>
                      <w:color w:val="auto"/>
                      <w:sz w:val="18"/>
                      <w:szCs w:val="18"/>
                      <w:highlight w:val="none"/>
                      <w:lang w:val="en-US" w:eastAsia="zh-CN"/>
                    </w:rPr>
                    <w:t>颗粒物</w:t>
                  </w:r>
                </w:p>
              </w:tc>
              <w:tc>
                <w:tcPr>
                  <w:tcW w:w="3829" w:type="dxa"/>
                  <w:vAlign w:val="center"/>
                </w:tcPr>
                <w:p>
                  <w:pPr>
                    <w:autoSpaceDE w:val="0"/>
                    <w:autoSpaceDN w:val="0"/>
                    <w:adjustRightInd w:val="0"/>
                    <w:snapToGrid w:val="0"/>
                    <w:spacing w:line="400" w:lineRule="exact"/>
                    <w:jc w:val="center"/>
                    <w:rPr>
                      <w:rFonts w:hint="default" w:eastAsia="宋体"/>
                      <w:color w:val="auto"/>
                      <w:sz w:val="18"/>
                      <w:szCs w:val="18"/>
                      <w:lang w:val="en-US" w:eastAsia="zh-CN"/>
                    </w:rPr>
                  </w:pPr>
                  <w:r>
                    <w:rPr>
                      <w:rFonts w:hint="eastAsia"/>
                      <w:color w:val="auto"/>
                      <w:sz w:val="18"/>
                      <w:szCs w:val="18"/>
                      <w:highlight w:val="none"/>
                      <w:lang w:val="en-US" w:eastAsia="zh-CN"/>
                    </w:rPr>
                    <w:t>0.1485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10" w:type="dxa"/>
                  <w:vAlign w:val="center"/>
                </w:tcPr>
                <w:p>
                  <w:pPr>
                    <w:autoSpaceDE w:val="0"/>
                    <w:autoSpaceDN w:val="0"/>
                    <w:adjustRightInd w:val="0"/>
                    <w:snapToGrid w:val="0"/>
                    <w:spacing w:line="400" w:lineRule="exact"/>
                    <w:jc w:val="center"/>
                    <w:rPr>
                      <w:rFonts w:hint="default" w:eastAsia="宋体"/>
                      <w:color w:val="auto"/>
                      <w:sz w:val="18"/>
                      <w:szCs w:val="18"/>
                      <w:highlight w:val="yellow"/>
                      <w:lang w:val="en-US" w:eastAsia="zh-CN"/>
                    </w:rPr>
                  </w:pPr>
                  <w:r>
                    <w:rPr>
                      <w:rFonts w:hint="eastAsia"/>
                      <w:color w:val="auto"/>
                      <w:sz w:val="18"/>
                      <w:szCs w:val="18"/>
                      <w:highlight w:val="none"/>
                      <w:lang w:val="en-US" w:eastAsia="zh-CN"/>
                    </w:rPr>
                    <w:t>SO</w:t>
                  </w:r>
                  <w:r>
                    <w:rPr>
                      <w:rFonts w:hint="eastAsia"/>
                      <w:color w:val="auto"/>
                      <w:sz w:val="18"/>
                      <w:szCs w:val="18"/>
                      <w:highlight w:val="none"/>
                      <w:vertAlign w:val="subscript"/>
                      <w:lang w:val="en-US" w:eastAsia="zh-CN"/>
                    </w:rPr>
                    <w:t>2</w:t>
                  </w:r>
                </w:p>
              </w:tc>
              <w:tc>
                <w:tcPr>
                  <w:tcW w:w="3829" w:type="dxa"/>
                  <w:vAlign w:val="center"/>
                </w:tcPr>
                <w:p>
                  <w:pPr>
                    <w:autoSpaceDE w:val="0"/>
                    <w:autoSpaceDN w:val="0"/>
                    <w:adjustRightInd w:val="0"/>
                    <w:snapToGrid w:val="0"/>
                    <w:spacing w:line="400" w:lineRule="exact"/>
                    <w:jc w:val="center"/>
                    <w:rPr>
                      <w:rFonts w:hint="default"/>
                      <w:color w:val="auto"/>
                      <w:sz w:val="18"/>
                      <w:szCs w:val="18"/>
                      <w:lang w:val="en-US" w:eastAsia="zh-CN"/>
                    </w:rPr>
                  </w:pPr>
                  <w:r>
                    <w:rPr>
                      <w:rFonts w:hint="eastAsia"/>
                      <w:color w:val="auto"/>
                      <w:sz w:val="18"/>
                      <w:szCs w:val="18"/>
                      <w:lang w:val="en-US" w:eastAsia="zh-CN"/>
                    </w:rPr>
                    <w:t>0.01668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10" w:type="dxa"/>
                  <w:vAlign w:val="center"/>
                </w:tcPr>
                <w:p>
                  <w:pPr>
                    <w:autoSpaceDE w:val="0"/>
                    <w:autoSpaceDN w:val="0"/>
                    <w:adjustRightInd w:val="0"/>
                    <w:snapToGrid w:val="0"/>
                    <w:spacing w:line="400" w:lineRule="exact"/>
                    <w:jc w:val="center"/>
                    <w:rPr>
                      <w:rFonts w:ascii="Times New Roman" w:hAnsi="Times New Roman" w:eastAsia="宋体" w:cs="Times New Roman"/>
                      <w:color w:val="auto"/>
                      <w:kern w:val="2"/>
                      <w:sz w:val="18"/>
                      <w:szCs w:val="18"/>
                      <w:highlight w:val="yellow"/>
                      <w:lang w:val="en-US" w:eastAsia="zh-CN" w:bidi="ar-SA"/>
                    </w:rPr>
                  </w:pPr>
                  <w:r>
                    <w:rPr>
                      <w:color w:val="auto"/>
                      <w:sz w:val="18"/>
                      <w:szCs w:val="18"/>
                      <w:highlight w:val="none"/>
                    </w:rPr>
                    <w:t>NO</w:t>
                  </w:r>
                  <w:r>
                    <w:rPr>
                      <w:color w:val="auto"/>
                      <w:sz w:val="18"/>
                      <w:szCs w:val="18"/>
                      <w:highlight w:val="none"/>
                      <w:vertAlign w:val="subscript"/>
                    </w:rPr>
                    <w:t>X</w:t>
                  </w:r>
                </w:p>
              </w:tc>
              <w:tc>
                <w:tcPr>
                  <w:tcW w:w="3829" w:type="dxa"/>
                  <w:vAlign w:val="center"/>
                </w:tcPr>
                <w:p>
                  <w:pPr>
                    <w:autoSpaceDE w:val="0"/>
                    <w:autoSpaceDN w:val="0"/>
                    <w:adjustRightInd w:val="0"/>
                    <w:snapToGrid w:val="0"/>
                    <w:spacing w:line="40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0.1394</w:t>
                  </w:r>
                </w:p>
              </w:tc>
            </w:tr>
          </w:tbl>
          <w:p>
            <w:pPr>
              <w:spacing w:line="360" w:lineRule="auto"/>
              <w:ind w:firstLine="420" w:firstLineChars="200"/>
              <w:jc w:val="left"/>
              <w:rPr>
                <w:color w:val="auto"/>
                <w:highlight w:val="none"/>
              </w:rPr>
            </w:pPr>
            <w:r>
              <w:rPr>
                <w:rFonts w:hint="eastAsia"/>
                <w:color w:val="auto"/>
                <w:lang w:val="en-US" w:eastAsia="zh-CN"/>
              </w:rPr>
              <w:t>玛纳斯县为不达标区，实行倍量替代，倍量替代后</w:t>
            </w:r>
            <w:r>
              <w:rPr>
                <w:rFonts w:hint="eastAsia"/>
                <w:color w:val="auto"/>
                <w:highlight w:val="none"/>
                <w:lang w:val="en-US" w:eastAsia="zh-CN"/>
              </w:rPr>
              <w:t>颗粒物、二氧化硫、</w:t>
            </w:r>
            <w:r>
              <w:rPr>
                <w:color w:val="auto"/>
                <w:highlight w:val="none"/>
              </w:rPr>
              <w:t>NO</w:t>
            </w:r>
            <w:r>
              <w:rPr>
                <w:color w:val="auto"/>
                <w:highlight w:val="none"/>
                <w:vertAlign w:val="subscript"/>
              </w:rPr>
              <w:t>X</w:t>
            </w:r>
            <w:r>
              <w:rPr>
                <w:color w:val="auto"/>
                <w:highlight w:val="none"/>
              </w:rPr>
              <w:t>的建议总量控制指标见下表。</w:t>
            </w:r>
          </w:p>
          <w:p>
            <w:pPr>
              <w:snapToGrid w:val="0"/>
              <w:spacing w:line="360" w:lineRule="auto"/>
              <w:jc w:val="center"/>
              <w:rPr>
                <w:b/>
                <w:color w:val="auto"/>
                <w:sz w:val="18"/>
                <w:szCs w:val="18"/>
              </w:rPr>
            </w:pPr>
            <w:r>
              <w:rPr>
                <w:rFonts w:hint="eastAsia"/>
                <w:b/>
                <w:color w:val="auto"/>
                <w:sz w:val="18"/>
                <w:szCs w:val="18"/>
              </w:rPr>
              <w:t>表3-</w:t>
            </w:r>
            <w:r>
              <w:rPr>
                <w:rFonts w:hint="eastAsia"/>
                <w:b/>
                <w:color w:val="auto"/>
                <w:sz w:val="18"/>
                <w:szCs w:val="18"/>
                <w:lang w:val="en-US" w:eastAsia="zh-CN"/>
              </w:rPr>
              <w:t>11</w:t>
            </w:r>
            <w:r>
              <w:rPr>
                <w:rFonts w:hint="eastAsia"/>
                <w:b/>
                <w:color w:val="auto"/>
                <w:sz w:val="18"/>
                <w:szCs w:val="18"/>
              </w:rPr>
              <w:t xml:space="preserve">  本项目污染物控制指标   单位：t/a</w:t>
            </w:r>
          </w:p>
          <w:tbl>
            <w:tblPr>
              <w:tblStyle w:val="25"/>
              <w:tblW w:w="79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10"/>
              <w:gridCol w:w="38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4110" w:type="dxa"/>
                  <w:vAlign w:val="center"/>
                </w:tcPr>
                <w:p>
                  <w:pPr>
                    <w:autoSpaceDE w:val="0"/>
                    <w:autoSpaceDN w:val="0"/>
                    <w:adjustRightInd w:val="0"/>
                    <w:snapToGrid w:val="0"/>
                    <w:spacing w:line="400" w:lineRule="exact"/>
                    <w:jc w:val="center"/>
                    <w:rPr>
                      <w:color w:val="auto"/>
                      <w:sz w:val="18"/>
                      <w:szCs w:val="18"/>
                    </w:rPr>
                  </w:pPr>
                  <w:r>
                    <w:rPr>
                      <w:color w:val="auto"/>
                      <w:sz w:val="18"/>
                      <w:szCs w:val="18"/>
                    </w:rPr>
                    <w:t>项目</w:t>
                  </w:r>
                </w:p>
              </w:tc>
              <w:tc>
                <w:tcPr>
                  <w:tcW w:w="3829" w:type="dxa"/>
                  <w:vAlign w:val="center"/>
                </w:tcPr>
                <w:p>
                  <w:pPr>
                    <w:autoSpaceDE w:val="0"/>
                    <w:autoSpaceDN w:val="0"/>
                    <w:adjustRightInd w:val="0"/>
                    <w:snapToGrid w:val="0"/>
                    <w:spacing w:line="400" w:lineRule="exact"/>
                    <w:jc w:val="center"/>
                    <w:rPr>
                      <w:color w:val="auto"/>
                      <w:sz w:val="18"/>
                      <w:szCs w:val="18"/>
                    </w:rPr>
                  </w:pPr>
                  <w:r>
                    <w:rPr>
                      <w:rFonts w:hint="eastAsia"/>
                      <w:color w:val="auto"/>
                      <w:sz w:val="18"/>
                      <w:szCs w:val="18"/>
                    </w:rPr>
                    <w:t>总量控制指标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10" w:type="dxa"/>
                  <w:vAlign w:val="center"/>
                </w:tcPr>
                <w:p>
                  <w:pPr>
                    <w:autoSpaceDE w:val="0"/>
                    <w:autoSpaceDN w:val="0"/>
                    <w:adjustRightInd w:val="0"/>
                    <w:snapToGrid w:val="0"/>
                    <w:spacing w:line="400" w:lineRule="exact"/>
                    <w:jc w:val="center"/>
                    <w:rPr>
                      <w:rFonts w:hint="eastAsia" w:eastAsia="宋体"/>
                      <w:color w:val="auto"/>
                      <w:sz w:val="18"/>
                      <w:szCs w:val="18"/>
                      <w:highlight w:val="yellow"/>
                      <w:lang w:val="en-US" w:eastAsia="zh-CN"/>
                    </w:rPr>
                  </w:pPr>
                  <w:r>
                    <w:rPr>
                      <w:rFonts w:hint="eastAsia"/>
                      <w:color w:val="auto"/>
                      <w:sz w:val="18"/>
                      <w:szCs w:val="18"/>
                      <w:highlight w:val="none"/>
                      <w:lang w:val="en-US" w:eastAsia="zh-CN"/>
                    </w:rPr>
                    <w:t>颗粒物</w:t>
                  </w:r>
                </w:p>
              </w:tc>
              <w:tc>
                <w:tcPr>
                  <w:tcW w:w="3829" w:type="dxa"/>
                  <w:vAlign w:val="center"/>
                </w:tcPr>
                <w:p>
                  <w:pPr>
                    <w:autoSpaceDE w:val="0"/>
                    <w:autoSpaceDN w:val="0"/>
                    <w:adjustRightInd w:val="0"/>
                    <w:snapToGrid w:val="0"/>
                    <w:spacing w:line="400" w:lineRule="exact"/>
                    <w:jc w:val="center"/>
                    <w:rPr>
                      <w:rFonts w:hint="default" w:eastAsia="宋体"/>
                      <w:color w:val="auto"/>
                      <w:sz w:val="18"/>
                      <w:szCs w:val="18"/>
                      <w:lang w:val="en-US" w:eastAsia="zh-CN"/>
                    </w:rPr>
                  </w:pPr>
                  <w:r>
                    <w:rPr>
                      <w:rFonts w:hint="eastAsia"/>
                      <w:color w:val="auto"/>
                      <w:sz w:val="18"/>
                      <w:szCs w:val="18"/>
                      <w:highlight w:val="none"/>
                      <w:lang w:val="en-US" w:eastAsia="zh-CN"/>
                    </w:rPr>
                    <w:t>0.297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10" w:type="dxa"/>
                  <w:vAlign w:val="center"/>
                </w:tcPr>
                <w:p>
                  <w:pPr>
                    <w:autoSpaceDE w:val="0"/>
                    <w:autoSpaceDN w:val="0"/>
                    <w:adjustRightInd w:val="0"/>
                    <w:snapToGrid w:val="0"/>
                    <w:spacing w:line="400" w:lineRule="exact"/>
                    <w:jc w:val="center"/>
                    <w:rPr>
                      <w:rFonts w:hint="default" w:eastAsia="宋体"/>
                      <w:color w:val="auto"/>
                      <w:sz w:val="18"/>
                      <w:szCs w:val="18"/>
                      <w:highlight w:val="yellow"/>
                      <w:lang w:val="en-US" w:eastAsia="zh-CN"/>
                    </w:rPr>
                  </w:pPr>
                  <w:r>
                    <w:rPr>
                      <w:rFonts w:hint="eastAsia"/>
                      <w:color w:val="auto"/>
                      <w:sz w:val="18"/>
                      <w:szCs w:val="18"/>
                      <w:highlight w:val="none"/>
                      <w:lang w:val="en-US" w:eastAsia="zh-CN"/>
                    </w:rPr>
                    <w:t>SO</w:t>
                  </w:r>
                  <w:r>
                    <w:rPr>
                      <w:rFonts w:hint="eastAsia"/>
                      <w:color w:val="auto"/>
                      <w:sz w:val="18"/>
                      <w:szCs w:val="18"/>
                      <w:highlight w:val="none"/>
                      <w:vertAlign w:val="subscript"/>
                      <w:lang w:val="en-US" w:eastAsia="zh-CN"/>
                    </w:rPr>
                    <w:t>2</w:t>
                  </w:r>
                </w:p>
              </w:tc>
              <w:tc>
                <w:tcPr>
                  <w:tcW w:w="3829" w:type="dxa"/>
                  <w:vAlign w:val="center"/>
                </w:tcPr>
                <w:p>
                  <w:pPr>
                    <w:autoSpaceDE w:val="0"/>
                    <w:autoSpaceDN w:val="0"/>
                    <w:adjustRightInd w:val="0"/>
                    <w:snapToGrid w:val="0"/>
                    <w:spacing w:line="400" w:lineRule="exact"/>
                    <w:jc w:val="center"/>
                    <w:rPr>
                      <w:rFonts w:hint="default"/>
                      <w:color w:val="auto"/>
                      <w:sz w:val="18"/>
                      <w:szCs w:val="18"/>
                      <w:lang w:val="en-US" w:eastAsia="zh-CN"/>
                    </w:rPr>
                  </w:pPr>
                  <w:r>
                    <w:rPr>
                      <w:rFonts w:hint="eastAsia"/>
                      <w:color w:val="auto"/>
                      <w:sz w:val="18"/>
                      <w:szCs w:val="18"/>
                      <w:lang w:val="en-US" w:eastAsia="zh-CN"/>
                    </w:rPr>
                    <w:t>0.0334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4110" w:type="dxa"/>
                  <w:vAlign w:val="center"/>
                </w:tcPr>
                <w:p>
                  <w:pPr>
                    <w:autoSpaceDE w:val="0"/>
                    <w:autoSpaceDN w:val="0"/>
                    <w:adjustRightInd w:val="0"/>
                    <w:snapToGrid w:val="0"/>
                    <w:spacing w:line="400" w:lineRule="exact"/>
                    <w:jc w:val="center"/>
                    <w:rPr>
                      <w:rFonts w:ascii="Times New Roman" w:hAnsi="Times New Roman" w:eastAsia="宋体" w:cs="Times New Roman"/>
                      <w:color w:val="auto"/>
                      <w:kern w:val="2"/>
                      <w:sz w:val="18"/>
                      <w:szCs w:val="18"/>
                      <w:highlight w:val="yellow"/>
                      <w:lang w:val="en-US" w:eastAsia="zh-CN" w:bidi="ar-SA"/>
                    </w:rPr>
                  </w:pPr>
                  <w:r>
                    <w:rPr>
                      <w:color w:val="auto"/>
                      <w:sz w:val="18"/>
                      <w:szCs w:val="18"/>
                      <w:highlight w:val="none"/>
                    </w:rPr>
                    <w:t>NO</w:t>
                  </w:r>
                  <w:r>
                    <w:rPr>
                      <w:color w:val="auto"/>
                      <w:sz w:val="18"/>
                      <w:szCs w:val="18"/>
                      <w:highlight w:val="none"/>
                      <w:vertAlign w:val="subscript"/>
                    </w:rPr>
                    <w:t>X</w:t>
                  </w:r>
                </w:p>
              </w:tc>
              <w:tc>
                <w:tcPr>
                  <w:tcW w:w="3829" w:type="dxa"/>
                  <w:vAlign w:val="center"/>
                </w:tcPr>
                <w:p>
                  <w:pPr>
                    <w:autoSpaceDE w:val="0"/>
                    <w:autoSpaceDN w:val="0"/>
                    <w:adjustRightInd w:val="0"/>
                    <w:snapToGrid w:val="0"/>
                    <w:spacing w:line="400" w:lineRule="exact"/>
                    <w:jc w:val="center"/>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0.2788</w:t>
                  </w:r>
                </w:p>
              </w:tc>
            </w:tr>
          </w:tbl>
          <w:p>
            <w:pPr>
              <w:autoSpaceDE w:val="0"/>
              <w:autoSpaceDN w:val="0"/>
              <w:adjustRightInd w:val="0"/>
              <w:snapToGrid w:val="0"/>
              <w:spacing w:line="400" w:lineRule="exact"/>
              <w:ind w:firstLine="420" w:firstLineChars="200"/>
              <w:rPr>
                <w:rFonts w:hint="default"/>
                <w:color w:val="auto"/>
                <w:lang w:val="en-US" w:eastAsia="zh-CN"/>
              </w:rPr>
            </w:pPr>
          </w:p>
          <w:p>
            <w:pPr>
              <w:autoSpaceDE w:val="0"/>
              <w:autoSpaceDN w:val="0"/>
              <w:adjustRightInd w:val="0"/>
              <w:snapToGrid w:val="0"/>
              <w:spacing w:line="400" w:lineRule="exact"/>
              <w:ind w:firstLine="420" w:firstLineChars="200"/>
              <w:rPr>
                <w:rFonts w:hint="eastAsia"/>
                <w:color w:val="auto"/>
                <w:lang w:val="en-US" w:eastAsia="zh-CN"/>
              </w:rPr>
            </w:pPr>
          </w:p>
          <w:p>
            <w:pPr>
              <w:autoSpaceDE w:val="0"/>
              <w:autoSpaceDN w:val="0"/>
              <w:adjustRightInd w:val="0"/>
              <w:snapToGrid w:val="0"/>
              <w:spacing w:line="400" w:lineRule="exact"/>
              <w:ind w:firstLine="420" w:firstLineChars="200"/>
              <w:rPr>
                <w:rFonts w:hint="eastAsia" w:eastAsia="宋体"/>
                <w:color w:val="auto"/>
                <w:lang w:eastAsia="zh-CN"/>
              </w:rPr>
            </w:pPr>
          </w:p>
        </w:tc>
      </w:tr>
    </w:tbl>
    <w:p>
      <w:pPr>
        <w:pStyle w:val="20"/>
        <w:jc w:val="center"/>
        <w:outlineLvl w:val="0"/>
        <w:rPr>
          <w:rFonts w:ascii="黑体" w:hAnsi="黑体" w:eastAsia="黑体"/>
          <w:snapToGrid w:val="0"/>
          <w:color w:val="auto"/>
          <w:sz w:val="30"/>
          <w:szCs w:val="30"/>
        </w:rPr>
      </w:pPr>
      <w:r>
        <w:rPr>
          <w:rFonts w:ascii="黑体" w:hAnsi="黑体" w:eastAsia="黑体"/>
          <w:snapToGrid w:val="0"/>
          <w:color w:val="auto"/>
          <w:sz w:val="36"/>
          <w:szCs w:val="36"/>
        </w:rPr>
        <w:br w:type="page"/>
      </w:r>
      <w:bookmarkStart w:id="10" w:name="_Toc6170"/>
      <w:r>
        <w:rPr>
          <w:rFonts w:hint="eastAsia" w:ascii="黑体" w:hAnsi="黑体" w:eastAsia="黑体"/>
          <w:snapToGrid w:val="0"/>
          <w:color w:val="auto"/>
          <w:sz w:val="30"/>
          <w:szCs w:val="30"/>
        </w:rPr>
        <w:t>四、主要环境影响和保护措施</w:t>
      </w:r>
      <w:bookmarkEnd w:id="10"/>
    </w:p>
    <w:tbl>
      <w:tblPr>
        <w:tblStyle w:val="24"/>
        <w:tblW w:w="8908"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746"/>
        <w:gridCol w:w="8162"/>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746" w:type="dxa"/>
            <w:tcMar>
              <w:left w:w="28" w:type="dxa"/>
              <w:right w:w="28" w:type="dxa"/>
            </w:tcMar>
            <w:vAlign w:val="center"/>
          </w:tcPr>
          <w:p>
            <w:pPr>
              <w:pStyle w:val="2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施工</w:t>
            </w:r>
          </w:p>
          <w:p>
            <w:pPr>
              <w:pStyle w:val="2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期环</w:t>
            </w:r>
          </w:p>
          <w:p>
            <w:pPr>
              <w:pStyle w:val="2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境保</w:t>
            </w:r>
          </w:p>
          <w:p>
            <w:pPr>
              <w:pStyle w:val="20"/>
              <w:adjustRightInd w:val="0"/>
              <w:snapToGrid w:val="0"/>
              <w:spacing w:before="0" w:beforeAutospacing="0" w:after="0" w:afterAutospacing="0"/>
              <w:jc w:val="center"/>
              <w:rPr>
                <w:rFonts w:cs="宋体"/>
                <w:color w:val="auto"/>
                <w:kern w:val="2"/>
                <w:sz w:val="21"/>
                <w:szCs w:val="21"/>
              </w:rPr>
            </w:pPr>
            <w:r>
              <w:rPr>
                <w:rFonts w:hint="eastAsia" w:cs="宋体"/>
                <w:color w:val="auto"/>
                <w:kern w:val="2"/>
                <w:sz w:val="21"/>
                <w:szCs w:val="21"/>
              </w:rPr>
              <w:t>护措</w:t>
            </w:r>
          </w:p>
          <w:p>
            <w:pPr>
              <w:pStyle w:val="20"/>
              <w:adjustRightInd w:val="0"/>
              <w:snapToGrid w:val="0"/>
              <w:spacing w:before="0" w:beforeAutospacing="0" w:after="0" w:afterAutospacing="0"/>
              <w:jc w:val="center"/>
              <w:rPr>
                <w:rFonts w:cs="宋体"/>
                <w:bCs/>
                <w:color w:val="auto"/>
                <w:kern w:val="2"/>
                <w:sz w:val="21"/>
                <w:szCs w:val="21"/>
              </w:rPr>
            </w:pPr>
            <w:r>
              <w:rPr>
                <w:rFonts w:hint="eastAsia" w:cs="宋体"/>
                <w:color w:val="auto"/>
                <w:kern w:val="2"/>
                <w:sz w:val="21"/>
                <w:szCs w:val="21"/>
              </w:rPr>
              <w:t>施</w:t>
            </w:r>
          </w:p>
        </w:tc>
        <w:tc>
          <w:tcPr>
            <w:tcW w:w="8162" w:type="dxa"/>
            <w:vAlign w:val="center"/>
          </w:tcPr>
          <w:p>
            <w:pPr>
              <w:pStyle w:val="81"/>
              <w:spacing w:line="360" w:lineRule="auto"/>
              <w:ind w:firstLine="420" w:firstLineChars="200"/>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施工过程中产生的污染物主要有建筑垃圾、扬尘、生活垃圾、生活污水、噪声。</w:t>
            </w:r>
          </w:p>
          <w:p>
            <w:pPr>
              <w:pStyle w:val="81"/>
              <w:spacing w:line="360" w:lineRule="auto"/>
              <w:ind w:firstLine="422" w:firstLineChars="200"/>
              <w:rPr>
                <w:rFonts w:ascii="Times New Roman" w:hAnsi="Times New Roman" w:cs="Times New Roman"/>
                <w:b/>
                <w:bCs/>
                <w:color w:val="auto"/>
                <w:kern w:val="2"/>
                <w:sz w:val="21"/>
                <w:szCs w:val="21"/>
              </w:rPr>
            </w:pPr>
            <w:r>
              <w:rPr>
                <w:rFonts w:hint="eastAsia" w:ascii="Times New Roman" w:hAnsi="Times New Roman" w:cs="Times New Roman"/>
                <w:b/>
                <w:bCs/>
                <w:color w:val="auto"/>
                <w:kern w:val="2"/>
                <w:sz w:val="21"/>
                <w:szCs w:val="21"/>
              </w:rPr>
              <w:t>1</w:t>
            </w:r>
            <w:r>
              <w:rPr>
                <w:rFonts w:ascii="Times New Roman" w:hAnsi="Times New Roman" w:cs="Times New Roman"/>
                <w:b/>
                <w:bCs/>
                <w:color w:val="auto"/>
                <w:kern w:val="2"/>
                <w:sz w:val="21"/>
                <w:szCs w:val="21"/>
              </w:rPr>
              <w:t>、</w:t>
            </w:r>
            <w:r>
              <w:rPr>
                <w:rFonts w:hint="eastAsia" w:ascii="Times New Roman" w:hAnsi="Times New Roman" w:cs="Times New Roman"/>
                <w:b/>
                <w:bCs/>
                <w:color w:val="auto"/>
                <w:kern w:val="2"/>
                <w:sz w:val="21"/>
                <w:szCs w:val="21"/>
              </w:rPr>
              <w:t>施工期</w:t>
            </w:r>
            <w:r>
              <w:rPr>
                <w:rFonts w:ascii="Times New Roman" w:hAnsi="Times New Roman" w:cs="Times New Roman"/>
                <w:b/>
                <w:bCs/>
                <w:color w:val="auto"/>
                <w:kern w:val="2"/>
                <w:sz w:val="21"/>
                <w:szCs w:val="21"/>
              </w:rPr>
              <w:t>废气</w:t>
            </w:r>
          </w:p>
          <w:p>
            <w:pPr>
              <w:pStyle w:val="81"/>
              <w:spacing w:line="360" w:lineRule="auto"/>
              <w:ind w:firstLine="420" w:firstLineChars="200"/>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项目施工期产生的废气主要是现有建筑拆除以及施工过程中产生的施工扬尘，物料运输过程中的道路运输扬尘、施工机械燃油废气及汽车尾气。</w:t>
            </w:r>
          </w:p>
          <w:p>
            <w:pPr>
              <w:pStyle w:val="81"/>
              <w:spacing w:line="360" w:lineRule="auto"/>
              <w:ind w:firstLine="422" w:firstLineChars="200"/>
              <w:rPr>
                <w:rFonts w:ascii="Times New Roman" w:hAnsi="Times New Roman" w:cs="Times New Roman"/>
                <w:b/>
                <w:bCs/>
                <w:color w:val="auto"/>
                <w:kern w:val="2"/>
                <w:sz w:val="21"/>
                <w:szCs w:val="21"/>
              </w:rPr>
            </w:pPr>
            <w:r>
              <w:rPr>
                <w:rFonts w:hint="eastAsia" w:ascii="Times New Roman" w:hAnsi="Times New Roman" w:cs="Times New Roman"/>
                <w:b/>
                <w:bCs/>
                <w:color w:val="auto"/>
                <w:kern w:val="2"/>
                <w:sz w:val="21"/>
                <w:szCs w:val="21"/>
              </w:rPr>
              <w:t>（1）施工扬尘</w:t>
            </w:r>
          </w:p>
          <w:p>
            <w:pPr>
              <w:pStyle w:val="81"/>
              <w:spacing w:line="360" w:lineRule="auto"/>
              <w:ind w:firstLine="420" w:firstLineChars="200"/>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施工期间对原有建筑物的拆除、基础地基的开挖及各种建筑材料的运输、堆放过程，都将会有扬尘产生。建设工程施工现场必须全封闭设置围挡墙，严禁敞开式作业，施工现场道路、作业区、生活区必须进行地面硬化；制定、完善和严格执行建设施工管理制度，全面推行现场标准化管理，城市主城区工地做到“六必须”、“六不准”；加强建设工地监督检查，督促责任单位落实降尘、压尘和抑尘措施。</w:t>
            </w:r>
          </w:p>
          <w:p>
            <w:pPr>
              <w:pStyle w:val="81"/>
              <w:spacing w:line="360" w:lineRule="auto"/>
              <w:ind w:firstLine="420" w:firstLineChars="200"/>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在施工工地周围设置符合管理标准和技术规范要求的连续硬质密闭围挡、围墙；对施工现场地面进行硬化；按规定设置泥浆池、泥浆沟、沉淀池，配备喷淋、冲洗等设施设备；禁止高空抛掷、扬撒建筑垃圾；对施工工地裸露地面采取覆盖措施；砂石等工程材料密闭存放或者覆盖；及时清运建筑垃圾，不能及时清运的，做好扬尘污染防治措施；开展土石方、拆除等易产生扬尘污染作业时，采取洒水、湿法施工等措施；按规定冲洗地面和车辆；禁止在限制区域内的施工现场搅拌混凝土、砂浆。</w:t>
            </w:r>
          </w:p>
          <w:p>
            <w:pPr>
              <w:pStyle w:val="81"/>
              <w:spacing w:line="360" w:lineRule="auto"/>
              <w:ind w:firstLine="420" w:firstLineChars="200"/>
              <w:rPr>
                <w:rFonts w:ascii="Times New Roman" w:hAnsi="Times New Roman" w:cs="Times New Roman"/>
                <w:color w:val="auto"/>
                <w:kern w:val="2"/>
                <w:sz w:val="21"/>
                <w:szCs w:val="21"/>
              </w:rPr>
            </w:pPr>
            <w:r>
              <w:rPr>
                <w:rFonts w:hint="eastAsia" w:ascii="Times New Roman" w:hAnsi="Times New Roman" w:cs="Times New Roman"/>
                <w:color w:val="auto"/>
                <w:kern w:val="2"/>
                <w:sz w:val="21"/>
                <w:szCs w:val="21"/>
              </w:rPr>
              <w:t>本项目在原有基础上进行改建，施工期内容较少，且周期短。施工扬尘主要为新增的部分建构筑物设施基础开挖等产生的扬尘。环评要求设置移动式喷水软管对土石方开挖等工序进行湿法控尘；对现场的水泥砂浆搅拌设施用彩钢瓦对其三面及顶部进行遮挡；项目使用袋装的水泥、石灰等建筑材料，将其堆放于水泥砂浆搅拌设施处封闭的场地内，并在其中进行拆袋；建筑垃圾临时堆场采用篷布遮挡。</w:t>
            </w:r>
          </w:p>
          <w:p>
            <w:pPr>
              <w:pStyle w:val="81"/>
              <w:spacing w:line="360" w:lineRule="auto"/>
              <w:ind w:firstLine="422" w:firstLineChars="200"/>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（2）汽车尾气以及机械设备燃油废气</w:t>
            </w:r>
          </w:p>
          <w:p>
            <w:pPr>
              <w:pStyle w:val="81"/>
              <w:spacing w:line="360" w:lineRule="auto"/>
              <w:ind w:firstLine="420" w:firstLineChars="200"/>
              <w:rPr>
                <w:rFonts w:ascii="Times New Roman" w:hAnsi="Times New Roman" w:cs="Times New Roman"/>
                <w:color w:val="auto"/>
                <w:kern w:val="2"/>
                <w:sz w:val="21"/>
                <w:szCs w:val="21"/>
              </w:rPr>
            </w:pPr>
            <w:r>
              <w:rPr>
                <w:rFonts w:ascii="Times New Roman" w:hAnsi="Times New Roman" w:cs="Times New Roman"/>
                <w:color w:val="auto"/>
                <w:kern w:val="2"/>
                <w:sz w:val="21"/>
                <w:szCs w:val="21"/>
              </w:rPr>
              <w:t>施工期间，使用机动车运送原材料、设备和建筑机械设备的运转，均会排放一定量的CO、NO</w:t>
            </w:r>
            <w:r>
              <w:rPr>
                <w:rFonts w:ascii="Times New Roman" w:hAnsi="Times New Roman" w:cs="Times New Roman"/>
                <w:color w:val="auto"/>
                <w:kern w:val="2"/>
                <w:sz w:val="21"/>
                <w:szCs w:val="21"/>
                <w:vertAlign w:val="subscript"/>
              </w:rPr>
              <w:t>x</w:t>
            </w:r>
            <w:r>
              <w:rPr>
                <w:rFonts w:ascii="Times New Roman" w:hAnsi="Times New Roman" w:cs="Times New Roman"/>
                <w:color w:val="auto"/>
                <w:kern w:val="2"/>
                <w:sz w:val="21"/>
                <w:szCs w:val="21"/>
              </w:rPr>
              <w:t>以及未完全燃烧的HC等，其特点是排放量小，属间断性无组织排放，且本次施工规模较小。由于其这一特点，加之施工场地开阔，扩散条件良好，通过自然稀释后场界的贡献值可控制在较低水平。</w:t>
            </w:r>
          </w:p>
          <w:p>
            <w:pPr>
              <w:pStyle w:val="81"/>
              <w:spacing w:line="360" w:lineRule="auto"/>
              <w:ind w:firstLine="420" w:firstLineChars="200"/>
              <w:rPr>
                <w:rFonts w:ascii="Times New Roman" w:hAnsi="Times New Roman" w:cs="Times New Roman"/>
                <w:color w:val="auto"/>
                <w:kern w:val="2"/>
                <w:sz w:val="21"/>
                <w:szCs w:val="21"/>
              </w:rPr>
            </w:pPr>
            <w:r>
              <w:rPr>
                <w:rFonts w:ascii="Times New Roman" w:hAnsi="Times New Roman" w:cs="Times New Roman"/>
                <w:color w:val="auto"/>
                <w:kern w:val="2"/>
                <w:sz w:val="21"/>
                <w:szCs w:val="21"/>
              </w:rPr>
              <w:t>环评建议选用达到环保要求的设备，在施工期内应多加注意施工设备的维护，使其能够正常</w:t>
            </w:r>
            <w:r>
              <w:rPr>
                <w:rFonts w:hint="eastAsia" w:ascii="Times New Roman" w:hAnsi="Times New Roman" w:cs="Times New Roman"/>
                <w:color w:val="auto"/>
                <w:kern w:val="2"/>
                <w:sz w:val="21"/>
                <w:szCs w:val="21"/>
              </w:rPr>
              <w:t>地</w:t>
            </w:r>
            <w:r>
              <w:rPr>
                <w:rFonts w:ascii="Times New Roman" w:hAnsi="Times New Roman" w:cs="Times New Roman"/>
                <w:color w:val="auto"/>
                <w:kern w:val="2"/>
                <w:sz w:val="21"/>
                <w:szCs w:val="21"/>
              </w:rPr>
              <w:t>运行，防止因设备运转不正常而降低原料利用率，从而增加废气排放量。</w:t>
            </w:r>
          </w:p>
          <w:p>
            <w:pPr>
              <w:spacing w:line="360" w:lineRule="auto"/>
              <w:ind w:firstLine="422" w:firstLineChars="200"/>
              <w:jc w:val="left"/>
              <w:rPr>
                <w:b/>
                <w:bCs/>
                <w:color w:val="auto"/>
                <w:szCs w:val="21"/>
              </w:rPr>
            </w:pPr>
            <w:r>
              <w:rPr>
                <w:b/>
                <w:bCs/>
                <w:color w:val="auto"/>
                <w:szCs w:val="21"/>
              </w:rPr>
              <w:t>2、废水</w:t>
            </w:r>
          </w:p>
          <w:p>
            <w:pPr>
              <w:pStyle w:val="81"/>
              <w:spacing w:line="360" w:lineRule="auto"/>
              <w:ind w:firstLine="420" w:firstLineChars="200"/>
              <w:jc w:val="both"/>
              <w:rPr>
                <w:rFonts w:ascii="Times New Roman" w:hAnsi="Times New Roman" w:cs="Times New Roman"/>
                <w:color w:val="auto"/>
                <w:kern w:val="2"/>
                <w:sz w:val="21"/>
                <w:szCs w:val="21"/>
              </w:rPr>
            </w:pPr>
            <w:r>
              <w:rPr>
                <w:rFonts w:ascii="Times New Roman" w:hAnsi="Times New Roman" w:cs="Times New Roman"/>
                <w:color w:val="auto"/>
                <w:kern w:val="2"/>
                <w:sz w:val="21"/>
                <w:szCs w:val="21"/>
              </w:rPr>
              <w:t>（1）施工废水</w:t>
            </w:r>
          </w:p>
          <w:p>
            <w:pPr>
              <w:pStyle w:val="81"/>
              <w:spacing w:line="360" w:lineRule="auto"/>
              <w:ind w:firstLine="420" w:firstLineChars="200"/>
              <w:jc w:val="both"/>
              <w:rPr>
                <w:rFonts w:ascii="Times New Roman" w:hAnsi="Times New Roman" w:eastAsia="Times New Roman"/>
                <w:color w:val="auto"/>
                <w:kern w:val="2"/>
                <w:sz w:val="21"/>
                <w:szCs w:val="21"/>
              </w:rPr>
            </w:pPr>
            <w:r>
              <w:rPr>
                <w:rFonts w:hint="eastAsia" w:ascii="Times New Roman" w:hAnsi="Times New Roman" w:eastAsia="Times New Roman"/>
                <w:color w:val="auto"/>
                <w:kern w:val="2"/>
                <w:sz w:val="21"/>
                <w:szCs w:val="21"/>
              </w:rPr>
              <w:t>施工废水主要为泥浆废水，主要来自浇筑水泥工段，主要污染因子为SS。施工废水经沉淀池（2m</w:t>
            </w:r>
            <w:r>
              <w:rPr>
                <w:rFonts w:hint="eastAsia" w:ascii="Times New Roman" w:hAnsi="Times New Roman" w:eastAsia="Times New Roman"/>
                <w:color w:val="auto"/>
                <w:kern w:val="2"/>
                <w:sz w:val="21"/>
                <w:szCs w:val="21"/>
                <w:vertAlign w:val="superscript"/>
              </w:rPr>
              <w:t>3</w:t>
            </w:r>
            <w:r>
              <w:rPr>
                <w:rFonts w:hint="eastAsia" w:ascii="Times New Roman" w:hAnsi="Times New Roman" w:eastAsia="Times New Roman"/>
                <w:color w:val="auto"/>
                <w:kern w:val="2"/>
                <w:sz w:val="21"/>
                <w:szCs w:val="21"/>
              </w:rPr>
              <w:t>，砖混结构）收集处理后，回用于道路控尘洒水。</w:t>
            </w:r>
          </w:p>
          <w:p>
            <w:pPr>
              <w:pStyle w:val="81"/>
              <w:spacing w:line="360" w:lineRule="auto"/>
              <w:ind w:firstLine="420" w:firstLineChars="200"/>
              <w:jc w:val="both"/>
              <w:rPr>
                <w:rFonts w:ascii="Times New Roman" w:hAnsi="Times New Roman" w:eastAsia="Times New Roman"/>
                <w:color w:val="auto"/>
                <w:kern w:val="2"/>
                <w:sz w:val="21"/>
                <w:szCs w:val="21"/>
              </w:rPr>
            </w:pPr>
            <w:r>
              <w:rPr>
                <w:rFonts w:hint="eastAsia" w:ascii="Times New Roman" w:hAnsi="Times New Roman" w:eastAsia="Times New Roman"/>
                <w:color w:val="auto"/>
                <w:kern w:val="2"/>
                <w:sz w:val="21"/>
                <w:szCs w:val="21"/>
              </w:rPr>
              <w:t>（2）生活污水</w:t>
            </w:r>
          </w:p>
          <w:p>
            <w:pPr>
              <w:pStyle w:val="81"/>
              <w:spacing w:line="360" w:lineRule="auto"/>
              <w:ind w:firstLine="420" w:firstLineChars="200"/>
              <w:jc w:val="both"/>
              <w:rPr>
                <w:rFonts w:hint="eastAsia" w:ascii="Times New Roman" w:hAnsi="Times New Roman" w:eastAsia="Times New Roman"/>
                <w:color w:val="auto"/>
                <w:kern w:val="2"/>
                <w:sz w:val="21"/>
                <w:szCs w:val="21"/>
              </w:rPr>
            </w:pPr>
            <w:r>
              <w:rPr>
                <w:rFonts w:hint="eastAsia" w:ascii="Times New Roman" w:hAnsi="Times New Roman" w:eastAsia="Times New Roman"/>
                <w:color w:val="auto"/>
                <w:kern w:val="2"/>
                <w:sz w:val="21"/>
                <w:szCs w:val="21"/>
              </w:rPr>
              <w:t>项目施工人员预计可达</w:t>
            </w:r>
            <w:r>
              <w:rPr>
                <w:rFonts w:hint="eastAsia" w:ascii="Times New Roman" w:hAnsi="Times New Roman"/>
                <w:color w:val="auto"/>
                <w:kern w:val="2"/>
                <w:sz w:val="21"/>
                <w:szCs w:val="21"/>
              </w:rPr>
              <w:t>15</w:t>
            </w:r>
            <w:r>
              <w:rPr>
                <w:rFonts w:hint="eastAsia" w:ascii="Times New Roman" w:hAnsi="Times New Roman" w:eastAsia="Times New Roman"/>
                <w:color w:val="auto"/>
                <w:kern w:val="2"/>
                <w:sz w:val="21"/>
                <w:szCs w:val="21"/>
              </w:rPr>
              <w:t>人，均不在施工场地食宿，施工人员生活用水量按80L/人·d计，生活污水产生系数取0.85，则生活污水产生量为</w:t>
            </w:r>
            <w:r>
              <w:rPr>
                <w:rFonts w:hint="eastAsia" w:ascii="Times New Roman" w:hAnsi="Times New Roman"/>
                <w:color w:val="auto"/>
                <w:kern w:val="2"/>
                <w:sz w:val="21"/>
                <w:szCs w:val="21"/>
              </w:rPr>
              <w:t>1.02</w:t>
            </w:r>
            <w:r>
              <w:rPr>
                <w:rFonts w:hint="eastAsia" w:ascii="Times New Roman" w:hAnsi="Times New Roman" w:eastAsia="Times New Roman"/>
                <w:color w:val="auto"/>
                <w:kern w:val="2"/>
                <w:sz w:val="21"/>
                <w:szCs w:val="21"/>
              </w:rPr>
              <w:t>m</w:t>
            </w:r>
            <w:r>
              <w:rPr>
                <w:rFonts w:hint="eastAsia" w:ascii="Times New Roman" w:hAnsi="Times New Roman" w:eastAsia="Times New Roman"/>
                <w:color w:val="auto"/>
                <w:kern w:val="2"/>
                <w:sz w:val="21"/>
                <w:szCs w:val="21"/>
                <w:vertAlign w:val="superscript"/>
              </w:rPr>
              <w:t>3</w:t>
            </w:r>
            <w:r>
              <w:rPr>
                <w:rFonts w:hint="eastAsia" w:ascii="Times New Roman" w:hAnsi="Times New Roman" w:eastAsia="Times New Roman"/>
                <w:color w:val="auto"/>
                <w:kern w:val="2"/>
                <w:sz w:val="21"/>
                <w:szCs w:val="21"/>
              </w:rPr>
              <w:t>/d。施工期生活污水</w:t>
            </w:r>
            <w:r>
              <w:rPr>
                <w:rFonts w:hint="eastAsia" w:ascii="Times New Roman" w:hAnsi="Times New Roman" w:eastAsia="宋体"/>
                <w:color w:val="auto"/>
                <w:kern w:val="2"/>
                <w:sz w:val="21"/>
                <w:szCs w:val="21"/>
                <w:lang w:val="en-US" w:eastAsia="zh-CN"/>
              </w:rPr>
              <w:t>直接排入</w:t>
            </w:r>
            <w:r>
              <w:rPr>
                <w:rFonts w:hint="eastAsia" w:ascii="Times New Roman" w:hAnsi="Times New Roman" w:eastAsia="Times New Roman"/>
                <w:color w:val="auto"/>
                <w:kern w:val="2"/>
                <w:sz w:val="21"/>
                <w:szCs w:val="21"/>
              </w:rPr>
              <w:t>市政污水管网，最终进入玛纳斯县污水处理厂。</w:t>
            </w:r>
          </w:p>
          <w:p>
            <w:pPr>
              <w:pStyle w:val="81"/>
              <w:spacing w:line="360" w:lineRule="auto"/>
              <w:ind w:firstLine="478"/>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3、噪声</w:t>
            </w:r>
          </w:p>
          <w:p>
            <w:pPr>
              <w:pStyle w:val="81"/>
              <w:spacing w:line="360" w:lineRule="auto"/>
              <w:ind w:firstLine="420" w:firstLineChars="200"/>
              <w:rPr>
                <w:color w:val="auto"/>
                <w:kern w:val="2"/>
                <w:sz w:val="21"/>
                <w:szCs w:val="21"/>
              </w:rPr>
            </w:pPr>
            <w:r>
              <w:rPr>
                <w:rFonts w:hint="eastAsia"/>
                <w:color w:val="auto"/>
                <w:kern w:val="2"/>
                <w:sz w:val="21"/>
                <w:szCs w:val="21"/>
              </w:rPr>
              <w:t>本项目施工期噪声主要为各阶段各类施工机械运作时产生的噪声以及车辆运输产生的噪声，主要施工机械有挖掘机、装载机、混凝土运输泵、振捣器、电锯、切割机、冲击钻、手枪钻等。</w:t>
            </w:r>
          </w:p>
          <w:p>
            <w:pPr>
              <w:pStyle w:val="81"/>
              <w:spacing w:line="360" w:lineRule="auto"/>
              <w:ind w:firstLine="420" w:firstLineChars="200"/>
              <w:rPr>
                <w:color w:val="auto"/>
                <w:kern w:val="2"/>
                <w:sz w:val="21"/>
                <w:szCs w:val="21"/>
              </w:rPr>
            </w:pPr>
            <w:r>
              <w:rPr>
                <w:rFonts w:hint="eastAsia"/>
                <w:color w:val="auto"/>
                <w:kern w:val="2"/>
                <w:sz w:val="21"/>
                <w:szCs w:val="21"/>
              </w:rPr>
              <w:t>施工噪声具有阶段性、临时性和不固定性，不同的阶段会使用不同的机械设备，使施工现场产生具有强度较高、无规则、不连续等特点的噪声。其强度与施工机械的功率、工作状态等因素都有关。</w:t>
            </w:r>
          </w:p>
          <w:p>
            <w:pPr>
              <w:pStyle w:val="81"/>
              <w:spacing w:line="360" w:lineRule="auto"/>
              <w:ind w:firstLine="420" w:firstLineChars="200"/>
              <w:rPr>
                <w:color w:val="auto"/>
                <w:kern w:val="2"/>
                <w:sz w:val="21"/>
                <w:szCs w:val="21"/>
              </w:rPr>
            </w:pPr>
            <w:r>
              <w:rPr>
                <w:rFonts w:hint="eastAsia"/>
                <w:color w:val="auto"/>
                <w:kern w:val="2"/>
                <w:sz w:val="21"/>
                <w:szCs w:val="21"/>
              </w:rPr>
              <w:t>环评要求项目在施工的过程中应当严格执行施工方案中文明施工所提出的措施，以减小对附近声环境的影响，主要包括以下方面：</w:t>
            </w:r>
          </w:p>
          <w:p>
            <w:pPr>
              <w:pStyle w:val="81"/>
              <w:spacing w:line="360" w:lineRule="auto"/>
              <w:ind w:firstLine="420" w:firstLineChars="200"/>
              <w:rPr>
                <w:rFonts w:ascii="Times New Roman" w:hAnsi="Times New Roman" w:cs="Times New Roman"/>
                <w:color w:val="auto"/>
                <w:kern w:val="2"/>
                <w:sz w:val="21"/>
                <w:szCs w:val="21"/>
              </w:rPr>
            </w:pPr>
            <w:r>
              <w:rPr>
                <w:rFonts w:ascii="Times New Roman" w:hAnsi="Times New Roman" w:cs="Times New Roman"/>
                <w:color w:val="auto"/>
                <w:kern w:val="2"/>
                <w:sz w:val="21"/>
                <w:szCs w:val="21"/>
              </w:rPr>
              <w:t>①合理安排施工计划和施工机械设备组合以及施工时间避免在同一时间集中使用大量的动力机械设备。严格执行《建筑施工场界环境噪声排放标准》（GB12523-2011）的要求，在施工过程中，尽量减少运行动力机械设备的数量，尽量避免使用大型器械作业，尽可能使动力机械设备比较均匀地使用；</w:t>
            </w:r>
          </w:p>
          <w:p>
            <w:pPr>
              <w:pStyle w:val="81"/>
              <w:spacing w:line="360" w:lineRule="auto"/>
              <w:ind w:firstLine="420" w:firstLineChars="200"/>
              <w:rPr>
                <w:color w:val="auto"/>
                <w:kern w:val="2"/>
                <w:sz w:val="21"/>
                <w:szCs w:val="21"/>
              </w:rPr>
            </w:pPr>
            <w:r>
              <w:rPr>
                <w:rFonts w:hint="eastAsia"/>
                <w:color w:val="auto"/>
                <w:kern w:val="2"/>
                <w:sz w:val="21"/>
                <w:szCs w:val="21"/>
              </w:rPr>
              <w:t>②施工现场应在不影响施工作业的情况下，针对部分高噪声小量体设备，设置简易的砖混结构房间隔声，以减少噪声对工作人员干扰；</w:t>
            </w:r>
          </w:p>
          <w:p>
            <w:pPr>
              <w:pStyle w:val="81"/>
              <w:spacing w:line="360" w:lineRule="auto"/>
              <w:ind w:firstLine="420" w:firstLineChars="200"/>
              <w:rPr>
                <w:color w:val="auto"/>
                <w:kern w:val="2"/>
                <w:sz w:val="21"/>
                <w:szCs w:val="21"/>
              </w:rPr>
            </w:pPr>
            <w:r>
              <w:rPr>
                <w:rFonts w:hint="eastAsia"/>
                <w:color w:val="auto"/>
                <w:kern w:val="2"/>
                <w:sz w:val="21"/>
                <w:szCs w:val="21"/>
              </w:rPr>
              <w:t>③环评要求施工期对于</w:t>
            </w:r>
            <w:r>
              <w:rPr>
                <w:rFonts w:ascii="Times New Roman" w:hAnsi="Times New Roman" w:cs="Times New Roman"/>
                <w:color w:val="auto"/>
                <w:kern w:val="2"/>
                <w:sz w:val="21"/>
                <w:szCs w:val="21"/>
              </w:rPr>
              <w:t>运输车辆应加强管理，尽量减少对沿途敏感目标的影响。施工期噪声随着施工结束而消失。采取上述措施后，施工噪声经距离衰减后即可满足《建筑施工场界环境噪声排放标准》（GB12523-2011）标准要求。</w:t>
            </w:r>
          </w:p>
          <w:p>
            <w:pPr>
              <w:pStyle w:val="81"/>
              <w:spacing w:line="360" w:lineRule="auto"/>
              <w:ind w:firstLine="422" w:firstLineChars="200"/>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4、固体废弃物</w:t>
            </w:r>
          </w:p>
          <w:p>
            <w:pPr>
              <w:pStyle w:val="80"/>
              <w:spacing w:after="0" w:line="360" w:lineRule="auto"/>
              <w:ind w:firstLine="422" w:firstLineChars="200"/>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（1）建筑垃圾</w:t>
            </w:r>
          </w:p>
          <w:p>
            <w:pPr>
              <w:pStyle w:val="80"/>
              <w:spacing w:after="0" w:line="360" w:lineRule="auto"/>
              <w:ind w:firstLine="420" w:firstLineChars="200"/>
              <w:rPr>
                <w:rFonts w:ascii="Times New Roman" w:hAnsi="Times New Roman" w:cs="Times New Roman"/>
                <w:color w:val="auto"/>
                <w:kern w:val="2"/>
                <w:sz w:val="21"/>
                <w:szCs w:val="21"/>
              </w:rPr>
            </w:pPr>
            <w:r>
              <w:rPr>
                <w:rFonts w:ascii="Times New Roman" w:hAnsi="Times New Roman" w:cs="Times New Roman"/>
                <w:color w:val="auto"/>
                <w:kern w:val="2"/>
                <w:sz w:val="21"/>
                <w:szCs w:val="21"/>
              </w:rPr>
              <w:t>本项目施工期间产生的建筑垃圾包括废弃的砖石、水泥凝结废渣、废弃铁质或木质建材等。项目设置临时堆放场所对其进行集中堆存防护，</w:t>
            </w:r>
            <w:r>
              <w:rPr>
                <w:rFonts w:hint="eastAsia" w:ascii="Times New Roman" w:hAnsi="Times New Roman" w:cs="Times New Roman"/>
                <w:color w:val="auto"/>
                <w:kern w:val="2"/>
                <w:sz w:val="21"/>
                <w:szCs w:val="21"/>
              </w:rPr>
              <w:t>分拣</w:t>
            </w:r>
            <w:r>
              <w:rPr>
                <w:rFonts w:ascii="Times New Roman" w:hAnsi="Times New Roman" w:cs="Times New Roman"/>
                <w:color w:val="auto"/>
                <w:kern w:val="2"/>
                <w:sz w:val="21"/>
                <w:szCs w:val="21"/>
              </w:rPr>
              <w:t>出具有回收价值的废钢筋、废木材、废塑料、废包装材料等送废品收购站回收利用；余下不能回收的建筑垃圾送由施工方统一运送至指定建筑垃圾处理场处置。</w:t>
            </w:r>
          </w:p>
          <w:p>
            <w:pPr>
              <w:pStyle w:val="80"/>
              <w:spacing w:after="0" w:line="360" w:lineRule="auto"/>
              <w:ind w:firstLine="422" w:firstLineChars="200"/>
              <w:rPr>
                <w:rFonts w:ascii="Times New Roman" w:hAnsi="Times New Roman" w:cs="Times New Roman"/>
                <w:b/>
                <w:bCs/>
                <w:color w:val="auto"/>
                <w:kern w:val="2"/>
                <w:sz w:val="21"/>
                <w:szCs w:val="21"/>
              </w:rPr>
            </w:pPr>
            <w:r>
              <w:rPr>
                <w:rFonts w:ascii="Times New Roman" w:hAnsi="Times New Roman" w:cs="Times New Roman"/>
                <w:b/>
                <w:bCs/>
                <w:color w:val="auto"/>
                <w:kern w:val="2"/>
                <w:sz w:val="21"/>
                <w:szCs w:val="21"/>
              </w:rPr>
              <w:t>（2）生活垃圾</w:t>
            </w:r>
          </w:p>
          <w:p>
            <w:pPr>
              <w:pStyle w:val="80"/>
              <w:spacing w:after="0" w:line="360" w:lineRule="auto"/>
              <w:ind w:firstLine="420" w:firstLineChars="200"/>
              <w:rPr>
                <w:rFonts w:ascii="Times New Roman" w:hAnsi="Times New Roman" w:cs="Times New Roman"/>
                <w:color w:val="auto"/>
                <w:kern w:val="2"/>
                <w:sz w:val="21"/>
                <w:szCs w:val="21"/>
              </w:rPr>
            </w:pPr>
            <w:r>
              <w:rPr>
                <w:rFonts w:ascii="Times New Roman" w:hAnsi="Times New Roman" w:cs="Times New Roman"/>
                <w:color w:val="auto"/>
                <w:kern w:val="2"/>
                <w:sz w:val="21"/>
                <w:szCs w:val="21"/>
              </w:rPr>
              <w:t>施工期生活垃圾主要为施工人员办公生活过程的产生的垃圾，施工人员预计约15人，生活垃圾产生量按0.5kg/人·d计，预计产生量7.5kg/d，生活垃圾经袋装收集后，由环卫部门统一清运处理。</w:t>
            </w:r>
          </w:p>
          <w:p>
            <w:pPr>
              <w:pStyle w:val="81"/>
              <w:spacing w:line="360" w:lineRule="auto"/>
              <w:jc w:val="both"/>
              <w:rPr>
                <w:bCs/>
                <w:color w:val="auto"/>
                <w:spacing w:val="-10"/>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39" w:hRule="atLeast"/>
          <w:jc w:val="center"/>
        </w:trPr>
        <w:tc>
          <w:tcPr>
            <w:tcW w:w="746" w:type="dxa"/>
            <w:tcMar>
              <w:left w:w="28" w:type="dxa"/>
              <w:right w:w="28" w:type="dxa"/>
            </w:tcMar>
            <w:vAlign w:val="center"/>
          </w:tcPr>
          <w:p>
            <w:pPr>
              <w:adjustRightInd w:val="0"/>
              <w:snapToGrid w:val="0"/>
              <w:jc w:val="center"/>
              <w:rPr>
                <w:rFonts w:ascii="宋体" w:hAnsi="宋体" w:cs="宋体"/>
                <w:bCs/>
                <w:color w:val="auto"/>
                <w:szCs w:val="21"/>
              </w:rPr>
            </w:pPr>
            <w:r>
              <w:rPr>
                <w:rFonts w:hint="eastAsia" w:ascii="宋体" w:hAnsi="宋体" w:cs="宋体"/>
                <w:bCs/>
                <w:color w:val="auto"/>
                <w:szCs w:val="21"/>
              </w:rPr>
              <w:t>运营</w:t>
            </w:r>
          </w:p>
          <w:p>
            <w:pPr>
              <w:adjustRightInd w:val="0"/>
              <w:snapToGrid w:val="0"/>
              <w:jc w:val="center"/>
              <w:rPr>
                <w:rFonts w:ascii="宋体" w:hAnsi="宋体" w:cs="宋体"/>
                <w:bCs/>
                <w:color w:val="auto"/>
                <w:szCs w:val="21"/>
              </w:rPr>
            </w:pPr>
            <w:r>
              <w:rPr>
                <w:rFonts w:hint="eastAsia" w:ascii="宋体" w:hAnsi="宋体" w:cs="宋体"/>
                <w:bCs/>
                <w:color w:val="auto"/>
                <w:szCs w:val="21"/>
              </w:rPr>
              <w:t>期环</w:t>
            </w:r>
          </w:p>
          <w:p>
            <w:pPr>
              <w:adjustRightInd w:val="0"/>
              <w:snapToGrid w:val="0"/>
              <w:jc w:val="center"/>
              <w:rPr>
                <w:rFonts w:ascii="宋体" w:hAnsi="宋体" w:cs="宋体"/>
                <w:bCs/>
                <w:color w:val="auto"/>
                <w:szCs w:val="21"/>
              </w:rPr>
            </w:pPr>
            <w:r>
              <w:rPr>
                <w:rFonts w:hint="eastAsia" w:ascii="宋体" w:hAnsi="宋体" w:cs="宋体"/>
                <w:bCs/>
                <w:color w:val="auto"/>
                <w:szCs w:val="21"/>
              </w:rPr>
              <w:t>境影</w:t>
            </w:r>
          </w:p>
          <w:p>
            <w:pPr>
              <w:adjustRightInd w:val="0"/>
              <w:snapToGrid w:val="0"/>
              <w:jc w:val="center"/>
              <w:rPr>
                <w:rFonts w:ascii="宋体" w:hAnsi="宋体" w:cs="宋体"/>
                <w:bCs/>
                <w:color w:val="auto"/>
                <w:szCs w:val="21"/>
              </w:rPr>
            </w:pPr>
            <w:r>
              <w:rPr>
                <w:rFonts w:hint="eastAsia" w:ascii="宋体" w:hAnsi="宋体" w:cs="宋体"/>
                <w:bCs/>
                <w:color w:val="auto"/>
                <w:szCs w:val="21"/>
              </w:rPr>
              <w:t>响和</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保护</w:t>
            </w:r>
          </w:p>
          <w:p>
            <w:pPr>
              <w:adjustRightInd w:val="0"/>
              <w:snapToGrid w:val="0"/>
              <w:jc w:val="center"/>
              <w:rPr>
                <w:rFonts w:cs="宋体"/>
                <w:color w:val="auto"/>
                <w:kern w:val="2"/>
                <w:sz w:val="21"/>
                <w:szCs w:val="21"/>
              </w:rPr>
            </w:pPr>
            <w:r>
              <w:rPr>
                <w:rFonts w:hint="eastAsia" w:ascii="宋体" w:hAnsi="宋体" w:cs="宋体"/>
                <w:bCs/>
                <w:color w:val="auto"/>
                <w:szCs w:val="21"/>
              </w:rPr>
              <w:t>措施</w:t>
            </w:r>
          </w:p>
        </w:tc>
        <w:tc>
          <w:tcPr>
            <w:tcW w:w="8162" w:type="dxa"/>
          </w:tcPr>
          <w:p>
            <w:pPr>
              <w:pStyle w:val="81"/>
              <w:spacing w:line="360" w:lineRule="auto"/>
              <w:ind w:firstLine="382" w:firstLineChars="200"/>
              <w:jc w:val="both"/>
              <w:rPr>
                <w:b/>
                <w:color w:val="auto"/>
                <w:spacing w:val="-10"/>
                <w:sz w:val="21"/>
                <w:szCs w:val="21"/>
              </w:rPr>
            </w:pPr>
            <w:r>
              <w:rPr>
                <w:rFonts w:hint="eastAsia"/>
                <w:b/>
                <w:color w:val="auto"/>
                <w:spacing w:val="-10"/>
                <w:sz w:val="21"/>
                <w:szCs w:val="21"/>
              </w:rPr>
              <w:t>1、废气</w:t>
            </w:r>
          </w:p>
          <w:p>
            <w:pPr>
              <w:spacing w:line="360" w:lineRule="auto"/>
              <w:ind w:firstLine="420" w:firstLineChars="200"/>
              <w:rPr>
                <w:rFonts w:hint="default" w:eastAsia="宋体"/>
                <w:color w:val="auto"/>
                <w:highlight w:val="none"/>
                <w:lang w:val="en-US" w:eastAsia="zh-CN"/>
              </w:rPr>
            </w:pPr>
            <w:r>
              <w:rPr>
                <w:rFonts w:hint="eastAsia"/>
                <w:color w:val="auto"/>
                <w:highlight w:val="none"/>
              </w:rPr>
              <w:t>本项目废气主要是投料粉尘</w:t>
            </w:r>
            <w:r>
              <w:rPr>
                <w:rFonts w:hint="eastAsia"/>
                <w:color w:val="auto"/>
                <w:highlight w:val="none"/>
                <w:lang w:eastAsia="zh-CN"/>
              </w:rPr>
              <w:t>、</w:t>
            </w:r>
            <w:r>
              <w:rPr>
                <w:rFonts w:hint="eastAsia"/>
                <w:color w:val="auto"/>
                <w:highlight w:val="none"/>
                <w:lang w:val="en-US" w:eastAsia="zh-CN"/>
              </w:rPr>
              <w:t>烘干废气、食堂油烟。</w:t>
            </w:r>
          </w:p>
          <w:p>
            <w:pPr>
              <w:spacing w:line="360" w:lineRule="auto"/>
              <w:ind w:firstLine="422" w:firstLineChars="200"/>
              <w:rPr>
                <w:b/>
                <w:bCs/>
                <w:color w:val="auto"/>
              </w:rPr>
            </w:pPr>
            <w:r>
              <w:rPr>
                <w:rFonts w:hint="eastAsia"/>
                <w:b/>
                <w:bCs/>
                <w:color w:val="auto"/>
              </w:rPr>
              <w:t>（1）</w:t>
            </w:r>
            <w:r>
              <w:rPr>
                <w:b/>
                <w:bCs/>
                <w:color w:val="auto"/>
                <w:kern w:val="0"/>
                <w:szCs w:val="21"/>
              </w:rPr>
              <w:t>源强核算及治理措施</w:t>
            </w:r>
          </w:p>
          <w:p>
            <w:pPr>
              <w:spacing w:line="360" w:lineRule="auto"/>
              <w:ind w:firstLine="422" w:firstLineChars="200"/>
              <w:rPr>
                <w:b/>
                <w:bCs/>
                <w:color w:val="auto"/>
              </w:rPr>
            </w:pPr>
            <w:r>
              <w:rPr>
                <w:rFonts w:hint="eastAsia"/>
                <w:b/>
                <w:bCs/>
                <w:color w:val="auto"/>
              </w:rPr>
              <w:t>1）</w:t>
            </w:r>
            <w:r>
              <w:rPr>
                <w:rFonts w:hint="eastAsia"/>
                <w:b/>
                <w:bCs/>
                <w:color w:val="auto"/>
                <w:highlight w:val="none"/>
              </w:rPr>
              <w:t>投料粉尘</w:t>
            </w:r>
          </w:p>
          <w:p>
            <w:pPr>
              <w:spacing w:line="360" w:lineRule="auto"/>
              <w:ind w:firstLine="420" w:firstLineChars="200"/>
              <w:rPr>
                <w:rFonts w:hint="eastAsia"/>
                <w:b w:val="0"/>
                <w:bCs w:val="0"/>
                <w:color w:val="auto"/>
                <w:highlight w:val="none"/>
                <w:lang w:val="en-US" w:eastAsia="zh-CN"/>
              </w:rPr>
            </w:pPr>
            <w:r>
              <w:rPr>
                <w:rFonts w:hint="eastAsia"/>
                <w:b w:val="0"/>
                <w:bCs w:val="0"/>
                <w:color w:val="auto"/>
                <w:highlight w:val="none"/>
                <w:lang w:val="en-US" w:eastAsia="zh-CN"/>
              </w:rPr>
              <w:t>投料工序时需要向纸浆投放石粉，在此过程中会产生投料粉尘。根据企业提供数据和类比《沙湾县新托蛋托厂建设项目环境影响报告表》（该项目产品、原辅料、生产工艺与本项目类似）可知，粉尘产生量以总量的0.1％计，本项目石粉用量为500t/a，故粉尘产生量为0.5t/a。项目拟采用集气罩（收集效率为90%）+布袋除尘器（除尘效率为99%）对投料粉尘进行处理，处理后的废气通过15m高排气筒排放（DA001），本项目设计风机风量为2000m</w:t>
            </w:r>
            <w:r>
              <w:rPr>
                <w:rFonts w:hint="eastAsia"/>
                <w:b w:val="0"/>
                <w:bCs w:val="0"/>
                <w:color w:val="auto"/>
                <w:highlight w:val="none"/>
                <w:vertAlign w:val="superscript"/>
                <w:lang w:val="en-US" w:eastAsia="zh-CN"/>
              </w:rPr>
              <w:t>3</w:t>
            </w:r>
            <w:r>
              <w:rPr>
                <w:rFonts w:hint="eastAsia"/>
                <w:b w:val="0"/>
                <w:bCs w:val="0"/>
                <w:color w:val="auto"/>
                <w:highlight w:val="none"/>
                <w:lang w:val="en-US" w:eastAsia="zh-CN"/>
              </w:rPr>
              <w:t>/h，则有组织粉尘排放量为0.0045t/a。年工作2400h，产生速率为0.0019kg/h，产生浓度为0.95mg/m</w:t>
            </w:r>
            <w:r>
              <w:rPr>
                <w:rFonts w:hint="eastAsia"/>
                <w:b w:val="0"/>
                <w:bCs w:val="0"/>
                <w:color w:val="auto"/>
                <w:highlight w:val="none"/>
                <w:vertAlign w:val="superscript"/>
                <w:lang w:val="en-US" w:eastAsia="zh-CN"/>
              </w:rPr>
              <w:t>3</w:t>
            </w:r>
            <w:r>
              <w:rPr>
                <w:rFonts w:hint="eastAsia"/>
                <w:b w:val="0"/>
                <w:bCs w:val="0"/>
                <w:color w:val="auto"/>
                <w:highlight w:val="none"/>
                <w:lang w:val="en-US" w:eastAsia="zh-CN"/>
              </w:rPr>
              <w:t>，未收集粉尘量为0.05t/a，在车间无组织排放，排放速率为0.021kg/h。</w:t>
            </w:r>
          </w:p>
          <w:p>
            <w:pPr>
              <w:spacing w:line="360" w:lineRule="auto"/>
              <w:ind w:firstLine="422" w:firstLineChars="200"/>
              <w:rPr>
                <w:rFonts w:hint="default"/>
                <w:b/>
                <w:bCs/>
                <w:color w:val="auto"/>
                <w:lang w:val="en-US" w:eastAsia="zh-CN"/>
              </w:rPr>
            </w:pPr>
            <w:r>
              <w:rPr>
                <w:rFonts w:hint="eastAsia"/>
                <w:b/>
                <w:bCs/>
                <w:color w:val="auto"/>
                <w:lang w:val="en-US" w:eastAsia="zh-CN"/>
              </w:rPr>
              <w:t>2）</w:t>
            </w:r>
            <w:r>
              <w:rPr>
                <w:rFonts w:hint="eastAsia"/>
                <w:b/>
                <w:bCs/>
                <w:color w:val="auto"/>
                <w:highlight w:val="none"/>
                <w:lang w:val="en-US" w:eastAsia="zh-CN"/>
              </w:rPr>
              <w:t>烘干废气</w:t>
            </w:r>
          </w:p>
          <w:p>
            <w:pPr>
              <w:keepNext w:val="0"/>
              <w:keepLines w:val="0"/>
              <w:widowControl/>
              <w:suppressLineNumbers w:val="0"/>
              <w:spacing w:line="360" w:lineRule="auto"/>
              <w:ind w:firstLine="420" w:firstLineChars="200"/>
              <w:jc w:val="left"/>
              <w:rPr>
                <w:rFonts w:hint="default"/>
                <w:color w:val="auto"/>
                <w:highlight w:val="none"/>
                <w:lang w:val="en-US" w:eastAsia="zh-CN"/>
              </w:rPr>
            </w:pPr>
            <w:r>
              <w:rPr>
                <w:rFonts w:hint="eastAsia"/>
                <w:color w:val="auto"/>
                <w:highlight w:val="none"/>
              </w:rPr>
              <w:t>烘干工序</w:t>
            </w:r>
            <w:r>
              <w:rPr>
                <w:rFonts w:hint="eastAsia"/>
                <w:color w:val="auto"/>
                <w:highlight w:val="none"/>
                <w:lang w:val="en-US" w:eastAsia="zh-CN"/>
              </w:rPr>
              <w:t>采用以天然气为燃料的烘干炉，年使用量为20万m</w:t>
            </w:r>
            <w:r>
              <w:rPr>
                <w:rFonts w:hint="eastAsia"/>
                <w:color w:val="auto"/>
                <w:highlight w:val="none"/>
                <w:vertAlign w:val="superscript"/>
                <w:lang w:val="en-US" w:eastAsia="zh-CN"/>
              </w:rPr>
              <w:t>3</w:t>
            </w:r>
            <w:r>
              <w:rPr>
                <w:rFonts w:hint="eastAsia"/>
                <w:color w:val="auto"/>
                <w:highlight w:val="none"/>
                <w:lang w:val="en-US" w:eastAsia="zh-CN"/>
              </w:rPr>
              <w:t>，根据</w:t>
            </w:r>
            <w:r>
              <w:rPr>
                <w:rFonts w:hint="default"/>
                <w:color w:val="auto"/>
                <w:highlight w:val="none"/>
                <w:lang w:val="en-US" w:eastAsia="zh-CN"/>
              </w:rPr>
              <w:t>根据《第二次全国污染源普查系数手册》4430 工业锅炉（热力生产和供应行业）行业系数手册-燃用天然气</w:t>
            </w:r>
            <w:r>
              <w:rPr>
                <w:rFonts w:hint="eastAsia"/>
                <w:color w:val="auto"/>
                <w:highlight w:val="none"/>
                <w:lang w:val="en-US" w:eastAsia="zh-CN"/>
              </w:rPr>
              <w:t>室燃炉</w:t>
            </w:r>
            <w:r>
              <w:rPr>
                <w:rFonts w:hint="default"/>
                <w:color w:val="auto"/>
                <w:highlight w:val="none"/>
                <w:lang w:val="en-US" w:eastAsia="zh-CN"/>
              </w:rPr>
              <w:t>工业废气产污系数（107753Nm</w:t>
            </w:r>
            <w:r>
              <w:rPr>
                <w:rFonts w:hint="default"/>
                <w:color w:val="auto"/>
                <w:highlight w:val="none"/>
                <w:vertAlign w:val="superscript"/>
                <w:lang w:val="en-US" w:eastAsia="zh-CN"/>
              </w:rPr>
              <w:t>3</w:t>
            </w:r>
            <w:r>
              <w:rPr>
                <w:rFonts w:hint="default"/>
                <w:color w:val="auto"/>
                <w:highlight w:val="none"/>
                <w:lang w:val="en-US" w:eastAsia="zh-CN"/>
              </w:rPr>
              <w:t>/万m</w:t>
            </w:r>
            <w:r>
              <w:rPr>
                <w:rFonts w:hint="default"/>
                <w:color w:val="auto"/>
                <w:highlight w:val="none"/>
                <w:vertAlign w:val="superscript"/>
                <w:lang w:val="en-US" w:eastAsia="zh-CN"/>
              </w:rPr>
              <w:t>3</w:t>
            </w:r>
            <w:r>
              <w:rPr>
                <w:rFonts w:hint="default"/>
                <w:color w:val="auto"/>
                <w:highlight w:val="none"/>
                <w:lang w:val="en-US" w:eastAsia="zh-CN"/>
              </w:rPr>
              <w:t>天然气），</w:t>
            </w:r>
            <w:r>
              <w:rPr>
                <w:rFonts w:hint="eastAsia"/>
                <w:color w:val="auto"/>
                <w:highlight w:val="none"/>
                <w:lang w:val="en-US" w:eastAsia="zh-CN"/>
              </w:rPr>
              <w:t>低氮燃烧-国内领先</w:t>
            </w:r>
            <w:r>
              <w:rPr>
                <w:rFonts w:hint="default"/>
                <w:color w:val="auto"/>
                <w:highlight w:val="none"/>
                <w:lang w:val="en-US" w:eastAsia="zh-CN"/>
              </w:rPr>
              <w:t>NOx</w:t>
            </w:r>
            <w:r>
              <w:rPr>
                <w:rFonts w:hint="eastAsia"/>
                <w:color w:val="auto"/>
                <w:highlight w:val="none"/>
                <w:lang w:val="en-US" w:eastAsia="zh-CN"/>
              </w:rPr>
              <w:t>产生量</w:t>
            </w:r>
            <w:r>
              <w:rPr>
                <w:rFonts w:hint="default"/>
                <w:color w:val="auto"/>
                <w:highlight w:val="none"/>
                <w:lang w:val="en-US" w:eastAsia="zh-CN"/>
              </w:rPr>
              <w:t>（</w:t>
            </w:r>
            <w:r>
              <w:rPr>
                <w:rFonts w:hint="eastAsia"/>
                <w:color w:val="auto"/>
                <w:highlight w:val="none"/>
                <w:lang w:val="en-US" w:eastAsia="zh-CN"/>
              </w:rPr>
              <w:t>6.97</w:t>
            </w:r>
            <w:r>
              <w:rPr>
                <w:rFonts w:hint="default"/>
                <w:color w:val="auto"/>
                <w:highlight w:val="none"/>
                <w:lang w:val="en-US" w:eastAsia="zh-CN"/>
              </w:rPr>
              <w:t>kg/万m</w:t>
            </w:r>
            <w:r>
              <w:rPr>
                <w:rFonts w:hint="default"/>
                <w:color w:val="auto"/>
                <w:highlight w:val="none"/>
                <w:vertAlign w:val="superscript"/>
                <w:lang w:val="en-US" w:eastAsia="zh-CN"/>
              </w:rPr>
              <w:t>3</w:t>
            </w:r>
            <w:r>
              <w:rPr>
                <w:rFonts w:hint="default"/>
                <w:color w:val="auto"/>
                <w:highlight w:val="none"/>
                <w:lang w:val="en-US" w:eastAsia="zh-CN"/>
              </w:rPr>
              <w:t>天然气）、二氧化硫的产污系数（0.02Skg/万m</w:t>
            </w:r>
            <w:r>
              <w:rPr>
                <w:rFonts w:hint="default"/>
                <w:color w:val="auto"/>
                <w:highlight w:val="none"/>
                <w:vertAlign w:val="superscript"/>
                <w:lang w:val="en-US" w:eastAsia="zh-CN"/>
              </w:rPr>
              <w:t>3</w:t>
            </w:r>
            <w:r>
              <w:rPr>
                <w:rFonts w:hint="default"/>
                <w:color w:val="auto"/>
                <w:highlight w:val="none"/>
                <w:lang w:val="en-US" w:eastAsia="zh-CN"/>
              </w:rPr>
              <w:t>天然气）（含硫量S取13.9）。根据《环境保护使用数据手册》天然气燃烧烟尘产物系数为2.4kg/万Nm</w:t>
            </w:r>
            <w:r>
              <w:rPr>
                <w:rFonts w:hint="default"/>
                <w:color w:val="auto"/>
                <w:highlight w:val="none"/>
                <w:vertAlign w:val="superscript"/>
                <w:lang w:val="en-US" w:eastAsia="zh-CN"/>
              </w:rPr>
              <w:t>3</w:t>
            </w:r>
            <w:r>
              <w:rPr>
                <w:rFonts w:hint="default"/>
                <w:color w:val="auto"/>
                <w:highlight w:val="none"/>
                <w:lang w:val="en-US" w:eastAsia="zh-CN"/>
              </w:rPr>
              <w:t>-天然气。</w:t>
            </w:r>
          </w:p>
          <w:p>
            <w:pPr>
              <w:keepNext w:val="0"/>
              <w:keepLines w:val="0"/>
              <w:widowControl/>
              <w:suppressLineNumbers w:val="0"/>
              <w:spacing w:line="360" w:lineRule="auto"/>
              <w:ind w:firstLine="420" w:firstLineChars="200"/>
              <w:jc w:val="left"/>
              <w:rPr>
                <w:rFonts w:hint="default" w:ascii="Times New Roman" w:hAnsi="Times New Roman" w:cs="Times New Roman"/>
                <w:color w:val="auto"/>
                <w:kern w:val="0"/>
                <w:sz w:val="21"/>
                <w:szCs w:val="21"/>
                <w:lang w:val="en-US" w:eastAsia="zh-CN" w:bidi="ar"/>
              </w:rPr>
            </w:pPr>
            <w:r>
              <w:rPr>
                <w:rFonts w:hint="eastAsia" w:cs="Times New Roman"/>
                <w:color w:val="auto"/>
                <w:kern w:val="0"/>
                <w:sz w:val="21"/>
                <w:szCs w:val="21"/>
                <w:lang w:val="en-US" w:eastAsia="zh-CN" w:bidi="ar"/>
              </w:rPr>
              <w:t>烘干炉</w:t>
            </w:r>
            <w:r>
              <w:rPr>
                <w:rFonts w:hint="default" w:ascii="Times New Roman" w:hAnsi="Times New Roman" w:cs="Times New Roman"/>
                <w:color w:val="auto"/>
                <w:kern w:val="0"/>
                <w:sz w:val="21"/>
                <w:szCs w:val="21"/>
                <w:lang w:val="en-US" w:eastAsia="zh-CN" w:bidi="ar"/>
              </w:rPr>
              <w:t>燃烧废气</w:t>
            </w:r>
            <w:r>
              <w:rPr>
                <w:rFonts w:hint="eastAsia" w:cs="Times New Roman"/>
                <w:color w:val="auto"/>
                <w:kern w:val="0"/>
                <w:sz w:val="21"/>
                <w:szCs w:val="21"/>
                <w:lang w:val="en-US" w:eastAsia="zh-CN" w:bidi="ar"/>
              </w:rPr>
              <w:t>经低氮燃烧后</w:t>
            </w:r>
            <w:r>
              <w:rPr>
                <w:rFonts w:hint="default" w:ascii="Times New Roman" w:hAnsi="Times New Roman" w:cs="Times New Roman"/>
                <w:color w:val="auto"/>
                <w:kern w:val="0"/>
                <w:sz w:val="21"/>
                <w:szCs w:val="21"/>
                <w:lang w:val="en-US" w:eastAsia="zh-CN" w:bidi="ar"/>
              </w:rPr>
              <w:t>通过</w:t>
            </w:r>
            <w:r>
              <w:rPr>
                <w:rFonts w:hint="eastAsia" w:cs="Times New Roman"/>
                <w:color w:val="auto"/>
                <w:kern w:val="0"/>
                <w:sz w:val="21"/>
                <w:szCs w:val="21"/>
                <w:lang w:val="en-US" w:eastAsia="zh-CN" w:bidi="ar"/>
              </w:rPr>
              <w:t>15</w:t>
            </w:r>
            <w:r>
              <w:rPr>
                <w:rFonts w:hint="default" w:ascii="Times New Roman" w:hAnsi="Times New Roman" w:cs="Times New Roman"/>
                <w:color w:val="auto"/>
                <w:kern w:val="0"/>
                <w:sz w:val="21"/>
                <w:szCs w:val="21"/>
                <w:lang w:val="en-US" w:eastAsia="zh-CN" w:bidi="ar"/>
              </w:rPr>
              <w:t>m高</w:t>
            </w:r>
            <w:r>
              <w:rPr>
                <w:rFonts w:hint="eastAsia" w:cs="Times New Roman"/>
                <w:color w:val="auto"/>
                <w:kern w:val="0"/>
                <w:sz w:val="21"/>
                <w:szCs w:val="21"/>
                <w:lang w:val="en-US" w:eastAsia="zh-CN" w:bidi="ar"/>
              </w:rPr>
              <w:t>排气筒（DA002）</w:t>
            </w:r>
            <w:r>
              <w:rPr>
                <w:rFonts w:hint="default" w:ascii="Times New Roman" w:hAnsi="Times New Roman" w:cs="Times New Roman"/>
                <w:color w:val="auto"/>
                <w:kern w:val="0"/>
                <w:sz w:val="21"/>
                <w:szCs w:val="21"/>
                <w:lang w:val="en-US" w:eastAsia="zh-CN" w:bidi="ar"/>
              </w:rPr>
              <w:t>外排。本项目天然气</w:t>
            </w:r>
            <w:r>
              <w:rPr>
                <w:rFonts w:hint="eastAsia" w:cs="Times New Roman"/>
                <w:color w:val="auto"/>
                <w:kern w:val="0"/>
                <w:sz w:val="21"/>
                <w:szCs w:val="21"/>
                <w:lang w:val="en-US" w:eastAsia="zh-CN" w:bidi="ar"/>
              </w:rPr>
              <w:t>烘干炉</w:t>
            </w:r>
            <w:r>
              <w:rPr>
                <w:rFonts w:hint="default" w:ascii="Times New Roman" w:hAnsi="Times New Roman" w:cs="Times New Roman"/>
                <w:color w:val="auto"/>
                <w:kern w:val="0"/>
                <w:sz w:val="21"/>
                <w:szCs w:val="21"/>
                <w:lang w:val="en-US" w:eastAsia="zh-CN" w:bidi="ar"/>
              </w:rPr>
              <w:t>每天工作8h，年工作300d，</w:t>
            </w:r>
            <w:r>
              <w:rPr>
                <w:rFonts w:hint="default" w:ascii="Times New Roman" w:hAnsi="Times New Roman" w:cs="Times New Roman"/>
                <w:color w:val="auto"/>
                <w:kern w:val="0"/>
                <w:sz w:val="21"/>
                <w:szCs w:val="21"/>
                <w:highlight w:val="none"/>
                <w:lang w:val="en-US" w:eastAsia="zh-CN" w:bidi="ar"/>
              </w:rPr>
              <w:t>外排烟气量为</w:t>
            </w:r>
            <w:r>
              <w:rPr>
                <w:rFonts w:hint="default" w:ascii="Times New Roman" w:hAnsi="Times New Roman" w:cs="Times New Roman" w:eastAsiaTheme="minorEastAsia"/>
                <w:color w:val="auto"/>
                <w:sz w:val="21"/>
                <w:szCs w:val="21"/>
                <w:highlight w:val="none"/>
                <w:lang w:val="en-US" w:eastAsia="zh-CN"/>
              </w:rPr>
              <w:t>2694</w:t>
            </w:r>
            <w:r>
              <w:rPr>
                <w:rFonts w:hint="default" w:ascii="Times New Roman" w:hAnsi="Times New Roman" w:cs="Times New Roman"/>
                <w:color w:val="auto"/>
                <w:kern w:val="0"/>
                <w:sz w:val="21"/>
                <w:szCs w:val="21"/>
                <w:highlight w:val="none"/>
                <w:lang w:val="en-US" w:eastAsia="zh-CN" w:bidi="ar"/>
              </w:rPr>
              <w:t>m</w:t>
            </w:r>
            <w:r>
              <w:rPr>
                <w:rFonts w:hint="default" w:ascii="Times New Roman" w:hAnsi="Times New Roman" w:cs="Times New Roman"/>
                <w:color w:val="auto"/>
                <w:kern w:val="0"/>
                <w:sz w:val="21"/>
                <w:szCs w:val="21"/>
                <w:highlight w:val="none"/>
                <w:vertAlign w:val="superscript"/>
                <w:lang w:val="en-US" w:eastAsia="zh-CN" w:bidi="ar"/>
              </w:rPr>
              <w:t>3</w:t>
            </w:r>
            <w:r>
              <w:rPr>
                <w:rFonts w:hint="default" w:ascii="Times New Roman" w:hAnsi="Times New Roman" w:cs="Times New Roman"/>
                <w:color w:val="auto"/>
                <w:kern w:val="0"/>
                <w:sz w:val="21"/>
                <w:szCs w:val="21"/>
                <w:highlight w:val="none"/>
                <w:lang w:val="en-US" w:eastAsia="zh-CN" w:bidi="ar"/>
              </w:rPr>
              <w:t>/h，</w:t>
            </w:r>
            <w:r>
              <w:rPr>
                <w:rFonts w:hint="default" w:ascii="Times New Roman" w:hAnsi="Times New Roman" w:cs="Times New Roman"/>
                <w:color w:val="auto"/>
                <w:kern w:val="0"/>
                <w:sz w:val="21"/>
                <w:szCs w:val="21"/>
                <w:lang w:val="en-US" w:eastAsia="zh-CN" w:bidi="ar"/>
              </w:rPr>
              <w:t>外排烟气二氧化硫浓度为</w:t>
            </w:r>
            <w:r>
              <w:rPr>
                <w:rFonts w:hint="eastAsia" w:ascii="Times New Roman" w:hAnsi="Times New Roman" w:cs="Times New Roman"/>
                <w:color w:val="auto"/>
                <w:kern w:val="0"/>
                <w:sz w:val="21"/>
                <w:szCs w:val="21"/>
                <w:lang w:val="en-US" w:eastAsia="zh-CN" w:bidi="ar"/>
              </w:rPr>
              <w:t>2.5</w:t>
            </w:r>
            <w:r>
              <w:rPr>
                <w:rFonts w:hint="eastAsia" w:cs="Times New Roman"/>
                <w:color w:val="auto"/>
                <w:kern w:val="0"/>
                <w:sz w:val="21"/>
                <w:szCs w:val="21"/>
                <w:lang w:val="en-US" w:eastAsia="zh-CN" w:bidi="ar"/>
              </w:rPr>
              <w:t>8</w:t>
            </w:r>
            <w:r>
              <w:rPr>
                <w:rFonts w:hint="default" w:ascii="Times New Roman" w:hAnsi="Times New Roman" w:cs="Times New Roman"/>
                <w:color w:val="auto"/>
                <w:kern w:val="0"/>
                <w:sz w:val="21"/>
                <w:szCs w:val="21"/>
                <w:lang w:val="en-US" w:eastAsia="zh-CN" w:bidi="ar"/>
              </w:rPr>
              <w:t>mg/m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cs="Times New Roman"/>
                <w:color w:val="auto"/>
                <w:kern w:val="0"/>
                <w:sz w:val="21"/>
                <w:szCs w:val="21"/>
                <w:lang w:val="en-US" w:eastAsia="zh-CN" w:bidi="ar"/>
              </w:rPr>
              <w:t>，氮氧化物浓度为</w:t>
            </w:r>
            <w:r>
              <w:rPr>
                <w:rFonts w:hint="eastAsia" w:cs="Times New Roman"/>
                <w:color w:val="auto"/>
                <w:kern w:val="0"/>
                <w:sz w:val="21"/>
                <w:szCs w:val="21"/>
                <w:highlight w:val="none"/>
                <w:lang w:val="en-US" w:eastAsia="zh-CN" w:bidi="ar"/>
              </w:rPr>
              <w:t>21.56</w:t>
            </w:r>
            <w:r>
              <w:rPr>
                <w:rFonts w:hint="default" w:ascii="Times New Roman" w:hAnsi="Times New Roman" w:cs="Times New Roman"/>
                <w:color w:val="auto"/>
                <w:kern w:val="0"/>
                <w:sz w:val="21"/>
                <w:szCs w:val="21"/>
                <w:highlight w:val="none"/>
                <w:lang w:val="en-US" w:eastAsia="zh-CN" w:bidi="ar"/>
              </w:rPr>
              <w:t>m</w:t>
            </w:r>
            <w:r>
              <w:rPr>
                <w:rFonts w:hint="default" w:ascii="Times New Roman" w:hAnsi="Times New Roman" w:cs="Times New Roman"/>
                <w:color w:val="auto"/>
                <w:kern w:val="0"/>
                <w:sz w:val="21"/>
                <w:szCs w:val="21"/>
                <w:lang w:val="en-US" w:eastAsia="zh-CN" w:bidi="ar"/>
              </w:rPr>
              <w:t>g/m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cs="Times New Roman"/>
                <w:color w:val="auto"/>
                <w:kern w:val="0"/>
                <w:sz w:val="21"/>
                <w:szCs w:val="21"/>
                <w:lang w:val="en-US" w:eastAsia="zh-CN" w:bidi="ar"/>
              </w:rPr>
              <w:t>，烟尘排放浓度为</w:t>
            </w:r>
            <w:r>
              <w:rPr>
                <w:rFonts w:hint="eastAsia" w:ascii="Times New Roman" w:hAnsi="Times New Roman" w:cs="Times New Roman"/>
                <w:color w:val="auto"/>
                <w:kern w:val="0"/>
                <w:sz w:val="21"/>
                <w:szCs w:val="21"/>
                <w:lang w:val="en-US" w:eastAsia="zh-CN" w:bidi="ar"/>
              </w:rPr>
              <w:t>22.27</w:t>
            </w:r>
            <w:r>
              <w:rPr>
                <w:rFonts w:hint="default" w:ascii="Times New Roman" w:hAnsi="Times New Roman" w:cs="Times New Roman"/>
                <w:color w:val="auto"/>
                <w:kern w:val="0"/>
                <w:sz w:val="21"/>
                <w:szCs w:val="21"/>
                <w:lang w:val="en-US" w:eastAsia="zh-CN" w:bidi="ar"/>
              </w:rPr>
              <w:t>mg/m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cs="Times New Roman"/>
                <w:color w:val="auto"/>
                <w:kern w:val="0"/>
                <w:sz w:val="21"/>
                <w:szCs w:val="21"/>
                <w:lang w:val="en-US" w:eastAsia="zh-CN" w:bidi="ar"/>
              </w:rPr>
              <w:t>，均满足《新疆维吾尔自治区工业炉窑大气污染治理实施方案》（新大气发〔2019〕127号）中重点区域工业炉窑排放标准限值（颗粒物</w:t>
            </w:r>
            <w:r>
              <w:rPr>
                <w:rFonts w:hint="eastAsia" w:cs="Times New Roman"/>
                <w:color w:val="auto"/>
                <w:kern w:val="0"/>
                <w:sz w:val="21"/>
                <w:szCs w:val="21"/>
                <w:lang w:val="en-US" w:eastAsia="zh-CN" w:bidi="ar"/>
              </w:rPr>
              <w:t>30</w:t>
            </w:r>
            <w:r>
              <w:rPr>
                <w:rFonts w:hint="default" w:ascii="Times New Roman" w:hAnsi="Times New Roman" w:cs="Times New Roman"/>
                <w:color w:val="auto"/>
                <w:kern w:val="0"/>
                <w:sz w:val="21"/>
                <w:szCs w:val="21"/>
                <w:lang w:val="en-US" w:eastAsia="zh-CN" w:bidi="ar"/>
              </w:rPr>
              <w:t>mg/m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cs="Times New Roman"/>
                <w:color w:val="auto"/>
                <w:kern w:val="0"/>
                <w:sz w:val="21"/>
                <w:szCs w:val="21"/>
                <w:lang w:val="en-US" w:eastAsia="zh-CN" w:bidi="ar"/>
              </w:rPr>
              <w:t>、二氧化硫</w:t>
            </w:r>
            <w:r>
              <w:rPr>
                <w:rFonts w:hint="eastAsia" w:cs="Times New Roman"/>
                <w:color w:val="auto"/>
                <w:kern w:val="0"/>
                <w:sz w:val="21"/>
                <w:szCs w:val="21"/>
                <w:lang w:val="en-US" w:eastAsia="zh-CN" w:bidi="ar"/>
              </w:rPr>
              <w:t>200</w:t>
            </w:r>
            <w:r>
              <w:rPr>
                <w:rFonts w:hint="default" w:ascii="Times New Roman" w:hAnsi="Times New Roman" w:cs="Times New Roman"/>
                <w:color w:val="auto"/>
                <w:kern w:val="0"/>
                <w:sz w:val="21"/>
                <w:szCs w:val="21"/>
                <w:lang w:val="en-US" w:eastAsia="zh-CN" w:bidi="ar"/>
              </w:rPr>
              <w:t>mg/m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cs="Times New Roman"/>
                <w:color w:val="auto"/>
                <w:kern w:val="0"/>
                <w:sz w:val="21"/>
                <w:szCs w:val="21"/>
                <w:lang w:val="en-US" w:eastAsia="zh-CN" w:bidi="ar"/>
              </w:rPr>
              <w:t>、氮氧化物</w:t>
            </w:r>
            <w:r>
              <w:rPr>
                <w:rFonts w:hint="eastAsia" w:cs="Times New Roman"/>
                <w:color w:val="auto"/>
                <w:kern w:val="0"/>
                <w:sz w:val="21"/>
                <w:szCs w:val="21"/>
                <w:lang w:val="en-US" w:eastAsia="zh-CN" w:bidi="ar"/>
              </w:rPr>
              <w:t>300</w:t>
            </w:r>
            <w:r>
              <w:rPr>
                <w:rFonts w:hint="default" w:ascii="Times New Roman" w:hAnsi="Times New Roman" w:cs="Times New Roman"/>
                <w:color w:val="auto"/>
                <w:kern w:val="0"/>
                <w:sz w:val="21"/>
                <w:szCs w:val="21"/>
                <w:lang w:val="en-US" w:eastAsia="zh-CN" w:bidi="ar"/>
              </w:rPr>
              <w:t>mg/m</w:t>
            </w:r>
            <w:r>
              <w:rPr>
                <w:rFonts w:hint="default" w:ascii="Times New Roman" w:hAnsi="Times New Roman" w:cs="Times New Roman"/>
                <w:color w:val="auto"/>
                <w:kern w:val="0"/>
                <w:sz w:val="21"/>
                <w:szCs w:val="21"/>
                <w:vertAlign w:val="superscript"/>
                <w:lang w:val="en-US" w:eastAsia="zh-CN" w:bidi="ar"/>
              </w:rPr>
              <w:t>3</w:t>
            </w:r>
            <w:r>
              <w:rPr>
                <w:rFonts w:hint="default" w:ascii="Times New Roman" w:hAnsi="Times New Roman" w:cs="Times New Roman"/>
                <w:color w:val="auto"/>
                <w:kern w:val="0"/>
                <w:sz w:val="21"/>
                <w:szCs w:val="21"/>
                <w:lang w:val="en-US" w:eastAsia="zh-CN" w:bidi="ar"/>
              </w:rPr>
              <w:t>）。</w:t>
            </w:r>
          </w:p>
          <w:p>
            <w:pPr>
              <w:spacing w:line="360" w:lineRule="auto"/>
              <w:ind w:firstLine="422" w:firstLineChars="200"/>
              <w:jc w:val="left"/>
              <w:rPr>
                <w:rFonts w:hint="default" w:eastAsia="宋体"/>
                <w:b/>
                <w:color w:val="auto"/>
                <w:kern w:val="0"/>
                <w:szCs w:val="21"/>
                <w:lang w:val="en-US" w:eastAsia="zh-CN"/>
              </w:rPr>
            </w:pPr>
            <w:r>
              <w:rPr>
                <w:rFonts w:hint="eastAsia"/>
                <w:b/>
                <w:color w:val="auto"/>
                <w:kern w:val="0"/>
                <w:szCs w:val="21"/>
                <w:lang w:val="en-US" w:eastAsia="zh-CN"/>
              </w:rPr>
              <w:t>3）食堂油烟</w:t>
            </w:r>
          </w:p>
          <w:p>
            <w:pPr>
              <w:spacing w:line="360" w:lineRule="auto"/>
              <w:ind w:firstLine="420" w:firstLineChars="200"/>
              <w:jc w:val="left"/>
              <w:rPr>
                <w:rFonts w:hint="default" w:ascii="Times New Roman" w:hAnsi="Times New Roman" w:cs="Times New Roman"/>
                <w:color w:val="auto"/>
                <w:lang w:val="en-US" w:eastAsia="zh-CN"/>
              </w:rPr>
            </w:pPr>
            <w:r>
              <w:rPr>
                <w:rFonts w:hint="eastAsia"/>
                <w:b w:val="0"/>
                <w:bCs/>
                <w:color w:val="auto"/>
                <w:kern w:val="0"/>
                <w:szCs w:val="21"/>
                <w:lang w:val="en-US" w:eastAsia="zh-CN"/>
              </w:rPr>
              <w:t>本项目劳动定员5人，</w:t>
            </w:r>
            <w:r>
              <w:rPr>
                <w:rFonts w:hint="default" w:ascii="Times New Roman" w:hAnsi="Times New Roman" w:cs="Times New Roman"/>
                <w:color w:val="auto"/>
                <w:lang w:val="en-US" w:eastAsia="zh-CN"/>
              </w:rPr>
              <w:t>按照耗油量30g/人·天，油烟和油的挥发量占总耗油量的2%~4%之间，取3%，该项目油烟产生量为</w:t>
            </w:r>
            <w:r>
              <w:rPr>
                <w:rFonts w:hint="eastAsia" w:cs="Times New Roman"/>
                <w:color w:val="auto"/>
                <w:lang w:val="en-US" w:eastAsia="zh-CN"/>
              </w:rPr>
              <w:t>4.5</w:t>
            </w:r>
            <w:r>
              <w:rPr>
                <w:rFonts w:hint="default" w:ascii="Times New Roman" w:hAnsi="Times New Roman" w:cs="Times New Roman"/>
                <w:color w:val="auto"/>
                <w:lang w:val="en-US" w:eastAsia="zh-CN"/>
              </w:rPr>
              <w:t>g/d</w:t>
            </w:r>
            <w:r>
              <w:rPr>
                <w:rFonts w:hint="eastAsia" w:cs="Times New Roman"/>
                <w:color w:val="auto"/>
                <w:lang w:val="en-US" w:eastAsia="zh-CN"/>
              </w:rPr>
              <w:t>（1.35kg</w:t>
            </w:r>
            <w:r>
              <w:rPr>
                <w:rFonts w:hint="default" w:ascii="Times New Roman" w:hAnsi="Times New Roman" w:cs="Times New Roman"/>
                <w:color w:val="auto"/>
                <w:lang w:val="en-US" w:eastAsia="zh-CN"/>
              </w:rPr>
              <w:t>/a</w:t>
            </w:r>
            <w:r>
              <w:rPr>
                <w:rFonts w:hint="eastAsia" w:cs="Times New Roman"/>
                <w:color w:val="auto"/>
                <w:lang w:val="en-US" w:eastAsia="zh-CN"/>
              </w:rPr>
              <w:t>）</w:t>
            </w:r>
            <w:r>
              <w:rPr>
                <w:rFonts w:hint="default" w:ascii="Times New Roman" w:hAnsi="Times New Roman" w:cs="Times New Roman"/>
                <w:color w:val="auto"/>
                <w:lang w:val="en-US" w:eastAsia="zh-CN"/>
              </w:rPr>
              <w:t>，食堂油烟通过油烟净化器（油烟净化器去除油烟率为85%）处理后，由专门设置的烟道送至屋顶排放，则处理后的废气排放量为</w:t>
            </w:r>
            <w:r>
              <w:rPr>
                <w:rFonts w:hint="eastAsia" w:cs="Times New Roman"/>
                <w:color w:val="auto"/>
                <w:lang w:val="en-US" w:eastAsia="zh-CN"/>
              </w:rPr>
              <w:t>0.203kg</w:t>
            </w:r>
            <w:r>
              <w:rPr>
                <w:rFonts w:hint="default" w:ascii="Times New Roman" w:hAnsi="Times New Roman" w:cs="Times New Roman"/>
                <w:color w:val="auto"/>
                <w:lang w:val="en-US" w:eastAsia="zh-CN"/>
              </w:rPr>
              <w:t>/a</w:t>
            </w:r>
            <w:r>
              <w:rPr>
                <w:rFonts w:hint="eastAsia" w:cs="Times New Roman"/>
                <w:color w:val="auto"/>
                <w:lang w:val="en-US" w:eastAsia="zh-CN"/>
              </w:rPr>
              <w:t>。</w:t>
            </w:r>
          </w:p>
          <w:p>
            <w:pPr>
              <w:spacing w:line="360" w:lineRule="auto"/>
              <w:ind w:firstLine="422" w:firstLineChars="200"/>
              <w:jc w:val="left"/>
              <w:rPr>
                <w:b/>
                <w:color w:val="auto"/>
                <w:kern w:val="0"/>
                <w:szCs w:val="21"/>
              </w:rPr>
            </w:pPr>
            <w:r>
              <w:rPr>
                <w:rFonts w:hint="eastAsia"/>
                <w:b/>
                <w:color w:val="auto"/>
                <w:kern w:val="0"/>
                <w:szCs w:val="21"/>
              </w:rPr>
              <w:t>（2）废气排放情况</w:t>
            </w:r>
          </w:p>
          <w:p>
            <w:pPr>
              <w:spacing w:line="360" w:lineRule="auto"/>
              <w:ind w:firstLine="422" w:firstLineChars="200"/>
              <w:jc w:val="left"/>
              <w:rPr>
                <w:b/>
                <w:color w:val="auto"/>
                <w:kern w:val="0"/>
                <w:szCs w:val="21"/>
              </w:rPr>
            </w:pPr>
            <w:r>
              <w:rPr>
                <w:b/>
                <w:color w:val="auto"/>
                <w:kern w:val="0"/>
                <w:szCs w:val="21"/>
              </w:rPr>
              <w:t>本项目产排污环节、污染物及污染防治措施、项目排放口基本情况及排放标准分别见</w:t>
            </w:r>
            <w:r>
              <w:rPr>
                <w:rFonts w:hint="eastAsia"/>
                <w:b/>
                <w:color w:val="auto"/>
                <w:kern w:val="0"/>
                <w:szCs w:val="21"/>
                <w:lang w:val="en-US" w:eastAsia="zh-CN"/>
              </w:rPr>
              <w:t>下表</w:t>
            </w:r>
            <w:r>
              <w:rPr>
                <w:b/>
                <w:color w:val="auto"/>
                <w:kern w:val="0"/>
                <w:szCs w:val="21"/>
              </w:rPr>
              <w:t>：</w:t>
            </w:r>
          </w:p>
          <w:p>
            <w:pPr>
              <w:spacing w:line="360" w:lineRule="auto"/>
              <w:jc w:val="center"/>
              <w:rPr>
                <w:b/>
                <w:color w:val="auto"/>
                <w:kern w:val="0"/>
                <w:sz w:val="18"/>
                <w:szCs w:val="18"/>
              </w:rPr>
            </w:pPr>
            <w:r>
              <w:rPr>
                <w:rFonts w:hint="eastAsia"/>
                <w:b/>
                <w:color w:val="auto"/>
                <w:kern w:val="0"/>
                <w:sz w:val="18"/>
                <w:szCs w:val="18"/>
              </w:rPr>
              <w:t>表4-</w:t>
            </w:r>
            <w:r>
              <w:rPr>
                <w:rFonts w:hint="eastAsia"/>
                <w:b/>
                <w:color w:val="auto"/>
                <w:kern w:val="0"/>
                <w:sz w:val="18"/>
                <w:szCs w:val="18"/>
                <w:lang w:val="en-US" w:eastAsia="zh-CN"/>
              </w:rPr>
              <w:t>1</w:t>
            </w:r>
            <w:r>
              <w:rPr>
                <w:rFonts w:hint="eastAsia"/>
                <w:b/>
                <w:color w:val="auto"/>
                <w:kern w:val="0"/>
                <w:sz w:val="18"/>
                <w:szCs w:val="18"/>
              </w:rPr>
              <w:t xml:space="preserve">  项目产污环节、污染物及污染防治措施一览表</w:t>
            </w:r>
          </w:p>
          <w:tbl>
            <w:tblPr>
              <w:tblStyle w:val="25"/>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0"/>
              <w:gridCol w:w="1120"/>
              <w:gridCol w:w="960"/>
              <w:gridCol w:w="2820"/>
              <w:gridCol w:w="1610"/>
              <w:gridCol w:w="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eastAsia="宋体"/>
                      <w:color w:val="auto"/>
                      <w:sz w:val="18"/>
                      <w:szCs w:val="18"/>
                      <w:lang w:val="en-US" w:eastAsia="zh-CN"/>
                    </w:rPr>
                  </w:pPr>
                  <w:r>
                    <w:rPr>
                      <w:rFonts w:hint="eastAsia"/>
                      <w:color w:val="auto"/>
                      <w:sz w:val="18"/>
                      <w:szCs w:val="18"/>
                      <w:lang w:val="en-US" w:eastAsia="zh-CN"/>
                    </w:rPr>
                    <w:t>产污环节</w:t>
                  </w:r>
                </w:p>
              </w:tc>
              <w:tc>
                <w:tcPr>
                  <w:tcW w:w="11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eastAsia="宋体"/>
                      <w:color w:val="auto"/>
                      <w:sz w:val="18"/>
                      <w:szCs w:val="18"/>
                      <w:lang w:val="en-US" w:eastAsia="zh-CN"/>
                    </w:rPr>
                  </w:pPr>
                  <w:r>
                    <w:rPr>
                      <w:rFonts w:hint="eastAsia"/>
                      <w:color w:val="auto"/>
                      <w:sz w:val="18"/>
                      <w:szCs w:val="18"/>
                      <w:lang w:val="en-US" w:eastAsia="zh-CN"/>
                    </w:rPr>
                    <w:t>主要污染物项目</w:t>
                  </w:r>
                </w:p>
              </w:tc>
              <w:tc>
                <w:tcPr>
                  <w:tcW w:w="96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eastAsia="宋体"/>
                      <w:color w:val="auto"/>
                      <w:sz w:val="18"/>
                      <w:szCs w:val="18"/>
                      <w:lang w:val="en-US" w:eastAsia="zh-CN"/>
                    </w:rPr>
                  </w:pPr>
                  <w:r>
                    <w:rPr>
                      <w:rFonts w:hint="eastAsia"/>
                      <w:color w:val="auto"/>
                      <w:sz w:val="18"/>
                      <w:szCs w:val="18"/>
                      <w:lang w:val="en-US" w:eastAsia="zh-CN"/>
                    </w:rPr>
                    <w:t>排放形式</w:t>
                  </w:r>
                </w:p>
              </w:tc>
              <w:tc>
                <w:tcPr>
                  <w:tcW w:w="4430"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color w:val="auto"/>
                      <w:sz w:val="18"/>
                      <w:szCs w:val="18"/>
                      <w:lang w:val="en-US" w:eastAsia="zh-CN"/>
                    </w:rPr>
                  </w:pPr>
                  <w:r>
                    <w:rPr>
                      <w:rFonts w:hint="eastAsia"/>
                      <w:color w:val="auto"/>
                      <w:sz w:val="18"/>
                      <w:szCs w:val="18"/>
                      <w:lang w:val="en-US" w:eastAsia="zh-CN"/>
                    </w:rPr>
                    <w:t>污染防治措施</w:t>
                  </w:r>
                </w:p>
              </w:tc>
              <w:tc>
                <w:tcPr>
                  <w:tcW w:w="92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eastAsia="宋体"/>
                      <w:color w:val="auto"/>
                      <w:sz w:val="18"/>
                      <w:szCs w:val="18"/>
                      <w:lang w:val="en-US" w:eastAsia="zh-CN"/>
                    </w:rPr>
                  </w:pPr>
                  <w:r>
                    <w:rPr>
                      <w:rFonts w:hint="eastAsia"/>
                      <w:color w:val="auto"/>
                      <w:sz w:val="18"/>
                      <w:szCs w:val="18"/>
                      <w:lang w:val="en-US" w:eastAsia="zh-CN"/>
                    </w:rPr>
                    <w:t>排放口名称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color w:val="auto"/>
                      <w:sz w:val="18"/>
                      <w:szCs w:val="18"/>
                    </w:rPr>
                  </w:pPr>
                </w:p>
              </w:tc>
              <w:tc>
                <w:tcPr>
                  <w:tcW w:w="11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color w:val="auto"/>
                      <w:sz w:val="18"/>
                      <w:szCs w:val="18"/>
                    </w:rPr>
                  </w:pPr>
                </w:p>
              </w:tc>
              <w:tc>
                <w:tcPr>
                  <w:tcW w:w="96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color w:val="auto"/>
                      <w:sz w:val="18"/>
                      <w:szCs w:val="18"/>
                    </w:rPr>
                  </w:pPr>
                </w:p>
              </w:tc>
              <w:tc>
                <w:tcPr>
                  <w:tcW w:w="28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eastAsia="宋体"/>
                      <w:color w:val="auto"/>
                      <w:sz w:val="18"/>
                      <w:szCs w:val="18"/>
                      <w:lang w:val="en-US" w:eastAsia="zh-CN"/>
                    </w:rPr>
                  </w:pPr>
                  <w:r>
                    <w:rPr>
                      <w:rFonts w:hint="eastAsia"/>
                      <w:color w:val="auto"/>
                      <w:sz w:val="18"/>
                      <w:szCs w:val="18"/>
                      <w:highlight w:val="none"/>
                      <w:lang w:val="en-US" w:eastAsia="zh-CN"/>
                    </w:rPr>
                    <w:t>污染物治理工艺</w:t>
                  </w:r>
                </w:p>
              </w:tc>
              <w:tc>
                <w:tcPr>
                  <w:tcW w:w="1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eastAsia="宋体"/>
                      <w:color w:val="auto"/>
                      <w:sz w:val="18"/>
                      <w:szCs w:val="18"/>
                      <w:lang w:val="en-US" w:eastAsia="zh-CN"/>
                    </w:rPr>
                  </w:pPr>
                  <w:r>
                    <w:rPr>
                      <w:rFonts w:hint="eastAsia"/>
                      <w:color w:val="auto"/>
                      <w:sz w:val="18"/>
                      <w:szCs w:val="18"/>
                      <w:lang w:val="en-US" w:eastAsia="zh-CN"/>
                    </w:rPr>
                    <w:t>是否为可行技术</w:t>
                  </w:r>
                </w:p>
              </w:tc>
              <w:tc>
                <w:tcPr>
                  <w:tcW w:w="92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投料</w:t>
                  </w:r>
                </w:p>
              </w:tc>
              <w:tc>
                <w:tcPr>
                  <w:tcW w:w="11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颗粒物</w:t>
                  </w:r>
                </w:p>
              </w:tc>
              <w:tc>
                <w:tcPr>
                  <w:tcW w:w="9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有组织</w:t>
                  </w:r>
                </w:p>
              </w:tc>
              <w:tc>
                <w:tcPr>
                  <w:tcW w:w="28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15m高排气筒（DA001）排放</w:t>
                  </w:r>
                </w:p>
              </w:tc>
              <w:tc>
                <w:tcPr>
                  <w:tcW w:w="1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eastAsia" w:ascii="Times New Roman" w:hAnsi="Times New Roman" w:eastAsia="宋体" w:cs="Times New Roman"/>
                      <w:color w:val="auto"/>
                      <w:kern w:val="2"/>
                      <w:sz w:val="18"/>
                      <w:szCs w:val="18"/>
                      <w:highlight w:val="yellow"/>
                      <w:lang w:val="en-US" w:eastAsia="zh-CN" w:bidi="ar-SA"/>
                    </w:rPr>
                  </w:pPr>
                  <w:r>
                    <w:rPr>
                      <w:rFonts w:hint="eastAsia"/>
                      <w:color w:val="auto"/>
                      <w:sz w:val="18"/>
                      <w:szCs w:val="18"/>
                      <w:highlight w:val="none"/>
                      <w:lang w:val="en-US" w:eastAsia="zh-CN"/>
                    </w:rPr>
                    <w:t>是</w:t>
                  </w:r>
                </w:p>
              </w:tc>
              <w:tc>
                <w:tcPr>
                  <w:tcW w:w="9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highlight w:val="yellow"/>
                      <w:lang w:val="en-US" w:eastAsia="zh-CN" w:bidi="ar-SA"/>
                    </w:rPr>
                  </w:pPr>
                  <w:r>
                    <w:rPr>
                      <w:rFonts w:hint="eastAsia"/>
                      <w:color w:val="auto"/>
                      <w:sz w:val="18"/>
                      <w:szCs w:val="18"/>
                      <w:highlight w:val="none"/>
                      <w:lang w:val="en-US" w:eastAsia="zh-CN"/>
                    </w:rPr>
                    <w:t>DA001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eastAsia="宋体"/>
                      <w:color w:val="auto"/>
                      <w:sz w:val="18"/>
                      <w:szCs w:val="18"/>
                      <w:lang w:val="en-US" w:eastAsia="zh-CN"/>
                    </w:rPr>
                  </w:pPr>
                  <w:r>
                    <w:rPr>
                      <w:rFonts w:hint="eastAsia"/>
                      <w:color w:val="auto"/>
                      <w:sz w:val="18"/>
                      <w:szCs w:val="18"/>
                      <w:lang w:val="en-US" w:eastAsia="zh-CN"/>
                    </w:rPr>
                    <w:t>烘干</w:t>
                  </w:r>
                </w:p>
              </w:tc>
              <w:tc>
                <w:tcPr>
                  <w:tcW w:w="11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eastAsia="宋体"/>
                      <w:color w:val="auto"/>
                      <w:sz w:val="18"/>
                      <w:szCs w:val="18"/>
                      <w:lang w:val="en-US" w:eastAsia="zh-CN"/>
                    </w:rPr>
                  </w:pPr>
                  <w:r>
                    <w:rPr>
                      <w:rFonts w:hint="eastAsia"/>
                      <w:color w:val="auto"/>
                      <w:sz w:val="18"/>
                      <w:szCs w:val="18"/>
                      <w:lang w:val="en-US" w:eastAsia="zh-CN"/>
                    </w:rPr>
                    <w:t>颗粒物</w:t>
                  </w:r>
                </w:p>
              </w:tc>
              <w:tc>
                <w:tcPr>
                  <w:tcW w:w="96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eastAsia="宋体"/>
                      <w:color w:val="auto"/>
                      <w:sz w:val="18"/>
                      <w:szCs w:val="18"/>
                      <w:lang w:val="en-US" w:eastAsia="zh-CN"/>
                    </w:rPr>
                  </w:pPr>
                  <w:r>
                    <w:rPr>
                      <w:rFonts w:hint="eastAsia"/>
                      <w:color w:val="auto"/>
                      <w:sz w:val="18"/>
                      <w:szCs w:val="18"/>
                      <w:lang w:val="en-US" w:eastAsia="zh-CN"/>
                    </w:rPr>
                    <w:t>有组织</w:t>
                  </w:r>
                </w:p>
              </w:tc>
              <w:tc>
                <w:tcPr>
                  <w:tcW w:w="282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color w:val="auto"/>
                      <w:sz w:val="18"/>
                      <w:szCs w:val="18"/>
                    </w:rPr>
                  </w:pPr>
                  <w:r>
                    <w:rPr>
                      <w:rFonts w:hint="eastAsia"/>
                      <w:color w:val="auto"/>
                      <w:sz w:val="18"/>
                      <w:szCs w:val="18"/>
                      <w:lang w:val="en-US" w:eastAsia="zh-CN"/>
                    </w:rPr>
                    <w:t>低氮燃烧+15m高排气筒（DA002）排放</w:t>
                  </w:r>
                </w:p>
              </w:tc>
              <w:tc>
                <w:tcPr>
                  <w:tcW w:w="1610"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eastAsia="宋体"/>
                      <w:color w:val="auto"/>
                      <w:sz w:val="18"/>
                      <w:szCs w:val="18"/>
                      <w:lang w:val="en-US" w:eastAsia="zh-CN"/>
                    </w:rPr>
                  </w:pPr>
                  <w:r>
                    <w:rPr>
                      <w:rFonts w:hint="eastAsia"/>
                      <w:color w:val="auto"/>
                      <w:sz w:val="18"/>
                      <w:szCs w:val="18"/>
                      <w:lang w:val="en-US" w:eastAsia="zh-CN"/>
                    </w:rPr>
                    <w:t>是</w:t>
                  </w:r>
                </w:p>
              </w:tc>
              <w:tc>
                <w:tcPr>
                  <w:tcW w:w="928"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eastAsia="宋体"/>
                      <w:color w:val="auto"/>
                      <w:sz w:val="18"/>
                      <w:szCs w:val="18"/>
                      <w:lang w:val="en-US" w:eastAsia="zh-CN"/>
                    </w:rPr>
                  </w:pPr>
                  <w:r>
                    <w:rPr>
                      <w:rFonts w:hint="eastAsia"/>
                      <w:color w:val="auto"/>
                      <w:sz w:val="18"/>
                      <w:szCs w:val="18"/>
                      <w:highlight w:val="none"/>
                      <w:lang w:val="en-US" w:eastAsia="zh-CN"/>
                    </w:rPr>
                    <w:t>DA002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color w:val="auto"/>
                      <w:sz w:val="18"/>
                      <w:szCs w:val="18"/>
                      <w:lang w:val="en-US" w:eastAsia="zh-CN"/>
                    </w:rPr>
                  </w:pPr>
                </w:p>
              </w:tc>
              <w:tc>
                <w:tcPr>
                  <w:tcW w:w="11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color w:val="auto"/>
                      <w:sz w:val="18"/>
                      <w:szCs w:val="18"/>
                      <w:lang w:val="en-US" w:eastAsia="zh-CN"/>
                    </w:rPr>
                  </w:pPr>
                  <w:r>
                    <w:rPr>
                      <w:rFonts w:hint="eastAsia"/>
                      <w:color w:val="auto"/>
                      <w:sz w:val="18"/>
                      <w:szCs w:val="18"/>
                      <w:lang w:val="en-US" w:eastAsia="zh-CN"/>
                    </w:rPr>
                    <w:t>SO</w:t>
                  </w:r>
                  <w:r>
                    <w:rPr>
                      <w:rFonts w:hint="eastAsia"/>
                      <w:color w:val="auto"/>
                      <w:sz w:val="18"/>
                      <w:szCs w:val="18"/>
                      <w:vertAlign w:val="subscript"/>
                      <w:lang w:val="en-US" w:eastAsia="zh-CN"/>
                    </w:rPr>
                    <w:t>2</w:t>
                  </w:r>
                </w:p>
              </w:tc>
              <w:tc>
                <w:tcPr>
                  <w:tcW w:w="96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eastAsia="宋体"/>
                      <w:color w:val="auto"/>
                      <w:sz w:val="18"/>
                      <w:szCs w:val="18"/>
                      <w:lang w:val="en-US" w:eastAsia="zh-CN"/>
                    </w:rPr>
                  </w:pPr>
                </w:p>
              </w:tc>
              <w:tc>
                <w:tcPr>
                  <w:tcW w:w="28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color w:val="auto"/>
                      <w:sz w:val="18"/>
                      <w:szCs w:val="18"/>
                    </w:rPr>
                  </w:pPr>
                </w:p>
              </w:tc>
              <w:tc>
                <w:tcPr>
                  <w:tcW w:w="161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eastAsia="宋体"/>
                      <w:color w:val="auto"/>
                      <w:sz w:val="18"/>
                      <w:szCs w:val="18"/>
                      <w:lang w:val="en-US" w:eastAsia="zh-CN"/>
                    </w:rPr>
                  </w:pPr>
                </w:p>
              </w:tc>
              <w:tc>
                <w:tcPr>
                  <w:tcW w:w="92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eastAsia="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p>
              </w:tc>
              <w:tc>
                <w:tcPr>
                  <w:tcW w:w="11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NO</w:t>
                  </w:r>
                  <w:r>
                    <w:rPr>
                      <w:rFonts w:hint="eastAsia" w:cs="Times New Roman"/>
                      <w:color w:val="auto"/>
                      <w:kern w:val="2"/>
                      <w:sz w:val="18"/>
                      <w:szCs w:val="18"/>
                      <w:vertAlign w:val="subscript"/>
                      <w:lang w:val="en-US" w:eastAsia="zh-CN" w:bidi="ar-SA"/>
                    </w:rPr>
                    <w:t>X</w:t>
                  </w:r>
                </w:p>
              </w:tc>
              <w:tc>
                <w:tcPr>
                  <w:tcW w:w="96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p>
              </w:tc>
              <w:tc>
                <w:tcPr>
                  <w:tcW w:w="282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p>
              </w:tc>
              <w:tc>
                <w:tcPr>
                  <w:tcW w:w="1610"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eastAsia="宋体"/>
                      <w:color w:val="auto"/>
                      <w:sz w:val="18"/>
                      <w:szCs w:val="18"/>
                      <w:lang w:val="en-US" w:eastAsia="zh-CN"/>
                    </w:rPr>
                  </w:pPr>
                </w:p>
              </w:tc>
              <w:tc>
                <w:tcPr>
                  <w:tcW w:w="928" w:type="dxa"/>
                  <w:vMerge w:val="continue"/>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eastAsia="宋体"/>
                      <w:color w:val="auto"/>
                      <w:sz w:val="18"/>
                      <w:szCs w:val="18"/>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食堂</w:t>
                  </w:r>
                </w:p>
              </w:tc>
              <w:tc>
                <w:tcPr>
                  <w:tcW w:w="11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油烟</w:t>
                  </w:r>
                </w:p>
              </w:tc>
              <w:tc>
                <w:tcPr>
                  <w:tcW w:w="9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无组织</w:t>
                  </w:r>
                </w:p>
              </w:tc>
              <w:tc>
                <w:tcPr>
                  <w:tcW w:w="28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油烟净化器处理后由专门的烟道送至屋顶排放</w:t>
                  </w:r>
                </w:p>
              </w:tc>
              <w:tc>
                <w:tcPr>
                  <w:tcW w:w="16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eastAsia" w:eastAsia="宋体"/>
                      <w:color w:val="auto"/>
                      <w:sz w:val="18"/>
                      <w:szCs w:val="18"/>
                      <w:lang w:val="en-US" w:eastAsia="zh-CN"/>
                    </w:rPr>
                  </w:pPr>
                  <w:r>
                    <w:rPr>
                      <w:rFonts w:hint="eastAsia"/>
                      <w:color w:val="auto"/>
                      <w:sz w:val="18"/>
                      <w:szCs w:val="18"/>
                      <w:lang w:val="en-US" w:eastAsia="zh-CN"/>
                    </w:rPr>
                    <w:t>是</w:t>
                  </w:r>
                </w:p>
              </w:tc>
              <w:tc>
                <w:tcPr>
                  <w:tcW w:w="92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right="0"/>
                    <w:jc w:val="center"/>
                    <w:textAlignment w:val="auto"/>
                    <w:rPr>
                      <w:rFonts w:hint="default" w:eastAsia="宋体"/>
                      <w:color w:val="auto"/>
                      <w:sz w:val="18"/>
                      <w:szCs w:val="18"/>
                      <w:lang w:val="en-US" w:eastAsia="zh-CN"/>
                    </w:rPr>
                  </w:pPr>
                  <w:r>
                    <w:rPr>
                      <w:rFonts w:hint="eastAsia"/>
                      <w:color w:val="auto"/>
                      <w:sz w:val="18"/>
                      <w:szCs w:val="18"/>
                      <w:lang w:val="en-US" w:eastAsia="zh-CN"/>
                    </w:rPr>
                    <w:t>/</w:t>
                  </w:r>
                </w:p>
              </w:tc>
            </w:tr>
          </w:tbl>
          <w:p>
            <w:pPr>
              <w:spacing w:line="360" w:lineRule="auto"/>
              <w:jc w:val="center"/>
              <w:rPr>
                <w:b/>
                <w:color w:val="auto"/>
                <w:kern w:val="0"/>
                <w:sz w:val="18"/>
                <w:szCs w:val="18"/>
              </w:rPr>
            </w:pPr>
            <w:r>
              <w:rPr>
                <w:rFonts w:hint="eastAsia"/>
                <w:b/>
                <w:color w:val="auto"/>
                <w:kern w:val="0"/>
                <w:sz w:val="18"/>
                <w:szCs w:val="18"/>
              </w:rPr>
              <w:t>表4-</w:t>
            </w:r>
            <w:r>
              <w:rPr>
                <w:rFonts w:hint="eastAsia"/>
                <w:b/>
                <w:color w:val="auto"/>
                <w:kern w:val="0"/>
                <w:sz w:val="18"/>
                <w:szCs w:val="18"/>
                <w:lang w:val="en-US" w:eastAsia="zh-CN"/>
              </w:rPr>
              <w:t>2</w:t>
            </w:r>
            <w:r>
              <w:rPr>
                <w:rFonts w:hint="eastAsia"/>
                <w:b/>
                <w:color w:val="auto"/>
                <w:kern w:val="0"/>
                <w:sz w:val="18"/>
                <w:szCs w:val="18"/>
              </w:rPr>
              <w:t xml:space="preserve">  项目排放口基本情况及执行标准一览表</w:t>
            </w:r>
          </w:p>
          <w:tbl>
            <w:tblPr>
              <w:tblStyle w:val="25"/>
              <w:tblW w:w="8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401"/>
              <w:gridCol w:w="620"/>
              <w:gridCol w:w="810"/>
              <w:gridCol w:w="870"/>
              <w:gridCol w:w="480"/>
              <w:gridCol w:w="460"/>
              <w:gridCol w:w="480"/>
              <w:gridCol w:w="700"/>
              <w:gridCol w:w="290"/>
              <w:gridCol w:w="1619"/>
              <w:gridCol w:w="674"/>
              <w:gridCol w:w="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1"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rPr>
                    <w:t>序号</w:t>
                  </w:r>
                </w:p>
              </w:tc>
              <w:tc>
                <w:tcPr>
                  <w:tcW w:w="62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rPr>
                    <w:t>名称及编号</w:t>
                  </w:r>
                </w:p>
              </w:tc>
              <w:tc>
                <w:tcPr>
                  <w:tcW w:w="1680"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rPr>
                    <w:t>地理坐标</w:t>
                  </w:r>
                </w:p>
              </w:tc>
              <w:tc>
                <w:tcPr>
                  <w:tcW w:w="48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rPr>
                    <w:t>高度m</w:t>
                  </w:r>
                </w:p>
              </w:tc>
              <w:tc>
                <w:tcPr>
                  <w:tcW w:w="46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rPr>
                    <w:t>内径m</w:t>
                  </w:r>
                </w:p>
              </w:tc>
              <w:tc>
                <w:tcPr>
                  <w:tcW w:w="48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rPr>
                    <w:t>温度℃</w:t>
                  </w:r>
                </w:p>
              </w:tc>
              <w:tc>
                <w:tcPr>
                  <w:tcW w:w="70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eastAsia="宋体"/>
                      <w:color w:val="auto"/>
                      <w:sz w:val="18"/>
                      <w:szCs w:val="18"/>
                      <w:lang w:val="en-US" w:eastAsia="zh-CN"/>
                    </w:rPr>
                  </w:pPr>
                  <w:r>
                    <w:rPr>
                      <w:rFonts w:hint="eastAsia"/>
                      <w:color w:val="auto"/>
                      <w:sz w:val="18"/>
                      <w:szCs w:val="18"/>
                      <w:highlight w:val="none"/>
                      <w:lang w:val="en-US" w:eastAsia="zh-CN"/>
                    </w:rPr>
                    <w:t>风量（m</w:t>
                  </w:r>
                  <w:r>
                    <w:rPr>
                      <w:rFonts w:hint="eastAsia"/>
                      <w:color w:val="auto"/>
                      <w:sz w:val="18"/>
                      <w:szCs w:val="18"/>
                      <w:highlight w:val="none"/>
                      <w:vertAlign w:val="superscript"/>
                      <w:lang w:val="en-US" w:eastAsia="zh-CN"/>
                    </w:rPr>
                    <w:t>3</w:t>
                  </w:r>
                  <w:r>
                    <w:rPr>
                      <w:rFonts w:hint="eastAsia"/>
                      <w:color w:val="auto"/>
                      <w:sz w:val="18"/>
                      <w:szCs w:val="18"/>
                      <w:highlight w:val="none"/>
                      <w:lang w:val="en-US" w:eastAsia="zh-CN"/>
                    </w:rPr>
                    <w:t>/h）</w:t>
                  </w:r>
                </w:p>
              </w:tc>
              <w:tc>
                <w:tcPr>
                  <w:tcW w:w="29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rPr>
                    <w:t>类型</w:t>
                  </w:r>
                </w:p>
              </w:tc>
              <w:tc>
                <w:tcPr>
                  <w:tcW w:w="1619"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rPr>
                    <w:t>执行标准</w:t>
                  </w:r>
                </w:p>
              </w:tc>
              <w:tc>
                <w:tcPr>
                  <w:tcW w:w="1348" w:type="dxa"/>
                  <w:gridSpan w:val="2"/>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rPr>
                    <w:t>监测要求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1"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p>
              </w:tc>
              <w:tc>
                <w:tcPr>
                  <w:tcW w:w="62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p>
              </w:tc>
              <w:tc>
                <w:tcPr>
                  <w:tcW w:w="810"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highlight w:val="none"/>
                    </w:rPr>
                  </w:pPr>
                  <w:r>
                    <w:rPr>
                      <w:rFonts w:hint="eastAsia"/>
                      <w:color w:val="auto"/>
                      <w:sz w:val="18"/>
                      <w:szCs w:val="18"/>
                      <w:highlight w:val="none"/>
                    </w:rPr>
                    <w:t>经度</w:t>
                  </w:r>
                </w:p>
              </w:tc>
              <w:tc>
                <w:tcPr>
                  <w:tcW w:w="870"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highlight w:val="none"/>
                    </w:rPr>
                  </w:pPr>
                  <w:r>
                    <w:rPr>
                      <w:rFonts w:hint="eastAsia"/>
                      <w:color w:val="auto"/>
                      <w:sz w:val="18"/>
                      <w:szCs w:val="18"/>
                      <w:highlight w:val="none"/>
                    </w:rPr>
                    <w:t>纬度</w:t>
                  </w:r>
                </w:p>
              </w:tc>
              <w:tc>
                <w:tcPr>
                  <w:tcW w:w="4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p>
              </w:tc>
              <w:tc>
                <w:tcPr>
                  <w:tcW w:w="46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p>
              </w:tc>
              <w:tc>
                <w:tcPr>
                  <w:tcW w:w="48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p>
              </w:tc>
              <w:tc>
                <w:tcPr>
                  <w:tcW w:w="70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p>
              </w:tc>
              <w:tc>
                <w:tcPr>
                  <w:tcW w:w="29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p>
              </w:tc>
              <w:tc>
                <w:tcPr>
                  <w:tcW w:w="1619"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p>
              </w:tc>
              <w:tc>
                <w:tcPr>
                  <w:tcW w:w="674"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rPr>
                    <w:t>监测因子</w:t>
                  </w:r>
                </w:p>
              </w:tc>
              <w:tc>
                <w:tcPr>
                  <w:tcW w:w="674"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highlight w:val="none"/>
                    </w:rPr>
                    <w:t>频次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1"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w:t>
                  </w:r>
                </w:p>
              </w:tc>
              <w:tc>
                <w:tcPr>
                  <w:tcW w:w="6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排气筒DA001</w:t>
                  </w:r>
                </w:p>
              </w:tc>
              <w:tc>
                <w:tcPr>
                  <w:tcW w:w="8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86.165605</w:t>
                  </w:r>
                </w:p>
              </w:tc>
              <w:tc>
                <w:tcPr>
                  <w:tcW w:w="8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44.330178</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eastAsia="宋体"/>
                      <w:color w:val="auto"/>
                      <w:sz w:val="18"/>
                      <w:szCs w:val="18"/>
                      <w:lang w:val="en-US" w:eastAsia="zh-CN"/>
                    </w:rPr>
                  </w:pPr>
                  <w:r>
                    <w:rPr>
                      <w:rFonts w:hint="eastAsia"/>
                      <w:color w:val="auto"/>
                      <w:sz w:val="18"/>
                      <w:szCs w:val="18"/>
                      <w:lang w:val="en-US" w:eastAsia="zh-CN"/>
                    </w:rPr>
                    <w:t>15</w:t>
                  </w:r>
                </w:p>
              </w:tc>
              <w:tc>
                <w:tcPr>
                  <w:tcW w:w="460"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eastAsia="宋体"/>
                      <w:color w:val="auto"/>
                      <w:sz w:val="18"/>
                      <w:szCs w:val="18"/>
                      <w:lang w:val="en-US" w:eastAsia="zh-CN"/>
                    </w:rPr>
                  </w:pPr>
                  <w:r>
                    <w:rPr>
                      <w:rFonts w:hint="eastAsia"/>
                      <w:color w:val="auto"/>
                      <w:sz w:val="18"/>
                      <w:szCs w:val="18"/>
                      <w:lang w:val="en-US" w:eastAsia="zh-CN"/>
                    </w:rPr>
                    <w:t>0.3</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eastAsia="宋体"/>
                      <w:color w:val="auto"/>
                      <w:sz w:val="18"/>
                      <w:szCs w:val="18"/>
                      <w:lang w:val="en-US" w:eastAsia="zh-CN"/>
                    </w:rPr>
                  </w:pPr>
                  <w:r>
                    <w:rPr>
                      <w:rFonts w:hint="eastAsia"/>
                      <w:color w:val="auto"/>
                      <w:sz w:val="18"/>
                      <w:szCs w:val="18"/>
                      <w:lang w:val="en-US" w:eastAsia="zh-CN"/>
                    </w:rPr>
                    <w:t>25</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eastAsia="宋体"/>
                      <w:color w:val="auto"/>
                      <w:sz w:val="18"/>
                      <w:szCs w:val="18"/>
                      <w:lang w:val="en-US" w:eastAsia="zh-CN"/>
                    </w:rPr>
                  </w:pPr>
                  <w:r>
                    <w:rPr>
                      <w:rFonts w:hint="eastAsia"/>
                      <w:color w:val="auto"/>
                      <w:sz w:val="18"/>
                      <w:szCs w:val="18"/>
                      <w:lang w:val="en-US" w:eastAsia="zh-CN"/>
                    </w:rPr>
                    <w:t>2000</w:t>
                  </w:r>
                </w:p>
              </w:tc>
              <w:tc>
                <w:tcPr>
                  <w:tcW w:w="290"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eastAsia="宋体"/>
                      <w:color w:val="auto"/>
                      <w:sz w:val="18"/>
                      <w:szCs w:val="18"/>
                      <w:lang w:val="en-US" w:eastAsia="zh-CN"/>
                    </w:rPr>
                  </w:pPr>
                  <w:r>
                    <w:rPr>
                      <w:rFonts w:hint="eastAsia"/>
                      <w:color w:val="auto"/>
                      <w:sz w:val="18"/>
                      <w:szCs w:val="18"/>
                      <w:lang w:val="en-US" w:eastAsia="zh-CN"/>
                    </w:rPr>
                    <w:t>一般排放口</w:t>
                  </w: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r>
                    <w:rPr>
                      <w:rFonts w:hint="eastAsia"/>
                      <w:color w:val="auto"/>
                      <w:sz w:val="18"/>
                      <w:szCs w:val="18"/>
                    </w:rPr>
                    <w:t>《大气污染物综合排放标准》表2中二级标准</w:t>
                  </w:r>
                </w:p>
              </w:tc>
              <w:tc>
                <w:tcPr>
                  <w:tcW w:w="674"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color w:val="auto"/>
                      <w:sz w:val="18"/>
                      <w:szCs w:val="18"/>
                    </w:rPr>
                  </w:pPr>
                  <w:r>
                    <w:rPr>
                      <w:rFonts w:hint="default" w:ascii="Times New Roman" w:hAnsi="Times New Roman" w:cs="Times New Roman"/>
                      <w:b w:val="0"/>
                      <w:bCs/>
                      <w:color w:val="auto"/>
                      <w:sz w:val="18"/>
                      <w:szCs w:val="18"/>
                      <w:lang w:val="zh-CN"/>
                    </w:rPr>
                    <w:t>颗粒物</w:t>
                  </w:r>
                </w:p>
              </w:tc>
              <w:tc>
                <w:tcPr>
                  <w:tcW w:w="674"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color w:val="auto"/>
                      <w:sz w:val="18"/>
                      <w:szCs w:val="18"/>
                    </w:rPr>
                  </w:pPr>
                  <w:r>
                    <w:rPr>
                      <w:bCs/>
                      <w:color w:val="auto"/>
                      <w:sz w:val="18"/>
                      <w:szCs w:val="18"/>
                    </w:rPr>
                    <w:t>半年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01"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2</w:t>
                  </w:r>
                </w:p>
              </w:tc>
              <w:tc>
                <w:tcPr>
                  <w:tcW w:w="62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排气筒DA002</w:t>
                  </w:r>
                </w:p>
              </w:tc>
              <w:tc>
                <w:tcPr>
                  <w:tcW w:w="81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86.165672</w:t>
                  </w:r>
                </w:p>
              </w:tc>
              <w:tc>
                <w:tcPr>
                  <w:tcW w:w="87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44.330272</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15</w:t>
                  </w:r>
                </w:p>
              </w:tc>
              <w:tc>
                <w:tcPr>
                  <w:tcW w:w="460"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0.3</w:t>
                  </w:r>
                </w:p>
              </w:tc>
              <w:tc>
                <w:tcPr>
                  <w:tcW w:w="480"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25</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default" w:eastAsia="宋体"/>
                      <w:color w:val="auto"/>
                      <w:sz w:val="18"/>
                      <w:szCs w:val="18"/>
                      <w:lang w:val="en-US" w:eastAsia="zh-CN"/>
                    </w:rPr>
                  </w:pPr>
                  <w:r>
                    <w:rPr>
                      <w:rFonts w:hint="eastAsia"/>
                      <w:color w:val="auto"/>
                      <w:sz w:val="18"/>
                      <w:szCs w:val="18"/>
                      <w:lang w:val="en-US" w:eastAsia="zh-CN"/>
                    </w:rPr>
                    <w:t>2694</w:t>
                  </w:r>
                </w:p>
              </w:tc>
              <w:tc>
                <w:tcPr>
                  <w:tcW w:w="290"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color w:val="auto"/>
                      <w:sz w:val="18"/>
                      <w:szCs w:val="18"/>
                    </w:rPr>
                  </w:pPr>
                </w:p>
              </w:tc>
              <w:tc>
                <w:tcPr>
                  <w:tcW w:w="1619"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eastAsia="宋体"/>
                      <w:color w:val="auto"/>
                      <w:sz w:val="18"/>
                      <w:szCs w:val="18"/>
                      <w:lang w:eastAsia="zh-CN"/>
                    </w:rPr>
                  </w:pPr>
                  <w:r>
                    <w:rPr>
                      <w:rFonts w:hint="eastAsia"/>
                      <w:color w:val="auto"/>
                      <w:sz w:val="18"/>
                      <w:szCs w:val="18"/>
                    </w:rPr>
                    <w:t>《新疆维吾尔自治区工业炉窑大气污染治理实施方案》（新大气发〔2019〕127号）中重点区域工业炉窑排放标准限值</w:t>
                  </w:r>
                </w:p>
              </w:tc>
              <w:tc>
                <w:tcPr>
                  <w:tcW w:w="674"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color w:val="auto"/>
                      <w:sz w:val="18"/>
                      <w:szCs w:val="18"/>
                    </w:rPr>
                  </w:pPr>
                  <w:r>
                    <w:rPr>
                      <w:rFonts w:hint="default" w:ascii="Times New Roman" w:hAnsi="Times New Roman" w:cs="Times New Roman"/>
                      <w:b w:val="0"/>
                      <w:bCs/>
                      <w:color w:val="auto"/>
                      <w:sz w:val="18"/>
                      <w:szCs w:val="18"/>
                      <w:lang w:val="zh-CN"/>
                    </w:rPr>
                    <w:t>颗粒物、</w:t>
                  </w:r>
                  <w:r>
                    <w:rPr>
                      <w:rFonts w:hint="eastAsia"/>
                      <w:color w:val="auto"/>
                      <w:sz w:val="18"/>
                      <w:szCs w:val="18"/>
                      <w:lang w:val="en-US" w:eastAsia="zh-CN"/>
                    </w:rPr>
                    <w:t>SO</w:t>
                  </w:r>
                  <w:r>
                    <w:rPr>
                      <w:rFonts w:hint="eastAsia"/>
                      <w:color w:val="auto"/>
                      <w:sz w:val="18"/>
                      <w:szCs w:val="18"/>
                      <w:vertAlign w:val="subscript"/>
                      <w:lang w:val="en-US" w:eastAsia="zh-CN"/>
                    </w:rPr>
                    <w:t>2</w:t>
                  </w:r>
                  <w:r>
                    <w:rPr>
                      <w:rFonts w:hint="default" w:ascii="Times New Roman" w:hAnsi="Times New Roman" w:cs="Times New Roman"/>
                      <w:b w:val="0"/>
                      <w:bCs/>
                      <w:color w:val="auto"/>
                      <w:sz w:val="18"/>
                      <w:szCs w:val="18"/>
                      <w:lang w:val="zh-CN"/>
                    </w:rPr>
                    <w:t>、</w:t>
                  </w:r>
                  <w:r>
                    <w:rPr>
                      <w:rFonts w:hint="eastAsia" w:cs="Times New Roman"/>
                      <w:color w:val="auto"/>
                      <w:kern w:val="2"/>
                      <w:sz w:val="18"/>
                      <w:szCs w:val="18"/>
                      <w:lang w:val="en-US" w:eastAsia="zh-CN" w:bidi="ar-SA"/>
                    </w:rPr>
                    <w:t>NO</w:t>
                  </w:r>
                  <w:r>
                    <w:rPr>
                      <w:rFonts w:hint="eastAsia" w:cs="Times New Roman"/>
                      <w:color w:val="auto"/>
                      <w:kern w:val="2"/>
                      <w:sz w:val="18"/>
                      <w:szCs w:val="18"/>
                      <w:vertAlign w:val="subscript"/>
                      <w:lang w:val="en-US" w:eastAsia="zh-CN" w:bidi="ar-SA"/>
                    </w:rPr>
                    <w:t>X</w:t>
                  </w:r>
                </w:p>
              </w:tc>
              <w:tc>
                <w:tcPr>
                  <w:tcW w:w="674" w:type="dxa"/>
                  <w:vAlign w:val="center"/>
                </w:tcPr>
                <w:p>
                  <w:pPr>
                    <w:keepNext w:val="0"/>
                    <w:keepLines w:val="0"/>
                    <w:pageBreakBefore w:val="0"/>
                    <w:widowControl w:val="0"/>
                    <w:kinsoku/>
                    <w:wordWrap/>
                    <w:overflowPunct/>
                    <w:topLinePunct w:val="0"/>
                    <w:autoSpaceDE/>
                    <w:autoSpaceDN/>
                    <w:bidi w:val="0"/>
                    <w:adjustRightInd/>
                    <w:snapToGrid/>
                    <w:spacing w:line="320" w:lineRule="atLeast"/>
                    <w:jc w:val="center"/>
                    <w:textAlignment w:val="auto"/>
                    <w:rPr>
                      <w:rFonts w:hint="eastAsia" w:eastAsia="宋体"/>
                      <w:color w:val="auto"/>
                      <w:sz w:val="18"/>
                      <w:szCs w:val="18"/>
                      <w:lang w:val="en-US" w:eastAsia="zh-CN"/>
                    </w:rPr>
                  </w:pPr>
                  <w:r>
                    <w:rPr>
                      <w:bCs/>
                      <w:color w:val="auto"/>
                      <w:sz w:val="18"/>
                      <w:szCs w:val="18"/>
                    </w:rPr>
                    <w:t>半年</w:t>
                  </w:r>
                </w:p>
              </w:tc>
            </w:tr>
          </w:tbl>
          <w:p>
            <w:pPr>
              <w:spacing w:line="360" w:lineRule="auto"/>
              <w:ind w:firstLine="420" w:firstLineChars="200"/>
              <w:jc w:val="left"/>
              <w:rPr>
                <w:bCs/>
                <w:color w:val="auto"/>
                <w:kern w:val="0"/>
                <w:szCs w:val="21"/>
              </w:rPr>
            </w:pPr>
            <w:r>
              <w:rPr>
                <w:bCs/>
                <w:color w:val="auto"/>
                <w:kern w:val="0"/>
                <w:szCs w:val="21"/>
              </w:rPr>
              <w:t>本项目在采取上述治理措施后，项目废气污染物排放情况详见下表：</w:t>
            </w:r>
          </w:p>
          <w:p>
            <w:pPr>
              <w:spacing w:line="360" w:lineRule="auto"/>
              <w:jc w:val="center"/>
              <w:rPr>
                <w:b/>
                <w:bCs/>
                <w:color w:val="auto"/>
                <w:sz w:val="18"/>
                <w:szCs w:val="18"/>
              </w:rPr>
            </w:pPr>
            <w:r>
              <w:rPr>
                <w:rFonts w:hint="eastAsia"/>
                <w:b/>
                <w:bCs/>
                <w:color w:val="auto"/>
                <w:sz w:val="18"/>
                <w:szCs w:val="18"/>
              </w:rPr>
              <w:t>表4-</w:t>
            </w:r>
            <w:r>
              <w:rPr>
                <w:rFonts w:hint="eastAsia"/>
                <w:b/>
                <w:bCs/>
                <w:color w:val="auto"/>
                <w:sz w:val="18"/>
                <w:szCs w:val="18"/>
                <w:lang w:val="en-US" w:eastAsia="zh-CN"/>
              </w:rPr>
              <w:t>3</w:t>
            </w:r>
            <w:r>
              <w:rPr>
                <w:rFonts w:hint="eastAsia"/>
                <w:b/>
                <w:bCs/>
                <w:color w:val="auto"/>
                <w:sz w:val="18"/>
                <w:szCs w:val="18"/>
              </w:rPr>
              <w:t xml:space="preserve">  项目废气污染物排放情况一览表</w:t>
            </w:r>
          </w:p>
          <w:tbl>
            <w:tblPr>
              <w:tblStyle w:val="25"/>
              <w:tblW w:w="80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2"/>
              <w:gridCol w:w="892"/>
              <w:gridCol w:w="1147"/>
              <w:gridCol w:w="2868"/>
              <w:gridCol w:w="1160"/>
              <w:gridCol w:w="1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pPr>
                    <w:spacing w:line="320" w:lineRule="exact"/>
                    <w:jc w:val="center"/>
                    <w:rPr>
                      <w:color w:val="auto"/>
                      <w:sz w:val="18"/>
                      <w:szCs w:val="18"/>
                    </w:rPr>
                  </w:pPr>
                  <w:r>
                    <w:rPr>
                      <w:rFonts w:hint="eastAsia"/>
                      <w:color w:val="auto"/>
                      <w:sz w:val="18"/>
                      <w:szCs w:val="18"/>
                    </w:rPr>
                    <w:t>污染源</w:t>
                  </w:r>
                </w:p>
              </w:tc>
              <w:tc>
                <w:tcPr>
                  <w:tcW w:w="892" w:type="dxa"/>
                  <w:vAlign w:val="center"/>
                </w:tcPr>
                <w:p>
                  <w:pPr>
                    <w:spacing w:line="320" w:lineRule="exact"/>
                    <w:jc w:val="center"/>
                    <w:rPr>
                      <w:color w:val="auto"/>
                      <w:sz w:val="18"/>
                      <w:szCs w:val="18"/>
                    </w:rPr>
                  </w:pPr>
                  <w:r>
                    <w:rPr>
                      <w:rFonts w:hint="eastAsia"/>
                      <w:color w:val="auto"/>
                      <w:sz w:val="18"/>
                      <w:szCs w:val="18"/>
                    </w:rPr>
                    <w:t>污染物</w:t>
                  </w:r>
                </w:p>
              </w:tc>
              <w:tc>
                <w:tcPr>
                  <w:tcW w:w="1147" w:type="dxa"/>
                  <w:vAlign w:val="center"/>
                </w:tcPr>
                <w:p>
                  <w:pPr>
                    <w:spacing w:line="320" w:lineRule="exact"/>
                    <w:jc w:val="center"/>
                    <w:rPr>
                      <w:color w:val="auto"/>
                      <w:sz w:val="18"/>
                      <w:szCs w:val="18"/>
                    </w:rPr>
                  </w:pPr>
                  <w:r>
                    <w:rPr>
                      <w:rFonts w:hint="eastAsia"/>
                      <w:color w:val="auto"/>
                      <w:sz w:val="18"/>
                      <w:szCs w:val="18"/>
                    </w:rPr>
                    <w:t>产生量t/a</w:t>
                  </w:r>
                </w:p>
              </w:tc>
              <w:tc>
                <w:tcPr>
                  <w:tcW w:w="2868" w:type="dxa"/>
                  <w:vAlign w:val="center"/>
                </w:tcPr>
                <w:p>
                  <w:pPr>
                    <w:spacing w:line="320" w:lineRule="exact"/>
                    <w:jc w:val="center"/>
                    <w:rPr>
                      <w:color w:val="auto"/>
                      <w:sz w:val="18"/>
                      <w:szCs w:val="18"/>
                    </w:rPr>
                  </w:pPr>
                  <w:r>
                    <w:rPr>
                      <w:rFonts w:hint="eastAsia"/>
                      <w:color w:val="auto"/>
                      <w:sz w:val="18"/>
                      <w:szCs w:val="18"/>
                    </w:rPr>
                    <w:t>治理措施</w:t>
                  </w:r>
                </w:p>
              </w:tc>
              <w:tc>
                <w:tcPr>
                  <w:tcW w:w="1160" w:type="dxa"/>
                  <w:vAlign w:val="center"/>
                </w:tcPr>
                <w:p>
                  <w:pPr>
                    <w:spacing w:line="320" w:lineRule="exact"/>
                    <w:jc w:val="center"/>
                    <w:rPr>
                      <w:color w:val="auto"/>
                      <w:sz w:val="18"/>
                      <w:szCs w:val="18"/>
                    </w:rPr>
                  </w:pPr>
                  <w:r>
                    <w:rPr>
                      <w:rFonts w:hint="eastAsia"/>
                      <w:color w:val="auto"/>
                      <w:sz w:val="18"/>
                      <w:szCs w:val="18"/>
                    </w:rPr>
                    <w:t>排放方式</w:t>
                  </w:r>
                </w:p>
              </w:tc>
              <w:tc>
                <w:tcPr>
                  <w:tcW w:w="1077" w:type="dxa"/>
                  <w:vAlign w:val="center"/>
                </w:tcPr>
                <w:p>
                  <w:pPr>
                    <w:spacing w:line="320" w:lineRule="exact"/>
                    <w:jc w:val="center"/>
                    <w:rPr>
                      <w:color w:val="auto"/>
                      <w:sz w:val="18"/>
                      <w:szCs w:val="18"/>
                    </w:rPr>
                  </w:pPr>
                  <w:r>
                    <w:rPr>
                      <w:rFonts w:hint="eastAsia"/>
                      <w:color w:val="auto"/>
                      <w:sz w:val="18"/>
                      <w:szCs w:val="18"/>
                    </w:rPr>
                    <w:t>排放量t/a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投料</w:t>
                  </w:r>
                </w:p>
              </w:tc>
              <w:tc>
                <w:tcPr>
                  <w:tcW w:w="892" w:type="dxa"/>
                  <w:vAlign w:val="center"/>
                </w:tcPr>
                <w:p>
                  <w:pPr>
                    <w:spacing w:line="320" w:lineRule="exact"/>
                    <w:jc w:val="center"/>
                    <w:rPr>
                      <w:rFonts w:hint="eastAsia"/>
                      <w:color w:val="auto"/>
                      <w:sz w:val="18"/>
                      <w:szCs w:val="18"/>
                    </w:rPr>
                  </w:pPr>
                  <w:r>
                    <w:rPr>
                      <w:rFonts w:hint="eastAsia"/>
                      <w:color w:val="auto"/>
                      <w:sz w:val="18"/>
                      <w:szCs w:val="18"/>
                      <w:lang w:val="en-US" w:eastAsia="zh-CN"/>
                    </w:rPr>
                    <w:t>颗粒物</w:t>
                  </w:r>
                </w:p>
              </w:tc>
              <w:tc>
                <w:tcPr>
                  <w:tcW w:w="1147" w:type="dxa"/>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0.5</w:t>
                  </w:r>
                </w:p>
              </w:tc>
              <w:tc>
                <w:tcPr>
                  <w:tcW w:w="2868"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低氮燃烧+15m高排气筒（DA002）排放</w:t>
                  </w:r>
                </w:p>
              </w:tc>
              <w:tc>
                <w:tcPr>
                  <w:tcW w:w="116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有组织</w:t>
                  </w:r>
                </w:p>
              </w:tc>
              <w:tc>
                <w:tcPr>
                  <w:tcW w:w="1077" w:type="dxa"/>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0.0045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Merge w:val="restart"/>
                  <w:vAlign w:val="center"/>
                </w:tcPr>
                <w:p>
                  <w:pPr>
                    <w:spacing w:line="320" w:lineRule="exact"/>
                    <w:jc w:val="center"/>
                    <w:rPr>
                      <w:rFonts w:hint="default" w:eastAsia="宋体"/>
                      <w:color w:val="auto"/>
                      <w:sz w:val="18"/>
                      <w:szCs w:val="18"/>
                      <w:lang w:val="en-US" w:eastAsia="zh-CN"/>
                    </w:rPr>
                  </w:pPr>
                  <w:r>
                    <w:rPr>
                      <w:rFonts w:hint="eastAsia"/>
                      <w:color w:val="auto"/>
                      <w:sz w:val="18"/>
                      <w:szCs w:val="18"/>
                      <w:lang w:val="en-US" w:eastAsia="zh-CN"/>
                    </w:rPr>
                    <w:t>烘干</w:t>
                  </w:r>
                </w:p>
              </w:tc>
              <w:tc>
                <w:tcPr>
                  <w:tcW w:w="8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颗粒物</w:t>
                  </w:r>
                </w:p>
              </w:tc>
              <w:tc>
                <w:tcPr>
                  <w:tcW w:w="114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0.144</w:t>
                  </w:r>
                </w:p>
              </w:tc>
              <w:tc>
                <w:tcPr>
                  <w:tcW w:w="2868" w:type="dxa"/>
                  <w:vMerge w:val="restart"/>
                  <w:vAlign w:val="center"/>
                </w:tcPr>
                <w:p>
                  <w:pPr>
                    <w:spacing w:line="320" w:lineRule="exact"/>
                    <w:jc w:val="center"/>
                    <w:rPr>
                      <w:rFonts w:hint="eastAsia"/>
                      <w:color w:val="auto"/>
                      <w:sz w:val="18"/>
                      <w:szCs w:val="18"/>
                    </w:rPr>
                  </w:pPr>
                  <w:r>
                    <w:rPr>
                      <w:rFonts w:hint="eastAsia"/>
                      <w:color w:val="auto"/>
                      <w:sz w:val="18"/>
                      <w:szCs w:val="18"/>
                      <w:lang w:val="en-US" w:eastAsia="zh-CN"/>
                    </w:rPr>
                    <w:t>集气罩+布袋除尘+15m高排气筒（DA001）排放</w:t>
                  </w:r>
                </w:p>
              </w:tc>
              <w:tc>
                <w:tcPr>
                  <w:tcW w:w="1160" w:type="dxa"/>
                  <w:vMerge w:val="restart"/>
                  <w:vAlign w:val="center"/>
                </w:tcPr>
                <w:p>
                  <w:pPr>
                    <w:spacing w:line="320" w:lineRule="exact"/>
                    <w:jc w:val="center"/>
                    <w:rPr>
                      <w:rFonts w:hint="eastAsia"/>
                      <w:color w:val="auto"/>
                      <w:sz w:val="18"/>
                      <w:szCs w:val="18"/>
                    </w:rPr>
                  </w:pPr>
                  <w:r>
                    <w:rPr>
                      <w:rFonts w:hint="eastAsia"/>
                      <w:color w:val="auto"/>
                      <w:sz w:val="18"/>
                      <w:szCs w:val="18"/>
                      <w:lang w:val="en-US" w:eastAsia="zh-CN"/>
                    </w:rPr>
                    <w:t>有组织</w:t>
                  </w:r>
                </w:p>
              </w:tc>
              <w:tc>
                <w:tcPr>
                  <w:tcW w:w="10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0.144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Merge w:val="continue"/>
                  <w:vAlign w:val="center"/>
                </w:tcPr>
                <w:p>
                  <w:pPr>
                    <w:spacing w:line="320" w:lineRule="exact"/>
                    <w:jc w:val="center"/>
                    <w:rPr>
                      <w:rFonts w:hint="eastAsia"/>
                      <w:color w:val="auto"/>
                      <w:sz w:val="18"/>
                      <w:szCs w:val="18"/>
                    </w:rPr>
                  </w:pPr>
                </w:p>
              </w:tc>
              <w:tc>
                <w:tcPr>
                  <w:tcW w:w="8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SO</w:t>
                  </w:r>
                  <w:r>
                    <w:rPr>
                      <w:rFonts w:hint="eastAsia"/>
                      <w:color w:val="auto"/>
                      <w:sz w:val="18"/>
                      <w:szCs w:val="18"/>
                      <w:vertAlign w:val="subscript"/>
                      <w:lang w:val="en-US" w:eastAsia="zh-CN"/>
                    </w:rPr>
                    <w:t>2</w:t>
                  </w:r>
                </w:p>
              </w:tc>
              <w:tc>
                <w:tcPr>
                  <w:tcW w:w="114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0.01668</w:t>
                  </w:r>
                </w:p>
              </w:tc>
              <w:tc>
                <w:tcPr>
                  <w:tcW w:w="2868" w:type="dxa"/>
                  <w:vMerge w:val="continue"/>
                  <w:vAlign w:val="center"/>
                </w:tcPr>
                <w:p>
                  <w:pPr>
                    <w:spacing w:line="320" w:lineRule="exact"/>
                    <w:jc w:val="center"/>
                    <w:rPr>
                      <w:rFonts w:hint="eastAsia"/>
                      <w:color w:val="auto"/>
                      <w:sz w:val="18"/>
                      <w:szCs w:val="18"/>
                    </w:rPr>
                  </w:pPr>
                </w:p>
              </w:tc>
              <w:tc>
                <w:tcPr>
                  <w:tcW w:w="1160" w:type="dxa"/>
                  <w:vMerge w:val="continue"/>
                  <w:vAlign w:val="center"/>
                </w:tcPr>
                <w:p>
                  <w:pPr>
                    <w:spacing w:line="320" w:lineRule="exact"/>
                    <w:jc w:val="center"/>
                    <w:rPr>
                      <w:rFonts w:hint="eastAsia"/>
                      <w:color w:val="auto"/>
                      <w:sz w:val="18"/>
                      <w:szCs w:val="18"/>
                    </w:rPr>
                  </w:pPr>
                </w:p>
              </w:tc>
              <w:tc>
                <w:tcPr>
                  <w:tcW w:w="10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0.01668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Merge w:val="continue"/>
                  <w:vAlign w:val="center"/>
                </w:tcPr>
                <w:p>
                  <w:pPr>
                    <w:spacing w:line="320" w:lineRule="exact"/>
                    <w:jc w:val="center"/>
                    <w:rPr>
                      <w:rFonts w:hint="eastAsia"/>
                      <w:color w:val="auto"/>
                      <w:sz w:val="18"/>
                      <w:szCs w:val="18"/>
                    </w:rPr>
                  </w:pPr>
                </w:p>
              </w:tc>
              <w:tc>
                <w:tcPr>
                  <w:tcW w:w="8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NO</w:t>
                  </w:r>
                  <w:r>
                    <w:rPr>
                      <w:rFonts w:hint="eastAsia"/>
                      <w:color w:val="auto"/>
                      <w:sz w:val="18"/>
                      <w:szCs w:val="18"/>
                      <w:vertAlign w:val="subscript"/>
                      <w:lang w:val="en-US" w:eastAsia="zh-CN"/>
                    </w:rPr>
                    <w:t>X</w:t>
                  </w:r>
                </w:p>
              </w:tc>
              <w:tc>
                <w:tcPr>
                  <w:tcW w:w="114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0.1394</w:t>
                  </w:r>
                </w:p>
              </w:tc>
              <w:tc>
                <w:tcPr>
                  <w:tcW w:w="2868" w:type="dxa"/>
                  <w:vMerge w:val="continue"/>
                  <w:vAlign w:val="center"/>
                </w:tcPr>
                <w:p>
                  <w:pPr>
                    <w:spacing w:line="320" w:lineRule="exact"/>
                    <w:jc w:val="center"/>
                    <w:rPr>
                      <w:rFonts w:hint="eastAsia"/>
                      <w:color w:val="auto"/>
                      <w:sz w:val="18"/>
                      <w:szCs w:val="18"/>
                    </w:rPr>
                  </w:pPr>
                </w:p>
              </w:tc>
              <w:tc>
                <w:tcPr>
                  <w:tcW w:w="1160" w:type="dxa"/>
                  <w:vMerge w:val="continue"/>
                  <w:vAlign w:val="center"/>
                </w:tcPr>
                <w:p>
                  <w:pPr>
                    <w:spacing w:line="320" w:lineRule="exact"/>
                    <w:jc w:val="center"/>
                    <w:rPr>
                      <w:rFonts w:hint="eastAsia"/>
                      <w:color w:val="auto"/>
                      <w:sz w:val="18"/>
                      <w:szCs w:val="18"/>
                    </w:rPr>
                  </w:pPr>
                </w:p>
              </w:tc>
              <w:tc>
                <w:tcPr>
                  <w:tcW w:w="10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color w:val="auto"/>
                      <w:kern w:val="2"/>
                      <w:sz w:val="18"/>
                      <w:szCs w:val="18"/>
                      <w:lang w:val="en-US" w:eastAsia="zh-CN" w:bidi="ar-SA"/>
                    </w:rPr>
                  </w:pPr>
                  <w:r>
                    <w:rPr>
                      <w:rFonts w:hint="eastAsia" w:cs="Times New Roman"/>
                      <w:color w:val="auto"/>
                      <w:kern w:val="2"/>
                      <w:sz w:val="18"/>
                      <w:szCs w:val="18"/>
                      <w:lang w:val="en-US" w:eastAsia="zh-CN" w:bidi="ar-SA"/>
                    </w:rPr>
                    <w:t>0.1394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892"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食堂</w:t>
                  </w:r>
                </w:p>
              </w:tc>
              <w:tc>
                <w:tcPr>
                  <w:tcW w:w="89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atLeast"/>
                    <w:ind w:left="0" w:leftChars="0" w:right="0" w:rightChars="0"/>
                    <w:jc w:val="center"/>
                    <w:textAlignment w:val="auto"/>
                    <w:rPr>
                      <w:rFonts w:hint="default"/>
                      <w:color w:val="auto"/>
                      <w:sz w:val="18"/>
                      <w:szCs w:val="18"/>
                      <w:lang w:val="en-US" w:eastAsia="zh-CN"/>
                    </w:rPr>
                  </w:pPr>
                  <w:r>
                    <w:rPr>
                      <w:rFonts w:hint="eastAsia"/>
                      <w:color w:val="auto"/>
                      <w:sz w:val="18"/>
                      <w:szCs w:val="18"/>
                      <w:lang w:val="en-US" w:eastAsia="zh-CN"/>
                    </w:rPr>
                    <w:t>油烟</w:t>
                  </w:r>
                </w:p>
              </w:tc>
              <w:tc>
                <w:tcPr>
                  <w:tcW w:w="114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0.00135</w:t>
                  </w:r>
                </w:p>
              </w:tc>
              <w:tc>
                <w:tcPr>
                  <w:tcW w:w="2868" w:type="dxa"/>
                  <w:vAlign w:val="center"/>
                </w:tcPr>
                <w:p>
                  <w:pPr>
                    <w:spacing w:line="320" w:lineRule="exact"/>
                    <w:jc w:val="center"/>
                    <w:rPr>
                      <w:rFonts w:hint="eastAsia"/>
                      <w:color w:val="auto"/>
                      <w:sz w:val="18"/>
                      <w:szCs w:val="18"/>
                    </w:rPr>
                  </w:pPr>
                  <w:r>
                    <w:rPr>
                      <w:rFonts w:hint="eastAsia" w:cs="Times New Roman"/>
                      <w:color w:val="auto"/>
                      <w:kern w:val="2"/>
                      <w:sz w:val="18"/>
                      <w:szCs w:val="18"/>
                      <w:lang w:val="en-US" w:eastAsia="zh-CN" w:bidi="ar-SA"/>
                    </w:rPr>
                    <w:t>油烟净化器处理后由专门的烟道送至屋顶排放</w:t>
                  </w:r>
                </w:p>
              </w:tc>
              <w:tc>
                <w:tcPr>
                  <w:tcW w:w="1160" w:type="dxa"/>
                  <w:vAlign w:val="center"/>
                </w:tcPr>
                <w:p>
                  <w:pPr>
                    <w:spacing w:line="320" w:lineRule="exact"/>
                    <w:jc w:val="center"/>
                    <w:rPr>
                      <w:rFonts w:hint="eastAsia" w:eastAsia="宋体"/>
                      <w:color w:val="auto"/>
                      <w:sz w:val="18"/>
                      <w:szCs w:val="18"/>
                      <w:lang w:val="en-US" w:eastAsia="zh-CN"/>
                    </w:rPr>
                  </w:pPr>
                  <w:r>
                    <w:rPr>
                      <w:rFonts w:hint="eastAsia"/>
                      <w:color w:val="auto"/>
                      <w:sz w:val="18"/>
                      <w:szCs w:val="18"/>
                      <w:lang w:val="en-US" w:eastAsia="zh-CN"/>
                    </w:rPr>
                    <w:t>无组织</w:t>
                  </w:r>
                </w:p>
              </w:tc>
              <w:tc>
                <w:tcPr>
                  <w:tcW w:w="107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cs="Times New Roman"/>
                      <w:color w:val="auto"/>
                      <w:kern w:val="2"/>
                      <w:sz w:val="18"/>
                      <w:szCs w:val="18"/>
                      <w:lang w:val="en-US" w:eastAsia="zh-CN" w:bidi="ar-SA"/>
                    </w:rPr>
                  </w:pPr>
                  <w:r>
                    <w:rPr>
                      <w:rFonts w:hint="eastAsia" w:cs="Times New Roman"/>
                      <w:color w:val="auto"/>
                      <w:kern w:val="2"/>
                      <w:sz w:val="18"/>
                      <w:szCs w:val="18"/>
                      <w:lang w:val="en-US" w:eastAsia="zh-CN" w:bidi="ar-SA"/>
                    </w:rPr>
                    <w:t>0.000203</w:t>
                  </w:r>
                </w:p>
              </w:tc>
            </w:tr>
          </w:tbl>
          <w:p>
            <w:pPr>
              <w:spacing w:line="360" w:lineRule="auto"/>
              <w:ind w:firstLine="422" w:firstLineChars="200"/>
              <w:rPr>
                <w:b/>
                <w:bCs/>
                <w:color w:val="auto"/>
                <w:szCs w:val="21"/>
                <w:highlight w:val="none"/>
              </w:rPr>
            </w:pPr>
            <w:r>
              <w:rPr>
                <w:rFonts w:hint="eastAsia"/>
                <w:b/>
                <w:bCs/>
                <w:color w:val="auto"/>
                <w:szCs w:val="21"/>
                <w:highlight w:val="none"/>
              </w:rPr>
              <w:t>（3）治理措施可行性分析</w:t>
            </w:r>
          </w:p>
          <w:p>
            <w:pPr>
              <w:spacing w:line="360" w:lineRule="auto"/>
              <w:ind w:firstLine="422" w:firstLineChars="200"/>
              <w:rPr>
                <w:rFonts w:hint="default" w:ascii="Times New Roman" w:hAnsi="Times New Roman" w:cs="Times New Roman"/>
                <w:color w:val="auto"/>
                <w:szCs w:val="21"/>
              </w:rPr>
            </w:pPr>
            <w:r>
              <w:rPr>
                <w:rFonts w:hint="eastAsia"/>
                <w:b/>
                <w:bCs/>
                <w:color w:val="auto"/>
                <w:szCs w:val="21"/>
                <w:lang w:val="en-US" w:eastAsia="zh-CN"/>
              </w:rPr>
              <w:t>投料粉尘</w:t>
            </w:r>
            <w:r>
              <w:rPr>
                <w:rFonts w:hint="eastAsia"/>
                <w:b/>
                <w:bCs/>
                <w:color w:val="auto"/>
                <w:szCs w:val="21"/>
              </w:rPr>
              <w:t>防治措施可行性分析：</w:t>
            </w:r>
            <w:r>
              <w:rPr>
                <w:rFonts w:hint="eastAsia"/>
                <w:color w:val="auto"/>
                <w:szCs w:val="21"/>
              </w:rPr>
              <w:t>项目</w:t>
            </w:r>
            <w:r>
              <w:rPr>
                <w:rFonts w:hint="eastAsia"/>
                <w:color w:val="auto"/>
                <w:szCs w:val="21"/>
                <w:lang w:val="en-US" w:eastAsia="zh-CN"/>
              </w:rPr>
              <w:t>投料粉尘经集气罩+布袋除尘器+15m高排气筒（DA001）处理后排放</w:t>
            </w:r>
            <w:r>
              <w:rPr>
                <w:rFonts w:hint="eastAsia"/>
                <w:color w:val="auto"/>
                <w:szCs w:val="21"/>
              </w:rPr>
              <w:t>，所用废气治理设施为《排污许可证申请与核发技术规范 废弃资源加工工业》（HJ</w:t>
            </w:r>
            <w:r>
              <w:rPr>
                <w:rFonts w:hint="eastAsia"/>
                <w:color w:val="auto"/>
                <w:szCs w:val="21"/>
                <w:lang w:val="en-US" w:eastAsia="zh-CN"/>
              </w:rPr>
              <w:t xml:space="preserve"> </w:t>
            </w:r>
            <w:r>
              <w:rPr>
                <w:rFonts w:hint="eastAsia"/>
                <w:color w:val="auto"/>
                <w:szCs w:val="21"/>
              </w:rPr>
              <w:t>1034-2019）中的可行技术。可以满足相应标准要求，营运期在落实各</w:t>
            </w:r>
            <w:r>
              <w:rPr>
                <w:rFonts w:hint="default" w:ascii="Times New Roman" w:hAnsi="Times New Roman" w:cs="Times New Roman"/>
                <w:color w:val="auto"/>
                <w:szCs w:val="21"/>
              </w:rPr>
              <w:t>项废气环保措施的前提下，对周围环境影响较小。</w:t>
            </w:r>
          </w:p>
          <w:p>
            <w:pPr>
              <w:spacing w:line="360" w:lineRule="auto"/>
              <w:ind w:firstLine="422" w:firstLineChars="200"/>
              <w:rPr>
                <w:rFonts w:hint="default" w:ascii="Times New Roman" w:hAnsi="Times New Roman" w:cs="Times New Roman"/>
                <w:color w:val="auto"/>
                <w:szCs w:val="21"/>
              </w:rPr>
            </w:pPr>
            <w:r>
              <w:rPr>
                <w:rFonts w:hint="default" w:ascii="Times New Roman" w:hAnsi="Times New Roman" w:cs="Times New Roman"/>
                <w:b/>
                <w:bCs/>
                <w:color w:val="auto"/>
                <w:szCs w:val="21"/>
                <w:lang w:val="en-US" w:eastAsia="zh-CN"/>
              </w:rPr>
              <w:t>烘干废气</w:t>
            </w:r>
            <w:r>
              <w:rPr>
                <w:rFonts w:hint="default" w:ascii="Times New Roman" w:hAnsi="Times New Roman" w:cs="Times New Roman"/>
                <w:b/>
                <w:bCs/>
                <w:color w:val="auto"/>
                <w:szCs w:val="21"/>
              </w:rPr>
              <w:t>防治措施可行性分析：</w:t>
            </w:r>
            <w:r>
              <w:rPr>
                <w:rFonts w:hint="default" w:ascii="Times New Roman" w:hAnsi="Times New Roman" w:cs="Times New Roman"/>
                <w:b w:val="0"/>
                <w:bCs w:val="0"/>
                <w:color w:val="auto"/>
                <w:szCs w:val="21"/>
                <w:lang w:val="en-US" w:eastAsia="zh-CN"/>
              </w:rPr>
              <w:t>项目烘干废气经低氮燃烧后通过15m高的排气筒（DA002）排放，低氮燃烧技术又称为燃料分级或炉内还原（IFNR）技术，它是降低NO</w:t>
            </w:r>
            <w:r>
              <w:rPr>
                <w:rFonts w:hint="default" w:ascii="Times New Roman" w:hAnsi="Times New Roman" w:cs="Times New Roman"/>
                <w:b w:val="0"/>
                <w:bCs w:val="0"/>
                <w:color w:val="auto"/>
                <w:szCs w:val="21"/>
                <w:vertAlign w:val="subscript"/>
                <w:lang w:val="en-US" w:eastAsia="zh-CN"/>
              </w:rPr>
              <w:t>x</w:t>
            </w:r>
            <w:r>
              <w:rPr>
                <w:rFonts w:hint="default" w:ascii="Times New Roman" w:hAnsi="Times New Roman" w:cs="Times New Roman"/>
                <w:b w:val="0"/>
                <w:bCs w:val="0"/>
                <w:color w:val="auto"/>
                <w:szCs w:val="21"/>
                <w:lang w:val="en-US" w:eastAsia="zh-CN"/>
              </w:rPr>
              <w:t>排放的诸多炉内方法中最有效的措施之一。低氮燃烧技术将80%－85%的燃料送入主燃区在空气过量系数α&gt;１的条件下燃烧，其余15%－20%的燃料作为还原剂在主燃烧器的上部某一合适位置喷入形成再燃区，再燃区空气过量系数α&lt;１，再燃区不仅使已经生成的NO</w:t>
            </w:r>
            <w:r>
              <w:rPr>
                <w:rFonts w:hint="default" w:ascii="Times New Roman" w:hAnsi="Times New Roman" w:cs="Times New Roman"/>
                <w:b w:val="0"/>
                <w:bCs w:val="0"/>
                <w:color w:val="auto"/>
                <w:szCs w:val="21"/>
                <w:vertAlign w:val="subscript"/>
                <w:lang w:val="en-US" w:eastAsia="zh-CN"/>
              </w:rPr>
              <w:t>x</w:t>
            </w:r>
            <w:r>
              <w:rPr>
                <w:rFonts w:hint="default" w:ascii="Times New Roman" w:hAnsi="Times New Roman" w:cs="Times New Roman"/>
                <w:b w:val="0"/>
                <w:bCs w:val="0"/>
                <w:color w:val="auto"/>
                <w:szCs w:val="21"/>
                <w:lang w:val="en-US" w:eastAsia="zh-CN"/>
              </w:rPr>
              <w:t>得到还原，同时还抑制了新的NO</w:t>
            </w:r>
            <w:r>
              <w:rPr>
                <w:rFonts w:hint="default" w:ascii="Times New Roman" w:hAnsi="Times New Roman" w:cs="Times New Roman"/>
                <w:b w:val="0"/>
                <w:bCs w:val="0"/>
                <w:color w:val="auto"/>
                <w:szCs w:val="21"/>
                <w:vertAlign w:val="subscript"/>
                <w:lang w:val="en-US" w:eastAsia="zh-CN"/>
              </w:rPr>
              <w:t>x</w:t>
            </w:r>
            <w:r>
              <w:rPr>
                <w:rFonts w:hint="default" w:ascii="Times New Roman" w:hAnsi="Times New Roman" w:cs="Times New Roman"/>
                <w:b w:val="0"/>
                <w:bCs w:val="0"/>
                <w:color w:val="auto"/>
                <w:szCs w:val="21"/>
                <w:lang w:val="en-US" w:eastAsia="zh-CN"/>
              </w:rPr>
              <w:t>的生成，可进一步降低NO</w:t>
            </w:r>
            <w:r>
              <w:rPr>
                <w:rFonts w:hint="default" w:ascii="Times New Roman" w:hAnsi="Times New Roman" w:cs="Times New Roman"/>
                <w:b w:val="0"/>
                <w:bCs w:val="0"/>
                <w:color w:val="auto"/>
                <w:szCs w:val="21"/>
                <w:vertAlign w:val="subscript"/>
                <w:lang w:val="en-US" w:eastAsia="zh-CN"/>
              </w:rPr>
              <w:t>x</w:t>
            </w:r>
            <w:r>
              <w:rPr>
                <w:rFonts w:hint="default" w:ascii="Times New Roman" w:hAnsi="Times New Roman" w:cs="Times New Roman"/>
                <w:b w:val="0"/>
                <w:bCs w:val="0"/>
                <w:color w:val="auto"/>
                <w:szCs w:val="21"/>
                <w:lang w:val="en-US" w:eastAsia="zh-CN"/>
              </w:rPr>
              <w:t>的排放浓度。再燃区上方布置燃尽风以形成燃尽区，保证再燃区出口的未完全燃烧产物燃尽。同其他低NOx燃烧技术比较，再燃低NO</w:t>
            </w:r>
            <w:r>
              <w:rPr>
                <w:rFonts w:hint="default" w:ascii="Times New Roman" w:hAnsi="Times New Roman" w:cs="Times New Roman"/>
                <w:b w:val="0"/>
                <w:bCs w:val="0"/>
                <w:color w:val="auto"/>
                <w:szCs w:val="21"/>
                <w:vertAlign w:val="subscript"/>
                <w:lang w:val="en-US" w:eastAsia="zh-CN"/>
              </w:rPr>
              <w:t>x</w:t>
            </w:r>
            <w:r>
              <w:rPr>
                <w:rFonts w:hint="default" w:ascii="Times New Roman" w:hAnsi="Times New Roman" w:cs="Times New Roman"/>
                <w:b w:val="0"/>
                <w:bCs w:val="0"/>
                <w:color w:val="auto"/>
                <w:szCs w:val="21"/>
                <w:lang w:val="en-US" w:eastAsia="zh-CN"/>
              </w:rPr>
              <w:t>燃烧技术可以大幅度降低NO</w:t>
            </w:r>
            <w:r>
              <w:rPr>
                <w:rFonts w:hint="default" w:ascii="Times New Roman" w:hAnsi="Times New Roman" w:cs="Times New Roman"/>
                <w:b w:val="0"/>
                <w:bCs w:val="0"/>
                <w:color w:val="auto"/>
                <w:szCs w:val="21"/>
                <w:vertAlign w:val="subscript"/>
                <w:lang w:val="en-US" w:eastAsia="zh-CN"/>
              </w:rPr>
              <w:t>x</w:t>
            </w:r>
            <w:r>
              <w:rPr>
                <w:rFonts w:hint="default" w:ascii="Times New Roman" w:hAnsi="Times New Roman" w:cs="Times New Roman"/>
                <w:b w:val="0"/>
                <w:bCs w:val="0"/>
                <w:color w:val="auto"/>
                <w:szCs w:val="21"/>
                <w:lang w:val="en-US" w:eastAsia="zh-CN"/>
              </w:rPr>
              <w:t>排放，一般情况下可以使NO</w:t>
            </w:r>
            <w:r>
              <w:rPr>
                <w:rFonts w:hint="default" w:ascii="Times New Roman" w:hAnsi="Times New Roman" w:cs="Times New Roman"/>
                <w:b w:val="0"/>
                <w:bCs w:val="0"/>
                <w:color w:val="auto"/>
                <w:szCs w:val="21"/>
                <w:vertAlign w:val="subscript"/>
                <w:lang w:val="en-US" w:eastAsia="zh-CN"/>
              </w:rPr>
              <w:t>x</w:t>
            </w:r>
            <w:r>
              <w:rPr>
                <w:rFonts w:hint="default" w:ascii="Times New Roman" w:hAnsi="Times New Roman" w:cs="Times New Roman"/>
                <w:b w:val="0"/>
                <w:bCs w:val="0"/>
                <w:color w:val="auto"/>
                <w:szCs w:val="21"/>
                <w:lang w:val="en-US" w:eastAsia="zh-CN"/>
              </w:rPr>
              <w:t>排放浓度降低50%以上</w:t>
            </w:r>
            <w:r>
              <w:rPr>
                <w:rFonts w:hint="eastAsia" w:ascii="Times New Roman" w:hAnsi="Times New Roman" w:cs="Times New Roman"/>
                <w:b w:val="0"/>
                <w:bCs w:val="0"/>
                <w:color w:val="auto"/>
                <w:szCs w:val="21"/>
                <w:lang w:val="en-US" w:eastAsia="zh-CN"/>
              </w:rPr>
              <w:t>。</w:t>
            </w:r>
            <w:r>
              <w:rPr>
                <w:rFonts w:hint="eastAsia"/>
                <w:color w:val="auto"/>
                <w:szCs w:val="21"/>
              </w:rPr>
              <w:t>营运期在落实各</w:t>
            </w:r>
            <w:r>
              <w:rPr>
                <w:rFonts w:hint="default" w:ascii="Times New Roman" w:hAnsi="Times New Roman" w:cs="Times New Roman"/>
                <w:color w:val="auto"/>
                <w:szCs w:val="21"/>
              </w:rPr>
              <w:t>项废气环保措施的前提下，对周围环境影响较小。</w:t>
            </w:r>
          </w:p>
          <w:p>
            <w:pPr>
              <w:spacing w:line="360" w:lineRule="auto"/>
              <w:ind w:firstLine="422" w:firstLineChars="200"/>
              <w:rPr>
                <w:b/>
                <w:bCs/>
                <w:color w:val="auto"/>
                <w:szCs w:val="21"/>
                <w:highlight w:val="none"/>
              </w:rPr>
            </w:pPr>
            <w:r>
              <w:rPr>
                <w:rFonts w:hint="eastAsia"/>
                <w:b/>
                <w:bCs/>
                <w:color w:val="auto"/>
                <w:szCs w:val="21"/>
                <w:highlight w:val="none"/>
              </w:rPr>
              <w:t>（</w:t>
            </w:r>
            <w:r>
              <w:rPr>
                <w:rFonts w:hint="eastAsia"/>
                <w:b/>
                <w:bCs/>
                <w:color w:val="auto"/>
                <w:szCs w:val="21"/>
                <w:highlight w:val="none"/>
                <w:lang w:val="en-US" w:eastAsia="zh-CN"/>
              </w:rPr>
              <w:t>4</w:t>
            </w:r>
            <w:r>
              <w:rPr>
                <w:rFonts w:hint="eastAsia"/>
                <w:b/>
                <w:bCs/>
                <w:color w:val="auto"/>
                <w:szCs w:val="21"/>
                <w:highlight w:val="none"/>
              </w:rPr>
              <w:t>）监测计划</w:t>
            </w:r>
          </w:p>
          <w:p>
            <w:pPr>
              <w:spacing w:line="360" w:lineRule="auto"/>
              <w:ind w:firstLine="420" w:firstLineChars="200"/>
              <w:jc w:val="left"/>
              <w:rPr>
                <w:color w:val="auto"/>
                <w:szCs w:val="21"/>
                <w:highlight w:val="none"/>
              </w:rPr>
            </w:pPr>
            <w:r>
              <w:rPr>
                <w:rFonts w:hint="eastAsia"/>
                <w:color w:val="auto"/>
                <w:szCs w:val="21"/>
                <w:highlight w:val="none"/>
              </w:rPr>
              <w:t>根据《排污单位自行监测技术指南</w:t>
            </w:r>
            <w:r>
              <w:rPr>
                <w:rFonts w:hint="eastAsia"/>
                <w:color w:val="auto"/>
                <w:szCs w:val="21"/>
                <w:highlight w:val="none"/>
                <w:lang w:val="en-US" w:eastAsia="zh-CN"/>
              </w:rPr>
              <w:t xml:space="preserve"> </w:t>
            </w:r>
            <w:r>
              <w:rPr>
                <w:rFonts w:hint="eastAsia"/>
                <w:color w:val="auto"/>
                <w:szCs w:val="21"/>
                <w:highlight w:val="none"/>
              </w:rPr>
              <w:t>总则》（HJ819-2017），制定</w:t>
            </w:r>
            <w:r>
              <w:rPr>
                <w:rFonts w:hint="eastAsia"/>
                <w:color w:val="auto"/>
                <w:szCs w:val="21"/>
                <w:highlight w:val="none"/>
                <w:lang w:val="en-US" w:eastAsia="zh-CN"/>
              </w:rPr>
              <w:t>废气</w:t>
            </w:r>
            <w:r>
              <w:rPr>
                <w:rFonts w:hint="eastAsia"/>
                <w:color w:val="auto"/>
                <w:szCs w:val="21"/>
                <w:highlight w:val="none"/>
              </w:rPr>
              <w:t>监测计划如下：</w:t>
            </w:r>
          </w:p>
          <w:p>
            <w:pPr>
              <w:spacing w:line="360" w:lineRule="auto"/>
              <w:jc w:val="center"/>
              <w:rPr>
                <w:b/>
                <w:bCs/>
                <w:color w:val="auto"/>
                <w:sz w:val="18"/>
                <w:szCs w:val="18"/>
                <w:highlight w:val="none"/>
              </w:rPr>
            </w:pPr>
            <w:r>
              <w:rPr>
                <w:rFonts w:hint="eastAsia"/>
                <w:b/>
                <w:bCs/>
                <w:color w:val="auto"/>
                <w:sz w:val="18"/>
                <w:szCs w:val="18"/>
                <w:highlight w:val="none"/>
              </w:rPr>
              <w:t>表4-</w:t>
            </w:r>
            <w:r>
              <w:rPr>
                <w:rFonts w:hint="eastAsia"/>
                <w:b/>
                <w:bCs/>
                <w:color w:val="auto"/>
                <w:sz w:val="18"/>
                <w:szCs w:val="18"/>
                <w:highlight w:val="none"/>
                <w:lang w:val="en-US" w:eastAsia="zh-CN"/>
              </w:rPr>
              <w:t>4</w:t>
            </w:r>
            <w:r>
              <w:rPr>
                <w:rFonts w:hint="eastAsia"/>
                <w:b/>
                <w:bCs/>
                <w:color w:val="auto"/>
                <w:sz w:val="18"/>
                <w:szCs w:val="18"/>
                <w:highlight w:val="none"/>
              </w:rPr>
              <w:t xml:space="preserve">  营运期监测计划</w:t>
            </w:r>
          </w:p>
          <w:tbl>
            <w:tblPr>
              <w:tblStyle w:val="24"/>
              <w:tblW w:w="80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2"/>
              <w:gridCol w:w="1115"/>
              <w:gridCol w:w="1500"/>
              <w:gridCol w:w="920"/>
              <w:gridCol w:w="3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bCs/>
                      <w:color w:val="auto"/>
                      <w:sz w:val="18"/>
                      <w:szCs w:val="18"/>
                    </w:rPr>
                    <w:t>监测项目</w:t>
                  </w:r>
                </w:p>
              </w:tc>
              <w:tc>
                <w:tcPr>
                  <w:tcW w:w="11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bCs/>
                      <w:color w:val="auto"/>
                      <w:sz w:val="18"/>
                      <w:szCs w:val="18"/>
                    </w:rPr>
                    <w:t>监测点位</w:t>
                  </w:r>
                </w:p>
              </w:tc>
              <w:tc>
                <w:tcPr>
                  <w:tcW w:w="150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bCs/>
                      <w:color w:val="auto"/>
                      <w:sz w:val="18"/>
                      <w:szCs w:val="18"/>
                    </w:rPr>
                    <w:t>监测因子</w:t>
                  </w:r>
                </w:p>
              </w:tc>
              <w:tc>
                <w:tcPr>
                  <w:tcW w:w="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bCs/>
                      <w:color w:val="auto"/>
                      <w:sz w:val="18"/>
                      <w:szCs w:val="18"/>
                    </w:rPr>
                    <w:t>监测频次</w:t>
                  </w:r>
                </w:p>
              </w:tc>
              <w:tc>
                <w:tcPr>
                  <w:tcW w:w="3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rFonts w:hint="eastAsia"/>
                      <w:bCs/>
                      <w:color w:val="auto"/>
                      <w:sz w:val="18"/>
                      <w:szCs w:val="18"/>
                    </w:rPr>
                    <w:t>执行标准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restart"/>
                  <w:tcBorders>
                    <w:top w:val="single" w:color="auto" w:sz="4" w:space="0"/>
                    <w:left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bCs/>
                      <w:color w:val="auto"/>
                      <w:sz w:val="18"/>
                      <w:szCs w:val="18"/>
                    </w:rPr>
                    <w:t>废气</w:t>
                  </w:r>
                </w:p>
              </w:tc>
              <w:tc>
                <w:tcPr>
                  <w:tcW w:w="11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bCs/>
                      <w:color w:val="auto"/>
                      <w:sz w:val="18"/>
                      <w:szCs w:val="18"/>
                    </w:rPr>
                    <w:t>1#排气筒（DA00</w:t>
                  </w:r>
                  <w:r>
                    <w:rPr>
                      <w:rFonts w:hint="eastAsia"/>
                      <w:bCs/>
                      <w:color w:val="auto"/>
                      <w:sz w:val="18"/>
                      <w:szCs w:val="18"/>
                    </w:rPr>
                    <w:t>1</w:t>
                  </w:r>
                  <w:r>
                    <w:rPr>
                      <w:bCs/>
                      <w:color w:val="auto"/>
                      <w:sz w:val="18"/>
                      <w:szCs w:val="18"/>
                    </w:rPr>
                    <w:t>）</w:t>
                  </w:r>
                </w:p>
              </w:tc>
              <w:tc>
                <w:tcPr>
                  <w:tcW w:w="1500"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lang w:val="zh-CN"/>
                    </w:rPr>
                  </w:pPr>
                  <w:r>
                    <w:rPr>
                      <w:bCs/>
                      <w:color w:val="auto"/>
                      <w:sz w:val="18"/>
                      <w:szCs w:val="18"/>
                      <w:lang w:val="zh-CN"/>
                    </w:rPr>
                    <w:t>颗粒物</w:t>
                  </w:r>
                </w:p>
              </w:tc>
              <w:tc>
                <w:tcPr>
                  <w:tcW w:w="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bCs/>
                      <w:color w:val="auto"/>
                      <w:sz w:val="18"/>
                      <w:szCs w:val="18"/>
                    </w:rPr>
                    <w:t>1次/半年</w:t>
                  </w:r>
                </w:p>
              </w:tc>
              <w:tc>
                <w:tcPr>
                  <w:tcW w:w="3920"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rFonts w:hint="eastAsia"/>
                      <w:color w:val="auto"/>
                      <w:sz w:val="18"/>
                      <w:szCs w:val="18"/>
                    </w:rPr>
                    <w:t>《大气污染物综合排放标准》表2中二级标准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left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p>
              </w:tc>
              <w:tc>
                <w:tcPr>
                  <w:tcW w:w="1115"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rFonts w:hint="eastAsia"/>
                      <w:bCs/>
                      <w:color w:val="auto"/>
                      <w:sz w:val="18"/>
                      <w:szCs w:val="18"/>
                    </w:rPr>
                    <w:t>2#</w:t>
                  </w:r>
                  <w:r>
                    <w:rPr>
                      <w:bCs/>
                      <w:color w:val="auto"/>
                      <w:sz w:val="18"/>
                      <w:szCs w:val="18"/>
                    </w:rPr>
                    <w:t>排气筒</w:t>
                  </w:r>
                  <w:r>
                    <w:rPr>
                      <w:rFonts w:hint="eastAsia"/>
                      <w:color w:val="auto"/>
                      <w:sz w:val="18"/>
                      <w:szCs w:val="18"/>
                    </w:rPr>
                    <w:t>（</w:t>
                  </w:r>
                  <w:r>
                    <w:rPr>
                      <w:bCs/>
                      <w:color w:val="auto"/>
                      <w:sz w:val="18"/>
                      <w:szCs w:val="18"/>
                    </w:rPr>
                    <w:t>DA00</w:t>
                  </w:r>
                  <w:r>
                    <w:rPr>
                      <w:rFonts w:hint="eastAsia"/>
                      <w:bCs/>
                      <w:color w:val="auto"/>
                      <w:sz w:val="18"/>
                      <w:szCs w:val="18"/>
                      <w:lang w:val="en-US" w:eastAsia="zh-CN"/>
                    </w:rPr>
                    <w:t>2</w:t>
                  </w:r>
                  <w:r>
                    <w:rPr>
                      <w:rFonts w:hint="eastAsia"/>
                      <w:color w:val="auto"/>
                      <w:sz w:val="18"/>
                      <w:szCs w:val="18"/>
                    </w:rPr>
                    <w:t>）</w:t>
                  </w:r>
                </w:p>
              </w:tc>
              <w:tc>
                <w:tcPr>
                  <w:tcW w:w="1500" w:type="dxa"/>
                  <w:tcBorders>
                    <w:left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bCs/>
                      <w:color w:val="auto"/>
                      <w:sz w:val="18"/>
                      <w:szCs w:val="18"/>
                      <w:lang w:val="zh-CN"/>
                    </w:rPr>
                    <w:t>颗粒物、二氧化硫、氮氧化物</w:t>
                  </w:r>
                </w:p>
              </w:tc>
              <w:tc>
                <w:tcPr>
                  <w:tcW w:w="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bCs/>
                      <w:color w:val="auto"/>
                      <w:sz w:val="18"/>
                      <w:szCs w:val="18"/>
                    </w:rPr>
                    <w:t>1次/半年</w:t>
                  </w:r>
                </w:p>
              </w:tc>
              <w:tc>
                <w:tcPr>
                  <w:tcW w:w="3920" w:type="dxa"/>
                  <w:tcBorders>
                    <w:left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hint="default" w:eastAsia="宋体"/>
                      <w:bCs/>
                      <w:color w:val="auto"/>
                      <w:sz w:val="18"/>
                      <w:szCs w:val="18"/>
                      <w:lang w:val="en-US" w:eastAsia="zh-CN"/>
                    </w:rPr>
                  </w:pPr>
                  <w:r>
                    <w:rPr>
                      <w:rFonts w:hint="eastAsia"/>
                      <w:color w:val="auto"/>
                      <w:sz w:val="18"/>
                      <w:szCs w:val="18"/>
                    </w:rPr>
                    <w:t>《新疆维吾尔自治区工业炉窑大气污染治理实施方案》（新大气发〔2019〕127号）中重点区域工业炉窑排放标准限值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62" w:type="dxa"/>
                  <w:vMerge w:val="continue"/>
                  <w:tcBorders>
                    <w:left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p>
              </w:tc>
              <w:tc>
                <w:tcPr>
                  <w:tcW w:w="1115" w:type="dxa"/>
                  <w:tcBorders>
                    <w:top w:val="single" w:color="auto" w:sz="4" w:space="0"/>
                    <w:left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rFonts w:hint="eastAsia"/>
                      <w:bCs/>
                      <w:color w:val="auto"/>
                      <w:sz w:val="18"/>
                      <w:szCs w:val="18"/>
                    </w:rPr>
                    <w:t>厂界</w:t>
                  </w:r>
                </w:p>
              </w:tc>
              <w:tc>
                <w:tcPr>
                  <w:tcW w:w="1500" w:type="dxa"/>
                  <w:tcBorders>
                    <w:left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hint="default" w:eastAsia="宋体"/>
                      <w:bCs/>
                      <w:color w:val="auto"/>
                      <w:sz w:val="18"/>
                      <w:szCs w:val="18"/>
                      <w:lang w:val="en-US" w:eastAsia="zh-CN"/>
                    </w:rPr>
                  </w:pPr>
                  <w:r>
                    <w:rPr>
                      <w:rFonts w:hint="eastAsia"/>
                      <w:bCs/>
                      <w:color w:val="auto"/>
                      <w:sz w:val="18"/>
                      <w:szCs w:val="18"/>
                      <w:lang w:val="en-US" w:eastAsia="zh-CN"/>
                    </w:rPr>
                    <w:t>颗粒物</w:t>
                  </w:r>
                </w:p>
              </w:tc>
              <w:tc>
                <w:tcPr>
                  <w:tcW w:w="920"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bCs/>
                      <w:color w:val="auto"/>
                      <w:sz w:val="18"/>
                      <w:szCs w:val="18"/>
                    </w:rPr>
                  </w:pPr>
                  <w:r>
                    <w:rPr>
                      <w:bCs/>
                      <w:color w:val="auto"/>
                      <w:sz w:val="18"/>
                      <w:szCs w:val="18"/>
                    </w:rPr>
                    <w:t>1次/半年</w:t>
                  </w:r>
                </w:p>
              </w:tc>
              <w:tc>
                <w:tcPr>
                  <w:tcW w:w="3920" w:type="dxa"/>
                  <w:tcBorders>
                    <w:left w:val="single" w:color="auto" w:sz="4" w:space="0"/>
                    <w:right w:val="single" w:color="auto" w:sz="4" w:space="0"/>
                  </w:tcBorders>
                  <w:vAlign w:val="center"/>
                </w:tcPr>
                <w:p>
                  <w:pPr>
                    <w:autoSpaceDE w:val="0"/>
                    <w:autoSpaceDN w:val="0"/>
                    <w:adjustRightInd w:val="0"/>
                    <w:spacing w:line="320" w:lineRule="exact"/>
                    <w:ind w:left="-53" w:leftChars="-25" w:right="-53" w:rightChars="-25"/>
                    <w:jc w:val="center"/>
                    <w:rPr>
                      <w:rFonts w:hint="default"/>
                      <w:bCs/>
                      <w:color w:val="auto"/>
                      <w:sz w:val="18"/>
                      <w:szCs w:val="18"/>
                      <w:lang w:val="en-US"/>
                    </w:rPr>
                  </w:pPr>
                  <w:r>
                    <w:rPr>
                      <w:rFonts w:hint="eastAsia"/>
                      <w:color w:val="auto"/>
                      <w:sz w:val="18"/>
                      <w:szCs w:val="18"/>
                    </w:rPr>
                    <w:t>《大气污染物综合排放标准》表2中二级标准</w:t>
                  </w:r>
                </w:p>
              </w:tc>
            </w:tr>
          </w:tbl>
          <w:p>
            <w:pPr>
              <w:spacing w:line="360" w:lineRule="auto"/>
              <w:ind w:firstLine="422" w:firstLineChars="200"/>
              <w:rPr>
                <w:rFonts w:hint="eastAsia"/>
                <w:b/>
                <w:bCs/>
                <w:color w:val="auto"/>
                <w:szCs w:val="21"/>
                <w:lang w:eastAsia="zh-CN"/>
              </w:rPr>
            </w:pPr>
            <w:r>
              <w:rPr>
                <w:rFonts w:hint="eastAsia"/>
                <w:b/>
                <w:bCs/>
                <w:color w:val="auto"/>
                <w:szCs w:val="21"/>
                <w:lang w:eastAsia="zh-CN"/>
              </w:rPr>
              <w:t>（</w:t>
            </w:r>
            <w:r>
              <w:rPr>
                <w:rFonts w:hint="eastAsia"/>
                <w:b/>
                <w:bCs/>
                <w:color w:val="auto"/>
                <w:szCs w:val="21"/>
                <w:lang w:val="en-US" w:eastAsia="zh-CN"/>
              </w:rPr>
              <w:t>5</w:t>
            </w:r>
            <w:r>
              <w:rPr>
                <w:rFonts w:hint="eastAsia"/>
                <w:b/>
                <w:bCs/>
                <w:color w:val="auto"/>
                <w:szCs w:val="21"/>
                <w:lang w:eastAsia="zh-CN"/>
              </w:rPr>
              <w:t>）非正常排放情况</w:t>
            </w:r>
          </w:p>
          <w:p>
            <w:pPr>
              <w:spacing w:line="360" w:lineRule="auto"/>
              <w:ind w:firstLine="420" w:firstLineChars="200"/>
              <w:rPr>
                <w:rFonts w:hint="eastAsia" w:eastAsia="宋体"/>
                <w:b w:val="0"/>
                <w:bCs w:val="0"/>
                <w:color w:val="auto"/>
                <w:szCs w:val="21"/>
                <w:lang w:eastAsia="zh-CN"/>
              </w:rPr>
            </w:pPr>
            <w:r>
              <w:rPr>
                <w:rFonts w:hint="eastAsia"/>
                <w:b w:val="0"/>
                <w:bCs w:val="0"/>
                <w:color w:val="auto"/>
                <w:szCs w:val="21"/>
                <w:lang w:eastAsia="zh-CN"/>
              </w:rPr>
              <w:t>本项目废气非正常排放主要考虑除尘器故障情况。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0" w:firstLineChars="0"/>
              <w:jc w:val="center"/>
              <w:textAlignment w:val="auto"/>
              <w:rPr>
                <w:rFonts w:hint="eastAsia" w:ascii="Times New Roman" w:hAnsi="Times New Roman" w:cs="Times New Roman"/>
                <w:b/>
                <w:bCs/>
                <w:color w:val="auto"/>
                <w:sz w:val="18"/>
                <w:szCs w:val="18"/>
                <w:highlight w:val="none"/>
                <w:lang w:val="en-US" w:eastAsia="zh-CN"/>
              </w:rPr>
            </w:pPr>
            <w:r>
              <w:rPr>
                <w:rFonts w:hint="eastAsia" w:ascii="Times New Roman" w:hAnsi="Times New Roman" w:cs="Times New Roman"/>
                <w:b/>
                <w:bCs/>
                <w:color w:val="auto"/>
                <w:sz w:val="18"/>
                <w:szCs w:val="18"/>
                <w:highlight w:val="none"/>
                <w:lang w:val="en-US" w:eastAsia="zh-CN"/>
              </w:rPr>
              <w:t>表</w:t>
            </w:r>
            <w:r>
              <w:rPr>
                <w:rFonts w:hint="eastAsia" w:cs="Times New Roman"/>
                <w:b/>
                <w:bCs/>
                <w:color w:val="auto"/>
                <w:sz w:val="18"/>
                <w:szCs w:val="18"/>
                <w:highlight w:val="none"/>
                <w:lang w:val="en-US" w:eastAsia="zh-CN"/>
              </w:rPr>
              <w:t>4-5</w:t>
            </w:r>
            <w:r>
              <w:rPr>
                <w:rFonts w:hint="eastAsia" w:ascii="Times New Roman" w:hAnsi="Times New Roman" w:cs="Times New Roman"/>
                <w:b/>
                <w:bCs/>
                <w:color w:val="auto"/>
                <w:sz w:val="18"/>
                <w:szCs w:val="18"/>
                <w:highlight w:val="none"/>
                <w:lang w:val="en-US" w:eastAsia="zh-CN"/>
              </w:rPr>
              <w:t xml:space="preserve">  污染源非正常排放量核算表</w:t>
            </w:r>
          </w:p>
          <w:tbl>
            <w:tblPr>
              <w:tblStyle w:val="25"/>
              <w:tblW w:w="80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662"/>
              <w:gridCol w:w="1147"/>
              <w:gridCol w:w="614"/>
              <w:gridCol w:w="1222"/>
              <w:gridCol w:w="1167"/>
              <w:gridCol w:w="804"/>
              <w:gridCol w:w="815"/>
              <w:gridCol w:w="12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3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序号</w:t>
                  </w:r>
                </w:p>
              </w:tc>
              <w:tc>
                <w:tcPr>
                  <w:tcW w:w="6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污染源</w:t>
                  </w:r>
                </w:p>
              </w:tc>
              <w:tc>
                <w:tcPr>
                  <w:tcW w:w="114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非正常排放原因</w:t>
                  </w:r>
                </w:p>
              </w:tc>
              <w:tc>
                <w:tcPr>
                  <w:tcW w:w="6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污染物</w:t>
                  </w:r>
                </w:p>
              </w:tc>
              <w:tc>
                <w:tcPr>
                  <w:tcW w:w="12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非正常排</w:t>
                  </w:r>
                  <w:r>
                    <w:rPr>
                      <w:rFonts w:hint="eastAsia" w:ascii="Times New Roman" w:hAnsi="Times New Roman" w:eastAsia="宋体" w:cs="Times New Roman"/>
                      <w:b w:val="0"/>
                      <w:bCs w:val="0"/>
                      <w:color w:val="auto"/>
                      <w:sz w:val="18"/>
                      <w:szCs w:val="18"/>
                      <w:vertAlign w:val="baseline"/>
                      <w:lang w:val="en-US" w:eastAsia="zh-CN"/>
                    </w:rPr>
                    <w:t>放浓度（</w:t>
                  </w:r>
                  <w:r>
                    <w:rPr>
                      <w:rFonts w:hint="default" w:ascii="Times New Roman" w:hAnsi="Times New Roman" w:eastAsia="宋体" w:cs="Times New Roman"/>
                      <w:b w:val="0"/>
                      <w:bCs w:val="0"/>
                      <w:color w:val="auto"/>
                      <w:sz w:val="18"/>
                      <w:szCs w:val="18"/>
                      <w:vertAlign w:val="baseline"/>
                      <w:lang w:val="en-US" w:eastAsia="zh-CN"/>
                    </w:rPr>
                    <w:t>mg/m</w:t>
                  </w:r>
                  <w:r>
                    <w:rPr>
                      <w:rFonts w:hint="default" w:ascii="Times New Roman" w:hAnsi="Times New Roman" w:eastAsia="宋体" w:cs="Times New Roman"/>
                      <w:b w:val="0"/>
                      <w:bCs w:val="0"/>
                      <w:color w:val="auto"/>
                      <w:sz w:val="18"/>
                      <w:szCs w:val="18"/>
                      <w:vertAlign w:val="superscript"/>
                      <w:lang w:val="en-US" w:eastAsia="zh-CN"/>
                    </w:rPr>
                    <w:t>3</w:t>
                  </w:r>
                  <w:r>
                    <w:rPr>
                      <w:rFonts w:hint="eastAsia" w:ascii="Times New Roman" w:hAnsi="Times New Roman" w:eastAsia="宋体" w:cs="Times New Roman"/>
                      <w:b w:val="0"/>
                      <w:bCs w:val="0"/>
                      <w:color w:val="auto"/>
                      <w:sz w:val="18"/>
                      <w:szCs w:val="18"/>
                      <w:vertAlign w:val="baseline"/>
                      <w:lang w:val="en-US" w:eastAsia="zh-CN"/>
                    </w:rPr>
                    <w:t>）</w:t>
                  </w:r>
                </w:p>
              </w:tc>
              <w:tc>
                <w:tcPr>
                  <w:tcW w:w="11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eastAsia" w:ascii="Times New Roman" w:hAnsi="Times New Roman" w:eastAsia="宋体" w:cs="Times New Roman"/>
                      <w:b w:val="0"/>
                      <w:bCs w:val="0"/>
                      <w:color w:val="auto"/>
                      <w:kern w:val="2"/>
                      <w:sz w:val="18"/>
                      <w:szCs w:val="18"/>
                      <w:vertAlign w:val="baseline"/>
                      <w:lang w:val="en-US" w:eastAsia="zh-CN" w:bidi="ar-SA"/>
                    </w:rPr>
                  </w:pPr>
                  <w:r>
                    <w:rPr>
                      <w:rFonts w:hint="eastAsia" w:cs="Times New Roman"/>
                      <w:b w:val="0"/>
                      <w:bCs w:val="0"/>
                      <w:color w:val="auto"/>
                      <w:sz w:val="18"/>
                      <w:szCs w:val="18"/>
                      <w:vertAlign w:val="baseline"/>
                      <w:lang w:val="en-US" w:eastAsia="zh-CN"/>
                    </w:rPr>
                    <w:t>非正常排放速率（kg/h）</w:t>
                  </w:r>
                </w:p>
              </w:tc>
              <w:tc>
                <w:tcPr>
                  <w:tcW w:w="8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单次持续时间（h）</w:t>
                  </w:r>
                </w:p>
              </w:tc>
              <w:tc>
                <w:tcPr>
                  <w:tcW w:w="8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rightChars="0"/>
                    <w:jc w:val="center"/>
                    <w:textAlignment w:val="auto"/>
                    <w:rPr>
                      <w:rFonts w:hint="default" w:ascii="Times New Roman" w:hAnsi="Times New Roman" w:eastAsia="宋体" w:cs="Times New Roman"/>
                      <w:b w:val="0"/>
                      <w:bCs w:val="0"/>
                      <w:color w:val="auto"/>
                      <w:kern w:val="2"/>
                      <w:sz w:val="18"/>
                      <w:szCs w:val="18"/>
                      <w:vertAlign w:val="baseline"/>
                      <w:lang w:val="en-US" w:eastAsia="zh-CN" w:bidi="ar-SA"/>
                    </w:rPr>
                  </w:pPr>
                  <w:r>
                    <w:rPr>
                      <w:rFonts w:hint="eastAsia" w:cs="Times New Roman"/>
                      <w:b w:val="0"/>
                      <w:bCs w:val="0"/>
                      <w:color w:val="auto"/>
                      <w:sz w:val="18"/>
                      <w:szCs w:val="18"/>
                      <w:vertAlign w:val="baseline"/>
                      <w:lang w:val="en-US" w:eastAsia="zh-CN"/>
                    </w:rPr>
                    <w:t>频次（次/a）</w:t>
                  </w:r>
                </w:p>
              </w:tc>
              <w:tc>
                <w:tcPr>
                  <w:tcW w:w="12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应对措施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jc w:val="center"/>
              </w:trPr>
              <w:tc>
                <w:tcPr>
                  <w:tcW w:w="35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1</w:t>
                  </w:r>
                </w:p>
              </w:tc>
              <w:tc>
                <w:tcPr>
                  <w:tcW w:w="66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ascii="Times New Roman" w:hAnsi="Times New Roman" w:cs="Times New Roman"/>
                      <w:b w:val="0"/>
                      <w:bCs w:val="0"/>
                      <w:color w:val="auto"/>
                      <w:sz w:val="18"/>
                      <w:szCs w:val="18"/>
                      <w:vertAlign w:val="baseline"/>
                      <w:lang w:val="en-US" w:eastAsia="zh-CN"/>
                    </w:rPr>
                    <w:t>投料粉尘</w:t>
                  </w:r>
                </w:p>
              </w:tc>
              <w:tc>
                <w:tcPr>
                  <w:tcW w:w="114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废气处理设施出现故障</w:t>
                  </w:r>
                </w:p>
              </w:tc>
              <w:tc>
                <w:tcPr>
                  <w:tcW w:w="61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颗粒物</w:t>
                  </w:r>
                </w:p>
              </w:tc>
              <w:tc>
                <w:tcPr>
                  <w:tcW w:w="1222"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93.75</w:t>
                  </w:r>
                </w:p>
              </w:tc>
              <w:tc>
                <w:tcPr>
                  <w:tcW w:w="1167"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leftChars="0" w:right="0" w:rightChars="0"/>
                    <w:jc w:val="center"/>
                    <w:textAlignment w:val="auto"/>
                    <w:rPr>
                      <w:rFonts w:hint="default" w:ascii="Times New Roman" w:hAnsi="Times New Roman" w:eastAsia="宋体" w:cs="Times New Roman"/>
                      <w:b w:val="0"/>
                      <w:bCs w:val="0"/>
                      <w:color w:val="auto"/>
                      <w:kern w:val="2"/>
                      <w:sz w:val="18"/>
                      <w:szCs w:val="18"/>
                      <w:vertAlign w:val="baseline"/>
                      <w:lang w:val="en-US" w:eastAsia="zh-CN" w:bidi="ar-SA"/>
                    </w:rPr>
                  </w:pPr>
                  <w:r>
                    <w:rPr>
                      <w:rFonts w:hint="eastAsia" w:cs="Times New Roman"/>
                      <w:b w:val="0"/>
                      <w:bCs w:val="0"/>
                      <w:color w:val="auto"/>
                      <w:sz w:val="18"/>
                      <w:szCs w:val="18"/>
                      <w:vertAlign w:val="baseline"/>
                      <w:lang w:val="en-US" w:eastAsia="zh-CN"/>
                    </w:rPr>
                    <w:t>0.1875</w:t>
                  </w:r>
                </w:p>
              </w:tc>
              <w:tc>
                <w:tcPr>
                  <w:tcW w:w="804"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1</w:t>
                  </w:r>
                </w:p>
              </w:tc>
              <w:tc>
                <w:tcPr>
                  <w:tcW w:w="815"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eastAsia" w:cs="Times New Roman"/>
                      <w:b w:val="0"/>
                      <w:bCs w:val="0"/>
                      <w:color w:val="auto"/>
                      <w:sz w:val="18"/>
                      <w:szCs w:val="18"/>
                      <w:vertAlign w:val="baseline"/>
                      <w:lang w:val="en-US" w:eastAsia="zh-CN"/>
                    </w:rPr>
                    <w:t>1</w:t>
                  </w:r>
                </w:p>
              </w:tc>
              <w:tc>
                <w:tcPr>
                  <w:tcW w:w="1240" w:type="dxa"/>
                  <w:vAlign w:val="center"/>
                </w:tcPr>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center"/>
                    <w:textAlignment w:val="auto"/>
                    <w:rPr>
                      <w:rFonts w:hint="default" w:ascii="Times New Roman" w:hAnsi="Times New Roman" w:cs="Times New Roman"/>
                      <w:b w:val="0"/>
                      <w:bCs w:val="0"/>
                      <w:color w:val="auto"/>
                      <w:sz w:val="18"/>
                      <w:szCs w:val="18"/>
                      <w:vertAlign w:val="baseline"/>
                      <w:lang w:val="en-US" w:eastAsia="zh-CN"/>
                    </w:rPr>
                  </w:pPr>
                  <w:r>
                    <w:rPr>
                      <w:rFonts w:hint="default" w:ascii="Times New Roman" w:hAnsi="Times New Roman" w:cs="Times New Roman"/>
                      <w:b w:val="0"/>
                      <w:bCs w:val="0"/>
                      <w:color w:val="auto"/>
                      <w:sz w:val="18"/>
                      <w:szCs w:val="18"/>
                      <w:vertAlign w:val="baseline"/>
                      <w:lang w:val="en-US" w:eastAsia="zh-CN"/>
                    </w:rPr>
                    <w:t>立刻停止作业，进行检修</w:t>
                  </w:r>
                </w:p>
              </w:tc>
            </w:tr>
          </w:tbl>
          <w:p>
            <w:pPr>
              <w:spacing w:line="360" w:lineRule="auto"/>
              <w:ind w:firstLine="420" w:firstLineChars="200"/>
              <w:rPr>
                <w:rFonts w:hint="eastAsia"/>
                <w:b w:val="0"/>
                <w:bCs w:val="0"/>
                <w:color w:val="auto"/>
                <w:szCs w:val="21"/>
              </w:rPr>
            </w:pPr>
            <w:r>
              <w:rPr>
                <w:rFonts w:hint="eastAsia"/>
                <w:b w:val="0"/>
                <w:bCs w:val="0"/>
                <w:color w:val="auto"/>
                <w:szCs w:val="21"/>
              </w:rPr>
              <w:t>由上表统计结果可知，在非正常工况下，项目</w:t>
            </w:r>
            <w:r>
              <w:rPr>
                <w:rFonts w:hint="eastAsia"/>
                <w:b w:val="0"/>
                <w:bCs w:val="0"/>
                <w:color w:val="auto"/>
                <w:szCs w:val="21"/>
                <w:lang w:val="en-US" w:eastAsia="zh-CN"/>
              </w:rPr>
              <w:t>粉尘</w:t>
            </w:r>
            <w:r>
              <w:rPr>
                <w:rFonts w:hint="eastAsia"/>
                <w:b w:val="0"/>
                <w:bCs w:val="0"/>
                <w:color w:val="auto"/>
                <w:szCs w:val="21"/>
              </w:rPr>
              <w:t>排放将增加，污染周边环境空气质量。建设单位应按表中措施落实，尽可能杜绝非正常排放的发生；当发生非正常排放的情况，应及时停止生产，进行检修，减轻对周围环境的影响。</w:t>
            </w:r>
          </w:p>
          <w:p>
            <w:pPr>
              <w:spacing w:line="360" w:lineRule="auto"/>
              <w:ind w:firstLine="422" w:firstLineChars="200"/>
              <w:rPr>
                <w:b/>
                <w:bCs/>
                <w:color w:val="auto"/>
                <w:sz w:val="15"/>
                <w:szCs w:val="15"/>
              </w:rPr>
            </w:pPr>
            <w:r>
              <w:rPr>
                <w:rFonts w:hint="eastAsia"/>
                <w:b/>
                <w:bCs/>
                <w:color w:val="auto"/>
                <w:szCs w:val="21"/>
              </w:rPr>
              <w:t>（</w:t>
            </w:r>
            <w:r>
              <w:rPr>
                <w:rFonts w:hint="eastAsia"/>
                <w:b/>
                <w:bCs/>
                <w:color w:val="auto"/>
                <w:szCs w:val="21"/>
                <w:lang w:val="en-US" w:eastAsia="zh-CN"/>
              </w:rPr>
              <w:t>6</w:t>
            </w:r>
            <w:r>
              <w:rPr>
                <w:rFonts w:hint="eastAsia"/>
                <w:b/>
                <w:bCs/>
                <w:color w:val="auto"/>
                <w:szCs w:val="21"/>
              </w:rPr>
              <w:t>）大气环境影响分析</w:t>
            </w:r>
          </w:p>
          <w:p>
            <w:pPr>
              <w:spacing w:line="360" w:lineRule="auto"/>
              <w:ind w:firstLine="420" w:firstLineChars="200"/>
              <w:rPr>
                <w:color w:val="auto"/>
              </w:rPr>
            </w:pPr>
            <w:r>
              <w:rPr>
                <w:rFonts w:hint="eastAsia"/>
                <w:color w:val="auto"/>
              </w:rPr>
              <w:t>根据环境质量现状调查，项目区的环境空气质量较好，本项目废气污染物主要为</w:t>
            </w:r>
            <w:r>
              <w:rPr>
                <w:rFonts w:hint="eastAsia"/>
                <w:color w:val="auto"/>
                <w:lang w:val="en-US" w:eastAsia="zh-CN"/>
              </w:rPr>
              <w:t>颗粒物、二氧化硫、氮氧化物</w:t>
            </w:r>
            <w:r>
              <w:rPr>
                <w:rFonts w:hint="eastAsia"/>
                <w:color w:val="auto"/>
                <w:lang w:eastAsia="zh-CN"/>
              </w:rPr>
              <w:t>。</w:t>
            </w:r>
            <w:r>
              <w:rPr>
                <w:rFonts w:hint="eastAsia"/>
                <w:color w:val="auto"/>
                <w:lang w:val="en-US" w:eastAsia="zh-CN"/>
              </w:rPr>
              <w:t>投料粉尘经集气罩+布袋除尘器+15m高排气筒（DA001）进行排放、烘干炉废气</w:t>
            </w:r>
            <w:r>
              <w:rPr>
                <w:rFonts w:hint="eastAsia"/>
                <w:color w:val="auto"/>
              </w:rPr>
              <w:t>采取15m高排气筒（DA00</w:t>
            </w:r>
            <w:r>
              <w:rPr>
                <w:rFonts w:hint="eastAsia"/>
                <w:color w:val="auto"/>
                <w:lang w:val="en-US" w:eastAsia="zh-CN"/>
              </w:rPr>
              <w:t>2</w:t>
            </w:r>
            <w:r>
              <w:rPr>
                <w:rFonts w:hint="eastAsia"/>
                <w:color w:val="auto"/>
              </w:rPr>
              <w:t>）排放、车间通风、等防治措施，均属于可行的污染物治理技术，能够有效降低废气污染物的排放量，对周围环境的污染影响较小，经分析，本项目可不设置大气环境防护距离，项目正常生产对所在区域大气环境影响程度为可以接受的影响程度。</w:t>
            </w:r>
          </w:p>
          <w:p>
            <w:pPr>
              <w:spacing w:line="360" w:lineRule="auto"/>
              <w:ind w:firstLine="422" w:firstLineChars="200"/>
              <w:rPr>
                <w:b/>
                <w:bCs/>
                <w:color w:val="auto"/>
              </w:rPr>
            </w:pPr>
            <w:r>
              <w:rPr>
                <w:rFonts w:hint="eastAsia"/>
                <w:b/>
                <w:bCs/>
                <w:color w:val="auto"/>
              </w:rPr>
              <w:t>2、废水</w:t>
            </w:r>
          </w:p>
          <w:p>
            <w:pPr>
              <w:pStyle w:val="64"/>
              <w:spacing w:line="360" w:lineRule="auto"/>
              <w:ind w:firstLine="422" w:firstLineChars="200"/>
              <w:jc w:val="both"/>
              <w:rPr>
                <w:rFonts w:ascii="Times New Roman" w:hAnsi="Times New Roman" w:cs="Times New Roman"/>
                <w:b/>
                <w:bCs/>
                <w:color w:val="auto"/>
                <w:kern w:val="2"/>
                <w:sz w:val="21"/>
                <w:szCs w:val="21"/>
              </w:rPr>
            </w:pPr>
            <w:r>
              <w:rPr>
                <w:rFonts w:hint="eastAsia" w:ascii="Times New Roman" w:hAnsi="Times New Roman" w:cs="Times New Roman"/>
                <w:b/>
                <w:bCs/>
                <w:color w:val="auto"/>
                <w:kern w:val="2"/>
                <w:sz w:val="21"/>
                <w:szCs w:val="21"/>
              </w:rPr>
              <w:t>（1）废水源强</w:t>
            </w:r>
          </w:p>
          <w:p>
            <w:pPr>
              <w:pStyle w:val="64"/>
              <w:spacing w:line="360" w:lineRule="auto"/>
              <w:ind w:firstLine="420" w:firstLineChars="200"/>
              <w:jc w:val="both"/>
              <w:rPr>
                <w:rFonts w:hint="default" w:ascii="Times New Roman" w:hAnsi="Times New Roman" w:eastAsia="宋体" w:cs="Times New Roman"/>
                <w:color w:val="auto"/>
                <w:kern w:val="2"/>
                <w:sz w:val="21"/>
                <w:szCs w:val="21"/>
                <w:lang w:val="en-US" w:eastAsia="zh-CN"/>
              </w:rPr>
            </w:pPr>
            <w:r>
              <w:rPr>
                <w:rFonts w:hint="eastAsia" w:ascii="Times New Roman" w:hAnsi="Times New Roman" w:cs="Times New Roman"/>
                <w:color w:val="auto"/>
                <w:kern w:val="2"/>
                <w:sz w:val="21"/>
                <w:szCs w:val="21"/>
              </w:rPr>
              <w:t>项目</w:t>
            </w:r>
            <w:r>
              <w:rPr>
                <w:rFonts w:hint="eastAsia" w:ascii="Times New Roman" w:hAnsi="Times New Roman" w:cs="Times New Roman"/>
                <w:color w:val="auto"/>
                <w:kern w:val="2"/>
                <w:sz w:val="21"/>
                <w:szCs w:val="21"/>
                <w:lang w:val="en-US" w:eastAsia="zh-CN"/>
              </w:rPr>
              <w:t>不产生生产废水，仅产生生活废水。</w:t>
            </w:r>
          </w:p>
          <w:p>
            <w:pPr>
              <w:spacing w:line="360" w:lineRule="auto"/>
              <w:ind w:firstLine="420" w:firstLineChars="200"/>
              <w:rPr>
                <w:color w:val="auto"/>
              </w:rPr>
            </w:pPr>
            <w:r>
              <w:rPr>
                <w:color w:val="auto"/>
              </w:rPr>
              <w:t>本项目</w:t>
            </w:r>
            <w:r>
              <w:rPr>
                <w:rFonts w:hint="eastAsia"/>
                <w:color w:val="auto"/>
                <w:lang w:val="en-US" w:eastAsia="zh-CN"/>
              </w:rPr>
              <w:t>共计5名</w:t>
            </w:r>
            <w:r>
              <w:rPr>
                <w:rFonts w:hint="eastAsia"/>
                <w:color w:val="auto"/>
              </w:rPr>
              <w:t>员工，</w:t>
            </w:r>
            <w:r>
              <w:rPr>
                <w:rFonts w:hint="eastAsia"/>
                <w:color w:val="auto"/>
                <w:lang w:val="en-US" w:eastAsia="zh-CN"/>
              </w:rPr>
              <w:t>在厂区内进行食宿</w:t>
            </w:r>
            <w:r>
              <w:rPr>
                <w:rFonts w:hint="eastAsia"/>
                <w:color w:val="auto"/>
              </w:rPr>
              <w:t>，根据《新疆维吾尔自治区生活用水定额》中资料，</w:t>
            </w:r>
            <w:r>
              <w:rPr>
                <w:rFonts w:hint="eastAsia"/>
                <w:color w:val="auto"/>
                <w:lang w:val="en-US" w:eastAsia="zh-CN"/>
              </w:rPr>
              <w:t>用水定额</w:t>
            </w:r>
            <w:r>
              <w:rPr>
                <w:color w:val="auto"/>
              </w:rPr>
              <w:t>按照</w:t>
            </w:r>
            <w:r>
              <w:rPr>
                <w:rFonts w:hint="eastAsia"/>
                <w:color w:val="auto"/>
                <w:lang w:val="en-US" w:eastAsia="zh-CN"/>
              </w:rPr>
              <w:t>80</w:t>
            </w:r>
            <w:r>
              <w:rPr>
                <w:color w:val="auto"/>
              </w:rPr>
              <w:t>L/（人•d）</w:t>
            </w:r>
            <w:r>
              <w:rPr>
                <w:rFonts w:hint="eastAsia"/>
                <w:color w:val="auto"/>
              </w:rPr>
              <w:t>计算，生活用水量为</w:t>
            </w:r>
            <w:r>
              <w:rPr>
                <w:rFonts w:hint="eastAsia"/>
                <w:color w:val="auto"/>
                <w:lang w:val="en-US" w:eastAsia="zh-CN"/>
              </w:rPr>
              <w:t>0.4</w:t>
            </w:r>
            <w:r>
              <w:rPr>
                <w:rFonts w:hint="eastAsia"/>
                <w:color w:val="auto"/>
              </w:rPr>
              <w:t>m</w:t>
            </w:r>
            <w:r>
              <w:rPr>
                <w:rFonts w:hint="eastAsia"/>
                <w:color w:val="auto"/>
                <w:vertAlign w:val="superscript"/>
              </w:rPr>
              <w:t>3</w:t>
            </w:r>
            <w:r>
              <w:rPr>
                <w:rFonts w:hint="eastAsia"/>
                <w:color w:val="auto"/>
              </w:rPr>
              <w:t>/d（</w:t>
            </w:r>
            <w:r>
              <w:rPr>
                <w:rFonts w:hint="eastAsia"/>
                <w:color w:val="auto"/>
                <w:lang w:val="en-US" w:eastAsia="zh-CN"/>
              </w:rPr>
              <w:t>120</w:t>
            </w:r>
            <w:r>
              <w:rPr>
                <w:rFonts w:hint="eastAsia"/>
                <w:color w:val="auto"/>
              </w:rPr>
              <w:t>m</w:t>
            </w:r>
            <w:r>
              <w:rPr>
                <w:rFonts w:hint="eastAsia"/>
                <w:color w:val="auto"/>
                <w:vertAlign w:val="superscript"/>
              </w:rPr>
              <w:t>3</w:t>
            </w:r>
            <w:r>
              <w:rPr>
                <w:rFonts w:hint="eastAsia"/>
                <w:color w:val="auto"/>
              </w:rPr>
              <w:t>/a），排放量按照80%计，排放量为</w:t>
            </w:r>
            <w:r>
              <w:rPr>
                <w:rFonts w:hint="eastAsia"/>
                <w:color w:val="auto"/>
                <w:lang w:val="en-US" w:eastAsia="zh-CN"/>
              </w:rPr>
              <w:t>0.32</w:t>
            </w:r>
            <w:r>
              <w:rPr>
                <w:rFonts w:hint="eastAsia"/>
                <w:color w:val="auto"/>
              </w:rPr>
              <w:t>m</w:t>
            </w:r>
            <w:r>
              <w:rPr>
                <w:rFonts w:hint="eastAsia"/>
                <w:color w:val="auto"/>
                <w:vertAlign w:val="superscript"/>
              </w:rPr>
              <w:t>3</w:t>
            </w:r>
            <w:r>
              <w:rPr>
                <w:rFonts w:hint="eastAsia"/>
                <w:color w:val="auto"/>
              </w:rPr>
              <w:t>/d（</w:t>
            </w:r>
            <w:r>
              <w:rPr>
                <w:rFonts w:hint="eastAsia"/>
                <w:color w:val="auto"/>
                <w:lang w:val="en-US" w:eastAsia="zh-CN"/>
              </w:rPr>
              <w:t>96</w:t>
            </w:r>
            <w:r>
              <w:rPr>
                <w:rFonts w:hint="eastAsia"/>
                <w:color w:val="auto"/>
              </w:rPr>
              <w:t>m</w:t>
            </w:r>
            <w:r>
              <w:rPr>
                <w:rFonts w:hint="eastAsia"/>
                <w:color w:val="auto"/>
                <w:vertAlign w:val="superscript"/>
              </w:rPr>
              <w:t>3</w:t>
            </w:r>
            <w:r>
              <w:rPr>
                <w:rFonts w:hint="eastAsia"/>
                <w:color w:val="auto"/>
              </w:rPr>
              <w:t>/a）。</w:t>
            </w:r>
            <w:r>
              <w:rPr>
                <w:color w:val="auto"/>
              </w:rPr>
              <w:t>生活污水</w:t>
            </w:r>
            <w:r>
              <w:rPr>
                <w:rFonts w:hint="eastAsia"/>
                <w:color w:val="auto"/>
                <w:lang w:val="en-US" w:eastAsia="zh-CN"/>
              </w:rPr>
              <w:t>直接排入市政污水管网，最终进入玛纳斯县污水处理厂</w:t>
            </w:r>
            <w:r>
              <w:rPr>
                <w:rFonts w:hint="eastAsia"/>
                <w:color w:val="auto"/>
              </w:rPr>
              <w:t>。</w:t>
            </w:r>
          </w:p>
          <w:p>
            <w:pPr>
              <w:pStyle w:val="64"/>
              <w:spacing w:line="360" w:lineRule="auto"/>
              <w:ind w:firstLine="420" w:firstLineChars="200"/>
              <w:jc w:val="both"/>
              <w:rPr>
                <w:color w:val="auto"/>
                <w:sz w:val="21"/>
                <w:szCs w:val="21"/>
              </w:rPr>
            </w:pPr>
            <w:r>
              <w:rPr>
                <w:color w:val="auto"/>
                <w:sz w:val="21"/>
                <w:szCs w:val="21"/>
              </w:rPr>
              <w:t>项目</w:t>
            </w:r>
            <w:r>
              <w:rPr>
                <w:rFonts w:ascii="Times New Roman" w:hAnsi="Times New Roman" w:cs="Times New Roman"/>
                <w:color w:val="auto"/>
                <w:sz w:val="21"/>
                <w:szCs w:val="21"/>
              </w:rPr>
              <w:t>废水产生情况见</w:t>
            </w:r>
            <w:r>
              <w:rPr>
                <w:rFonts w:hint="eastAsia" w:ascii="Times New Roman" w:hAnsi="Times New Roman" w:cs="Times New Roman"/>
                <w:color w:val="auto"/>
                <w:sz w:val="21"/>
                <w:szCs w:val="21"/>
                <w:lang w:val="en-US" w:eastAsia="zh-CN"/>
              </w:rPr>
              <w:t>下</w:t>
            </w:r>
            <w:r>
              <w:rPr>
                <w:rFonts w:ascii="Times New Roman" w:hAnsi="Times New Roman" w:cs="Times New Roman"/>
                <w:color w:val="auto"/>
                <w:sz w:val="21"/>
                <w:szCs w:val="21"/>
              </w:rPr>
              <w:t>表。</w:t>
            </w:r>
          </w:p>
          <w:p>
            <w:pPr>
              <w:pStyle w:val="64"/>
              <w:spacing w:line="360" w:lineRule="auto"/>
              <w:jc w:val="center"/>
              <w:rPr>
                <w:rFonts w:ascii="Times New Roman" w:hAnsi="Times New Roman" w:cs="Times New Roman"/>
                <w:b/>
                <w:bCs/>
                <w:color w:val="auto"/>
                <w:kern w:val="2"/>
                <w:sz w:val="18"/>
                <w:szCs w:val="18"/>
              </w:rPr>
            </w:pPr>
            <w:r>
              <w:rPr>
                <w:rFonts w:hint="eastAsia" w:ascii="Times New Roman" w:hAnsi="Times New Roman" w:cs="Times New Roman"/>
                <w:b/>
                <w:bCs/>
                <w:color w:val="auto"/>
                <w:kern w:val="2"/>
                <w:sz w:val="18"/>
                <w:szCs w:val="18"/>
              </w:rPr>
              <w:t>表4-</w:t>
            </w:r>
            <w:r>
              <w:rPr>
                <w:rFonts w:hint="eastAsia" w:ascii="Times New Roman" w:hAnsi="Times New Roman" w:cs="Times New Roman"/>
                <w:b/>
                <w:bCs/>
                <w:color w:val="auto"/>
                <w:kern w:val="2"/>
                <w:sz w:val="18"/>
                <w:szCs w:val="18"/>
                <w:lang w:val="en-US" w:eastAsia="zh-CN"/>
              </w:rPr>
              <w:t>6</w:t>
            </w:r>
            <w:r>
              <w:rPr>
                <w:rFonts w:hint="eastAsia" w:ascii="Times New Roman" w:hAnsi="Times New Roman" w:cs="Times New Roman"/>
                <w:b/>
                <w:bCs/>
                <w:color w:val="auto"/>
                <w:kern w:val="2"/>
                <w:sz w:val="18"/>
                <w:szCs w:val="18"/>
              </w:rPr>
              <w:t xml:space="preserve">  厂区废水产生一览表</w:t>
            </w:r>
          </w:p>
          <w:tbl>
            <w:tblPr>
              <w:tblStyle w:val="25"/>
              <w:tblW w:w="805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7"/>
              <w:gridCol w:w="1120"/>
              <w:gridCol w:w="1720"/>
              <w:gridCol w:w="45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Align w:val="center"/>
                </w:tcPr>
                <w:p>
                  <w:pPr>
                    <w:pStyle w:val="64"/>
                    <w:spacing w:line="320" w:lineRule="exact"/>
                    <w:jc w:val="center"/>
                    <w:rPr>
                      <w:rFonts w:ascii="Times New Roman" w:hAnsi="Times New Roman" w:cs="Times New Roman"/>
                      <w:color w:val="auto"/>
                      <w:kern w:val="2"/>
                      <w:sz w:val="18"/>
                      <w:szCs w:val="18"/>
                    </w:rPr>
                  </w:pPr>
                  <w:r>
                    <w:rPr>
                      <w:rFonts w:hint="eastAsia" w:ascii="Times New Roman" w:hAnsi="Times New Roman" w:cs="Times New Roman"/>
                      <w:color w:val="auto"/>
                      <w:kern w:val="2"/>
                      <w:sz w:val="18"/>
                      <w:szCs w:val="18"/>
                    </w:rPr>
                    <w:t>序号</w:t>
                  </w:r>
                </w:p>
              </w:tc>
              <w:tc>
                <w:tcPr>
                  <w:tcW w:w="1120" w:type="dxa"/>
                  <w:vAlign w:val="center"/>
                </w:tcPr>
                <w:p>
                  <w:pPr>
                    <w:pStyle w:val="64"/>
                    <w:spacing w:line="320" w:lineRule="exact"/>
                    <w:jc w:val="center"/>
                    <w:rPr>
                      <w:rFonts w:ascii="Times New Roman" w:hAnsi="Times New Roman" w:cs="Times New Roman"/>
                      <w:color w:val="auto"/>
                      <w:kern w:val="2"/>
                      <w:sz w:val="18"/>
                      <w:szCs w:val="18"/>
                    </w:rPr>
                  </w:pPr>
                  <w:r>
                    <w:rPr>
                      <w:rFonts w:hint="eastAsia" w:ascii="Times New Roman" w:hAnsi="Times New Roman" w:cs="Times New Roman"/>
                      <w:color w:val="auto"/>
                      <w:kern w:val="2"/>
                      <w:sz w:val="18"/>
                      <w:szCs w:val="18"/>
                    </w:rPr>
                    <w:t>产生源</w:t>
                  </w:r>
                </w:p>
              </w:tc>
              <w:tc>
                <w:tcPr>
                  <w:tcW w:w="1720" w:type="dxa"/>
                  <w:vAlign w:val="center"/>
                </w:tcPr>
                <w:p>
                  <w:pPr>
                    <w:pStyle w:val="64"/>
                    <w:spacing w:line="320" w:lineRule="exact"/>
                    <w:jc w:val="center"/>
                    <w:rPr>
                      <w:rFonts w:ascii="Times New Roman" w:hAnsi="Times New Roman" w:cs="Times New Roman"/>
                      <w:color w:val="auto"/>
                      <w:kern w:val="2"/>
                      <w:sz w:val="18"/>
                      <w:szCs w:val="18"/>
                    </w:rPr>
                  </w:pPr>
                  <w:r>
                    <w:rPr>
                      <w:rFonts w:hint="eastAsia" w:ascii="Times New Roman" w:hAnsi="Times New Roman" w:cs="Times New Roman"/>
                      <w:color w:val="auto"/>
                      <w:kern w:val="2"/>
                      <w:sz w:val="18"/>
                      <w:szCs w:val="18"/>
                    </w:rPr>
                    <w:t>产生量m</w:t>
                  </w:r>
                  <w:r>
                    <w:rPr>
                      <w:rFonts w:hint="eastAsia" w:ascii="Times New Roman" w:hAnsi="Times New Roman" w:cs="Times New Roman"/>
                      <w:color w:val="auto"/>
                      <w:kern w:val="2"/>
                      <w:sz w:val="18"/>
                      <w:szCs w:val="18"/>
                      <w:vertAlign w:val="superscript"/>
                    </w:rPr>
                    <w:t>3</w:t>
                  </w:r>
                  <w:r>
                    <w:rPr>
                      <w:rFonts w:hint="eastAsia" w:ascii="Times New Roman" w:hAnsi="Times New Roman" w:cs="Times New Roman"/>
                      <w:color w:val="auto"/>
                      <w:kern w:val="2"/>
                      <w:sz w:val="18"/>
                      <w:szCs w:val="18"/>
                    </w:rPr>
                    <w:t>/d</w:t>
                  </w:r>
                </w:p>
              </w:tc>
              <w:tc>
                <w:tcPr>
                  <w:tcW w:w="4520" w:type="dxa"/>
                  <w:vAlign w:val="center"/>
                </w:tcPr>
                <w:p>
                  <w:pPr>
                    <w:pStyle w:val="64"/>
                    <w:spacing w:line="320" w:lineRule="exact"/>
                    <w:jc w:val="center"/>
                    <w:rPr>
                      <w:rFonts w:ascii="Times New Roman" w:hAnsi="Times New Roman" w:cs="Times New Roman"/>
                      <w:color w:val="auto"/>
                      <w:kern w:val="2"/>
                      <w:sz w:val="18"/>
                      <w:szCs w:val="18"/>
                    </w:rPr>
                  </w:pPr>
                  <w:r>
                    <w:rPr>
                      <w:rFonts w:hint="eastAsia" w:ascii="Times New Roman" w:hAnsi="Times New Roman" w:cs="Times New Roman"/>
                      <w:color w:val="auto"/>
                      <w:kern w:val="2"/>
                      <w:sz w:val="18"/>
                      <w:szCs w:val="18"/>
                    </w:rPr>
                    <w:t>处理措施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697" w:type="dxa"/>
                  <w:vAlign w:val="center"/>
                </w:tcPr>
                <w:p>
                  <w:pPr>
                    <w:pStyle w:val="64"/>
                    <w:spacing w:line="320" w:lineRule="exact"/>
                    <w:jc w:val="center"/>
                    <w:rPr>
                      <w:rFonts w:hint="eastAsia"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1</w:t>
                  </w:r>
                </w:p>
              </w:tc>
              <w:tc>
                <w:tcPr>
                  <w:tcW w:w="1120" w:type="dxa"/>
                  <w:vAlign w:val="center"/>
                </w:tcPr>
                <w:p>
                  <w:pPr>
                    <w:pStyle w:val="64"/>
                    <w:spacing w:line="320" w:lineRule="exact"/>
                    <w:jc w:val="center"/>
                    <w:rPr>
                      <w:rFonts w:ascii="Times New Roman" w:hAnsi="Times New Roman" w:cs="Times New Roman"/>
                      <w:color w:val="auto"/>
                      <w:kern w:val="2"/>
                      <w:sz w:val="18"/>
                      <w:szCs w:val="18"/>
                    </w:rPr>
                  </w:pPr>
                  <w:r>
                    <w:rPr>
                      <w:rFonts w:hint="eastAsia" w:ascii="Times New Roman" w:hAnsi="Times New Roman" w:cs="Times New Roman"/>
                      <w:color w:val="auto"/>
                      <w:kern w:val="2"/>
                      <w:sz w:val="18"/>
                      <w:szCs w:val="18"/>
                    </w:rPr>
                    <w:t>生活废水</w:t>
                  </w:r>
                </w:p>
              </w:tc>
              <w:tc>
                <w:tcPr>
                  <w:tcW w:w="1720" w:type="dxa"/>
                  <w:vAlign w:val="center"/>
                </w:tcPr>
                <w:p>
                  <w:pPr>
                    <w:pStyle w:val="64"/>
                    <w:spacing w:line="320" w:lineRule="exact"/>
                    <w:jc w:val="center"/>
                    <w:rPr>
                      <w:rFonts w:hint="default" w:ascii="Times New Roman" w:hAnsi="Times New Roman" w:eastAsia="宋体" w:cs="Times New Roman"/>
                      <w:color w:val="auto"/>
                      <w:kern w:val="2"/>
                      <w:sz w:val="18"/>
                      <w:szCs w:val="18"/>
                      <w:lang w:val="en-US" w:eastAsia="zh-CN"/>
                    </w:rPr>
                  </w:pPr>
                  <w:r>
                    <w:rPr>
                      <w:rFonts w:hint="eastAsia" w:ascii="Times New Roman" w:hAnsi="Times New Roman" w:cs="Times New Roman"/>
                      <w:color w:val="auto"/>
                      <w:kern w:val="2"/>
                      <w:sz w:val="18"/>
                      <w:szCs w:val="18"/>
                      <w:lang w:val="en-US" w:eastAsia="zh-CN"/>
                    </w:rPr>
                    <w:t>0.32</w:t>
                  </w:r>
                </w:p>
              </w:tc>
              <w:tc>
                <w:tcPr>
                  <w:tcW w:w="4520" w:type="dxa"/>
                  <w:vAlign w:val="center"/>
                </w:tcPr>
                <w:p>
                  <w:pPr>
                    <w:pStyle w:val="64"/>
                    <w:spacing w:line="320" w:lineRule="exact"/>
                    <w:jc w:val="center"/>
                    <w:rPr>
                      <w:rFonts w:ascii="Times New Roman" w:hAnsi="Times New Roman" w:cs="Times New Roman"/>
                      <w:color w:val="auto"/>
                      <w:kern w:val="2"/>
                      <w:sz w:val="18"/>
                      <w:szCs w:val="18"/>
                    </w:rPr>
                  </w:pPr>
                  <w:r>
                    <w:rPr>
                      <w:rFonts w:hint="eastAsia" w:ascii="Times New Roman" w:hAnsi="Times New Roman" w:cs="Times New Roman"/>
                      <w:color w:val="auto"/>
                      <w:kern w:val="2"/>
                      <w:sz w:val="18"/>
                      <w:szCs w:val="18"/>
                    </w:rPr>
                    <w:t>直接排入市政污水管网，最终进入玛纳斯县污水处理厂</w:t>
                  </w:r>
                </w:p>
              </w:tc>
            </w:tr>
          </w:tbl>
          <w:p>
            <w:pPr>
              <w:spacing w:line="360" w:lineRule="auto"/>
              <w:jc w:val="center"/>
              <w:rPr>
                <w:b/>
                <w:bCs/>
                <w:color w:val="auto"/>
                <w:sz w:val="18"/>
                <w:szCs w:val="18"/>
              </w:rPr>
            </w:pPr>
            <w:r>
              <w:rPr>
                <w:rFonts w:hint="eastAsia"/>
                <w:b/>
                <w:bCs/>
                <w:color w:val="auto"/>
                <w:sz w:val="18"/>
                <w:szCs w:val="18"/>
              </w:rPr>
              <w:t>表4-</w:t>
            </w:r>
            <w:r>
              <w:rPr>
                <w:rFonts w:hint="eastAsia"/>
                <w:b/>
                <w:bCs/>
                <w:color w:val="auto"/>
                <w:sz w:val="18"/>
                <w:szCs w:val="18"/>
                <w:lang w:val="en-US" w:eastAsia="zh-CN"/>
              </w:rPr>
              <w:t>7</w:t>
            </w:r>
            <w:r>
              <w:rPr>
                <w:rFonts w:hint="eastAsia"/>
                <w:b/>
                <w:bCs/>
                <w:color w:val="auto"/>
                <w:sz w:val="18"/>
                <w:szCs w:val="18"/>
              </w:rPr>
              <w:t xml:space="preserve">  废水污染源源强核算结果及相关参数一览表</w:t>
            </w:r>
          </w:p>
          <w:tbl>
            <w:tblPr>
              <w:tblStyle w:val="24"/>
              <w:tblW w:w="811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60"/>
              <w:gridCol w:w="485"/>
              <w:gridCol w:w="715"/>
              <w:gridCol w:w="473"/>
              <w:gridCol w:w="897"/>
              <w:gridCol w:w="824"/>
              <w:gridCol w:w="630"/>
              <w:gridCol w:w="1313"/>
              <w:gridCol w:w="675"/>
              <w:gridCol w:w="791"/>
              <w:gridCol w:w="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460" w:type="dxa"/>
                  <w:vMerge w:val="restart"/>
                  <w:vAlign w:val="center"/>
                </w:tcPr>
                <w:p>
                  <w:pPr>
                    <w:pStyle w:val="75"/>
                    <w:spacing w:line="280" w:lineRule="exact"/>
                    <w:jc w:val="center"/>
                    <w:rPr>
                      <w:b/>
                      <w:bCs/>
                      <w:color w:val="auto"/>
                      <w:sz w:val="18"/>
                      <w:szCs w:val="18"/>
                    </w:rPr>
                  </w:pPr>
                  <w:r>
                    <w:rPr>
                      <w:rFonts w:hint="eastAsia"/>
                      <w:b/>
                      <w:bCs/>
                      <w:color w:val="auto"/>
                      <w:sz w:val="18"/>
                      <w:szCs w:val="18"/>
                    </w:rPr>
                    <w:t>产排环节</w:t>
                  </w:r>
                </w:p>
              </w:tc>
              <w:tc>
                <w:tcPr>
                  <w:tcW w:w="485" w:type="dxa"/>
                  <w:vMerge w:val="restart"/>
                  <w:vAlign w:val="center"/>
                </w:tcPr>
                <w:p>
                  <w:pPr>
                    <w:pStyle w:val="75"/>
                    <w:spacing w:line="280" w:lineRule="exact"/>
                    <w:jc w:val="center"/>
                    <w:rPr>
                      <w:b/>
                      <w:bCs/>
                      <w:color w:val="auto"/>
                      <w:sz w:val="18"/>
                      <w:szCs w:val="18"/>
                    </w:rPr>
                  </w:pPr>
                  <w:r>
                    <w:rPr>
                      <w:rFonts w:hint="eastAsia"/>
                      <w:b/>
                      <w:bCs/>
                      <w:color w:val="auto"/>
                      <w:sz w:val="18"/>
                      <w:szCs w:val="18"/>
                    </w:rPr>
                    <w:t>类别</w:t>
                  </w:r>
                </w:p>
              </w:tc>
              <w:tc>
                <w:tcPr>
                  <w:tcW w:w="715" w:type="dxa"/>
                  <w:vMerge w:val="restart"/>
                  <w:vAlign w:val="center"/>
                </w:tcPr>
                <w:p>
                  <w:pPr>
                    <w:pStyle w:val="75"/>
                    <w:spacing w:line="280" w:lineRule="exact"/>
                    <w:jc w:val="center"/>
                    <w:rPr>
                      <w:b/>
                      <w:bCs/>
                      <w:color w:val="auto"/>
                      <w:sz w:val="18"/>
                      <w:szCs w:val="18"/>
                    </w:rPr>
                  </w:pPr>
                  <w:r>
                    <w:rPr>
                      <w:rFonts w:hint="eastAsia"/>
                      <w:b/>
                      <w:bCs/>
                      <w:color w:val="auto"/>
                      <w:sz w:val="18"/>
                      <w:szCs w:val="18"/>
                    </w:rPr>
                    <w:t>污染物种类</w:t>
                  </w:r>
                </w:p>
              </w:tc>
              <w:tc>
                <w:tcPr>
                  <w:tcW w:w="2824" w:type="dxa"/>
                  <w:gridSpan w:val="4"/>
                  <w:vAlign w:val="center"/>
                </w:tcPr>
                <w:p>
                  <w:pPr>
                    <w:pStyle w:val="75"/>
                    <w:spacing w:line="280" w:lineRule="exact"/>
                    <w:jc w:val="center"/>
                    <w:rPr>
                      <w:rFonts w:hint="default" w:eastAsia="宋体"/>
                      <w:b/>
                      <w:bCs/>
                      <w:color w:val="auto"/>
                      <w:sz w:val="18"/>
                      <w:szCs w:val="18"/>
                      <w:lang w:val="en-US" w:eastAsia="zh-CN"/>
                    </w:rPr>
                  </w:pPr>
                  <w:r>
                    <w:rPr>
                      <w:rFonts w:hint="eastAsia"/>
                      <w:b/>
                      <w:bCs/>
                      <w:color w:val="auto"/>
                      <w:sz w:val="18"/>
                      <w:szCs w:val="18"/>
                      <w:lang w:val="en-US" w:eastAsia="zh-CN"/>
                    </w:rPr>
                    <w:t>处理前</w:t>
                  </w:r>
                </w:p>
              </w:tc>
              <w:tc>
                <w:tcPr>
                  <w:tcW w:w="3634" w:type="dxa"/>
                  <w:gridSpan w:val="4"/>
                  <w:vAlign w:val="center"/>
                </w:tcPr>
                <w:p>
                  <w:pPr>
                    <w:pStyle w:val="75"/>
                    <w:spacing w:line="280" w:lineRule="exact"/>
                    <w:jc w:val="center"/>
                    <w:rPr>
                      <w:rFonts w:hint="eastAsia" w:eastAsia="宋体"/>
                      <w:b/>
                      <w:bCs/>
                      <w:color w:val="auto"/>
                      <w:sz w:val="18"/>
                      <w:szCs w:val="18"/>
                      <w:lang w:eastAsia="zh-CN"/>
                    </w:rPr>
                  </w:pPr>
                  <w:r>
                    <w:rPr>
                      <w:rFonts w:hint="eastAsia"/>
                      <w:b/>
                      <w:bCs/>
                      <w:color w:val="auto"/>
                      <w:sz w:val="18"/>
                      <w:szCs w:val="18"/>
                      <w:lang w:val="en-US" w:eastAsia="zh-CN"/>
                    </w:rPr>
                    <w:t>处理后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42" w:hRule="atLeast"/>
                <w:jc w:val="center"/>
              </w:trPr>
              <w:tc>
                <w:tcPr>
                  <w:tcW w:w="460" w:type="dxa"/>
                  <w:vMerge w:val="continue"/>
                  <w:vAlign w:val="center"/>
                </w:tcPr>
                <w:p>
                  <w:pPr>
                    <w:widowControl/>
                    <w:spacing w:line="280" w:lineRule="exact"/>
                    <w:jc w:val="center"/>
                    <w:rPr>
                      <w:b/>
                      <w:bCs/>
                      <w:color w:val="auto"/>
                      <w:sz w:val="18"/>
                      <w:szCs w:val="18"/>
                    </w:rPr>
                  </w:pPr>
                </w:p>
              </w:tc>
              <w:tc>
                <w:tcPr>
                  <w:tcW w:w="485" w:type="dxa"/>
                  <w:vMerge w:val="continue"/>
                  <w:vAlign w:val="center"/>
                </w:tcPr>
                <w:p>
                  <w:pPr>
                    <w:widowControl/>
                    <w:spacing w:line="280" w:lineRule="exact"/>
                    <w:jc w:val="center"/>
                    <w:rPr>
                      <w:b/>
                      <w:bCs/>
                      <w:color w:val="auto"/>
                      <w:sz w:val="18"/>
                      <w:szCs w:val="18"/>
                    </w:rPr>
                  </w:pPr>
                </w:p>
              </w:tc>
              <w:tc>
                <w:tcPr>
                  <w:tcW w:w="715" w:type="dxa"/>
                  <w:vMerge w:val="continue"/>
                  <w:vAlign w:val="center"/>
                </w:tcPr>
                <w:p>
                  <w:pPr>
                    <w:widowControl/>
                    <w:spacing w:line="280" w:lineRule="exact"/>
                    <w:jc w:val="center"/>
                    <w:rPr>
                      <w:b/>
                      <w:bCs/>
                      <w:color w:val="auto"/>
                      <w:sz w:val="18"/>
                      <w:szCs w:val="18"/>
                    </w:rPr>
                  </w:pPr>
                </w:p>
              </w:tc>
              <w:tc>
                <w:tcPr>
                  <w:tcW w:w="473" w:type="dxa"/>
                  <w:vAlign w:val="center"/>
                </w:tcPr>
                <w:p>
                  <w:pPr>
                    <w:pStyle w:val="75"/>
                    <w:spacing w:line="280" w:lineRule="exact"/>
                    <w:jc w:val="center"/>
                    <w:rPr>
                      <w:b/>
                      <w:bCs/>
                      <w:color w:val="auto"/>
                      <w:sz w:val="18"/>
                      <w:szCs w:val="18"/>
                    </w:rPr>
                  </w:pPr>
                  <w:r>
                    <w:rPr>
                      <w:b/>
                      <w:bCs/>
                      <w:color w:val="auto"/>
                      <w:sz w:val="18"/>
                      <w:szCs w:val="18"/>
                    </w:rPr>
                    <w:t>核算</w:t>
                  </w:r>
                </w:p>
                <w:p>
                  <w:pPr>
                    <w:pStyle w:val="75"/>
                    <w:spacing w:line="280" w:lineRule="exact"/>
                    <w:jc w:val="center"/>
                    <w:rPr>
                      <w:b/>
                      <w:bCs/>
                      <w:color w:val="auto"/>
                      <w:sz w:val="18"/>
                      <w:szCs w:val="18"/>
                    </w:rPr>
                  </w:pPr>
                  <w:r>
                    <w:rPr>
                      <w:b/>
                      <w:bCs/>
                      <w:color w:val="auto"/>
                      <w:sz w:val="18"/>
                      <w:szCs w:val="18"/>
                    </w:rPr>
                    <w:t>方法</w:t>
                  </w:r>
                </w:p>
              </w:tc>
              <w:tc>
                <w:tcPr>
                  <w:tcW w:w="897" w:type="dxa"/>
                  <w:vAlign w:val="center"/>
                </w:tcPr>
                <w:p>
                  <w:pPr>
                    <w:pStyle w:val="75"/>
                    <w:spacing w:line="280" w:lineRule="exact"/>
                    <w:jc w:val="center"/>
                    <w:rPr>
                      <w:b/>
                      <w:bCs/>
                      <w:color w:val="auto"/>
                      <w:sz w:val="18"/>
                      <w:szCs w:val="18"/>
                    </w:rPr>
                  </w:pPr>
                  <w:r>
                    <w:rPr>
                      <w:b/>
                      <w:bCs/>
                      <w:color w:val="auto"/>
                      <w:sz w:val="18"/>
                      <w:szCs w:val="18"/>
                    </w:rPr>
                    <w:t>废水产生量</w:t>
                  </w:r>
                  <w:r>
                    <w:rPr>
                      <w:rFonts w:eastAsia="Calibri"/>
                      <w:b/>
                      <w:bCs/>
                      <w:color w:val="auto"/>
                      <w:spacing w:val="-1"/>
                      <w:sz w:val="18"/>
                      <w:szCs w:val="18"/>
                    </w:rPr>
                    <w:t>(m</w:t>
                  </w:r>
                  <w:r>
                    <w:rPr>
                      <w:b/>
                      <w:bCs/>
                      <w:color w:val="auto"/>
                      <w:spacing w:val="-1"/>
                      <w:sz w:val="18"/>
                      <w:szCs w:val="18"/>
                      <w:vertAlign w:val="superscript"/>
                    </w:rPr>
                    <w:t>3</w:t>
                  </w:r>
                  <w:r>
                    <w:rPr>
                      <w:rFonts w:eastAsia="Calibri"/>
                      <w:b/>
                      <w:bCs/>
                      <w:color w:val="auto"/>
                      <w:spacing w:val="-1"/>
                      <w:sz w:val="18"/>
                      <w:szCs w:val="18"/>
                    </w:rPr>
                    <w:t>/a)</w:t>
                  </w:r>
                </w:p>
              </w:tc>
              <w:tc>
                <w:tcPr>
                  <w:tcW w:w="824" w:type="dxa"/>
                  <w:vAlign w:val="center"/>
                </w:tcPr>
                <w:p>
                  <w:pPr>
                    <w:pStyle w:val="75"/>
                    <w:spacing w:line="280" w:lineRule="exact"/>
                    <w:jc w:val="center"/>
                    <w:rPr>
                      <w:b/>
                      <w:bCs/>
                      <w:color w:val="auto"/>
                      <w:sz w:val="18"/>
                      <w:szCs w:val="18"/>
                    </w:rPr>
                  </w:pPr>
                  <w:r>
                    <w:rPr>
                      <w:b/>
                      <w:bCs/>
                      <w:color w:val="auto"/>
                      <w:sz w:val="18"/>
                      <w:szCs w:val="18"/>
                    </w:rPr>
                    <w:t>产生浓度</w:t>
                  </w:r>
                  <w:r>
                    <w:rPr>
                      <w:b/>
                      <w:bCs/>
                      <w:color w:val="auto"/>
                      <w:spacing w:val="-1"/>
                      <w:sz w:val="18"/>
                      <w:szCs w:val="18"/>
                    </w:rPr>
                    <w:t>（mg/L）</w:t>
                  </w:r>
                </w:p>
              </w:tc>
              <w:tc>
                <w:tcPr>
                  <w:tcW w:w="630" w:type="dxa"/>
                  <w:vAlign w:val="center"/>
                </w:tcPr>
                <w:p>
                  <w:pPr>
                    <w:pStyle w:val="75"/>
                    <w:spacing w:line="280" w:lineRule="exact"/>
                    <w:jc w:val="center"/>
                    <w:rPr>
                      <w:b/>
                      <w:bCs/>
                      <w:color w:val="auto"/>
                      <w:sz w:val="18"/>
                      <w:szCs w:val="18"/>
                    </w:rPr>
                  </w:pPr>
                  <w:r>
                    <w:rPr>
                      <w:b/>
                      <w:bCs/>
                      <w:color w:val="auto"/>
                      <w:sz w:val="18"/>
                      <w:szCs w:val="18"/>
                    </w:rPr>
                    <w:t>产生量</w:t>
                  </w:r>
                </w:p>
                <w:p>
                  <w:pPr>
                    <w:pStyle w:val="75"/>
                    <w:spacing w:line="280" w:lineRule="exact"/>
                    <w:jc w:val="center"/>
                    <w:rPr>
                      <w:b/>
                      <w:bCs/>
                      <w:color w:val="auto"/>
                      <w:sz w:val="18"/>
                      <w:szCs w:val="18"/>
                    </w:rPr>
                  </w:pPr>
                  <w:r>
                    <w:rPr>
                      <w:b/>
                      <w:bCs/>
                      <w:color w:val="auto"/>
                      <w:spacing w:val="-1"/>
                      <w:sz w:val="18"/>
                      <w:szCs w:val="18"/>
                    </w:rPr>
                    <w:t>（t/a）</w:t>
                  </w:r>
                </w:p>
              </w:tc>
              <w:tc>
                <w:tcPr>
                  <w:tcW w:w="1313" w:type="dxa"/>
                  <w:vAlign w:val="center"/>
                </w:tcPr>
                <w:p>
                  <w:pPr>
                    <w:pStyle w:val="75"/>
                    <w:spacing w:line="280" w:lineRule="exact"/>
                    <w:jc w:val="center"/>
                    <w:rPr>
                      <w:b/>
                      <w:bCs/>
                      <w:color w:val="auto"/>
                      <w:sz w:val="18"/>
                      <w:szCs w:val="18"/>
                    </w:rPr>
                  </w:pPr>
                  <w:r>
                    <w:rPr>
                      <w:b/>
                      <w:bCs/>
                      <w:color w:val="auto"/>
                      <w:sz w:val="18"/>
                      <w:szCs w:val="18"/>
                    </w:rPr>
                    <w:t>工艺</w:t>
                  </w:r>
                </w:p>
              </w:tc>
              <w:tc>
                <w:tcPr>
                  <w:tcW w:w="675" w:type="dxa"/>
                  <w:vAlign w:val="center"/>
                </w:tcPr>
                <w:p>
                  <w:pPr>
                    <w:pStyle w:val="75"/>
                    <w:spacing w:line="280" w:lineRule="exact"/>
                    <w:jc w:val="center"/>
                    <w:rPr>
                      <w:b/>
                      <w:bCs/>
                      <w:color w:val="auto"/>
                      <w:sz w:val="18"/>
                      <w:szCs w:val="18"/>
                    </w:rPr>
                  </w:pPr>
                  <w:r>
                    <w:rPr>
                      <w:b/>
                      <w:bCs/>
                      <w:color w:val="auto"/>
                      <w:sz w:val="18"/>
                      <w:szCs w:val="18"/>
                    </w:rPr>
                    <w:t>效率</w:t>
                  </w:r>
                  <w:r>
                    <w:rPr>
                      <w:rFonts w:eastAsia="Calibri"/>
                      <w:b/>
                      <w:bCs/>
                      <w:color w:val="auto"/>
                      <w:sz w:val="18"/>
                      <w:szCs w:val="18"/>
                    </w:rPr>
                    <w:t>/%</w:t>
                  </w:r>
                </w:p>
              </w:tc>
              <w:tc>
                <w:tcPr>
                  <w:tcW w:w="791" w:type="dxa"/>
                  <w:vAlign w:val="center"/>
                </w:tcPr>
                <w:p>
                  <w:pPr>
                    <w:pStyle w:val="75"/>
                    <w:spacing w:line="280" w:lineRule="exact"/>
                    <w:jc w:val="center"/>
                    <w:rPr>
                      <w:b/>
                      <w:bCs/>
                      <w:color w:val="auto"/>
                      <w:sz w:val="18"/>
                      <w:szCs w:val="18"/>
                    </w:rPr>
                  </w:pPr>
                  <w:r>
                    <w:rPr>
                      <w:rFonts w:hint="eastAsia"/>
                      <w:b/>
                      <w:bCs/>
                      <w:color w:val="auto"/>
                      <w:sz w:val="18"/>
                      <w:szCs w:val="18"/>
                    </w:rPr>
                    <w:t>是否为可行技术</w:t>
                  </w:r>
                </w:p>
              </w:tc>
              <w:tc>
                <w:tcPr>
                  <w:tcW w:w="855" w:type="dxa"/>
                  <w:vAlign w:val="center"/>
                </w:tcPr>
                <w:p>
                  <w:pPr>
                    <w:pStyle w:val="75"/>
                    <w:spacing w:line="280" w:lineRule="exact"/>
                    <w:jc w:val="center"/>
                    <w:rPr>
                      <w:b/>
                      <w:bCs/>
                      <w:color w:val="auto"/>
                      <w:sz w:val="18"/>
                      <w:szCs w:val="18"/>
                    </w:rPr>
                  </w:pPr>
                  <w:r>
                    <w:rPr>
                      <w:rFonts w:hint="eastAsia"/>
                      <w:b/>
                      <w:bCs/>
                      <w:color w:val="auto"/>
                      <w:sz w:val="18"/>
                      <w:szCs w:val="18"/>
                      <w:lang w:val="en-US" w:eastAsia="zh-CN"/>
                    </w:rPr>
                    <w:t>处理后</w:t>
                  </w:r>
                  <w:r>
                    <w:rPr>
                      <w:b/>
                      <w:bCs/>
                      <w:color w:val="auto"/>
                      <w:sz w:val="18"/>
                      <w:szCs w:val="18"/>
                    </w:rPr>
                    <w:t>浓度</w:t>
                  </w:r>
                  <w:r>
                    <w:rPr>
                      <w:b/>
                      <w:bCs/>
                      <w:color w:val="auto"/>
                      <w:spacing w:val="-1"/>
                      <w:sz w:val="18"/>
                      <w:szCs w:val="18"/>
                    </w:rPr>
                    <w:t>（mg/L）</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460" w:type="dxa"/>
                  <w:vMerge w:val="restart"/>
                  <w:vAlign w:val="center"/>
                </w:tcPr>
                <w:p>
                  <w:pPr>
                    <w:widowControl/>
                    <w:spacing w:line="280" w:lineRule="exact"/>
                    <w:jc w:val="center"/>
                    <w:rPr>
                      <w:color w:val="auto"/>
                      <w:sz w:val="18"/>
                      <w:szCs w:val="18"/>
                    </w:rPr>
                  </w:pPr>
                  <w:r>
                    <w:rPr>
                      <w:rFonts w:hint="eastAsia"/>
                      <w:color w:val="auto"/>
                      <w:sz w:val="18"/>
                      <w:szCs w:val="18"/>
                    </w:rPr>
                    <w:t>生活区</w:t>
                  </w:r>
                </w:p>
              </w:tc>
              <w:tc>
                <w:tcPr>
                  <w:tcW w:w="485" w:type="dxa"/>
                  <w:vMerge w:val="restart"/>
                  <w:vAlign w:val="center"/>
                </w:tcPr>
                <w:p>
                  <w:pPr>
                    <w:widowControl/>
                    <w:spacing w:line="280" w:lineRule="exact"/>
                    <w:jc w:val="center"/>
                    <w:rPr>
                      <w:color w:val="auto"/>
                      <w:sz w:val="18"/>
                      <w:szCs w:val="18"/>
                    </w:rPr>
                  </w:pPr>
                  <w:r>
                    <w:rPr>
                      <w:rFonts w:hint="eastAsia"/>
                      <w:color w:val="auto"/>
                      <w:sz w:val="18"/>
                      <w:szCs w:val="18"/>
                    </w:rPr>
                    <w:t>生活废水</w:t>
                  </w:r>
                </w:p>
              </w:tc>
              <w:tc>
                <w:tcPr>
                  <w:tcW w:w="715" w:type="dxa"/>
                  <w:vAlign w:val="center"/>
                </w:tcPr>
                <w:p>
                  <w:pPr>
                    <w:widowControl/>
                    <w:spacing w:line="280" w:lineRule="exact"/>
                    <w:jc w:val="center"/>
                    <w:rPr>
                      <w:color w:val="auto"/>
                      <w:sz w:val="18"/>
                      <w:szCs w:val="18"/>
                    </w:rPr>
                  </w:pPr>
                  <w:r>
                    <w:rPr>
                      <w:rFonts w:hint="eastAsia"/>
                      <w:color w:val="auto"/>
                      <w:sz w:val="18"/>
                      <w:szCs w:val="18"/>
                    </w:rPr>
                    <w:t>COD</w:t>
                  </w:r>
                  <w:r>
                    <w:rPr>
                      <w:rFonts w:hint="eastAsia"/>
                      <w:color w:val="auto"/>
                      <w:sz w:val="18"/>
                      <w:szCs w:val="18"/>
                      <w:vertAlign w:val="subscript"/>
                    </w:rPr>
                    <w:t>cr</w:t>
                  </w:r>
                </w:p>
              </w:tc>
              <w:tc>
                <w:tcPr>
                  <w:tcW w:w="473" w:type="dxa"/>
                  <w:vMerge w:val="restart"/>
                  <w:vAlign w:val="center"/>
                </w:tcPr>
                <w:p>
                  <w:pPr>
                    <w:pStyle w:val="75"/>
                    <w:spacing w:line="280" w:lineRule="exact"/>
                    <w:jc w:val="center"/>
                    <w:rPr>
                      <w:rFonts w:hint="eastAsia" w:eastAsia="宋体"/>
                      <w:color w:val="auto"/>
                      <w:sz w:val="18"/>
                      <w:szCs w:val="18"/>
                      <w:lang w:val="en-US" w:eastAsia="zh-CN"/>
                    </w:rPr>
                  </w:pPr>
                  <w:r>
                    <w:rPr>
                      <w:rFonts w:hint="eastAsia"/>
                      <w:color w:val="auto"/>
                      <w:sz w:val="18"/>
                      <w:szCs w:val="18"/>
                      <w:lang w:val="en-US" w:eastAsia="zh-CN"/>
                    </w:rPr>
                    <w:t>系数法</w:t>
                  </w:r>
                </w:p>
              </w:tc>
              <w:tc>
                <w:tcPr>
                  <w:tcW w:w="897" w:type="dxa"/>
                  <w:vMerge w:val="restart"/>
                  <w:vAlign w:val="center"/>
                </w:tcPr>
                <w:p>
                  <w:pPr>
                    <w:widowControl/>
                    <w:spacing w:line="280" w:lineRule="exact"/>
                    <w:jc w:val="center"/>
                    <w:rPr>
                      <w:rFonts w:hint="default" w:eastAsia="宋体"/>
                      <w:color w:val="auto"/>
                      <w:sz w:val="18"/>
                      <w:szCs w:val="18"/>
                      <w:lang w:val="en-US" w:eastAsia="zh-CN"/>
                    </w:rPr>
                  </w:pPr>
                  <w:r>
                    <w:rPr>
                      <w:rFonts w:hint="eastAsia"/>
                      <w:color w:val="auto"/>
                      <w:sz w:val="18"/>
                      <w:szCs w:val="18"/>
                      <w:lang w:val="en-US" w:eastAsia="zh-CN"/>
                    </w:rPr>
                    <w:t>96</w:t>
                  </w:r>
                </w:p>
              </w:tc>
              <w:tc>
                <w:tcPr>
                  <w:tcW w:w="824" w:type="dxa"/>
                  <w:vAlign w:val="center"/>
                </w:tcPr>
                <w:p>
                  <w:pPr>
                    <w:widowControl/>
                    <w:spacing w:line="280" w:lineRule="exact"/>
                    <w:jc w:val="center"/>
                    <w:rPr>
                      <w:rFonts w:hint="default" w:eastAsia="宋体"/>
                      <w:color w:val="auto"/>
                      <w:sz w:val="18"/>
                      <w:szCs w:val="18"/>
                      <w:lang w:val="en-US" w:eastAsia="zh-CN"/>
                    </w:rPr>
                  </w:pPr>
                  <w:r>
                    <w:rPr>
                      <w:rFonts w:hint="eastAsia"/>
                      <w:color w:val="auto"/>
                      <w:sz w:val="18"/>
                      <w:szCs w:val="18"/>
                      <w:lang w:val="en-US" w:eastAsia="zh-CN"/>
                    </w:rPr>
                    <w:t>500</w:t>
                  </w:r>
                </w:p>
              </w:tc>
              <w:tc>
                <w:tcPr>
                  <w:tcW w:w="630" w:type="dxa"/>
                  <w:vAlign w:val="center"/>
                </w:tcPr>
                <w:p>
                  <w:pPr>
                    <w:pStyle w:val="75"/>
                    <w:spacing w:line="280" w:lineRule="exact"/>
                    <w:jc w:val="center"/>
                    <w:rPr>
                      <w:rFonts w:hint="default" w:eastAsia="宋体"/>
                      <w:color w:val="auto"/>
                      <w:kern w:val="0"/>
                      <w:sz w:val="18"/>
                      <w:szCs w:val="18"/>
                      <w:lang w:val="en-US" w:eastAsia="zh-CN"/>
                    </w:rPr>
                  </w:pPr>
                  <w:r>
                    <w:rPr>
                      <w:rFonts w:hint="eastAsia"/>
                      <w:color w:val="auto"/>
                      <w:kern w:val="0"/>
                      <w:sz w:val="18"/>
                      <w:szCs w:val="18"/>
                      <w:lang w:val="en-US" w:eastAsia="zh-CN"/>
                    </w:rPr>
                    <w:t>0.048</w:t>
                  </w:r>
                </w:p>
              </w:tc>
              <w:tc>
                <w:tcPr>
                  <w:tcW w:w="1313" w:type="dxa"/>
                  <w:vMerge w:val="restart"/>
                  <w:vAlign w:val="center"/>
                </w:tcPr>
                <w:p>
                  <w:pPr>
                    <w:pStyle w:val="75"/>
                    <w:spacing w:line="280" w:lineRule="exact"/>
                    <w:jc w:val="center"/>
                    <w:rPr>
                      <w:color w:val="auto"/>
                      <w:kern w:val="0"/>
                      <w:sz w:val="18"/>
                      <w:szCs w:val="18"/>
                    </w:rPr>
                  </w:pPr>
                  <w:r>
                    <w:rPr>
                      <w:rFonts w:hint="eastAsia"/>
                      <w:color w:val="auto"/>
                      <w:kern w:val="0"/>
                      <w:sz w:val="18"/>
                      <w:szCs w:val="18"/>
                    </w:rPr>
                    <w:t>直接排入市政污水管网，进入玛纳斯县污水处理厂</w:t>
                  </w:r>
                </w:p>
              </w:tc>
              <w:tc>
                <w:tcPr>
                  <w:tcW w:w="675" w:type="dxa"/>
                  <w:vAlign w:val="center"/>
                </w:tcPr>
                <w:p>
                  <w:pPr>
                    <w:pStyle w:val="75"/>
                    <w:spacing w:line="280" w:lineRule="exact"/>
                    <w:jc w:val="center"/>
                    <w:rPr>
                      <w:rFonts w:hint="default" w:eastAsia="宋体"/>
                      <w:color w:val="auto"/>
                      <w:sz w:val="18"/>
                      <w:szCs w:val="18"/>
                      <w:lang w:val="en-US" w:eastAsia="zh-CN"/>
                    </w:rPr>
                  </w:pPr>
                  <w:r>
                    <w:rPr>
                      <w:rFonts w:hint="eastAsia"/>
                      <w:color w:val="auto"/>
                      <w:sz w:val="18"/>
                      <w:szCs w:val="18"/>
                      <w:lang w:val="en-US" w:eastAsia="zh-CN"/>
                    </w:rPr>
                    <w:t>88</w:t>
                  </w:r>
                </w:p>
              </w:tc>
              <w:tc>
                <w:tcPr>
                  <w:tcW w:w="791" w:type="dxa"/>
                  <w:vMerge w:val="restart"/>
                  <w:vAlign w:val="center"/>
                </w:tcPr>
                <w:p>
                  <w:pPr>
                    <w:widowControl/>
                    <w:spacing w:line="280" w:lineRule="exact"/>
                    <w:jc w:val="center"/>
                    <w:rPr>
                      <w:color w:val="auto"/>
                      <w:sz w:val="18"/>
                      <w:szCs w:val="18"/>
                    </w:rPr>
                  </w:pPr>
                  <w:r>
                    <w:rPr>
                      <w:rFonts w:hint="eastAsia"/>
                      <w:color w:val="auto"/>
                      <w:sz w:val="18"/>
                      <w:szCs w:val="18"/>
                    </w:rPr>
                    <w:t>是</w:t>
                  </w:r>
                </w:p>
              </w:tc>
              <w:tc>
                <w:tcPr>
                  <w:tcW w:w="855" w:type="dxa"/>
                  <w:vAlign w:val="center"/>
                </w:tcPr>
                <w:p>
                  <w:pPr>
                    <w:widowControl/>
                    <w:spacing w:line="280" w:lineRule="exact"/>
                    <w:jc w:val="center"/>
                    <w:rPr>
                      <w:rFonts w:hint="default" w:eastAsia="宋体"/>
                      <w:color w:val="auto"/>
                      <w:sz w:val="18"/>
                      <w:szCs w:val="18"/>
                      <w:lang w:val="en-US" w:eastAsia="zh-CN"/>
                    </w:rPr>
                  </w:pPr>
                  <w:r>
                    <w:rPr>
                      <w:rFonts w:hint="eastAsia"/>
                      <w:color w:val="auto"/>
                      <w:sz w:val="18"/>
                      <w:szCs w:val="18"/>
                      <w:lang w:val="en-US" w:eastAsia="zh-CN"/>
                    </w:rPr>
                    <w:t>60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460" w:type="dxa"/>
                  <w:vMerge w:val="continue"/>
                  <w:vAlign w:val="center"/>
                </w:tcPr>
                <w:p>
                  <w:pPr>
                    <w:widowControl/>
                    <w:spacing w:line="280" w:lineRule="exact"/>
                    <w:jc w:val="center"/>
                    <w:rPr>
                      <w:color w:val="auto"/>
                      <w:sz w:val="18"/>
                      <w:szCs w:val="18"/>
                    </w:rPr>
                  </w:pPr>
                </w:p>
              </w:tc>
              <w:tc>
                <w:tcPr>
                  <w:tcW w:w="485" w:type="dxa"/>
                  <w:vMerge w:val="continue"/>
                  <w:vAlign w:val="center"/>
                </w:tcPr>
                <w:p>
                  <w:pPr>
                    <w:widowControl/>
                    <w:spacing w:line="280" w:lineRule="exact"/>
                    <w:jc w:val="center"/>
                    <w:rPr>
                      <w:color w:val="auto"/>
                      <w:sz w:val="18"/>
                      <w:szCs w:val="18"/>
                    </w:rPr>
                  </w:pPr>
                </w:p>
              </w:tc>
              <w:tc>
                <w:tcPr>
                  <w:tcW w:w="715" w:type="dxa"/>
                  <w:vAlign w:val="center"/>
                </w:tcPr>
                <w:p>
                  <w:pPr>
                    <w:widowControl/>
                    <w:spacing w:line="280" w:lineRule="exact"/>
                    <w:jc w:val="center"/>
                    <w:rPr>
                      <w:color w:val="auto"/>
                      <w:sz w:val="18"/>
                      <w:szCs w:val="18"/>
                    </w:rPr>
                  </w:pPr>
                  <w:r>
                    <w:rPr>
                      <w:rFonts w:hint="eastAsia"/>
                      <w:color w:val="auto"/>
                      <w:sz w:val="18"/>
                      <w:szCs w:val="18"/>
                    </w:rPr>
                    <w:t>BOD</w:t>
                  </w:r>
                  <w:r>
                    <w:rPr>
                      <w:rFonts w:hint="eastAsia"/>
                      <w:color w:val="auto"/>
                      <w:sz w:val="18"/>
                      <w:szCs w:val="18"/>
                      <w:vertAlign w:val="subscript"/>
                    </w:rPr>
                    <w:t>5</w:t>
                  </w:r>
                </w:p>
              </w:tc>
              <w:tc>
                <w:tcPr>
                  <w:tcW w:w="473" w:type="dxa"/>
                  <w:vMerge w:val="continue"/>
                  <w:vAlign w:val="center"/>
                </w:tcPr>
                <w:p>
                  <w:pPr>
                    <w:pStyle w:val="75"/>
                    <w:spacing w:line="280" w:lineRule="exact"/>
                    <w:jc w:val="center"/>
                    <w:rPr>
                      <w:color w:val="auto"/>
                      <w:sz w:val="18"/>
                      <w:szCs w:val="18"/>
                    </w:rPr>
                  </w:pPr>
                </w:p>
              </w:tc>
              <w:tc>
                <w:tcPr>
                  <w:tcW w:w="897" w:type="dxa"/>
                  <w:vMerge w:val="continue"/>
                  <w:vAlign w:val="center"/>
                </w:tcPr>
                <w:p>
                  <w:pPr>
                    <w:widowControl/>
                    <w:spacing w:line="280" w:lineRule="exact"/>
                    <w:jc w:val="center"/>
                    <w:rPr>
                      <w:color w:val="auto"/>
                      <w:sz w:val="18"/>
                      <w:szCs w:val="18"/>
                    </w:rPr>
                  </w:pPr>
                </w:p>
              </w:tc>
              <w:tc>
                <w:tcPr>
                  <w:tcW w:w="824" w:type="dxa"/>
                  <w:vAlign w:val="center"/>
                </w:tcPr>
                <w:p>
                  <w:pPr>
                    <w:widowControl/>
                    <w:spacing w:line="280" w:lineRule="exact"/>
                    <w:jc w:val="center"/>
                    <w:rPr>
                      <w:rFonts w:hint="default" w:eastAsia="宋体"/>
                      <w:color w:val="auto"/>
                      <w:sz w:val="18"/>
                      <w:szCs w:val="18"/>
                      <w:lang w:val="en-US" w:eastAsia="zh-CN"/>
                    </w:rPr>
                  </w:pPr>
                  <w:r>
                    <w:rPr>
                      <w:rFonts w:hint="eastAsia"/>
                      <w:color w:val="auto"/>
                      <w:sz w:val="18"/>
                      <w:szCs w:val="18"/>
                      <w:lang w:val="en-US" w:eastAsia="zh-CN"/>
                    </w:rPr>
                    <w:t>300</w:t>
                  </w:r>
                </w:p>
              </w:tc>
              <w:tc>
                <w:tcPr>
                  <w:tcW w:w="630" w:type="dxa"/>
                  <w:vAlign w:val="center"/>
                </w:tcPr>
                <w:p>
                  <w:pPr>
                    <w:pStyle w:val="75"/>
                    <w:spacing w:line="280" w:lineRule="exact"/>
                    <w:jc w:val="center"/>
                    <w:rPr>
                      <w:rFonts w:hint="default" w:eastAsia="宋体"/>
                      <w:color w:val="auto"/>
                      <w:kern w:val="0"/>
                      <w:sz w:val="18"/>
                      <w:szCs w:val="18"/>
                      <w:lang w:val="en-US" w:eastAsia="zh-CN"/>
                    </w:rPr>
                  </w:pPr>
                  <w:r>
                    <w:rPr>
                      <w:rFonts w:hint="eastAsia"/>
                      <w:color w:val="auto"/>
                      <w:kern w:val="0"/>
                      <w:sz w:val="18"/>
                      <w:szCs w:val="18"/>
                    </w:rPr>
                    <w:t>0.0</w:t>
                  </w:r>
                  <w:r>
                    <w:rPr>
                      <w:rFonts w:hint="eastAsia"/>
                      <w:color w:val="auto"/>
                      <w:kern w:val="0"/>
                      <w:sz w:val="18"/>
                      <w:szCs w:val="18"/>
                      <w:lang w:val="en-US" w:eastAsia="zh-CN"/>
                    </w:rPr>
                    <w:t>288</w:t>
                  </w:r>
                </w:p>
              </w:tc>
              <w:tc>
                <w:tcPr>
                  <w:tcW w:w="1313" w:type="dxa"/>
                  <w:vMerge w:val="continue"/>
                  <w:vAlign w:val="center"/>
                </w:tcPr>
                <w:p>
                  <w:pPr>
                    <w:pStyle w:val="75"/>
                    <w:spacing w:line="280" w:lineRule="exact"/>
                    <w:jc w:val="center"/>
                    <w:rPr>
                      <w:color w:val="auto"/>
                      <w:kern w:val="0"/>
                      <w:sz w:val="18"/>
                      <w:szCs w:val="18"/>
                    </w:rPr>
                  </w:pPr>
                </w:p>
              </w:tc>
              <w:tc>
                <w:tcPr>
                  <w:tcW w:w="675" w:type="dxa"/>
                  <w:vAlign w:val="center"/>
                </w:tcPr>
                <w:p>
                  <w:pPr>
                    <w:pStyle w:val="75"/>
                    <w:spacing w:line="280" w:lineRule="exact"/>
                    <w:jc w:val="center"/>
                    <w:rPr>
                      <w:rFonts w:hint="default" w:eastAsia="宋体"/>
                      <w:color w:val="auto"/>
                      <w:sz w:val="18"/>
                      <w:szCs w:val="18"/>
                      <w:lang w:val="en-US" w:eastAsia="zh-CN"/>
                    </w:rPr>
                  </w:pPr>
                  <w:r>
                    <w:rPr>
                      <w:rFonts w:hint="eastAsia"/>
                      <w:color w:val="auto"/>
                      <w:sz w:val="18"/>
                      <w:szCs w:val="18"/>
                    </w:rPr>
                    <w:t>9</w:t>
                  </w:r>
                  <w:r>
                    <w:rPr>
                      <w:rFonts w:hint="eastAsia"/>
                      <w:color w:val="auto"/>
                      <w:sz w:val="18"/>
                      <w:szCs w:val="18"/>
                      <w:lang w:val="en-US" w:eastAsia="zh-CN"/>
                    </w:rPr>
                    <w:t>3.3</w:t>
                  </w:r>
                </w:p>
              </w:tc>
              <w:tc>
                <w:tcPr>
                  <w:tcW w:w="791" w:type="dxa"/>
                  <w:vMerge w:val="continue"/>
                  <w:vAlign w:val="center"/>
                </w:tcPr>
                <w:p>
                  <w:pPr>
                    <w:widowControl/>
                    <w:spacing w:line="280" w:lineRule="exact"/>
                    <w:jc w:val="center"/>
                    <w:rPr>
                      <w:color w:val="auto"/>
                      <w:sz w:val="18"/>
                      <w:szCs w:val="18"/>
                    </w:rPr>
                  </w:pPr>
                </w:p>
              </w:tc>
              <w:tc>
                <w:tcPr>
                  <w:tcW w:w="855" w:type="dxa"/>
                  <w:vAlign w:val="center"/>
                </w:tcPr>
                <w:p>
                  <w:pPr>
                    <w:widowControl/>
                    <w:spacing w:line="280" w:lineRule="exact"/>
                    <w:jc w:val="center"/>
                    <w:rPr>
                      <w:rFonts w:hint="default" w:eastAsia="宋体"/>
                      <w:color w:val="auto"/>
                      <w:sz w:val="18"/>
                      <w:szCs w:val="18"/>
                      <w:lang w:val="en-US" w:eastAsia="zh-CN"/>
                    </w:rPr>
                  </w:pPr>
                  <w:r>
                    <w:rPr>
                      <w:rFonts w:hint="eastAsia"/>
                      <w:color w:val="auto"/>
                      <w:sz w:val="18"/>
                      <w:szCs w:val="18"/>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460" w:type="dxa"/>
                  <w:vMerge w:val="continue"/>
                  <w:vAlign w:val="center"/>
                </w:tcPr>
                <w:p>
                  <w:pPr>
                    <w:widowControl/>
                    <w:spacing w:line="280" w:lineRule="exact"/>
                    <w:jc w:val="center"/>
                    <w:rPr>
                      <w:color w:val="auto"/>
                      <w:sz w:val="18"/>
                      <w:szCs w:val="18"/>
                    </w:rPr>
                  </w:pPr>
                </w:p>
              </w:tc>
              <w:tc>
                <w:tcPr>
                  <w:tcW w:w="485" w:type="dxa"/>
                  <w:vMerge w:val="continue"/>
                  <w:vAlign w:val="center"/>
                </w:tcPr>
                <w:p>
                  <w:pPr>
                    <w:widowControl/>
                    <w:spacing w:line="280" w:lineRule="exact"/>
                    <w:jc w:val="center"/>
                    <w:rPr>
                      <w:color w:val="auto"/>
                      <w:sz w:val="18"/>
                      <w:szCs w:val="18"/>
                    </w:rPr>
                  </w:pPr>
                </w:p>
              </w:tc>
              <w:tc>
                <w:tcPr>
                  <w:tcW w:w="715" w:type="dxa"/>
                  <w:vAlign w:val="center"/>
                </w:tcPr>
                <w:p>
                  <w:pPr>
                    <w:widowControl/>
                    <w:spacing w:line="280" w:lineRule="exact"/>
                    <w:jc w:val="center"/>
                    <w:rPr>
                      <w:color w:val="auto"/>
                      <w:sz w:val="18"/>
                      <w:szCs w:val="18"/>
                    </w:rPr>
                  </w:pPr>
                  <w:r>
                    <w:rPr>
                      <w:rFonts w:hint="eastAsia"/>
                      <w:color w:val="auto"/>
                      <w:sz w:val="18"/>
                      <w:szCs w:val="18"/>
                    </w:rPr>
                    <w:t>SS</w:t>
                  </w:r>
                </w:p>
              </w:tc>
              <w:tc>
                <w:tcPr>
                  <w:tcW w:w="473" w:type="dxa"/>
                  <w:vMerge w:val="continue"/>
                  <w:vAlign w:val="center"/>
                </w:tcPr>
                <w:p>
                  <w:pPr>
                    <w:pStyle w:val="75"/>
                    <w:spacing w:line="280" w:lineRule="exact"/>
                    <w:jc w:val="center"/>
                    <w:rPr>
                      <w:color w:val="auto"/>
                      <w:sz w:val="18"/>
                      <w:szCs w:val="18"/>
                    </w:rPr>
                  </w:pPr>
                </w:p>
              </w:tc>
              <w:tc>
                <w:tcPr>
                  <w:tcW w:w="897" w:type="dxa"/>
                  <w:vMerge w:val="continue"/>
                  <w:vAlign w:val="center"/>
                </w:tcPr>
                <w:p>
                  <w:pPr>
                    <w:widowControl/>
                    <w:spacing w:line="280" w:lineRule="exact"/>
                    <w:jc w:val="center"/>
                    <w:rPr>
                      <w:color w:val="auto"/>
                      <w:sz w:val="18"/>
                      <w:szCs w:val="18"/>
                    </w:rPr>
                  </w:pPr>
                </w:p>
              </w:tc>
              <w:tc>
                <w:tcPr>
                  <w:tcW w:w="824" w:type="dxa"/>
                  <w:vAlign w:val="center"/>
                </w:tcPr>
                <w:p>
                  <w:pPr>
                    <w:widowControl/>
                    <w:spacing w:line="280" w:lineRule="exact"/>
                    <w:jc w:val="center"/>
                    <w:rPr>
                      <w:rFonts w:hint="default" w:eastAsia="宋体"/>
                      <w:color w:val="auto"/>
                      <w:sz w:val="18"/>
                      <w:szCs w:val="18"/>
                      <w:lang w:val="en-US" w:eastAsia="zh-CN"/>
                    </w:rPr>
                  </w:pPr>
                  <w:r>
                    <w:rPr>
                      <w:rFonts w:hint="eastAsia"/>
                      <w:color w:val="auto"/>
                      <w:sz w:val="18"/>
                      <w:szCs w:val="18"/>
                      <w:lang w:val="en-US" w:eastAsia="zh-CN"/>
                    </w:rPr>
                    <w:t>400</w:t>
                  </w:r>
                </w:p>
              </w:tc>
              <w:tc>
                <w:tcPr>
                  <w:tcW w:w="630" w:type="dxa"/>
                  <w:vAlign w:val="center"/>
                </w:tcPr>
                <w:p>
                  <w:pPr>
                    <w:pStyle w:val="75"/>
                    <w:spacing w:line="280" w:lineRule="exact"/>
                    <w:jc w:val="center"/>
                    <w:rPr>
                      <w:rFonts w:hint="default" w:eastAsia="宋体"/>
                      <w:color w:val="auto"/>
                      <w:kern w:val="0"/>
                      <w:sz w:val="18"/>
                      <w:szCs w:val="18"/>
                      <w:lang w:val="en-US" w:eastAsia="zh-CN"/>
                    </w:rPr>
                  </w:pPr>
                  <w:r>
                    <w:rPr>
                      <w:rFonts w:hint="eastAsia"/>
                      <w:color w:val="auto"/>
                      <w:kern w:val="0"/>
                      <w:sz w:val="18"/>
                      <w:szCs w:val="18"/>
                      <w:lang w:val="en-US" w:eastAsia="zh-CN"/>
                    </w:rPr>
                    <w:t>0.0384</w:t>
                  </w:r>
                </w:p>
              </w:tc>
              <w:tc>
                <w:tcPr>
                  <w:tcW w:w="1313" w:type="dxa"/>
                  <w:vMerge w:val="continue"/>
                  <w:vAlign w:val="center"/>
                </w:tcPr>
                <w:p>
                  <w:pPr>
                    <w:pStyle w:val="75"/>
                    <w:spacing w:line="280" w:lineRule="exact"/>
                    <w:jc w:val="center"/>
                    <w:rPr>
                      <w:color w:val="auto"/>
                      <w:kern w:val="0"/>
                      <w:sz w:val="18"/>
                      <w:szCs w:val="18"/>
                    </w:rPr>
                  </w:pPr>
                </w:p>
              </w:tc>
              <w:tc>
                <w:tcPr>
                  <w:tcW w:w="675" w:type="dxa"/>
                  <w:vAlign w:val="center"/>
                </w:tcPr>
                <w:p>
                  <w:pPr>
                    <w:pStyle w:val="75"/>
                    <w:spacing w:line="280" w:lineRule="exact"/>
                    <w:jc w:val="center"/>
                    <w:rPr>
                      <w:rFonts w:hint="eastAsia" w:eastAsia="宋体"/>
                      <w:color w:val="auto"/>
                      <w:sz w:val="18"/>
                      <w:szCs w:val="18"/>
                      <w:lang w:val="en-US" w:eastAsia="zh-CN"/>
                    </w:rPr>
                  </w:pPr>
                  <w:r>
                    <w:rPr>
                      <w:rFonts w:hint="eastAsia"/>
                      <w:color w:val="auto"/>
                      <w:sz w:val="18"/>
                      <w:szCs w:val="18"/>
                    </w:rPr>
                    <w:t>9</w:t>
                  </w:r>
                  <w:r>
                    <w:rPr>
                      <w:rFonts w:hint="eastAsia"/>
                      <w:color w:val="auto"/>
                      <w:sz w:val="18"/>
                      <w:szCs w:val="18"/>
                      <w:lang w:val="en-US" w:eastAsia="zh-CN"/>
                    </w:rPr>
                    <w:t>5</w:t>
                  </w:r>
                </w:p>
              </w:tc>
              <w:tc>
                <w:tcPr>
                  <w:tcW w:w="791" w:type="dxa"/>
                  <w:vMerge w:val="continue"/>
                  <w:vAlign w:val="center"/>
                </w:tcPr>
                <w:p>
                  <w:pPr>
                    <w:widowControl/>
                    <w:spacing w:line="280" w:lineRule="exact"/>
                    <w:jc w:val="center"/>
                    <w:rPr>
                      <w:color w:val="auto"/>
                      <w:sz w:val="18"/>
                      <w:szCs w:val="18"/>
                    </w:rPr>
                  </w:pPr>
                </w:p>
              </w:tc>
              <w:tc>
                <w:tcPr>
                  <w:tcW w:w="855" w:type="dxa"/>
                  <w:vAlign w:val="center"/>
                </w:tcPr>
                <w:p>
                  <w:pPr>
                    <w:widowControl/>
                    <w:spacing w:line="280" w:lineRule="exact"/>
                    <w:jc w:val="center"/>
                    <w:rPr>
                      <w:rFonts w:hint="default" w:eastAsia="宋体"/>
                      <w:color w:val="auto"/>
                      <w:sz w:val="18"/>
                      <w:szCs w:val="18"/>
                      <w:lang w:val="en-US" w:eastAsia="zh-CN"/>
                    </w:rPr>
                  </w:pPr>
                  <w:r>
                    <w:rPr>
                      <w:rFonts w:hint="eastAsia"/>
                      <w:color w:val="auto"/>
                      <w:sz w:val="18"/>
                      <w:szCs w:val="18"/>
                      <w:lang w:val="en-US" w:eastAsia="zh-CN"/>
                    </w:rPr>
                    <w:t>20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460" w:type="dxa"/>
                  <w:vMerge w:val="continue"/>
                  <w:vAlign w:val="center"/>
                </w:tcPr>
                <w:p>
                  <w:pPr>
                    <w:widowControl/>
                    <w:spacing w:line="280" w:lineRule="exact"/>
                    <w:jc w:val="center"/>
                    <w:rPr>
                      <w:color w:val="auto"/>
                      <w:sz w:val="18"/>
                      <w:szCs w:val="18"/>
                    </w:rPr>
                  </w:pPr>
                </w:p>
              </w:tc>
              <w:tc>
                <w:tcPr>
                  <w:tcW w:w="485" w:type="dxa"/>
                  <w:vMerge w:val="continue"/>
                  <w:vAlign w:val="center"/>
                </w:tcPr>
                <w:p>
                  <w:pPr>
                    <w:widowControl/>
                    <w:spacing w:line="280" w:lineRule="exact"/>
                    <w:jc w:val="center"/>
                    <w:rPr>
                      <w:color w:val="auto"/>
                      <w:sz w:val="18"/>
                      <w:szCs w:val="18"/>
                    </w:rPr>
                  </w:pPr>
                </w:p>
              </w:tc>
              <w:tc>
                <w:tcPr>
                  <w:tcW w:w="715" w:type="dxa"/>
                  <w:vAlign w:val="center"/>
                </w:tcPr>
                <w:p>
                  <w:pPr>
                    <w:widowControl/>
                    <w:spacing w:line="280" w:lineRule="exact"/>
                    <w:jc w:val="center"/>
                    <w:rPr>
                      <w:rFonts w:hint="default" w:eastAsia="宋体"/>
                      <w:color w:val="auto"/>
                      <w:sz w:val="18"/>
                      <w:szCs w:val="18"/>
                      <w:lang w:val="en-US" w:eastAsia="zh-CN"/>
                    </w:rPr>
                  </w:pPr>
                  <w:r>
                    <w:rPr>
                      <w:rFonts w:hint="eastAsia"/>
                      <w:color w:val="auto"/>
                      <w:sz w:val="18"/>
                      <w:szCs w:val="18"/>
                      <w:lang w:val="en-US" w:eastAsia="zh-CN"/>
                    </w:rPr>
                    <w:t>NH</w:t>
                  </w:r>
                  <w:r>
                    <w:rPr>
                      <w:rFonts w:hint="eastAsia"/>
                      <w:color w:val="auto"/>
                      <w:sz w:val="18"/>
                      <w:szCs w:val="18"/>
                      <w:vertAlign w:val="subscript"/>
                      <w:lang w:val="en-US" w:eastAsia="zh-CN"/>
                    </w:rPr>
                    <w:t>3</w:t>
                  </w:r>
                  <w:r>
                    <w:rPr>
                      <w:rFonts w:hint="eastAsia"/>
                      <w:color w:val="auto"/>
                      <w:sz w:val="18"/>
                      <w:szCs w:val="18"/>
                      <w:lang w:val="en-US" w:eastAsia="zh-CN"/>
                    </w:rPr>
                    <w:t>-N</w:t>
                  </w:r>
                </w:p>
              </w:tc>
              <w:tc>
                <w:tcPr>
                  <w:tcW w:w="473" w:type="dxa"/>
                  <w:vMerge w:val="continue"/>
                  <w:vAlign w:val="center"/>
                </w:tcPr>
                <w:p>
                  <w:pPr>
                    <w:pStyle w:val="75"/>
                    <w:spacing w:line="280" w:lineRule="exact"/>
                    <w:jc w:val="center"/>
                    <w:rPr>
                      <w:color w:val="auto"/>
                      <w:sz w:val="18"/>
                      <w:szCs w:val="18"/>
                    </w:rPr>
                  </w:pPr>
                </w:p>
              </w:tc>
              <w:tc>
                <w:tcPr>
                  <w:tcW w:w="897" w:type="dxa"/>
                  <w:vMerge w:val="continue"/>
                  <w:vAlign w:val="center"/>
                </w:tcPr>
                <w:p>
                  <w:pPr>
                    <w:widowControl/>
                    <w:spacing w:line="280" w:lineRule="exact"/>
                    <w:jc w:val="center"/>
                    <w:rPr>
                      <w:color w:val="auto"/>
                      <w:sz w:val="18"/>
                      <w:szCs w:val="18"/>
                    </w:rPr>
                  </w:pPr>
                </w:p>
              </w:tc>
              <w:tc>
                <w:tcPr>
                  <w:tcW w:w="824" w:type="dxa"/>
                  <w:vAlign w:val="center"/>
                </w:tcPr>
                <w:p>
                  <w:pPr>
                    <w:widowControl/>
                    <w:spacing w:line="280" w:lineRule="exact"/>
                    <w:jc w:val="center"/>
                    <w:rPr>
                      <w:rFonts w:hint="default"/>
                      <w:color w:val="auto"/>
                      <w:sz w:val="18"/>
                      <w:szCs w:val="18"/>
                      <w:lang w:val="en-US" w:eastAsia="zh-CN"/>
                    </w:rPr>
                  </w:pPr>
                  <w:r>
                    <w:rPr>
                      <w:rFonts w:hint="eastAsia"/>
                      <w:color w:val="auto"/>
                      <w:sz w:val="18"/>
                      <w:szCs w:val="18"/>
                      <w:lang w:val="en-US" w:eastAsia="zh-CN"/>
                    </w:rPr>
                    <w:t>15</w:t>
                  </w:r>
                </w:p>
              </w:tc>
              <w:tc>
                <w:tcPr>
                  <w:tcW w:w="630" w:type="dxa"/>
                  <w:vAlign w:val="center"/>
                </w:tcPr>
                <w:p>
                  <w:pPr>
                    <w:pStyle w:val="75"/>
                    <w:spacing w:line="280" w:lineRule="exact"/>
                    <w:jc w:val="center"/>
                    <w:rPr>
                      <w:rFonts w:hint="default"/>
                      <w:color w:val="auto"/>
                      <w:kern w:val="0"/>
                      <w:sz w:val="18"/>
                      <w:szCs w:val="18"/>
                      <w:lang w:val="en-US" w:eastAsia="zh-CN"/>
                    </w:rPr>
                  </w:pPr>
                  <w:r>
                    <w:rPr>
                      <w:rFonts w:hint="eastAsia"/>
                      <w:color w:val="auto"/>
                      <w:kern w:val="0"/>
                      <w:sz w:val="18"/>
                      <w:szCs w:val="18"/>
                      <w:lang w:val="en-US" w:eastAsia="zh-CN"/>
                    </w:rPr>
                    <w:t>0.00144</w:t>
                  </w:r>
                </w:p>
              </w:tc>
              <w:tc>
                <w:tcPr>
                  <w:tcW w:w="1313" w:type="dxa"/>
                  <w:vMerge w:val="continue"/>
                  <w:vAlign w:val="center"/>
                </w:tcPr>
                <w:p>
                  <w:pPr>
                    <w:pStyle w:val="75"/>
                    <w:spacing w:line="280" w:lineRule="exact"/>
                    <w:jc w:val="center"/>
                    <w:rPr>
                      <w:color w:val="auto"/>
                      <w:kern w:val="0"/>
                      <w:sz w:val="18"/>
                      <w:szCs w:val="18"/>
                    </w:rPr>
                  </w:pPr>
                </w:p>
              </w:tc>
              <w:tc>
                <w:tcPr>
                  <w:tcW w:w="675" w:type="dxa"/>
                  <w:vAlign w:val="center"/>
                </w:tcPr>
                <w:p>
                  <w:pPr>
                    <w:pStyle w:val="75"/>
                    <w:spacing w:line="280" w:lineRule="exact"/>
                    <w:jc w:val="center"/>
                    <w:rPr>
                      <w:rFonts w:hint="default" w:eastAsia="宋体"/>
                      <w:color w:val="auto"/>
                      <w:sz w:val="18"/>
                      <w:szCs w:val="18"/>
                      <w:lang w:val="en-US" w:eastAsia="zh-CN"/>
                    </w:rPr>
                  </w:pPr>
                  <w:r>
                    <w:rPr>
                      <w:rFonts w:hint="eastAsia"/>
                      <w:color w:val="auto"/>
                      <w:sz w:val="18"/>
                      <w:szCs w:val="18"/>
                      <w:lang w:val="en-US" w:eastAsia="zh-CN"/>
                    </w:rPr>
                    <w:t>46.7</w:t>
                  </w:r>
                </w:p>
              </w:tc>
              <w:tc>
                <w:tcPr>
                  <w:tcW w:w="791" w:type="dxa"/>
                  <w:vMerge w:val="continue"/>
                  <w:vAlign w:val="center"/>
                </w:tcPr>
                <w:p>
                  <w:pPr>
                    <w:widowControl/>
                    <w:spacing w:line="280" w:lineRule="exact"/>
                    <w:jc w:val="center"/>
                    <w:rPr>
                      <w:color w:val="auto"/>
                      <w:sz w:val="18"/>
                      <w:szCs w:val="18"/>
                    </w:rPr>
                  </w:pPr>
                </w:p>
              </w:tc>
              <w:tc>
                <w:tcPr>
                  <w:tcW w:w="855" w:type="dxa"/>
                  <w:vAlign w:val="center"/>
                </w:tcPr>
                <w:p>
                  <w:pPr>
                    <w:pStyle w:val="75"/>
                    <w:spacing w:line="28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8" w:hRule="atLeast"/>
                <w:jc w:val="center"/>
              </w:trPr>
              <w:tc>
                <w:tcPr>
                  <w:tcW w:w="460" w:type="dxa"/>
                  <w:vMerge w:val="continue"/>
                  <w:vAlign w:val="center"/>
                </w:tcPr>
                <w:p>
                  <w:pPr>
                    <w:widowControl/>
                    <w:spacing w:line="280" w:lineRule="exact"/>
                    <w:jc w:val="center"/>
                    <w:rPr>
                      <w:color w:val="auto"/>
                      <w:sz w:val="18"/>
                      <w:szCs w:val="18"/>
                    </w:rPr>
                  </w:pPr>
                </w:p>
              </w:tc>
              <w:tc>
                <w:tcPr>
                  <w:tcW w:w="485" w:type="dxa"/>
                  <w:vMerge w:val="continue"/>
                  <w:vAlign w:val="center"/>
                </w:tcPr>
                <w:p>
                  <w:pPr>
                    <w:widowControl/>
                    <w:spacing w:line="280" w:lineRule="exact"/>
                    <w:jc w:val="center"/>
                    <w:rPr>
                      <w:color w:val="auto"/>
                      <w:sz w:val="18"/>
                      <w:szCs w:val="18"/>
                    </w:rPr>
                  </w:pPr>
                </w:p>
              </w:tc>
              <w:tc>
                <w:tcPr>
                  <w:tcW w:w="715" w:type="dxa"/>
                  <w:vAlign w:val="center"/>
                </w:tcPr>
                <w:p>
                  <w:pPr>
                    <w:widowControl/>
                    <w:spacing w:line="280" w:lineRule="exact"/>
                    <w:jc w:val="center"/>
                    <w:rPr>
                      <w:rFonts w:hint="default"/>
                      <w:color w:val="auto"/>
                      <w:sz w:val="18"/>
                      <w:szCs w:val="18"/>
                      <w:lang w:val="en-US" w:eastAsia="zh-CN"/>
                    </w:rPr>
                  </w:pPr>
                  <w:r>
                    <w:rPr>
                      <w:rFonts w:hint="eastAsia"/>
                      <w:color w:val="auto"/>
                      <w:sz w:val="18"/>
                      <w:szCs w:val="18"/>
                      <w:lang w:val="en-US" w:eastAsia="zh-CN"/>
                    </w:rPr>
                    <w:t>TP</w:t>
                  </w:r>
                </w:p>
              </w:tc>
              <w:tc>
                <w:tcPr>
                  <w:tcW w:w="473" w:type="dxa"/>
                  <w:vMerge w:val="continue"/>
                  <w:vAlign w:val="center"/>
                </w:tcPr>
                <w:p>
                  <w:pPr>
                    <w:pStyle w:val="75"/>
                    <w:spacing w:line="280" w:lineRule="exact"/>
                    <w:jc w:val="center"/>
                    <w:rPr>
                      <w:color w:val="auto"/>
                      <w:sz w:val="18"/>
                      <w:szCs w:val="18"/>
                    </w:rPr>
                  </w:pPr>
                </w:p>
              </w:tc>
              <w:tc>
                <w:tcPr>
                  <w:tcW w:w="897" w:type="dxa"/>
                  <w:vMerge w:val="continue"/>
                  <w:vAlign w:val="center"/>
                </w:tcPr>
                <w:p>
                  <w:pPr>
                    <w:widowControl/>
                    <w:spacing w:line="280" w:lineRule="exact"/>
                    <w:jc w:val="center"/>
                    <w:rPr>
                      <w:color w:val="auto"/>
                      <w:sz w:val="18"/>
                      <w:szCs w:val="18"/>
                    </w:rPr>
                  </w:pPr>
                </w:p>
              </w:tc>
              <w:tc>
                <w:tcPr>
                  <w:tcW w:w="824" w:type="dxa"/>
                  <w:vAlign w:val="center"/>
                </w:tcPr>
                <w:p>
                  <w:pPr>
                    <w:widowControl/>
                    <w:spacing w:line="280" w:lineRule="exact"/>
                    <w:jc w:val="center"/>
                    <w:rPr>
                      <w:rFonts w:hint="default"/>
                      <w:color w:val="auto"/>
                      <w:sz w:val="18"/>
                      <w:szCs w:val="18"/>
                      <w:lang w:val="en-US" w:eastAsia="zh-CN"/>
                    </w:rPr>
                  </w:pPr>
                  <w:r>
                    <w:rPr>
                      <w:rFonts w:hint="eastAsia"/>
                      <w:color w:val="auto"/>
                      <w:sz w:val="18"/>
                      <w:szCs w:val="18"/>
                      <w:lang w:val="en-US" w:eastAsia="zh-CN"/>
                    </w:rPr>
                    <w:t>8</w:t>
                  </w:r>
                </w:p>
              </w:tc>
              <w:tc>
                <w:tcPr>
                  <w:tcW w:w="630" w:type="dxa"/>
                  <w:vAlign w:val="center"/>
                </w:tcPr>
                <w:p>
                  <w:pPr>
                    <w:pStyle w:val="75"/>
                    <w:spacing w:line="280" w:lineRule="exact"/>
                    <w:jc w:val="center"/>
                    <w:rPr>
                      <w:rFonts w:hint="default"/>
                      <w:color w:val="auto"/>
                      <w:kern w:val="0"/>
                      <w:sz w:val="18"/>
                      <w:szCs w:val="18"/>
                      <w:lang w:val="en-US" w:eastAsia="zh-CN"/>
                    </w:rPr>
                  </w:pPr>
                  <w:r>
                    <w:rPr>
                      <w:rFonts w:hint="eastAsia"/>
                      <w:color w:val="auto"/>
                      <w:kern w:val="0"/>
                      <w:sz w:val="18"/>
                      <w:szCs w:val="18"/>
                      <w:lang w:val="en-US" w:eastAsia="zh-CN"/>
                    </w:rPr>
                    <w:t>0.000768</w:t>
                  </w:r>
                </w:p>
              </w:tc>
              <w:tc>
                <w:tcPr>
                  <w:tcW w:w="1313" w:type="dxa"/>
                  <w:vMerge w:val="continue"/>
                  <w:vAlign w:val="center"/>
                </w:tcPr>
                <w:p>
                  <w:pPr>
                    <w:pStyle w:val="75"/>
                    <w:spacing w:line="280" w:lineRule="exact"/>
                    <w:jc w:val="center"/>
                    <w:rPr>
                      <w:color w:val="auto"/>
                      <w:kern w:val="0"/>
                      <w:sz w:val="18"/>
                      <w:szCs w:val="18"/>
                    </w:rPr>
                  </w:pPr>
                </w:p>
              </w:tc>
              <w:tc>
                <w:tcPr>
                  <w:tcW w:w="675" w:type="dxa"/>
                  <w:vAlign w:val="center"/>
                </w:tcPr>
                <w:p>
                  <w:pPr>
                    <w:pStyle w:val="75"/>
                    <w:spacing w:line="280" w:lineRule="exact"/>
                    <w:jc w:val="center"/>
                    <w:rPr>
                      <w:rFonts w:hint="default" w:eastAsia="宋体"/>
                      <w:color w:val="auto"/>
                      <w:sz w:val="18"/>
                      <w:szCs w:val="18"/>
                      <w:lang w:val="en-US" w:eastAsia="zh-CN"/>
                    </w:rPr>
                  </w:pPr>
                  <w:r>
                    <w:rPr>
                      <w:rFonts w:hint="eastAsia"/>
                      <w:color w:val="auto"/>
                      <w:sz w:val="18"/>
                      <w:szCs w:val="18"/>
                      <w:lang w:val="en-US" w:eastAsia="zh-CN"/>
                    </w:rPr>
                    <w:t>87.5</w:t>
                  </w:r>
                </w:p>
              </w:tc>
              <w:tc>
                <w:tcPr>
                  <w:tcW w:w="791" w:type="dxa"/>
                  <w:vMerge w:val="continue"/>
                  <w:vAlign w:val="center"/>
                </w:tcPr>
                <w:p>
                  <w:pPr>
                    <w:widowControl/>
                    <w:spacing w:line="280" w:lineRule="exact"/>
                    <w:jc w:val="center"/>
                    <w:rPr>
                      <w:color w:val="auto"/>
                      <w:sz w:val="18"/>
                      <w:szCs w:val="18"/>
                    </w:rPr>
                  </w:pPr>
                </w:p>
              </w:tc>
              <w:tc>
                <w:tcPr>
                  <w:tcW w:w="855" w:type="dxa"/>
                  <w:vAlign w:val="center"/>
                </w:tcPr>
                <w:p>
                  <w:pPr>
                    <w:pStyle w:val="75"/>
                    <w:spacing w:line="280" w:lineRule="exact"/>
                    <w:jc w:val="center"/>
                    <w:rPr>
                      <w:rFonts w:hint="eastAsia"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1</w:t>
                  </w:r>
                </w:p>
              </w:tc>
            </w:tr>
          </w:tbl>
          <w:p>
            <w:pPr>
              <w:spacing w:line="360" w:lineRule="auto"/>
              <w:ind w:firstLine="422" w:firstLineChars="200"/>
              <w:rPr>
                <w:b/>
                <w:bCs/>
                <w:color w:val="auto"/>
              </w:rPr>
            </w:pPr>
            <w:r>
              <w:rPr>
                <w:rFonts w:hint="eastAsia"/>
                <w:b/>
                <w:bCs/>
                <w:color w:val="auto"/>
              </w:rPr>
              <w:t>（2）可行性分析</w:t>
            </w:r>
          </w:p>
          <w:p>
            <w:pPr>
              <w:spacing w:line="360" w:lineRule="auto"/>
              <w:ind w:firstLine="420" w:firstLineChars="200"/>
              <w:rPr>
                <w:color w:val="auto"/>
              </w:rPr>
            </w:pPr>
            <w:r>
              <w:rPr>
                <w:rFonts w:hint="eastAsia"/>
                <w:color w:val="auto"/>
              </w:rPr>
              <w:t>生活废水处理可行性分析</w:t>
            </w:r>
          </w:p>
          <w:p>
            <w:pPr>
              <w:spacing w:line="360" w:lineRule="auto"/>
              <w:ind w:firstLine="420" w:firstLineChars="200"/>
              <w:rPr>
                <w:rFonts w:hint="eastAsia"/>
                <w:color w:val="auto"/>
                <w:lang w:eastAsia="zh-CN"/>
              </w:rPr>
            </w:pPr>
            <w:r>
              <w:rPr>
                <w:rFonts w:hint="eastAsia"/>
                <w:color w:val="auto"/>
              </w:rPr>
              <w:t>项目生活废水直接排入市政污水管网，进入玛纳斯县污水处理厂</w:t>
            </w:r>
            <w:r>
              <w:rPr>
                <w:rFonts w:hint="eastAsia"/>
                <w:color w:val="auto"/>
                <w:lang w:eastAsia="zh-CN"/>
              </w:rPr>
              <w:t>。</w:t>
            </w:r>
          </w:p>
          <w:p>
            <w:pPr>
              <w:spacing w:line="360" w:lineRule="auto"/>
              <w:ind w:firstLine="420" w:firstLineChars="200"/>
              <w:rPr>
                <w:rFonts w:hint="eastAsia"/>
                <w:color w:val="auto"/>
                <w:lang w:eastAsia="zh-CN"/>
              </w:rPr>
            </w:pPr>
            <w:r>
              <w:rPr>
                <w:rFonts w:hint="eastAsia"/>
                <w:color w:val="auto"/>
              </w:rPr>
              <w:t>玛纳斯县污水处理厂位于新疆昌吉州</w:t>
            </w:r>
            <w:r>
              <w:rPr>
                <w:rFonts w:hint="eastAsia"/>
                <w:color w:val="auto"/>
                <w:lang w:val="en-US" w:eastAsia="zh-CN"/>
              </w:rPr>
              <w:t>玛纳斯县</w:t>
            </w:r>
            <w:r>
              <w:rPr>
                <w:rFonts w:hint="eastAsia" w:eastAsia="宋体"/>
                <w:color w:val="auto"/>
                <w:lang w:eastAsia="zh-CN"/>
              </w:rPr>
              <w:t>，</w:t>
            </w:r>
            <w:r>
              <w:rPr>
                <w:rFonts w:hint="eastAsia"/>
                <w:color w:val="auto"/>
                <w:lang w:val="en-US" w:eastAsia="zh-CN"/>
              </w:rPr>
              <w:t>距离本项目11km，</w:t>
            </w:r>
            <w:r>
              <w:rPr>
                <w:rFonts w:hint="eastAsia"/>
                <w:color w:val="auto"/>
                <w:lang w:eastAsia="zh-CN"/>
              </w:rPr>
              <w:t>玛纳斯县禹源排水有限责任公司的污水处理厂于2011年1月13日经玛纳斯县发展和改革委员会文件玛发改综（2011）2号《关于玛纳斯县污水处理厂建设项目立项的批复》，建设项目环境影响报告表委托昌吉州水利科学技术研究所编制的，自治区环保厅于2011年5月11日以新环评审函（2011）29号文给予了批复。污水处理工程共分两期建设，一期工程总投资1800万元，设计日处理污水1万立方米，出水水质《城镇污水处理厂污染物排放标准》（GB18918-2002）一级B标准，于2012年8月30日通过昌吉州环保局验收，目前稳定运行。二期项目于2014年8月开工建设，投资2600万元，设计日处理污水1万立方米，出水水质《城镇污水处理厂污染物排放标准》（GB18918-2002）一级B标准，二期项目于2015年8月完成，并进水调试，目前已通过昌吉州环境监测站的验收监测。</w:t>
            </w:r>
          </w:p>
          <w:p>
            <w:pPr>
              <w:spacing w:line="360" w:lineRule="auto"/>
              <w:ind w:firstLine="420" w:firstLineChars="200"/>
              <w:rPr>
                <w:rFonts w:hint="default" w:eastAsia="宋体"/>
                <w:color w:val="auto"/>
                <w:lang w:val="en-US" w:eastAsia="zh-CN"/>
              </w:rPr>
            </w:pPr>
            <w:r>
              <w:rPr>
                <w:rFonts w:hint="eastAsia" w:eastAsia="宋体"/>
                <w:color w:val="auto"/>
                <w:lang w:eastAsia="zh-CN"/>
              </w:rPr>
              <w:t>玛纳斯县污水处理厂采取的污水处理工艺为A2/O，其设计规模为1.00万立方米/日，平均日处理规模达到1.15万立方米/日</w:t>
            </w:r>
            <w:r>
              <w:rPr>
                <w:rFonts w:hint="eastAsia"/>
                <w:color w:val="auto"/>
                <w:lang w:eastAsia="zh-CN"/>
              </w:rPr>
              <w:t>，</w:t>
            </w:r>
            <w:r>
              <w:rPr>
                <w:rFonts w:hint="eastAsia"/>
                <w:color w:val="auto"/>
                <w:lang w:val="en-US" w:eastAsia="zh-CN"/>
              </w:rPr>
              <w:t>本项目生活废水产生量极少，</w:t>
            </w:r>
            <w:r>
              <w:rPr>
                <w:rFonts w:hint="eastAsia"/>
                <w:color w:val="auto"/>
              </w:rPr>
              <w:t>远远小于玛纳斯县污水处理厂处理规模。</w:t>
            </w:r>
            <w:r>
              <w:rPr>
                <w:rFonts w:hint="eastAsia"/>
                <w:color w:val="auto"/>
                <w:lang w:val="en-US" w:eastAsia="zh-CN"/>
              </w:rPr>
              <w:t>故依托</w:t>
            </w:r>
            <w:r>
              <w:rPr>
                <w:rFonts w:hint="eastAsia"/>
                <w:color w:val="auto"/>
              </w:rPr>
              <w:t>玛纳斯县污水处理厂</w:t>
            </w:r>
            <w:r>
              <w:rPr>
                <w:rFonts w:hint="eastAsia"/>
                <w:color w:val="auto"/>
                <w:lang w:val="en-US" w:eastAsia="zh-CN"/>
              </w:rPr>
              <w:t>处理生活废水可行。</w:t>
            </w:r>
          </w:p>
          <w:p>
            <w:pPr>
              <w:spacing w:line="360" w:lineRule="auto"/>
              <w:ind w:firstLine="422" w:firstLineChars="200"/>
              <w:rPr>
                <w:b/>
                <w:bCs/>
                <w:color w:val="auto"/>
                <w:sz w:val="18"/>
                <w:szCs w:val="18"/>
              </w:rPr>
            </w:pPr>
            <w:r>
              <w:rPr>
                <w:rFonts w:hint="eastAsia"/>
                <w:b/>
                <w:bCs/>
                <w:color w:val="auto"/>
              </w:rPr>
              <w:t>（3）废水排放监测计划</w:t>
            </w:r>
          </w:p>
          <w:p>
            <w:pPr>
              <w:spacing w:line="360" w:lineRule="auto"/>
              <w:ind w:firstLine="420" w:firstLineChars="200"/>
              <w:rPr>
                <w:rFonts w:hint="default" w:eastAsia="宋体"/>
                <w:b w:val="0"/>
                <w:bCs w:val="0"/>
                <w:color w:val="auto"/>
                <w:lang w:val="en-US" w:eastAsia="zh-CN"/>
              </w:rPr>
            </w:pPr>
            <w:r>
              <w:rPr>
                <w:rFonts w:hint="eastAsia"/>
                <w:b w:val="0"/>
                <w:bCs w:val="0"/>
                <w:color w:val="auto"/>
                <w:lang w:val="en-US" w:eastAsia="zh-CN"/>
              </w:rPr>
              <w:t>本项目不设置污水处理设施，故不进行废水排放监测。</w:t>
            </w:r>
          </w:p>
          <w:p>
            <w:pPr>
              <w:spacing w:line="360" w:lineRule="auto"/>
              <w:ind w:firstLine="422" w:firstLineChars="200"/>
              <w:rPr>
                <w:b/>
                <w:bCs/>
                <w:color w:val="auto"/>
              </w:rPr>
            </w:pPr>
            <w:r>
              <w:rPr>
                <w:rFonts w:hint="eastAsia"/>
                <w:b/>
                <w:bCs/>
                <w:color w:val="auto"/>
              </w:rPr>
              <w:t>3、噪声</w:t>
            </w:r>
          </w:p>
          <w:p>
            <w:pPr>
              <w:spacing w:line="360" w:lineRule="auto"/>
              <w:ind w:firstLine="422" w:firstLineChars="200"/>
              <w:rPr>
                <w:b/>
                <w:bCs/>
                <w:color w:val="auto"/>
              </w:rPr>
            </w:pPr>
            <w:r>
              <w:rPr>
                <w:rFonts w:hint="eastAsia"/>
                <w:b/>
                <w:bCs/>
                <w:color w:val="auto"/>
              </w:rPr>
              <w:t>（1）噪声源强</w:t>
            </w:r>
          </w:p>
          <w:p>
            <w:pPr>
              <w:spacing w:line="360" w:lineRule="auto"/>
              <w:ind w:firstLine="420" w:firstLineChars="200"/>
              <w:rPr>
                <w:color w:val="auto"/>
              </w:rPr>
            </w:pPr>
            <w:r>
              <w:rPr>
                <w:rFonts w:hint="eastAsia"/>
                <w:color w:val="auto"/>
              </w:rPr>
              <w:t>营运期噪声主要来源于</w:t>
            </w:r>
            <w:r>
              <w:rPr>
                <w:rFonts w:hint="eastAsia"/>
                <w:color w:val="auto"/>
                <w:lang w:val="en-US" w:eastAsia="zh-CN"/>
              </w:rPr>
              <w:t>碎浆机、搅拌器、吸水泵、烘干机</w:t>
            </w:r>
            <w:r>
              <w:rPr>
                <w:rFonts w:hint="eastAsia"/>
                <w:color w:val="auto"/>
              </w:rPr>
              <w:t>等设备的运行噪声，噪声源强为70～8</w:t>
            </w:r>
            <w:r>
              <w:rPr>
                <w:rFonts w:hint="eastAsia"/>
                <w:color w:val="auto"/>
                <w:lang w:val="en-US" w:eastAsia="zh-CN"/>
              </w:rPr>
              <w:t>5</w:t>
            </w:r>
            <w:r>
              <w:rPr>
                <w:rFonts w:hint="eastAsia"/>
                <w:color w:val="auto"/>
              </w:rPr>
              <w:t>dB(A)。</w:t>
            </w:r>
          </w:p>
          <w:p>
            <w:pPr>
              <w:spacing w:line="360" w:lineRule="auto"/>
              <w:rPr>
                <w:rFonts w:ascii="宋体" w:hAnsi="宋体" w:cs="宋体"/>
                <w:bCs/>
                <w:color w:val="auto"/>
                <w:spacing w:val="-10"/>
                <w:szCs w:val="21"/>
              </w:rPr>
            </w:pPr>
          </w:p>
        </w:tc>
      </w:tr>
    </w:tbl>
    <w:p>
      <w:pPr>
        <w:jc w:val="center"/>
        <w:rPr>
          <w:b/>
          <w:bCs/>
          <w:color w:val="auto"/>
          <w:sz w:val="18"/>
          <w:szCs w:val="18"/>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jc w:val="center"/>
        <w:rPr>
          <w:b w:val="0"/>
          <w:bCs w:val="0"/>
          <w:color w:val="auto"/>
          <w:sz w:val="18"/>
          <w:szCs w:val="18"/>
        </w:rPr>
      </w:pPr>
      <w:r>
        <w:rPr>
          <w:b/>
          <w:bCs/>
          <w:color w:val="auto"/>
          <w:sz w:val="18"/>
          <w:szCs w:val="18"/>
        </w:rPr>
        <w:t>表</w:t>
      </w:r>
      <w:r>
        <w:rPr>
          <w:rFonts w:hint="eastAsia"/>
          <w:b/>
          <w:bCs/>
          <w:color w:val="auto"/>
          <w:sz w:val="18"/>
          <w:szCs w:val="18"/>
        </w:rPr>
        <w:t>4-</w:t>
      </w:r>
      <w:r>
        <w:rPr>
          <w:rFonts w:hint="eastAsia"/>
          <w:b/>
          <w:bCs/>
          <w:color w:val="auto"/>
          <w:sz w:val="18"/>
          <w:szCs w:val="18"/>
          <w:lang w:val="en-US" w:eastAsia="zh-CN"/>
        </w:rPr>
        <w:t>8</w:t>
      </w:r>
      <w:r>
        <w:rPr>
          <w:b/>
          <w:bCs/>
          <w:color w:val="auto"/>
          <w:sz w:val="18"/>
          <w:szCs w:val="18"/>
        </w:rPr>
        <w:t xml:space="preserve">  项目噪声</w:t>
      </w:r>
      <w:r>
        <w:rPr>
          <w:rFonts w:hint="eastAsia"/>
          <w:b/>
          <w:bCs/>
          <w:color w:val="auto"/>
          <w:sz w:val="18"/>
          <w:szCs w:val="18"/>
          <w:lang w:val="en-US" w:eastAsia="zh-CN"/>
        </w:rPr>
        <w:t>源强调查清单</w:t>
      </w:r>
      <w:r>
        <w:rPr>
          <w:rFonts w:hint="eastAsia"/>
          <w:b/>
          <w:bCs/>
          <w:color w:val="auto"/>
          <w:sz w:val="18"/>
          <w:szCs w:val="18"/>
        </w:rPr>
        <w:t xml:space="preserve"> </w:t>
      </w:r>
      <w:r>
        <w:rPr>
          <w:b/>
          <w:bCs/>
          <w:color w:val="auto"/>
          <w:sz w:val="18"/>
          <w:szCs w:val="18"/>
        </w:rPr>
        <w:t xml:space="preserve"> 单位：dB（A）</w:t>
      </w:r>
    </w:p>
    <w:tbl>
      <w:tblPr>
        <w:tblStyle w:val="24"/>
        <w:tblW w:w="1417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418"/>
        <w:gridCol w:w="596"/>
        <w:gridCol w:w="564"/>
        <w:gridCol w:w="430"/>
        <w:gridCol w:w="673"/>
        <w:gridCol w:w="581"/>
        <w:gridCol w:w="606"/>
        <w:gridCol w:w="606"/>
        <w:gridCol w:w="607"/>
        <w:gridCol w:w="501"/>
        <w:gridCol w:w="501"/>
        <w:gridCol w:w="501"/>
        <w:gridCol w:w="502"/>
        <w:gridCol w:w="495"/>
        <w:gridCol w:w="495"/>
        <w:gridCol w:w="495"/>
        <w:gridCol w:w="497"/>
        <w:gridCol w:w="464"/>
        <w:gridCol w:w="478"/>
        <w:gridCol w:w="478"/>
        <w:gridCol w:w="478"/>
        <w:gridCol w:w="478"/>
        <w:gridCol w:w="507"/>
        <w:gridCol w:w="507"/>
        <w:gridCol w:w="507"/>
        <w:gridCol w:w="508"/>
        <w:gridCol w:w="7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418" w:type="dxa"/>
            <w:vMerge w:val="restart"/>
            <w:shd w:val="clear" w:color="auto" w:fill="auto"/>
            <w:vAlign w:val="center"/>
          </w:tcPr>
          <w:p>
            <w:pPr>
              <w:pStyle w:val="97"/>
              <w:bidi w:val="0"/>
              <w:spacing w:line="240" w:lineRule="auto"/>
              <w:rPr>
                <w:rFonts w:hint="default" w:ascii="Times New Roman" w:hAnsi="Times New Roman" w:cs="Times New Roman"/>
                <w:b w:val="0"/>
                <w:bCs w:val="0"/>
                <w:color w:val="auto"/>
                <w:sz w:val="18"/>
                <w:szCs w:val="18"/>
              </w:rPr>
            </w:pPr>
            <w:bookmarkStart w:id="11" w:name="PT_6"/>
            <w:r>
              <w:rPr>
                <w:rFonts w:hint="default" w:ascii="Times New Roman" w:hAnsi="Times New Roman" w:cs="Times New Roman"/>
                <w:b w:val="0"/>
                <w:bCs w:val="0"/>
                <w:color w:val="auto"/>
                <w:sz w:val="18"/>
                <w:szCs w:val="18"/>
              </w:rPr>
              <w:t>序号</w:t>
            </w:r>
          </w:p>
        </w:tc>
        <w:tc>
          <w:tcPr>
            <w:tcW w:w="596" w:type="dxa"/>
            <w:vMerge w:val="restart"/>
            <w:shd w:val="clear" w:color="auto" w:fill="auto"/>
            <w:vAlign w:val="center"/>
          </w:tcPr>
          <w:p>
            <w:pPr>
              <w:pStyle w:val="97"/>
              <w:bidi w:val="0"/>
              <w:spacing w:line="240" w:lineRule="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建筑物名称</w:t>
            </w:r>
          </w:p>
        </w:tc>
        <w:tc>
          <w:tcPr>
            <w:tcW w:w="564" w:type="dxa"/>
            <w:vMerge w:val="restart"/>
            <w:shd w:val="clear" w:color="auto" w:fill="auto"/>
            <w:vAlign w:val="center"/>
          </w:tcPr>
          <w:p>
            <w:pPr>
              <w:pStyle w:val="97"/>
              <w:bidi w:val="0"/>
              <w:spacing w:line="240" w:lineRule="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声源名称</w:t>
            </w:r>
          </w:p>
        </w:tc>
        <w:tc>
          <w:tcPr>
            <w:tcW w:w="430" w:type="dxa"/>
            <w:vMerge w:val="restart"/>
            <w:shd w:val="clear" w:color="auto" w:fill="auto"/>
            <w:vAlign w:val="center"/>
          </w:tcPr>
          <w:p>
            <w:pPr>
              <w:pStyle w:val="97"/>
              <w:bidi w:val="0"/>
              <w:spacing w:line="240" w:lineRule="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型号</w:t>
            </w:r>
          </w:p>
        </w:tc>
        <w:tc>
          <w:tcPr>
            <w:tcW w:w="673" w:type="dxa"/>
            <w:shd w:val="clear" w:color="auto" w:fill="auto"/>
            <w:vAlign w:val="center"/>
          </w:tcPr>
          <w:p>
            <w:pPr>
              <w:pStyle w:val="97"/>
              <w:bidi w:val="0"/>
              <w:spacing w:line="240" w:lineRule="auto"/>
              <w:rPr>
                <w:rFonts w:hint="default" w:ascii="Times New Roman" w:hAnsi="Times New Roman" w:cs="Times New Roman"/>
                <w:b w:val="0"/>
                <w:bCs w:val="0"/>
                <w:color w:val="auto"/>
                <w:sz w:val="18"/>
                <w:szCs w:val="18"/>
                <w:lang w:eastAsia="zh-CN"/>
              </w:rPr>
            </w:pPr>
            <w:r>
              <w:rPr>
                <w:rFonts w:hint="default" w:ascii="Times New Roman" w:hAnsi="Times New Roman" w:cs="Times New Roman"/>
                <w:b w:val="0"/>
                <w:bCs w:val="0"/>
                <w:color w:val="auto"/>
                <w:sz w:val="18"/>
                <w:szCs w:val="18"/>
                <w:lang w:eastAsia="zh-CN"/>
              </w:rPr>
              <w:t>声源源强</w:t>
            </w:r>
          </w:p>
        </w:tc>
        <w:tc>
          <w:tcPr>
            <w:tcW w:w="581" w:type="dxa"/>
            <w:vMerge w:val="restart"/>
            <w:shd w:val="clear" w:color="auto" w:fill="auto"/>
            <w:vAlign w:val="center"/>
          </w:tcPr>
          <w:p>
            <w:pPr>
              <w:pStyle w:val="97"/>
              <w:bidi w:val="0"/>
              <w:spacing w:line="240" w:lineRule="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声源控制措施</w:t>
            </w:r>
          </w:p>
        </w:tc>
        <w:tc>
          <w:tcPr>
            <w:tcW w:w="1819" w:type="dxa"/>
            <w:gridSpan w:val="3"/>
            <w:shd w:val="clear" w:color="auto" w:fill="auto"/>
            <w:vAlign w:val="center"/>
          </w:tcPr>
          <w:p>
            <w:pPr>
              <w:pStyle w:val="97"/>
              <w:bidi w:val="0"/>
              <w:spacing w:line="240" w:lineRule="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空间相对位置/m</w:t>
            </w:r>
          </w:p>
        </w:tc>
        <w:tc>
          <w:tcPr>
            <w:tcW w:w="2005" w:type="dxa"/>
            <w:gridSpan w:val="4"/>
            <w:shd w:val="clear" w:color="auto" w:fill="auto"/>
            <w:vAlign w:val="center"/>
          </w:tcPr>
          <w:p>
            <w:pPr>
              <w:pStyle w:val="97"/>
              <w:bidi w:val="0"/>
              <w:spacing w:line="240" w:lineRule="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距室内边界距离/m</w:t>
            </w:r>
          </w:p>
        </w:tc>
        <w:tc>
          <w:tcPr>
            <w:tcW w:w="1982" w:type="dxa"/>
            <w:gridSpan w:val="4"/>
            <w:shd w:val="clear" w:color="auto" w:fill="auto"/>
            <w:vAlign w:val="center"/>
          </w:tcPr>
          <w:p>
            <w:pPr>
              <w:pStyle w:val="97"/>
              <w:bidi w:val="0"/>
              <w:spacing w:line="240" w:lineRule="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室内边界声级/dB(A)</w:t>
            </w:r>
          </w:p>
        </w:tc>
        <w:tc>
          <w:tcPr>
            <w:tcW w:w="464" w:type="dxa"/>
            <w:vMerge w:val="restart"/>
            <w:shd w:val="clear" w:color="auto" w:fill="auto"/>
            <w:vAlign w:val="center"/>
          </w:tcPr>
          <w:p>
            <w:pPr>
              <w:pStyle w:val="97"/>
              <w:bidi w:val="0"/>
              <w:spacing w:line="240" w:lineRule="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运行时段</w:t>
            </w:r>
          </w:p>
        </w:tc>
        <w:tc>
          <w:tcPr>
            <w:tcW w:w="1912" w:type="dxa"/>
            <w:gridSpan w:val="4"/>
            <w:shd w:val="clear" w:color="auto" w:fill="auto"/>
            <w:vAlign w:val="center"/>
          </w:tcPr>
          <w:p>
            <w:pPr>
              <w:pStyle w:val="97"/>
              <w:bidi w:val="0"/>
              <w:spacing w:line="240" w:lineRule="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建筑物插入损失/dB(A)</w:t>
            </w:r>
            <w:bookmarkStart w:id="12" w:name="PT_10"/>
            <w:bookmarkEnd w:id="12"/>
          </w:p>
        </w:tc>
        <w:tc>
          <w:tcPr>
            <w:tcW w:w="2729" w:type="dxa"/>
            <w:gridSpan w:val="5"/>
            <w:shd w:val="clear" w:color="auto" w:fill="auto"/>
            <w:vAlign w:val="center"/>
          </w:tcPr>
          <w:p>
            <w:pPr>
              <w:pStyle w:val="97"/>
              <w:bidi w:val="0"/>
              <w:spacing w:line="240" w:lineRule="auto"/>
              <w:rPr>
                <w:rFonts w:hint="default" w:ascii="Times New Roman" w:hAnsi="Times New Roman" w:cs="Times New Roman"/>
                <w:b w:val="0"/>
                <w:bCs w:val="0"/>
                <w:color w:val="auto"/>
                <w:sz w:val="18"/>
                <w:szCs w:val="18"/>
              </w:rPr>
            </w:pPr>
            <w:r>
              <w:rPr>
                <w:rFonts w:hint="default" w:ascii="Times New Roman" w:hAnsi="Times New Roman" w:cs="Times New Roman"/>
                <w:b w:val="0"/>
                <w:bCs w:val="0"/>
                <w:color w:val="auto"/>
                <w:sz w:val="18"/>
                <w:szCs w:val="18"/>
              </w:rPr>
              <w:t>建筑物外噪声声压级/dB(A)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8"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p>
        </w:tc>
        <w:tc>
          <w:tcPr>
            <w:tcW w:w="596"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564"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430"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673"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声功率级/dB(A)</w:t>
            </w:r>
          </w:p>
        </w:tc>
        <w:tc>
          <w:tcPr>
            <w:tcW w:w="581"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X</w:t>
            </w: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Y</w:t>
            </w:r>
          </w:p>
        </w:tc>
        <w:tc>
          <w:tcPr>
            <w:tcW w:w="6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Z</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东</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南</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西</w:t>
            </w:r>
          </w:p>
        </w:tc>
        <w:tc>
          <w:tcPr>
            <w:tcW w:w="502"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北</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东</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南</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西</w:t>
            </w:r>
          </w:p>
        </w:tc>
        <w:tc>
          <w:tcPr>
            <w:tcW w:w="49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北</w:t>
            </w:r>
          </w:p>
        </w:tc>
        <w:tc>
          <w:tcPr>
            <w:tcW w:w="464"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东</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南</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西</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北</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东</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南</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西</w:t>
            </w:r>
          </w:p>
        </w:tc>
        <w:tc>
          <w:tcPr>
            <w:tcW w:w="50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lang w:val="en-US" w:eastAsia="zh-CN"/>
              </w:rPr>
              <w:t>北</w:t>
            </w:r>
          </w:p>
        </w:tc>
        <w:tc>
          <w:tcPr>
            <w:tcW w:w="700"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建筑物外距离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1</w:t>
            </w:r>
          </w:p>
        </w:tc>
        <w:tc>
          <w:tcPr>
            <w:tcW w:w="596" w:type="dxa"/>
            <w:vMerge w:val="restart"/>
            <w:shd w:val="clear" w:color="auto" w:fill="auto"/>
            <w:tcMar>
              <w:top w:w="0" w:type="dxa"/>
              <w:left w:w="0" w:type="dxa"/>
              <w:bottom w:w="0" w:type="dxa"/>
              <w:right w:w="0" w:type="dxa"/>
            </w:tcMar>
            <w:vAlign w:val="center"/>
          </w:tcPr>
          <w:p>
            <w:pPr>
              <w:pStyle w:val="97"/>
              <w:bidi w:val="0"/>
              <w:spacing w:line="240" w:lineRule="auto"/>
              <w:rPr>
                <w:rFonts w:hint="eastAsia" w:ascii="Times New Roman" w:hAnsi="Times New Roman" w:cs="Times New Roman"/>
                <w:color w:val="auto"/>
                <w:sz w:val="18"/>
                <w:szCs w:val="18"/>
                <w:lang w:val="en-US" w:eastAsia="zh-CN"/>
              </w:rPr>
            </w:pPr>
            <w:r>
              <w:rPr>
                <w:rFonts w:hint="eastAsia" w:ascii="Times New Roman" w:hAnsi="Times New Roman" w:cs="Times New Roman"/>
                <w:color w:val="auto"/>
                <w:sz w:val="18"/>
                <w:szCs w:val="18"/>
                <w:lang w:val="en-US" w:eastAsia="zh-CN"/>
              </w:rPr>
              <w:t>生产车间</w:t>
            </w:r>
          </w:p>
        </w:tc>
        <w:tc>
          <w:tcPr>
            <w:tcW w:w="564"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eastAsia="zh-CN"/>
              </w:rPr>
              <w:t>搅拌器</w:t>
            </w:r>
          </w:p>
        </w:tc>
        <w:tc>
          <w:tcPr>
            <w:tcW w:w="430" w:type="dxa"/>
            <w:shd w:val="clear" w:color="auto" w:fill="auto"/>
            <w:tcMar>
              <w:top w:w="0" w:type="dxa"/>
              <w:left w:w="0" w:type="dxa"/>
              <w:bottom w:w="0" w:type="dxa"/>
              <w:right w:w="0" w:type="dxa"/>
            </w:tcMar>
            <w:vAlign w:val="center"/>
          </w:tcPr>
          <w:p>
            <w:pPr>
              <w:pStyle w:val="97"/>
              <w:bidi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673"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83</w:t>
            </w:r>
          </w:p>
        </w:tc>
        <w:tc>
          <w:tcPr>
            <w:tcW w:w="581" w:type="dxa"/>
            <w:vMerge w:val="restart"/>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r>
              <w:rPr>
                <w:rFonts w:hint="default" w:ascii="Times New Roman" w:hAnsi="Times New Roman" w:cs="Times New Roman"/>
                <w:color w:val="auto"/>
                <w:sz w:val="18"/>
                <w:szCs w:val="18"/>
              </w:rPr>
              <w:t>优选低噪设备、基础减振、建筑隔声</w:t>
            </w: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25.1</w:t>
            </w: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-1.6</w:t>
            </w:r>
          </w:p>
        </w:tc>
        <w:tc>
          <w:tcPr>
            <w:tcW w:w="6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1.2</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8.0</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3.9</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7.1</w:t>
            </w:r>
          </w:p>
        </w:tc>
        <w:tc>
          <w:tcPr>
            <w:tcW w:w="502"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25.5</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71.6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71.8</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71.6</w:t>
            </w:r>
          </w:p>
        </w:tc>
        <w:tc>
          <w:tcPr>
            <w:tcW w:w="49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71.5</w:t>
            </w:r>
          </w:p>
        </w:tc>
        <w:tc>
          <w:tcPr>
            <w:tcW w:w="464" w:type="dxa"/>
            <w:vMerge w:val="restart"/>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eastAsia" w:ascii="Times New Roman" w:hAnsi="Times New Roman" w:eastAsia="宋体" w:cs="Times New Roman"/>
                <w:color w:val="auto"/>
                <w:sz w:val="18"/>
                <w:szCs w:val="18"/>
                <w:lang w:val="en-US" w:eastAsia="zh-CN"/>
              </w:rPr>
              <w:t>早上8：00~12:00；下午2:00~6:00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50.6</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50.8</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50.6</w:t>
            </w:r>
          </w:p>
        </w:tc>
        <w:tc>
          <w:tcPr>
            <w:tcW w:w="50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50.5</w:t>
            </w:r>
          </w:p>
        </w:tc>
        <w:tc>
          <w:tcPr>
            <w:tcW w:w="700"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2</w:t>
            </w:r>
          </w:p>
        </w:tc>
        <w:tc>
          <w:tcPr>
            <w:tcW w:w="596"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eastAsia="zh-CN"/>
              </w:rPr>
            </w:pPr>
          </w:p>
        </w:tc>
        <w:tc>
          <w:tcPr>
            <w:tcW w:w="564"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eastAsia="zh-CN"/>
              </w:rPr>
              <w:t>碎浆机</w:t>
            </w:r>
          </w:p>
        </w:tc>
        <w:tc>
          <w:tcPr>
            <w:tcW w:w="430" w:type="dxa"/>
            <w:shd w:val="clear" w:color="auto" w:fill="auto"/>
            <w:tcMar>
              <w:top w:w="0" w:type="dxa"/>
              <w:left w:w="0" w:type="dxa"/>
              <w:bottom w:w="0" w:type="dxa"/>
              <w:right w:w="0" w:type="dxa"/>
            </w:tcMar>
            <w:vAlign w:val="center"/>
          </w:tcPr>
          <w:p>
            <w:pPr>
              <w:pStyle w:val="97"/>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673"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82</w:t>
            </w:r>
          </w:p>
        </w:tc>
        <w:tc>
          <w:tcPr>
            <w:tcW w:w="581"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24.1</w:t>
            </w: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-3.3</w:t>
            </w:r>
          </w:p>
        </w:tc>
        <w:tc>
          <w:tcPr>
            <w:tcW w:w="6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1.2</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7.9</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1.9</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7.1</w:t>
            </w:r>
          </w:p>
        </w:tc>
        <w:tc>
          <w:tcPr>
            <w:tcW w:w="502"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27.5</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70.6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71.7</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70.6</w:t>
            </w:r>
          </w:p>
        </w:tc>
        <w:tc>
          <w:tcPr>
            <w:tcW w:w="49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70.5</w:t>
            </w:r>
          </w:p>
        </w:tc>
        <w:tc>
          <w:tcPr>
            <w:tcW w:w="464"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rPr>
            </w:pP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49.6</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50.7</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49.6</w:t>
            </w:r>
          </w:p>
        </w:tc>
        <w:tc>
          <w:tcPr>
            <w:tcW w:w="50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49.5</w:t>
            </w:r>
          </w:p>
        </w:tc>
        <w:tc>
          <w:tcPr>
            <w:tcW w:w="700"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3</w:t>
            </w:r>
          </w:p>
        </w:tc>
        <w:tc>
          <w:tcPr>
            <w:tcW w:w="596"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eastAsia="zh-CN"/>
              </w:rPr>
            </w:pPr>
          </w:p>
        </w:tc>
        <w:tc>
          <w:tcPr>
            <w:tcW w:w="564"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eastAsia="zh-CN"/>
              </w:rPr>
              <w:t>真空罐</w:t>
            </w:r>
          </w:p>
        </w:tc>
        <w:tc>
          <w:tcPr>
            <w:tcW w:w="430" w:type="dxa"/>
            <w:shd w:val="clear" w:color="auto" w:fill="auto"/>
            <w:tcMar>
              <w:top w:w="0" w:type="dxa"/>
              <w:left w:w="0" w:type="dxa"/>
              <w:bottom w:w="0" w:type="dxa"/>
              <w:right w:w="0" w:type="dxa"/>
            </w:tcMar>
            <w:vAlign w:val="center"/>
          </w:tcPr>
          <w:p>
            <w:pPr>
              <w:pStyle w:val="97"/>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673"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78</w:t>
            </w:r>
          </w:p>
        </w:tc>
        <w:tc>
          <w:tcPr>
            <w:tcW w:w="581"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26.9</w:t>
            </w: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0.7</w:t>
            </w:r>
          </w:p>
        </w:tc>
        <w:tc>
          <w:tcPr>
            <w:tcW w:w="6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1.2</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7.7</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6.8</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7.4</w:t>
            </w:r>
          </w:p>
        </w:tc>
        <w:tc>
          <w:tcPr>
            <w:tcW w:w="502"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22.6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66.6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66.6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66.6</w:t>
            </w:r>
          </w:p>
        </w:tc>
        <w:tc>
          <w:tcPr>
            <w:tcW w:w="49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66.5</w:t>
            </w:r>
          </w:p>
        </w:tc>
        <w:tc>
          <w:tcPr>
            <w:tcW w:w="464"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rPr>
            </w:pP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45.6</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45.6</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45.6</w:t>
            </w:r>
          </w:p>
        </w:tc>
        <w:tc>
          <w:tcPr>
            <w:tcW w:w="50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45.5</w:t>
            </w:r>
          </w:p>
        </w:tc>
        <w:tc>
          <w:tcPr>
            <w:tcW w:w="700"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4</w:t>
            </w:r>
          </w:p>
        </w:tc>
        <w:tc>
          <w:tcPr>
            <w:tcW w:w="596"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eastAsia="zh-CN"/>
              </w:rPr>
            </w:pPr>
          </w:p>
        </w:tc>
        <w:tc>
          <w:tcPr>
            <w:tcW w:w="564"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eastAsia="zh-CN"/>
              </w:rPr>
              <w:t>空气压缩机</w:t>
            </w:r>
          </w:p>
        </w:tc>
        <w:tc>
          <w:tcPr>
            <w:tcW w:w="430" w:type="dxa"/>
            <w:shd w:val="clear" w:color="auto" w:fill="auto"/>
            <w:tcMar>
              <w:top w:w="0" w:type="dxa"/>
              <w:left w:w="0" w:type="dxa"/>
              <w:bottom w:w="0" w:type="dxa"/>
              <w:right w:w="0" w:type="dxa"/>
            </w:tcMar>
            <w:vAlign w:val="center"/>
          </w:tcPr>
          <w:p>
            <w:pPr>
              <w:pStyle w:val="97"/>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673"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82</w:t>
            </w:r>
          </w:p>
        </w:tc>
        <w:tc>
          <w:tcPr>
            <w:tcW w:w="581"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29.1</w:t>
            </w: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3.5</w:t>
            </w:r>
          </w:p>
        </w:tc>
        <w:tc>
          <w:tcPr>
            <w:tcW w:w="6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1.2</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7.3</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10.3</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7.7</w:t>
            </w:r>
          </w:p>
        </w:tc>
        <w:tc>
          <w:tcPr>
            <w:tcW w:w="502"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19.0</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70.6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70.5</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70.6</w:t>
            </w:r>
          </w:p>
        </w:tc>
        <w:tc>
          <w:tcPr>
            <w:tcW w:w="49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70.5</w:t>
            </w:r>
          </w:p>
        </w:tc>
        <w:tc>
          <w:tcPr>
            <w:tcW w:w="464"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rPr>
            </w:pP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49.6</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49.5</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49.6</w:t>
            </w:r>
          </w:p>
        </w:tc>
        <w:tc>
          <w:tcPr>
            <w:tcW w:w="50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49.5</w:t>
            </w:r>
          </w:p>
        </w:tc>
        <w:tc>
          <w:tcPr>
            <w:tcW w:w="700"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5</w:t>
            </w:r>
          </w:p>
        </w:tc>
        <w:tc>
          <w:tcPr>
            <w:tcW w:w="596"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eastAsia="zh-CN"/>
              </w:rPr>
            </w:pPr>
          </w:p>
        </w:tc>
        <w:tc>
          <w:tcPr>
            <w:tcW w:w="564"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eastAsia="zh-CN"/>
              </w:rPr>
              <w:t>成型机</w:t>
            </w:r>
          </w:p>
        </w:tc>
        <w:tc>
          <w:tcPr>
            <w:tcW w:w="430" w:type="dxa"/>
            <w:shd w:val="clear" w:color="auto" w:fill="auto"/>
            <w:tcMar>
              <w:top w:w="0" w:type="dxa"/>
              <w:left w:w="0" w:type="dxa"/>
              <w:bottom w:w="0" w:type="dxa"/>
              <w:right w:w="0" w:type="dxa"/>
            </w:tcMar>
            <w:vAlign w:val="center"/>
          </w:tcPr>
          <w:p>
            <w:pPr>
              <w:pStyle w:val="97"/>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673"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84</w:t>
            </w:r>
          </w:p>
        </w:tc>
        <w:tc>
          <w:tcPr>
            <w:tcW w:w="581"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31.3</w:t>
            </w: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6.8</w:t>
            </w:r>
          </w:p>
        </w:tc>
        <w:tc>
          <w:tcPr>
            <w:tcW w:w="6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1.2</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7.2</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14.3</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7.8</w:t>
            </w:r>
          </w:p>
        </w:tc>
        <w:tc>
          <w:tcPr>
            <w:tcW w:w="502"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15.1</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72.6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72.5</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72.6</w:t>
            </w:r>
          </w:p>
        </w:tc>
        <w:tc>
          <w:tcPr>
            <w:tcW w:w="49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72.5</w:t>
            </w:r>
          </w:p>
        </w:tc>
        <w:tc>
          <w:tcPr>
            <w:tcW w:w="464"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rPr>
            </w:pP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51.6</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51.5</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51.6</w:t>
            </w:r>
          </w:p>
        </w:tc>
        <w:tc>
          <w:tcPr>
            <w:tcW w:w="50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51.5</w:t>
            </w:r>
          </w:p>
        </w:tc>
        <w:tc>
          <w:tcPr>
            <w:tcW w:w="700"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6</w:t>
            </w:r>
          </w:p>
        </w:tc>
        <w:tc>
          <w:tcPr>
            <w:tcW w:w="596"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eastAsia="zh-CN"/>
              </w:rPr>
            </w:pPr>
          </w:p>
        </w:tc>
        <w:tc>
          <w:tcPr>
            <w:tcW w:w="564"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eastAsia="zh-CN"/>
              </w:rPr>
              <w:t>烘干机</w:t>
            </w:r>
          </w:p>
        </w:tc>
        <w:tc>
          <w:tcPr>
            <w:tcW w:w="430" w:type="dxa"/>
            <w:shd w:val="clear" w:color="auto" w:fill="auto"/>
            <w:tcMar>
              <w:top w:w="0" w:type="dxa"/>
              <w:left w:w="0" w:type="dxa"/>
              <w:bottom w:w="0" w:type="dxa"/>
              <w:right w:w="0" w:type="dxa"/>
            </w:tcMar>
            <w:vAlign w:val="center"/>
          </w:tcPr>
          <w:p>
            <w:pPr>
              <w:pStyle w:val="97"/>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673"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85</w:t>
            </w:r>
          </w:p>
        </w:tc>
        <w:tc>
          <w:tcPr>
            <w:tcW w:w="581"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34.1</w:t>
            </w: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10.4</w:t>
            </w:r>
          </w:p>
        </w:tc>
        <w:tc>
          <w:tcPr>
            <w:tcW w:w="6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1.2</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6.8</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18.9</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8.2</w:t>
            </w:r>
          </w:p>
        </w:tc>
        <w:tc>
          <w:tcPr>
            <w:tcW w:w="502"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10.5</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73.6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73.5</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73.6</w:t>
            </w:r>
          </w:p>
        </w:tc>
        <w:tc>
          <w:tcPr>
            <w:tcW w:w="49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73.5</w:t>
            </w:r>
          </w:p>
        </w:tc>
        <w:tc>
          <w:tcPr>
            <w:tcW w:w="464"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rPr>
            </w:pP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52.6</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52.5</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52.6</w:t>
            </w:r>
          </w:p>
        </w:tc>
        <w:tc>
          <w:tcPr>
            <w:tcW w:w="50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52.5</w:t>
            </w:r>
          </w:p>
        </w:tc>
        <w:tc>
          <w:tcPr>
            <w:tcW w:w="700"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7</w:t>
            </w:r>
          </w:p>
        </w:tc>
        <w:tc>
          <w:tcPr>
            <w:tcW w:w="596"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eastAsia="zh-CN"/>
              </w:rPr>
            </w:pPr>
          </w:p>
        </w:tc>
        <w:tc>
          <w:tcPr>
            <w:tcW w:w="564"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eastAsia="zh-CN"/>
              </w:rPr>
              <w:t>石粉机</w:t>
            </w:r>
          </w:p>
        </w:tc>
        <w:tc>
          <w:tcPr>
            <w:tcW w:w="430" w:type="dxa"/>
            <w:shd w:val="clear" w:color="auto" w:fill="auto"/>
            <w:tcMar>
              <w:top w:w="0" w:type="dxa"/>
              <w:left w:w="0" w:type="dxa"/>
              <w:bottom w:w="0" w:type="dxa"/>
              <w:right w:w="0" w:type="dxa"/>
            </w:tcMar>
            <w:vAlign w:val="center"/>
          </w:tcPr>
          <w:p>
            <w:pPr>
              <w:pStyle w:val="97"/>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673"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78</w:t>
            </w:r>
          </w:p>
        </w:tc>
        <w:tc>
          <w:tcPr>
            <w:tcW w:w="581"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35.7</w:t>
            </w: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12.3</w:t>
            </w:r>
          </w:p>
        </w:tc>
        <w:tc>
          <w:tcPr>
            <w:tcW w:w="6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1.2</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6.5</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21.3</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8.6</w:t>
            </w:r>
          </w:p>
        </w:tc>
        <w:tc>
          <w:tcPr>
            <w:tcW w:w="502"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8.0</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66.6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66.5</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66.6</w:t>
            </w:r>
          </w:p>
        </w:tc>
        <w:tc>
          <w:tcPr>
            <w:tcW w:w="49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66.6</w:t>
            </w:r>
          </w:p>
        </w:tc>
        <w:tc>
          <w:tcPr>
            <w:tcW w:w="464"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rPr>
            </w:pP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45.6</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45.5</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45.6</w:t>
            </w:r>
          </w:p>
        </w:tc>
        <w:tc>
          <w:tcPr>
            <w:tcW w:w="50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45.6</w:t>
            </w:r>
          </w:p>
        </w:tc>
        <w:tc>
          <w:tcPr>
            <w:tcW w:w="700"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cs="Times New Roman"/>
                <w:color w:val="auto"/>
                <w:sz w:val="18"/>
                <w:szCs w:val="18"/>
                <w:lang w:val="en-US" w:eastAsia="zh-CN"/>
              </w:rPr>
              <w:t>8</w:t>
            </w:r>
          </w:p>
        </w:tc>
        <w:tc>
          <w:tcPr>
            <w:tcW w:w="596"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eastAsia="zh-CN"/>
              </w:rPr>
            </w:pPr>
          </w:p>
        </w:tc>
        <w:tc>
          <w:tcPr>
            <w:tcW w:w="564"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eastAsia="zh-CN"/>
              </w:rPr>
              <w:t>打包机</w:t>
            </w:r>
          </w:p>
        </w:tc>
        <w:tc>
          <w:tcPr>
            <w:tcW w:w="430" w:type="dxa"/>
            <w:shd w:val="clear" w:color="auto" w:fill="auto"/>
            <w:tcMar>
              <w:top w:w="0" w:type="dxa"/>
              <w:left w:w="0" w:type="dxa"/>
              <w:bottom w:w="0" w:type="dxa"/>
              <w:right w:w="0" w:type="dxa"/>
            </w:tcMar>
            <w:vAlign w:val="center"/>
          </w:tcPr>
          <w:p>
            <w:pPr>
              <w:pStyle w:val="97"/>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673"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79</w:t>
            </w:r>
          </w:p>
        </w:tc>
        <w:tc>
          <w:tcPr>
            <w:tcW w:w="581"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37.3</w:t>
            </w: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14.1</w:t>
            </w:r>
          </w:p>
        </w:tc>
        <w:tc>
          <w:tcPr>
            <w:tcW w:w="6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1.2</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6.1</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23.7</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8.9</w:t>
            </w:r>
          </w:p>
        </w:tc>
        <w:tc>
          <w:tcPr>
            <w:tcW w:w="502"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5.7</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67.6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67.5</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67.6</w:t>
            </w:r>
          </w:p>
        </w:tc>
        <w:tc>
          <w:tcPr>
            <w:tcW w:w="49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67.6</w:t>
            </w:r>
          </w:p>
        </w:tc>
        <w:tc>
          <w:tcPr>
            <w:tcW w:w="464"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rPr>
            </w:pP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46.6</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46.5</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46.6</w:t>
            </w:r>
          </w:p>
        </w:tc>
        <w:tc>
          <w:tcPr>
            <w:tcW w:w="50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46.6</w:t>
            </w:r>
          </w:p>
        </w:tc>
        <w:tc>
          <w:tcPr>
            <w:tcW w:w="700"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41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eastAsia="zh-CN"/>
              </w:rPr>
            </w:pPr>
            <w:r>
              <w:rPr>
                <w:rFonts w:hint="default" w:ascii="Times New Roman" w:hAnsi="Times New Roman" w:cs="Times New Roman"/>
                <w:color w:val="auto"/>
                <w:sz w:val="18"/>
                <w:szCs w:val="18"/>
                <w:lang w:val="en-US" w:eastAsia="zh-CN"/>
              </w:rPr>
              <w:t>9</w:t>
            </w:r>
          </w:p>
        </w:tc>
        <w:tc>
          <w:tcPr>
            <w:tcW w:w="596"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eastAsia="zh-CN"/>
              </w:rPr>
            </w:pPr>
          </w:p>
        </w:tc>
        <w:tc>
          <w:tcPr>
            <w:tcW w:w="564"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lang w:eastAsia="zh-CN"/>
              </w:rPr>
              <w:t>收脱机</w:t>
            </w:r>
          </w:p>
        </w:tc>
        <w:tc>
          <w:tcPr>
            <w:tcW w:w="430" w:type="dxa"/>
            <w:shd w:val="clear" w:color="auto" w:fill="auto"/>
            <w:tcMar>
              <w:top w:w="0" w:type="dxa"/>
              <w:left w:w="0" w:type="dxa"/>
              <w:bottom w:w="0" w:type="dxa"/>
              <w:right w:w="0" w:type="dxa"/>
            </w:tcMar>
            <w:vAlign w:val="center"/>
          </w:tcPr>
          <w:p>
            <w:pPr>
              <w:pStyle w:val="97"/>
              <w:bidi w:val="0"/>
              <w:spacing w:line="240" w:lineRule="auto"/>
              <w:jc w:val="center"/>
              <w:rPr>
                <w:rFonts w:hint="eastAsia" w:ascii="Times New Roman" w:hAnsi="Times New Roman" w:eastAsia="宋体" w:cs="Times New Roman"/>
                <w:color w:val="auto"/>
                <w:sz w:val="18"/>
                <w:szCs w:val="18"/>
                <w:lang w:val="en-US" w:eastAsia="zh-CN"/>
              </w:rPr>
            </w:pPr>
            <w:r>
              <w:rPr>
                <w:rFonts w:hint="eastAsia" w:ascii="Times New Roman" w:hAnsi="Times New Roman" w:cs="Times New Roman"/>
                <w:color w:val="auto"/>
                <w:sz w:val="18"/>
                <w:szCs w:val="18"/>
                <w:lang w:val="en-US" w:eastAsia="zh-CN"/>
              </w:rPr>
              <w:t>/</w:t>
            </w:r>
          </w:p>
        </w:tc>
        <w:tc>
          <w:tcPr>
            <w:tcW w:w="673"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78</w:t>
            </w:r>
          </w:p>
        </w:tc>
        <w:tc>
          <w:tcPr>
            <w:tcW w:w="581"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rPr>
            </w:pP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39.2</w:t>
            </w:r>
          </w:p>
        </w:tc>
        <w:tc>
          <w:tcPr>
            <w:tcW w:w="606"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16.5</w:t>
            </w:r>
          </w:p>
        </w:tc>
        <w:tc>
          <w:tcPr>
            <w:tcW w:w="6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1.2</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5.7</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26.8</w:t>
            </w:r>
          </w:p>
        </w:tc>
        <w:tc>
          <w:tcPr>
            <w:tcW w:w="501"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color w:val="auto"/>
                <w:sz w:val="18"/>
                <w:szCs w:val="18"/>
                <w:lang w:val="en-US" w:eastAsia="zh-CN"/>
              </w:rPr>
            </w:pPr>
            <w:r>
              <w:rPr>
                <w:rFonts w:hint="default" w:ascii="Times New Roman" w:hAnsi="Times New Roman" w:cs="Times New Roman"/>
                <w:color w:val="auto"/>
                <w:sz w:val="18"/>
                <w:szCs w:val="18"/>
              </w:rPr>
              <w:t>9.3</w:t>
            </w:r>
          </w:p>
        </w:tc>
        <w:tc>
          <w:tcPr>
            <w:tcW w:w="502"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66.6</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66.5</w:t>
            </w:r>
          </w:p>
        </w:tc>
        <w:tc>
          <w:tcPr>
            <w:tcW w:w="495"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66.5</w:t>
            </w:r>
          </w:p>
        </w:tc>
        <w:tc>
          <w:tcPr>
            <w:tcW w:w="49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67.2</w:t>
            </w:r>
          </w:p>
        </w:tc>
        <w:tc>
          <w:tcPr>
            <w:tcW w:w="464" w:type="dxa"/>
            <w:vMerge w:val="continue"/>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rPr>
            </w:pP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47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21.0</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45.6</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45.5</w:t>
            </w:r>
          </w:p>
        </w:tc>
        <w:tc>
          <w:tcPr>
            <w:tcW w:w="507"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45.5</w:t>
            </w:r>
          </w:p>
        </w:tc>
        <w:tc>
          <w:tcPr>
            <w:tcW w:w="508"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eastAsia="宋体" w:cs="Times New Roman"/>
                <w:color w:val="auto"/>
                <w:sz w:val="18"/>
                <w:szCs w:val="18"/>
                <w:lang w:val="en-US" w:eastAsia="zh-CN"/>
              </w:rPr>
            </w:pPr>
            <w:r>
              <w:rPr>
                <w:rFonts w:hint="default" w:ascii="Times New Roman" w:hAnsi="Times New Roman" w:eastAsia="宋体" w:cs="Times New Roman"/>
                <w:color w:val="auto"/>
                <w:sz w:val="18"/>
                <w:szCs w:val="18"/>
              </w:rPr>
              <w:t>46.2</w:t>
            </w:r>
          </w:p>
        </w:tc>
        <w:tc>
          <w:tcPr>
            <w:tcW w:w="700" w:type="dxa"/>
            <w:shd w:val="clear" w:color="auto" w:fill="auto"/>
            <w:tcMar>
              <w:top w:w="0" w:type="dxa"/>
              <w:left w:w="0" w:type="dxa"/>
              <w:bottom w:w="0" w:type="dxa"/>
              <w:right w:w="0" w:type="dxa"/>
            </w:tcMar>
            <w:vAlign w:val="center"/>
          </w:tcPr>
          <w:p>
            <w:pPr>
              <w:pStyle w:val="97"/>
              <w:bidi w:val="0"/>
              <w:spacing w:line="240" w:lineRule="auto"/>
              <w:rPr>
                <w:rFonts w:hint="default" w:ascii="Times New Roman" w:hAnsi="Times New Roman" w:cs="Times New Roman"/>
                <w:b w:val="0"/>
                <w:bCs w:val="0"/>
                <w:color w:val="auto"/>
                <w:sz w:val="18"/>
                <w:szCs w:val="18"/>
                <w:lang w:val="en-US" w:eastAsia="zh-CN"/>
              </w:rPr>
            </w:pPr>
            <w:r>
              <w:rPr>
                <w:rFonts w:hint="default" w:ascii="Times New Roman" w:hAnsi="Times New Roman" w:cs="Times New Roman"/>
                <w:b w:val="0"/>
                <w:bCs w:val="0"/>
                <w:color w:val="auto"/>
                <w:sz w:val="18"/>
                <w:szCs w:val="18"/>
              </w:rPr>
              <w:t>1</w:t>
            </w:r>
          </w:p>
        </w:tc>
      </w:tr>
      <w:bookmarkEnd w:id="11"/>
    </w:tbl>
    <w:p>
      <w:pPr>
        <w:ind w:firstLine="360" w:firstLineChars="200"/>
        <w:rPr>
          <w:rFonts w:hint="default" w:ascii="Times New Roman" w:hAnsi="Times New Roman" w:cs="Times New Roman"/>
          <w:color w:val="auto"/>
          <w:lang w:val="en-US" w:eastAsia="zh-CN"/>
        </w:rPr>
      </w:pPr>
      <w:r>
        <w:rPr>
          <w:rFonts w:hint="default" w:ascii="Times New Roman" w:hAnsi="Times New Roman" w:cs="Times New Roman"/>
          <w:color w:val="auto"/>
          <w:sz w:val="18"/>
          <w:szCs w:val="18"/>
          <w:lang w:val="en-US" w:eastAsia="zh-CN"/>
        </w:rPr>
        <w:t>表中坐标以厂界中心（86.1651459,44.330238）为坐标原点，正东向为X轴正方向，正北向为Y轴正方向。</w:t>
      </w:r>
    </w:p>
    <w:p>
      <w:pPr>
        <w:rPr>
          <w:rFonts w:hint="eastAsia" w:ascii="宋体" w:eastAsia="宋体" w:cs="宋体"/>
          <w:b/>
          <w:color w:val="auto"/>
          <w:kern w:val="0"/>
          <w:sz w:val="28"/>
          <w:szCs w:val="28"/>
          <w:lang w:eastAsia="zh-CN"/>
        </w:rPr>
        <w:sectPr>
          <w:pgSz w:w="16840" w:h="11907" w:orient="landscape"/>
          <w:pgMar w:top="1531" w:right="1701" w:bottom="1531" w:left="2127"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6"/>
        <w:rPr>
          <w:rFonts w:hint="eastAsia"/>
          <w:color w:val="auto"/>
          <w:lang w:eastAsia="zh-CN"/>
        </w:rPr>
      </w:pPr>
    </w:p>
    <w:tbl>
      <w:tblPr>
        <w:tblStyle w:val="2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8"/>
        <w:gridCol w:w="85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vAlign w:val="center"/>
          </w:tcPr>
          <w:p>
            <w:pPr>
              <w:adjustRightInd w:val="0"/>
              <w:snapToGrid w:val="0"/>
              <w:jc w:val="center"/>
              <w:rPr>
                <w:rFonts w:ascii="宋体" w:hAnsi="宋体" w:cs="宋体"/>
                <w:bCs/>
                <w:color w:val="auto"/>
                <w:szCs w:val="21"/>
              </w:rPr>
            </w:pPr>
            <w:r>
              <w:rPr>
                <w:rFonts w:hint="eastAsia" w:ascii="宋体" w:hAnsi="宋体" w:cs="宋体"/>
                <w:bCs/>
                <w:color w:val="auto"/>
                <w:szCs w:val="21"/>
              </w:rPr>
              <w:t>运营</w:t>
            </w:r>
          </w:p>
          <w:p>
            <w:pPr>
              <w:adjustRightInd w:val="0"/>
              <w:snapToGrid w:val="0"/>
              <w:jc w:val="center"/>
              <w:rPr>
                <w:rFonts w:ascii="宋体" w:hAnsi="宋体" w:cs="宋体"/>
                <w:bCs/>
                <w:color w:val="auto"/>
                <w:szCs w:val="21"/>
              </w:rPr>
            </w:pPr>
            <w:r>
              <w:rPr>
                <w:rFonts w:hint="eastAsia" w:ascii="宋体" w:hAnsi="宋体" w:cs="宋体"/>
                <w:bCs/>
                <w:color w:val="auto"/>
                <w:szCs w:val="21"/>
              </w:rPr>
              <w:t>期环</w:t>
            </w:r>
          </w:p>
          <w:p>
            <w:pPr>
              <w:adjustRightInd w:val="0"/>
              <w:snapToGrid w:val="0"/>
              <w:jc w:val="center"/>
              <w:rPr>
                <w:rFonts w:ascii="宋体" w:hAnsi="宋体" w:cs="宋体"/>
                <w:bCs/>
                <w:color w:val="auto"/>
                <w:szCs w:val="21"/>
              </w:rPr>
            </w:pPr>
            <w:r>
              <w:rPr>
                <w:rFonts w:hint="eastAsia" w:ascii="宋体" w:hAnsi="宋体" w:cs="宋体"/>
                <w:bCs/>
                <w:color w:val="auto"/>
                <w:szCs w:val="21"/>
              </w:rPr>
              <w:t>境影</w:t>
            </w:r>
          </w:p>
          <w:p>
            <w:pPr>
              <w:adjustRightInd w:val="0"/>
              <w:snapToGrid w:val="0"/>
              <w:jc w:val="center"/>
              <w:rPr>
                <w:rFonts w:ascii="宋体" w:hAnsi="宋体" w:cs="宋体"/>
                <w:bCs/>
                <w:color w:val="auto"/>
                <w:szCs w:val="21"/>
              </w:rPr>
            </w:pPr>
            <w:r>
              <w:rPr>
                <w:rFonts w:hint="eastAsia" w:ascii="宋体" w:hAnsi="宋体" w:cs="宋体"/>
                <w:bCs/>
                <w:color w:val="auto"/>
                <w:szCs w:val="21"/>
              </w:rPr>
              <w:t>响和</w:t>
            </w:r>
          </w:p>
          <w:p>
            <w:pPr>
              <w:adjustRightInd w:val="0"/>
              <w:snapToGrid w:val="0"/>
              <w:jc w:val="center"/>
              <w:rPr>
                <w:rFonts w:hint="eastAsia" w:ascii="宋体" w:hAnsi="宋体" w:cs="宋体"/>
                <w:bCs/>
                <w:color w:val="auto"/>
                <w:szCs w:val="21"/>
              </w:rPr>
            </w:pPr>
            <w:r>
              <w:rPr>
                <w:rFonts w:hint="eastAsia" w:ascii="宋体" w:hAnsi="宋体" w:cs="宋体"/>
                <w:bCs/>
                <w:color w:val="auto"/>
                <w:szCs w:val="21"/>
              </w:rPr>
              <w:t>保护</w:t>
            </w:r>
          </w:p>
          <w:p>
            <w:pPr>
              <w:pStyle w:val="6"/>
              <w:jc w:val="center"/>
              <w:rPr>
                <w:rFonts w:hint="eastAsia"/>
                <w:color w:val="auto"/>
                <w:vertAlign w:val="baseline"/>
                <w:lang w:eastAsia="zh-CN"/>
              </w:rPr>
            </w:pPr>
            <w:r>
              <w:rPr>
                <w:rFonts w:hint="eastAsia" w:ascii="宋体" w:hAnsi="宋体" w:cs="宋体"/>
                <w:bCs/>
                <w:color w:val="auto"/>
                <w:szCs w:val="21"/>
              </w:rPr>
              <w:t>措施</w:t>
            </w:r>
          </w:p>
        </w:tc>
        <w:tc>
          <w:tcPr>
            <w:tcW w:w="8242" w:type="dxa"/>
          </w:tcPr>
          <w:p>
            <w:pPr>
              <w:autoSpaceDE w:val="0"/>
              <w:autoSpaceDN w:val="0"/>
              <w:adjustRightInd w:val="0"/>
              <w:snapToGrid w:val="0"/>
              <w:spacing w:line="400" w:lineRule="exact"/>
              <w:ind w:firstLine="422" w:firstLineChars="200"/>
              <w:jc w:val="left"/>
              <w:rPr>
                <w:b/>
                <w:bCs/>
                <w:color w:val="auto"/>
                <w:kern w:val="0"/>
                <w:szCs w:val="21"/>
              </w:rPr>
            </w:pPr>
            <w:r>
              <w:rPr>
                <w:b/>
                <w:bCs/>
                <w:color w:val="auto"/>
                <w:kern w:val="0"/>
                <w:szCs w:val="21"/>
              </w:rPr>
              <w:t>（2）噪声控制措施</w:t>
            </w:r>
          </w:p>
          <w:p>
            <w:pPr>
              <w:autoSpaceDE w:val="0"/>
              <w:autoSpaceDN w:val="0"/>
              <w:adjustRightInd w:val="0"/>
              <w:snapToGrid w:val="0"/>
              <w:spacing w:line="400" w:lineRule="exact"/>
              <w:ind w:firstLine="420" w:firstLineChars="200"/>
              <w:jc w:val="left"/>
              <w:rPr>
                <w:color w:val="auto"/>
                <w:kern w:val="0"/>
                <w:szCs w:val="21"/>
              </w:rPr>
            </w:pPr>
            <w:r>
              <w:rPr>
                <w:color w:val="auto"/>
                <w:kern w:val="0"/>
                <w:szCs w:val="21"/>
              </w:rPr>
              <w:t>①在满足功能要求的前提下，选择低噪声且符合国家噪声标准的环保型设备，生产时，加强对各类机械设备的维护保养，把生产噪声降到最低限度。</w:t>
            </w:r>
          </w:p>
          <w:p>
            <w:pPr>
              <w:autoSpaceDE w:val="0"/>
              <w:autoSpaceDN w:val="0"/>
              <w:adjustRightInd w:val="0"/>
              <w:snapToGrid w:val="0"/>
              <w:spacing w:line="400" w:lineRule="exact"/>
              <w:ind w:firstLine="420" w:firstLineChars="200"/>
              <w:jc w:val="left"/>
              <w:rPr>
                <w:color w:val="auto"/>
                <w:kern w:val="0"/>
                <w:szCs w:val="21"/>
                <w:highlight w:val="yellow"/>
              </w:rPr>
            </w:pPr>
            <w:r>
              <w:rPr>
                <w:color w:val="auto"/>
                <w:kern w:val="0"/>
                <w:szCs w:val="21"/>
              </w:rPr>
              <w:t>②</w:t>
            </w:r>
            <w:r>
              <w:rPr>
                <w:rFonts w:hint="eastAsia"/>
                <w:color w:val="auto"/>
                <w:kern w:val="0"/>
                <w:szCs w:val="21"/>
              </w:rPr>
              <w:t>优化布局。厂区50m范围内无环境保护目标，将主要生产设备均尽量布置在场地中部，减小对周围环境的影响。</w:t>
            </w:r>
          </w:p>
          <w:p>
            <w:pPr>
              <w:autoSpaceDE w:val="0"/>
              <w:autoSpaceDN w:val="0"/>
              <w:adjustRightInd w:val="0"/>
              <w:snapToGrid w:val="0"/>
              <w:spacing w:line="400" w:lineRule="exact"/>
              <w:ind w:firstLine="420" w:firstLineChars="200"/>
              <w:jc w:val="left"/>
              <w:rPr>
                <w:color w:val="auto"/>
                <w:kern w:val="0"/>
                <w:szCs w:val="21"/>
              </w:rPr>
            </w:pPr>
            <w:r>
              <w:rPr>
                <w:color w:val="auto"/>
                <w:kern w:val="0"/>
                <w:szCs w:val="21"/>
              </w:rPr>
              <w:t>③选用低噪声输送机具，设备安装</w:t>
            </w:r>
            <w:r>
              <w:rPr>
                <w:rFonts w:hint="eastAsia"/>
                <w:color w:val="auto"/>
                <w:kern w:val="0"/>
                <w:szCs w:val="21"/>
                <w:lang w:eastAsia="zh-CN"/>
              </w:rPr>
              <w:t>减振</w:t>
            </w:r>
            <w:r>
              <w:rPr>
                <w:color w:val="auto"/>
                <w:kern w:val="0"/>
                <w:szCs w:val="21"/>
              </w:rPr>
              <w:t>垫。</w:t>
            </w:r>
          </w:p>
          <w:p>
            <w:pPr>
              <w:autoSpaceDE w:val="0"/>
              <w:autoSpaceDN w:val="0"/>
              <w:adjustRightInd w:val="0"/>
              <w:snapToGrid w:val="0"/>
              <w:spacing w:line="400" w:lineRule="exact"/>
              <w:ind w:firstLine="420" w:firstLineChars="200"/>
              <w:jc w:val="left"/>
              <w:rPr>
                <w:color w:val="auto"/>
                <w:kern w:val="0"/>
                <w:szCs w:val="21"/>
              </w:rPr>
            </w:pPr>
            <w:r>
              <w:rPr>
                <w:color w:val="auto"/>
                <w:kern w:val="0"/>
                <w:szCs w:val="21"/>
              </w:rPr>
              <w:t>④</w:t>
            </w:r>
            <w:r>
              <w:rPr>
                <w:rFonts w:hint="eastAsia"/>
                <w:color w:val="auto"/>
                <w:kern w:val="0"/>
                <w:szCs w:val="21"/>
              </w:rPr>
              <w:t>加强对生产设备、运输车辆的维护保养，使其保持良好的性能，降低运行噪声影响。</w:t>
            </w:r>
          </w:p>
          <w:p>
            <w:pPr>
              <w:autoSpaceDE w:val="0"/>
              <w:autoSpaceDN w:val="0"/>
              <w:adjustRightInd w:val="0"/>
              <w:snapToGrid w:val="0"/>
              <w:spacing w:line="400" w:lineRule="exact"/>
              <w:ind w:firstLine="420" w:firstLineChars="200"/>
              <w:jc w:val="left"/>
              <w:rPr>
                <w:color w:val="auto"/>
                <w:kern w:val="0"/>
                <w:szCs w:val="21"/>
              </w:rPr>
            </w:pPr>
            <w:r>
              <w:rPr>
                <w:color w:val="auto"/>
                <w:kern w:val="0"/>
                <w:szCs w:val="21"/>
              </w:rPr>
              <w:t>⑤合理安排企业生产时间，夜间不进行生产，物料运输安排在昼间进行。</w:t>
            </w:r>
          </w:p>
          <w:p>
            <w:pPr>
              <w:autoSpaceDE w:val="0"/>
              <w:autoSpaceDN w:val="0"/>
              <w:adjustRightInd w:val="0"/>
              <w:snapToGrid w:val="0"/>
              <w:spacing w:line="400" w:lineRule="exact"/>
              <w:ind w:firstLine="420" w:firstLineChars="200"/>
              <w:jc w:val="left"/>
              <w:rPr>
                <w:color w:val="auto"/>
                <w:kern w:val="0"/>
                <w:szCs w:val="21"/>
              </w:rPr>
            </w:pPr>
            <w:r>
              <w:rPr>
                <w:color w:val="auto"/>
                <w:kern w:val="0"/>
                <w:szCs w:val="21"/>
              </w:rPr>
              <w:t>⑥</w:t>
            </w:r>
            <w:r>
              <w:rPr>
                <w:rFonts w:hint="eastAsia"/>
                <w:color w:val="auto"/>
                <w:kern w:val="0"/>
                <w:szCs w:val="21"/>
              </w:rPr>
              <w:t>加强运输车辆的管理，厂区内设置限速、禁鸣标识，引导车辆有序行驶。</w:t>
            </w:r>
          </w:p>
          <w:p>
            <w:pPr>
              <w:autoSpaceDE w:val="0"/>
              <w:autoSpaceDN w:val="0"/>
              <w:adjustRightInd w:val="0"/>
              <w:snapToGrid w:val="0"/>
              <w:spacing w:line="400" w:lineRule="exact"/>
              <w:ind w:firstLine="422" w:firstLineChars="200"/>
              <w:jc w:val="left"/>
              <w:rPr>
                <w:b/>
                <w:bCs/>
                <w:color w:val="auto"/>
                <w:kern w:val="0"/>
                <w:szCs w:val="21"/>
              </w:rPr>
            </w:pPr>
            <w:r>
              <w:rPr>
                <w:b/>
                <w:bCs/>
                <w:color w:val="auto"/>
                <w:kern w:val="0"/>
                <w:szCs w:val="21"/>
              </w:rPr>
              <w:t>（3）</w:t>
            </w:r>
            <w:r>
              <w:rPr>
                <w:rFonts w:hint="eastAsia"/>
                <w:b/>
                <w:bCs/>
                <w:color w:val="auto"/>
                <w:kern w:val="0"/>
                <w:szCs w:val="21"/>
              </w:rPr>
              <w:t>噪声预测</w:t>
            </w:r>
          </w:p>
          <w:p>
            <w:pPr>
              <w:autoSpaceDE w:val="0"/>
              <w:autoSpaceDN w:val="0"/>
              <w:adjustRightInd w:val="0"/>
              <w:snapToGrid w:val="0"/>
              <w:spacing w:line="400" w:lineRule="exact"/>
              <w:ind w:firstLine="420" w:firstLineChars="200"/>
              <w:jc w:val="left"/>
              <w:rPr>
                <w:color w:val="auto"/>
                <w:kern w:val="0"/>
                <w:szCs w:val="21"/>
              </w:rPr>
            </w:pPr>
            <w:r>
              <w:rPr>
                <w:color w:val="auto"/>
                <w:kern w:val="0"/>
                <w:szCs w:val="21"/>
              </w:rPr>
              <w:t>评价根据《环境影响评价技术导则-声环境》（HJ2.4-</w:t>
            </w:r>
            <w:r>
              <w:rPr>
                <w:rFonts w:hint="eastAsia"/>
                <w:color w:val="auto"/>
                <w:kern w:val="0"/>
                <w:szCs w:val="21"/>
              </w:rPr>
              <w:t>2021</w:t>
            </w:r>
            <w:r>
              <w:rPr>
                <w:color w:val="auto"/>
                <w:kern w:val="0"/>
                <w:szCs w:val="21"/>
              </w:rPr>
              <w:t>）对项目营运期噪声进行环境影响分析。本项目周边50米不存在环境敏感点。故本次预测主要考虑对项目厂界的影响情况。</w:t>
            </w:r>
          </w:p>
          <w:p>
            <w:pPr>
              <w:autoSpaceDE w:val="0"/>
              <w:autoSpaceDN w:val="0"/>
              <w:adjustRightInd w:val="0"/>
              <w:snapToGrid w:val="0"/>
              <w:spacing w:line="400" w:lineRule="exact"/>
              <w:ind w:firstLine="420" w:firstLineChars="200"/>
              <w:jc w:val="left"/>
              <w:rPr>
                <w:color w:val="auto"/>
                <w:kern w:val="0"/>
                <w:szCs w:val="21"/>
              </w:rPr>
            </w:pPr>
            <w:r>
              <w:rPr>
                <w:color w:val="auto"/>
                <w:kern w:val="0"/>
                <w:szCs w:val="21"/>
              </w:rPr>
              <w:t>本次评价选用点源的噪声预测模式，将各工序噪声源视为一个点噪声源。在声源传播过程中，噪声受到厂房的吸收和屏蔽，经过距离衰减和空气吸收后，到达受声点。其预测模式如下：</w:t>
            </w:r>
          </w:p>
          <w:p>
            <w:pPr>
              <w:spacing w:before="191" w:line="360" w:lineRule="auto"/>
              <w:ind w:firstLine="840" w:firstLineChars="400"/>
              <w:jc w:val="left"/>
              <w:rPr>
                <w:color w:val="auto"/>
                <w:szCs w:val="21"/>
              </w:rPr>
            </w:pPr>
            <w:r>
              <w:rPr>
                <w:color w:val="auto"/>
                <w:szCs w:val="21"/>
              </w:rPr>
              <w:t>点声源距离衰减模式：</w:t>
            </w:r>
            <w:r>
              <w:rPr>
                <w:color w:val="auto"/>
                <w:position w:val="-32"/>
                <w:szCs w:val="21"/>
              </w:rPr>
              <w:object>
                <v:shape id="_x0000_i1025" o:spt="75" type="#_x0000_t75" style="height:30.55pt;width:82.1pt;" o:ole="t" filled="f" o:preferrelative="t" stroked="f" coordsize="21600,21600">
                  <v:path/>
                  <v:fill on="f" focussize="0,0"/>
                  <v:stroke on="f" joinstyle="miter"/>
                  <v:imagedata r:id="rId16" o:title=""/>
                  <o:lock v:ext="edit" aspectratio="t"/>
                  <w10:wrap type="none"/>
                  <w10:anchorlock/>
                </v:shape>
                <o:OLEObject Type="Embed" ProgID="Equation.KSEE3" ShapeID="_x0000_i1025" DrawAspect="Content" ObjectID="_1468075725" r:id="rId15">
                  <o:LockedField>false</o:LockedField>
                </o:OLEObject>
              </w:object>
            </w:r>
          </w:p>
          <w:p>
            <w:pPr>
              <w:pStyle w:val="6"/>
              <w:spacing w:line="360" w:lineRule="auto"/>
              <w:ind w:right="435" w:firstLine="896" w:firstLineChars="427"/>
              <w:rPr>
                <w:color w:val="auto"/>
                <w:kern w:val="2"/>
                <w:sz w:val="21"/>
                <w:szCs w:val="21"/>
              </w:rPr>
            </w:pPr>
            <w:r>
              <w:rPr>
                <w:color w:val="auto"/>
                <w:kern w:val="2"/>
                <w:sz w:val="21"/>
                <w:szCs w:val="21"/>
              </w:rPr>
              <w:t>多个声源叠加公式：</w:t>
            </w:r>
          </w:p>
          <w:p>
            <w:pPr>
              <w:pStyle w:val="6"/>
              <w:spacing w:line="360" w:lineRule="auto"/>
              <w:ind w:right="435" w:firstLine="480"/>
              <w:jc w:val="center"/>
              <w:rPr>
                <w:color w:val="auto"/>
                <w:position w:val="2"/>
                <w:sz w:val="21"/>
                <w:szCs w:val="21"/>
              </w:rPr>
            </w:pPr>
            <w:r>
              <w:rPr>
                <w:color w:val="auto"/>
                <w:position w:val="-14"/>
                <w:sz w:val="21"/>
                <w:szCs w:val="21"/>
              </w:rPr>
              <w:object>
                <v:shape id="_x0000_i1026" o:spt="75" type="#_x0000_t75" style="height:26pt;width:110pt;" o:ole="t" filled="f" o:preferrelative="t" stroked="f" coordsize="21600,21600">
                  <v:path/>
                  <v:fill on="f" focussize="0,0"/>
                  <v:stroke on="f" joinstyle="miter"/>
                  <v:imagedata r:id="rId18" o:title=""/>
                  <o:lock v:ext="edit" aspectratio="t"/>
                  <w10:wrap type="none"/>
                  <w10:anchorlock/>
                </v:shape>
                <o:OLEObject Type="Embed" ProgID="Equation.KSEE3" ShapeID="_x0000_i1026" DrawAspect="Content" ObjectID="_1468075726" r:id="rId17">
                  <o:LockedField>false</o:LockedField>
                </o:OLEObject>
              </w:object>
            </w:r>
          </w:p>
          <w:p>
            <w:pPr>
              <w:spacing w:line="360" w:lineRule="auto"/>
              <w:ind w:firstLine="420" w:firstLineChars="200"/>
              <w:jc w:val="left"/>
              <w:rPr>
                <w:color w:val="auto"/>
                <w:szCs w:val="21"/>
              </w:rPr>
            </w:pPr>
            <w:r>
              <w:rPr>
                <w:color w:val="auto"/>
                <w:szCs w:val="21"/>
              </w:rPr>
              <w:t>式中：L</w:t>
            </w:r>
            <w:r>
              <w:rPr>
                <w:color w:val="auto"/>
                <w:szCs w:val="21"/>
                <w:vertAlign w:val="subscript"/>
              </w:rPr>
              <w:t>p</w:t>
            </w:r>
            <w:r>
              <w:rPr>
                <w:color w:val="auto"/>
                <w:szCs w:val="21"/>
              </w:rPr>
              <w:t>——距声源r</w:t>
            </w:r>
            <w:r>
              <w:rPr>
                <w:color w:val="auto"/>
                <w:szCs w:val="21"/>
                <w:vertAlign w:val="subscript"/>
              </w:rPr>
              <w:t>m</w:t>
            </w:r>
            <w:r>
              <w:rPr>
                <w:color w:val="auto"/>
                <w:szCs w:val="21"/>
              </w:rPr>
              <w:t>声级（dB（A））；</w:t>
            </w:r>
          </w:p>
          <w:p>
            <w:pPr>
              <w:spacing w:line="360" w:lineRule="auto"/>
              <w:ind w:firstLine="1050" w:firstLineChars="500"/>
              <w:jc w:val="left"/>
              <w:rPr>
                <w:color w:val="auto"/>
                <w:szCs w:val="21"/>
              </w:rPr>
            </w:pPr>
            <w:r>
              <w:rPr>
                <w:color w:val="auto"/>
                <w:szCs w:val="21"/>
              </w:rPr>
              <w:t>L</w:t>
            </w:r>
            <w:r>
              <w:rPr>
                <w:color w:val="auto"/>
                <w:szCs w:val="21"/>
                <w:vertAlign w:val="subscript"/>
              </w:rPr>
              <w:t>0</w:t>
            </w:r>
            <w:r>
              <w:rPr>
                <w:color w:val="auto"/>
                <w:szCs w:val="21"/>
              </w:rPr>
              <w:t>——距声源r</w:t>
            </w:r>
            <w:r>
              <w:rPr>
                <w:color w:val="auto"/>
                <w:szCs w:val="21"/>
                <w:vertAlign w:val="subscript"/>
              </w:rPr>
              <w:t>0m</w:t>
            </w:r>
            <w:r>
              <w:rPr>
                <w:color w:val="auto"/>
                <w:szCs w:val="21"/>
              </w:rPr>
              <w:t>声级（dB（A））；</w:t>
            </w:r>
          </w:p>
          <w:p>
            <w:pPr>
              <w:spacing w:line="360" w:lineRule="auto"/>
              <w:ind w:firstLine="1050" w:firstLineChars="500"/>
              <w:jc w:val="left"/>
              <w:rPr>
                <w:color w:val="auto"/>
                <w:szCs w:val="21"/>
              </w:rPr>
            </w:pPr>
            <w:r>
              <w:rPr>
                <w:color w:val="auto"/>
                <w:szCs w:val="21"/>
              </w:rPr>
              <w:t>r ——距声源距离（m）；</w:t>
            </w:r>
          </w:p>
          <w:p>
            <w:pPr>
              <w:spacing w:line="360" w:lineRule="auto"/>
              <w:ind w:firstLine="1050" w:firstLineChars="500"/>
              <w:jc w:val="left"/>
              <w:rPr>
                <w:color w:val="auto"/>
                <w:szCs w:val="21"/>
              </w:rPr>
            </w:pPr>
            <w:r>
              <w:rPr>
                <w:color w:val="auto"/>
                <w:szCs w:val="21"/>
              </w:rPr>
              <w:t>r</w:t>
            </w:r>
            <w:r>
              <w:rPr>
                <w:color w:val="auto"/>
                <w:szCs w:val="21"/>
                <w:vertAlign w:val="subscript"/>
              </w:rPr>
              <w:t>0</w:t>
            </w:r>
            <w:r>
              <w:rPr>
                <w:color w:val="auto"/>
                <w:szCs w:val="21"/>
              </w:rPr>
              <w:t>——距声源距离（m），此处 r</w:t>
            </w:r>
            <w:r>
              <w:rPr>
                <w:color w:val="auto"/>
                <w:szCs w:val="21"/>
                <w:vertAlign w:val="subscript"/>
              </w:rPr>
              <w:t xml:space="preserve">0 </w:t>
            </w:r>
            <w:r>
              <w:rPr>
                <w:color w:val="auto"/>
                <w:szCs w:val="21"/>
              </w:rPr>
              <w:t>=5m ；</w:t>
            </w:r>
          </w:p>
          <w:p>
            <w:pPr>
              <w:spacing w:line="360" w:lineRule="auto"/>
              <w:ind w:firstLine="1050" w:firstLineChars="500"/>
              <w:jc w:val="left"/>
              <w:rPr>
                <w:color w:val="auto"/>
                <w:szCs w:val="21"/>
              </w:rPr>
            </w:pPr>
            <w:r>
              <w:rPr>
                <w:color w:val="auto"/>
                <w:szCs w:val="21"/>
              </w:rPr>
              <w:t>L</w:t>
            </w:r>
            <w:r>
              <w:rPr>
                <w:color w:val="auto"/>
                <w:szCs w:val="21"/>
                <w:vertAlign w:val="subscript"/>
              </w:rPr>
              <w:t>eq</w:t>
            </w:r>
            <w:r>
              <w:rPr>
                <w:color w:val="auto"/>
                <w:szCs w:val="21"/>
              </w:rPr>
              <w:t>——n个声源对预测点的贡献值；</w:t>
            </w:r>
          </w:p>
          <w:p>
            <w:pPr>
              <w:spacing w:line="360" w:lineRule="auto"/>
              <w:ind w:firstLine="1050" w:firstLineChars="500"/>
              <w:jc w:val="left"/>
              <w:rPr>
                <w:color w:val="auto"/>
                <w:szCs w:val="21"/>
              </w:rPr>
            </w:pPr>
            <w:r>
              <w:rPr>
                <w:color w:val="auto"/>
                <w:szCs w:val="21"/>
              </w:rPr>
              <w:t>L</w:t>
            </w:r>
            <w:r>
              <w:rPr>
                <w:color w:val="auto"/>
                <w:szCs w:val="21"/>
                <w:vertAlign w:val="subscript"/>
              </w:rPr>
              <w:t>Ai</w:t>
            </w:r>
            <w:r>
              <w:rPr>
                <w:color w:val="auto"/>
                <w:szCs w:val="21"/>
              </w:rPr>
              <w:t>——第 i 个声源对预测点的贡献值；</w:t>
            </w:r>
          </w:p>
          <w:p>
            <w:pPr>
              <w:spacing w:line="360" w:lineRule="auto"/>
              <w:ind w:firstLine="1050" w:firstLineChars="500"/>
              <w:jc w:val="left"/>
              <w:rPr>
                <w:color w:val="auto"/>
                <w:szCs w:val="21"/>
              </w:rPr>
            </w:pPr>
            <w:r>
              <w:rPr>
                <w:color w:val="auto"/>
                <w:szCs w:val="21"/>
              </w:rPr>
              <w:t>n——声源个数。</w:t>
            </w:r>
          </w:p>
          <w:p>
            <w:pPr>
              <w:autoSpaceDE w:val="0"/>
              <w:autoSpaceDN w:val="0"/>
              <w:adjustRightInd w:val="0"/>
              <w:snapToGrid w:val="0"/>
              <w:spacing w:line="400" w:lineRule="exact"/>
              <w:ind w:firstLine="420" w:firstLineChars="200"/>
              <w:jc w:val="left"/>
              <w:rPr>
                <w:rFonts w:hint="eastAsia" w:eastAsia="宋体"/>
                <w:color w:val="auto"/>
                <w:kern w:val="0"/>
                <w:szCs w:val="21"/>
                <w:lang w:eastAsia="zh-CN"/>
              </w:rPr>
            </w:pPr>
            <w:r>
              <w:rPr>
                <w:color w:val="auto"/>
                <w:kern w:val="0"/>
                <w:szCs w:val="21"/>
              </w:rPr>
              <w:t>根据项目现场踏勘，项目50m范围内</w:t>
            </w:r>
            <w:r>
              <w:rPr>
                <w:rFonts w:hint="eastAsia"/>
                <w:color w:val="auto"/>
                <w:kern w:val="0"/>
                <w:szCs w:val="21"/>
              </w:rPr>
              <w:t>无</w:t>
            </w:r>
            <w:r>
              <w:rPr>
                <w:color w:val="auto"/>
                <w:kern w:val="0"/>
                <w:szCs w:val="21"/>
              </w:rPr>
              <w:t>敏感点。因此，评价对本项目厂界噪声进行预测。</w:t>
            </w:r>
            <w:r>
              <w:rPr>
                <w:rFonts w:hint="eastAsia"/>
                <w:color w:val="auto"/>
                <w:kern w:val="0"/>
                <w:szCs w:val="21"/>
                <w:lang w:eastAsia="zh-CN"/>
              </w:rPr>
              <w:t>（</w:t>
            </w:r>
            <w:r>
              <w:rPr>
                <w:rFonts w:hint="eastAsia"/>
                <w:color w:val="auto"/>
                <w:kern w:val="0"/>
                <w:szCs w:val="21"/>
                <w:lang w:val="en-US" w:eastAsia="zh-CN"/>
              </w:rPr>
              <w:t>夜间不生产</w:t>
            </w:r>
            <w:r>
              <w:rPr>
                <w:rFonts w:hint="eastAsia"/>
                <w:color w:val="auto"/>
                <w:kern w:val="0"/>
                <w:szCs w:val="21"/>
                <w:lang w:eastAsia="zh-CN"/>
              </w:rPr>
              <w:t>）</w:t>
            </w:r>
          </w:p>
          <w:p>
            <w:pPr>
              <w:spacing w:line="360" w:lineRule="auto"/>
              <w:jc w:val="center"/>
              <w:rPr>
                <w:b/>
                <w:bCs/>
                <w:color w:val="auto"/>
                <w:sz w:val="18"/>
                <w:szCs w:val="18"/>
                <w:highlight w:val="none"/>
              </w:rPr>
            </w:pPr>
            <w:r>
              <w:rPr>
                <w:rFonts w:hint="eastAsia"/>
                <w:b/>
                <w:bCs/>
                <w:color w:val="auto"/>
                <w:sz w:val="18"/>
                <w:szCs w:val="18"/>
                <w:highlight w:val="none"/>
              </w:rPr>
              <w:t>表4-</w:t>
            </w:r>
            <w:r>
              <w:rPr>
                <w:rFonts w:hint="eastAsia"/>
                <w:b/>
                <w:bCs/>
                <w:color w:val="auto"/>
                <w:sz w:val="18"/>
                <w:szCs w:val="18"/>
                <w:highlight w:val="none"/>
                <w:lang w:val="en-US" w:eastAsia="zh-CN"/>
              </w:rPr>
              <w:t>9</w:t>
            </w:r>
            <w:r>
              <w:rPr>
                <w:rFonts w:hint="eastAsia"/>
                <w:b/>
                <w:bCs/>
                <w:color w:val="auto"/>
                <w:sz w:val="18"/>
                <w:szCs w:val="18"/>
                <w:highlight w:val="none"/>
              </w:rPr>
              <w:t xml:space="preserve">  厂界噪声影响预测结果     单位：dB（A）</w:t>
            </w: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87"/>
              <w:gridCol w:w="1046"/>
              <w:gridCol w:w="2191"/>
              <w:gridCol w:w="2378"/>
              <w:gridCol w:w="12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exact"/>
                <w:jc w:val="center"/>
              </w:trPr>
              <w:tc>
                <w:tcPr>
                  <w:tcW w:w="1187" w:type="dxa"/>
                  <w:vMerge w:val="restart"/>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预测方位</w:t>
                  </w:r>
                </w:p>
              </w:tc>
              <w:tc>
                <w:tcPr>
                  <w:tcW w:w="1046" w:type="dxa"/>
                  <w:vMerge w:val="restart"/>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时段</w:t>
                  </w:r>
                </w:p>
              </w:tc>
              <w:tc>
                <w:tcPr>
                  <w:tcW w:w="2191" w:type="dxa"/>
                  <w:vMerge w:val="restart"/>
                  <w:shd w:val="clear" w:color="auto" w:fill="auto"/>
                  <w:vAlign w:val="center"/>
                </w:tcPr>
                <w:p>
                  <w:pPr>
                    <w:autoSpaceDE w:val="0"/>
                    <w:autoSpaceDN w:val="0"/>
                    <w:adjustRightInd w:val="0"/>
                    <w:spacing w:line="280" w:lineRule="exact"/>
                    <w:jc w:val="center"/>
                    <w:rPr>
                      <w:rFonts w:eastAsia="宋体"/>
                      <w:bCs/>
                      <w:color w:val="auto"/>
                      <w:sz w:val="18"/>
                      <w:szCs w:val="18"/>
                    </w:rPr>
                  </w:pPr>
                  <w:r>
                    <w:rPr>
                      <w:rFonts w:hint="eastAsia" w:eastAsia="宋体"/>
                      <w:bCs/>
                      <w:color w:val="auto"/>
                      <w:sz w:val="18"/>
                      <w:szCs w:val="18"/>
                    </w:rPr>
                    <w:t>贡献值</w:t>
                  </w:r>
                  <w:r>
                    <w:rPr>
                      <w:rFonts w:eastAsia="宋体"/>
                      <w:bCs/>
                      <w:color w:val="auto"/>
                      <w:sz w:val="18"/>
                      <w:szCs w:val="18"/>
                    </w:rPr>
                    <w:t>（dB(A)）</w:t>
                  </w:r>
                </w:p>
              </w:tc>
              <w:tc>
                <w:tcPr>
                  <w:tcW w:w="2378" w:type="dxa"/>
                  <w:vMerge w:val="restart"/>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标准限值（dB(A)）</w:t>
                  </w:r>
                </w:p>
              </w:tc>
              <w:tc>
                <w:tcPr>
                  <w:tcW w:w="1297" w:type="dxa"/>
                  <w:vMerge w:val="restart"/>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达标情况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187" w:type="dxa"/>
                  <w:vMerge w:val="continue"/>
                  <w:shd w:val="clear" w:color="auto" w:fill="auto"/>
                  <w:vAlign w:val="center"/>
                </w:tcPr>
                <w:p>
                  <w:pPr>
                    <w:autoSpaceDE w:val="0"/>
                    <w:autoSpaceDN w:val="0"/>
                    <w:adjustRightInd w:val="0"/>
                    <w:spacing w:line="280" w:lineRule="exact"/>
                    <w:jc w:val="center"/>
                    <w:rPr>
                      <w:rFonts w:eastAsia="宋体"/>
                      <w:bCs/>
                      <w:color w:val="auto"/>
                      <w:sz w:val="18"/>
                      <w:szCs w:val="18"/>
                    </w:rPr>
                  </w:pPr>
                </w:p>
              </w:tc>
              <w:tc>
                <w:tcPr>
                  <w:tcW w:w="1046" w:type="dxa"/>
                  <w:vMerge w:val="continue"/>
                  <w:shd w:val="clear" w:color="auto" w:fill="auto"/>
                  <w:vAlign w:val="center"/>
                </w:tcPr>
                <w:p>
                  <w:pPr>
                    <w:autoSpaceDE w:val="0"/>
                    <w:autoSpaceDN w:val="0"/>
                    <w:adjustRightInd w:val="0"/>
                    <w:spacing w:line="280" w:lineRule="exact"/>
                    <w:jc w:val="center"/>
                    <w:rPr>
                      <w:rFonts w:eastAsia="宋体"/>
                      <w:bCs/>
                      <w:color w:val="auto"/>
                      <w:sz w:val="18"/>
                      <w:szCs w:val="18"/>
                    </w:rPr>
                  </w:pPr>
                </w:p>
              </w:tc>
              <w:tc>
                <w:tcPr>
                  <w:tcW w:w="2191" w:type="dxa"/>
                  <w:vMerge w:val="continue"/>
                  <w:shd w:val="clear" w:color="auto" w:fill="auto"/>
                  <w:vAlign w:val="center"/>
                </w:tcPr>
                <w:p>
                  <w:pPr>
                    <w:autoSpaceDE w:val="0"/>
                    <w:autoSpaceDN w:val="0"/>
                    <w:adjustRightInd w:val="0"/>
                    <w:spacing w:line="280" w:lineRule="exact"/>
                    <w:jc w:val="center"/>
                    <w:rPr>
                      <w:rFonts w:eastAsia="宋体"/>
                      <w:bCs/>
                      <w:color w:val="auto"/>
                      <w:sz w:val="18"/>
                      <w:szCs w:val="18"/>
                    </w:rPr>
                  </w:pPr>
                </w:p>
              </w:tc>
              <w:tc>
                <w:tcPr>
                  <w:tcW w:w="2378" w:type="dxa"/>
                  <w:vMerge w:val="continue"/>
                  <w:shd w:val="clear" w:color="auto" w:fill="auto"/>
                  <w:vAlign w:val="center"/>
                </w:tcPr>
                <w:p>
                  <w:pPr>
                    <w:autoSpaceDE w:val="0"/>
                    <w:autoSpaceDN w:val="0"/>
                    <w:adjustRightInd w:val="0"/>
                    <w:spacing w:line="280" w:lineRule="exact"/>
                    <w:jc w:val="center"/>
                    <w:rPr>
                      <w:rFonts w:eastAsia="宋体"/>
                      <w:bCs/>
                      <w:color w:val="auto"/>
                      <w:sz w:val="18"/>
                      <w:szCs w:val="18"/>
                    </w:rPr>
                  </w:pPr>
                </w:p>
              </w:tc>
              <w:tc>
                <w:tcPr>
                  <w:tcW w:w="1297" w:type="dxa"/>
                  <w:vMerge w:val="continue"/>
                  <w:shd w:val="clear" w:color="auto" w:fill="auto"/>
                  <w:vAlign w:val="center"/>
                </w:tcPr>
                <w:p>
                  <w:pPr>
                    <w:autoSpaceDE w:val="0"/>
                    <w:autoSpaceDN w:val="0"/>
                    <w:adjustRightInd w:val="0"/>
                    <w:spacing w:line="280" w:lineRule="exact"/>
                    <w:jc w:val="center"/>
                    <w:rPr>
                      <w:rFonts w:eastAsia="宋体"/>
                      <w:bCs/>
                      <w:color w:val="auto"/>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1187"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东侧</w:t>
                  </w:r>
                </w:p>
              </w:tc>
              <w:tc>
                <w:tcPr>
                  <w:tcW w:w="1046"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昼间</w:t>
                  </w:r>
                </w:p>
              </w:tc>
              <w:tc>
                <w:tcPr>
                  <w:tcW w:w="2191" w:type="dxa"/>
                  <w:shd w:val="clear" w:color="auto" w:fill="auto"/>
                  <w:vAlign w:val="center"/>
                </w:tcPr>
                <w:p>
                  <w:pPr>
                    <w:autoSpaceDE w:val="0"/>
                    <w:autoSpaceDN w:val="0"/>
                    <w:adjustRightInd w:val="0"/>
                    <w:spacing w:line="280" w:lineRule="exact"/>
                    <w:jc w:val="center"/>
                    <w:rPr>
                      <w:rFonts w:hint="default" w:eastAsia="宋体"/>
                      <w:bCs/>
                      <w:color w:val="auto"/>
                      <w:sz w:val="18"/>
                      <w:szCs w:val="18"/>
                      <w:lang w:val="en-US" w:eastAsia="zh-CN"/>
                    </w:rPr>
                  </w:pPr>
                  <w:r>
                    <w:rPr>
                      <w:rFonts w:hint="eastAsia" w:eastAsia="宋体"/>
                      <w:bCs/>
                      <w:color w:val="auto"/>
                      <w:sz w:val="18"/>
                      <w:szCs w:val="18"/>
                      <w:lang w:val="en-US" w:eastAsia="zh-CN"/>
                    </w:rPr>
                    <w:t>58.7</w:t>
                  </w:r>
                </w:p>
              </w:tc>
              <w:tc>
                <w:tcPr>
                  <w:tcW w:w="2378" w:type="dxa"/>
                  <w:shd w:val="clear" w:color="auto" w:fill="auto"/>
                  <w:vAlign w:val="center"/>
                </w:tcPr>
                <w:p>
                  <w:pPr>
                    <w:autoSpaceDE w:val="0"/>
                    <w:autoSpaceDN w:val="0"/>
                    <w:adjustRightInd w:val="0"/>
                    <w:spacing w:line="280" w:lineRule="exact"/>
                    <w:jc w:val="center"/>
                    <w:rPr>
                      <w:rFonts w:hint="default" w:eastAsia="宋体"/>
                      <w:bCs/>
                      <w:color w:val="auto"/>
                      <w:sz w:val="18"/>
                      <w:szCs w:val="18"/>
                      <w:lang w:val="en-US" w:eastAsia="zh-CN"/>
                    </w:rPr>
                  </w:pPr>
                  <w:r>
                    <w:rPr>
                      <w:rFonts w:hint="eastAsia" w:eastAsia="宋体"/>
                      <w:bCs/>
                      <w:color w:val="auto"/>
                      <w:sz w:val="18"/>
                      <w:szCs w:val="18"/>
                      <w:lang w:val="en-US" w:eastAsia="zh-CN"/>
                    </w:rPr>
                    <w:t>60</w:t>
                  </w:r>
                </w:p>
              </w:tc>
              <w:tc>
                <w:tcPr>
                  <w:tcW w:w="1297"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1187"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南侧</w:t>
                  </w:r>
                </w:p>
              </w:tc>
              <w:tc>
                <w:tcPr>
                  <w:tcW w:w="1046"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昼间</w:t>
                  </w:r>
                </w:p>
              </w:tc>
              <w:tc>
                <w:tcPr>
                  <w:tcW w:w="2191" w:type="dxa"/>
                  <w:shd w:val="clear" w:color="auto" w:fill="auto"/>
                  <w:vAlign w:val="center"/>
                </w:tcPr>
                <w:p>
                  <w:pPr>
                    <w:autoSpaceDE w:val="0"/>
                    <w:autoSpaceDN w:val="0"/>
                    <w:adjustRightInd w:val="0"/>
                    <w:spacing w:line="280" w:lineRule="exact"/>
                    <w:jc w:val="center"/>
                    <w:rPr>
                      <w:rFonts w:hint="default" w:eastAsia="宋体"/>
                      <w:bCs/>
                      <w:color w:val="auto"/>
                      <w:sz w:val="18"/>
                      <w:szCs w:val="18"/>
                      <w:lang w:val="en-US" w:eastAsia="zh-CN"/>
                    </w:rPr>
                  </w:pPr>
                  <w:r>
                    <w:rPr>
                      <w:rFonts w:hint="eastAsia" w:eastAsia="宋体"/>
                      <w:bCs/>
                      <w:color w:val="auto"/>
                      <w:sz w:val="18"/>
                      <w:szCs w:val="18"/>
                      <w:lang w:val="en-US" w:eastAsia="zh-CN"/>
                    </w:rPr>
                    <w:t>50</w:t>
                  </w:r>
                </w:p>
              </w:tc>
              <w:tc>
                <w:tcPr>
                  <w:tcW w:w="2378" w:type="dxa"/>
                  <w:shd w:val="clear" w:color="auto" w:fill="auto"/>
                  <w:vAlign w:val="center"/>
                </w:tcPr>
                <w:p>
                  <w:pPr>
                    <w:autoSpaceDE w:val="0"/>
                    <w:autoSpaceDN w:val="0"/>
                    <w:adjustRightInd w:val="0"/>
                    <w:spacing w:line="280" w:lineRule="exact"/>
                    <w:jc w:val="center"/>
                    <w:rPr>
                      <w:rFonts w:hint="default" w:eastAsia="宋体"/>
                      <w:bCs/>
                      <w:color w:val="auto"/>
                      <w:sz w:val="18"/>
                      <w:szCs w:val="18"/>
                      <w:lang w:val="en-US" w:eastAsia="zh-CN"/>
                    </w:rPr>
                  </w:pPr>
                  <w:r>
                    <w:rPr>
                      <w:rFonts w:hint="eastAsia" w:eastAsia="宋体"/>
                      <w:bCs/>
                      <w:color w:val="auto"/>
                      <w:sz w:val="18"/>
                      <w:szCs w:val="18"/>
                      <w:lang w:val="en-US" w:eastAsia="zh-CN"/>
                    </w:rPr>
                    <w:t>60</w:t>
                  </w:r>
                </w:p>
              </w:tc>
              <w:tc>
                <w:tcPr>
                  <w:tcW w:w="1297"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1187"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西侧</w:t>
                  </w:r>
                </w:p>
              </w:tc>
              <w:tc>
                <w:tcPr>
                  <w:tcW w:w="1046"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昼间</w:t>
                  </w:r>
                </w:p>
              </w:tc>
              <w:tc>
                <w:tcPr>
                  <w:tcW w:w="2191" w:type="dxa"/>
                  <w:shd w:val="clear" w:color="auto" w:fill="auto"/>
                  <w:vAlign w:val="center"/>
                </w:tcPr>
                <w:p>
                  <w:pPr>
                    <w:autoSpaceDE w:val="0"/>
                    <w:autoSpaceDN w:val="0"/>
                    <w:adjustRightInd w:val="0"/>
                    <w:spacing w:line="280" w:lineRule="exact"/>
                    <w:jc w:val="center"/>
                    <w:rPr>
                      <w:rFonts w:hint="default" w:eastAsia="宋体"/>
                      <w:bCs/>
                      <w:color w:val="auto"/>
                      <w:sz w:val="18"/>
                      <w:szCs w:val="18"/>
                      <w:lang w:val="en-US" w:eastAsia="zh-CN"/>
                    </w:rPr>
                  </w:pPr>
                  <w:r>
                    <w:rPr>
                      <w:rFonts w:hint="eastAsia" w:eastAsia="宋体"/>
                      <w:bCs/>
                      <w:color w:val="auto"/>
                      <w:sz w:val="18"/>
                      <w:szCs w:val="18"/>
                      <w:lang w:val="en-US" w:eastAsia="zh-CN"/>
                    </w:rPr>
                    <w:t>46.6</w:t>
                  </w:r>
                </w:p>
              </w:tc>
              <w:tc>
                <w:tcPr>
                  <w:tcW w:w="2378" w:type="dxa"/>
                  <w:shd w:val="clear" w:color="auto" w:fill="auto"/>
                  <w:vAlign w:val="center"/>
                </w:tcPr>
                <w:p>
                  <w:pPr>
                    <w:autoSpaceDE w:val="0"/>
                    <w:autoSpaceDN w:val="0"/>
                    <w:adjustRightInd w:val="0"/>
                    <w:spacing w:line="280" w:lineRule="exact"/>
                    <w:jc w:val="center"/>
                    <w:rPr>
                      <w:rFonts w:hint="eastAsia" w:eastAsia="宋体"/>
                      <w:bCs/>
                      <w:color w:val="auto"/>
                      <w:sz w:val="18"/>
                      <w:szCs w:val="18"/>
                      <w:lang w:val="en-US" w:eastAsia="zh-CN"/>
                    </w:rPr>
                  </w:pPr>
                  <w:r>
                    <w:rPr>
                      <w:rFonts w:eastAsia="宋体"/>
                      <w:bCs/>
                      <w:color w:val="auto"/>
                      <w:sz w:val="18"/>
                      <w:szCs w:val="18"/>
                    </w:rPr>
                    <w:t>6</w:t>
                  </w:r>
                  <w:r>
                    <w:rPr>
                      <w:rFonts w:hint="eastAsia" w:eastAsia="宋体"/>
                      <w:bCs/>
                      <w:color w:val="auto"/>
                      <w:sz w:val="18"/>
                      <w:szCs w:val="18"/>
                      <w:lang w:val="en-US" w:eastAsia="zh-CN"/>
                    </w:rPr>
                    <w:t>0</w:t>
                  </w:r>
                </w:p>
              </w:tc>
              <w:tc>
                <w:tcPr>
                  <w:tcW w:w="1297"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340" w:hRule="exact"/>
                <w:jc w:val="center"/>
              </w:trPr>
              <w:tc>
                <w:tcPr>
                  <w:tcW w:w="1187"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北侧</w:t>
                  </w:r>
                </w:p>
              </w:tc>
              <w:tc>
                <w:tcPr>
                  <w:tcW w:w="1046"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昼间</w:t>
                  </w:r>
                </w:p>
              </w:tc>
              <w:tc>
                <w:tcPr>
                  <w:tcW w:w="2191" w:type="dxa"/>
                  <w:shd w:val="clear" w:color="auto" w:fill="auto"/>
                  <w:vAlign w:val="center"/>
                </w:tcPr>
                <w:p>
                  <w:pPr>
                    <w:autoSpaceDE w:val="0"/>
                    <w:autoSpaceDN w:val="0"/>
                    <w:adjustRightInd w:val="0"/>
                    <w:spacing w:line="280" w:lineRule="exact"/>
                    <w:jc w:val="center"/>
                    <w:rPr>
                      <w:rFonts w:hint="default" w:eastAsia="宋体"/>
                      <w:bCs/>
                      <w:color w:val="auto"/>
                      <w:sz w:val="18"/>
                      <w:szCs w:val="18"/>
                      <w:lang w:val="en-US" w:eastAsia="zh-CN"/>
                    </w:rPr>
                  </w:pPr>
                  <w:r>
                    <w:rPr>
                      <w:rFonts w:hint="eastAsia" w:eastAsia="宋体"/>
                      <w:bCs/>
                      <w:color w:val="auto"/>
                      <w:sz w:val="18"/>
                      <w:szCs w:val="18"/>
                      <w:lang w:val="en-US" w:eastAsia="zh-CN"/>
                    </w:rPr>
                    <w:t>47.2</w:t>
                  </w:r>
                </w:p>
              </w:tc>
              <w:tc>
                <w:tcPr>
                  <w:tcW w:w="2378" w:type="dxa"/>
                  <w:shd w:val="clear" w:color="auto" w:fill="auto"/>
                  <w:vAlign w:val="center"/>
                </w:tcPr>
                <w:p>
                  <w:pPr>
                    <w:autoSpaceDE w:val="0"/>
                    <w:autoSpaceDN w:val="0"/>
                    <w:adjustRightInd w:val="0"/>
                    <w:spacing w:line="280" w:lineRule="exact"/>
                    <w:jc w:val="center"/>
                    <w:rPr>
                      <w:rFonts w:hint="eastAsia" w:eastAsia="宋体"/>
                      <w:bCs/>
                      <w:color w:val="auto"/>
                      <w:sz w:val="18"/>
                      <w:szCs w:val="18"/>
                      <w:lang w:val="en-US" w:eastAsia="zh-CN"/>
                    </w:rPr>
                  </w:pPr>
                  <w:r>
                    <w:rPr>
                      <w:rFonts w:eastAsia="宋体"/>
                      <w:bCs/>
                      <w:color w:val="auto"/>
                      <w:sz w:val="18"/>
                      <w:szCs w:val="18"/>
                    </w:rPr>
                    <w:t>6</w:t>
                  </w:r>
                  <w:r>
                    <w:rPr>
                      <w:rFonts w:hint="eastAsia" w:eastAsia="宋体"/>
                      <w:bCs/>
                      <w:color w:val="auto"/>
                      <w:sz w:val="18"/>
                      <w:szCs w:val="18"/>
                      <w:lang w:val="en-US" w:eastAsia="zh-CN"/>
                    </w:rPr>
                    <w:t>0</w:t>
                  </w:r>
                </w:p>
              </w:tc>
              <w:tc>
                <w:tcPr>
                  <w:tcW w:w="1297" w:type="dxa"/>
                  <w:shd w:val="clear" w:color="auto" w:fill="auto"/>
                  <w:vAlign w:val="center"/>
                </w:tcPr>
                <w:p>
                  <w:pPr>
                    <w:autoSpaceDE w:val="0"/>
                    <w:autoSpaceDN w:val="0"/>
                    <w:adjustRightInd w:val="0"/>
                    <w:spacing w:line="280" w:lineRule="exact"/>
                    <w:jc w:val="center"/>
                    <w:rPr>
                      <w:rFonts w:eastAsia="宋体"/>
                      <w:bCs/>
                      <w:color w:val="auto"/>
                      <w:sz w:val="18"/>
                      <w:szCs w:val="18"/>
                    </w:rPr>
                  </w:pPr>
                  <w:r>
                    <w:rPr>
                      <w:rFonts w:eastAsia="宋体"/>
                      <w:bCs/>
                      <w:color w:val="auto"/>
                      <w:sz w:val="18"/>
                      <w:szCs w:val="18"/>
                    </w:rPr>
                    <w:t>达标</w:t>
                  </w:r>
                </w:p>
              </w:tc>
            </w:tr>
          </w:tbl>
          <w:p>
            <w:pPr>
              <w:autoSpaceDE w:val="0"/>
              <w:autoSpaceDN w:val="0"/>
              <w:adjustRightInd w:val="0"/>
              <w:snapToGrid w:val="0"/>
              <w:spacing w:line="360" w:lineRule="auto"/>
              <w:ind w:firstLine="420" w:firstLineChars="200"/>
              <w:rPr>
                <w:color w:val="auto"/>
                <w:kern w:val="0"/>
                <w:szCs w:val="21"/>
              </w:rPr>
            </w:pPr>
            <w:r>
              <w:rPr>
                <w:color w:val="auto"/>
                <w:kern w:val="0"/>
                <w:szCs w:val="21"/>
              </w:rPr>
              <w:t>由上表预测结果可知，本项目在采取建筑隔声、基础减振、距离衰减等措施的情况下，项目厂界四周噪声值能够满足《工业企业厂界环境噪声排放标准》（GB12348-2008）</w:t>
            </w:r>
            <w:r>
              <w:rPr>
                <w:rFonts w:hint="eastAsia"/>
                <w:color w:val="auto"/>
                <w:kern w:val="0"/>
                <w:szCs w:val="21"/>
                <w:lang w:val="en-US" w:eastAsia="zh-CN"/>
              </w:rPr>
              <w:t>2</w:t>
            </w:r>
            <w:r>
              <w:rPr>
                <w:color w:val="auto"/>
                <w:kern w:val="0"/>
                <w:szCs w:val="21"/>
              </w:rPr>
              <w:t>类声环境功能区的排放限值要求。</w:t>
            </w:r>
          </w:p>
          <w:p>
            <w:pPr>
              <w:autoSpaceDE w:val="0"/>
              <w:autoSpaceDN w:val="0"/>
              <w:adjustRightInd w:val="0"/>
              <w:snapToGrid w:val="0"/>
              <w:spacing w:line="360" w:lineRule="auto"/>
              <w:ind w:firstLine="420" w:firstLineChars="200"/>
              <w:rPr>
                <w:color w:val="auto"/>
                <w:kern w:val="0"/>
                <w:szCs w:val="21"/>
              </w:rPr>
            </w:pPr>
            <w:r>
              <w:rPr>
                <w:color w:val="auto"/>
                <w:kern w:val="0"/>
                <w:szCs w:val="21"/>
              </w:rPr>
              <w:t>评价认为，</w:t>
            </w:r>
            <w:r>
              <w:rPr>
                <w:rFonts w:hint="eastAsia"/>
                <w:color w:val="auto"/>
                <w:kern w:val="0"/>
                <w:szCs w:val="21"/>
              </w:rPr>
              <w:t>项目正常运行对</w:t>
            </w:r>
            <w:r>
              <w:rPr>
                <w:color w:val="auto"/>
                <w:kern w:val="0"/>
                <w:szCs w:val="21"/>
              </w:rPr>
              <w:t>周边环境敏感点的</w:t>
            </w:r>
            <w:r>
              <w:rPr>
                <w:rFonts w:hint="eastAsia"/>
                <w:color w:val="auto"/>
                <w:kern w:val="0"/>
                <w:szCs w:val="21"/>
              </w:rPr>
              <w:t>声</w:t>
            </w:r>
            <w:r>
              <w:rPr>
                <w:color w:val="auto"/>
                <w:kern w:val="0"/>
                <w:szCs w:val="21"/>
              </w:rPr>
              <w:t>环境</w:t>
            </w:r>
            <w:r>
              <w:rPr>
                <w:rFonts w:hint="eastAsia"/>
                <w:color w:val="auto"/>
                <w:kern w:val="0"/>
                <w:szCs w:val="21"/>
              </w:rPr>
              <w:t>影响很小，</w:t>
            </w:r>
            <w:r>
              <w:rPr>
                <w:color w:val="auto"/>
                <w:kern w:val="0"/>
                <w:szCs w:val="21"/>
              </w:rPr>
              <w:t>项目建设不会改变区域声环境质量现状。</w:t>
            </w:r>
          </w:p>
          <w:p>
            <w:pPr>
              <w:numPr>
                <w:ilvl w:val="0"/>
                <w:numId w:val="5"/>
              </w:numPr>
              <w:autoSpaceDE w:val="0"/>
              <w:autoSpaceDN w:val="0"/>
              <w:adjustRightInd w:val="0"/>
              <w:snapToGrid w:val="0"/>
              <w:spacing w:line="360" w:lineRule="auto"/>
              <w:ind w:firstLine="422" w:firstLineChars="200"/>
              <w:rPr>
                <w:b/>
                <w:bCs/>
                <w:color w:val="auto"/>
                <w:kern w:val="0"/>
                <w:szCs w:val="21"/>
              </w:rPr>
            </w:pPr>
            <w:r>
              <w:rPr>
                <w:b/>
                <w:bCs/>
                <w:color w:val="auto"/>
                <w:kern w:val="0"/>
                <w:szCs w:val="21"/>
              </w:rPr>
              <w:t>监测计划</w:t>
            </w:r>
          </w:p>
          <w:p>
            <w:pPr>
              <w:autoSpaceDE w:val="0"/>
              <w:autoSpaceDN w:val="0"/>
              <w:adjustRightInd w:val="0"/>
              <w:snapToGrid w:val="0"/>
              <w:spacing w:line="360" w:lineRule="auto"/>
              <w:ind w:firstLine="420" w:firstLineChars="200"/>
              <w:rPr>
                <w:color w:val="auto"/>
                <w:kern w:val="0"/>
                <w:sz w:val="24"/>
                <w:szCs w:val="21"/>
              </w:rPr>
            </w:pPr>
            <w:r>
              <w:rPr>
                <w:rFonts w:hint="eastAsia"/>
                <w:color w:val="auto"/>
                <w:kern w:val="0"/>
                <w:szCs w:val="21"/>
              </w:rPr>
              <w:t>噪声环境监测计划根据《排污单位自行监测技术指南</w:t>
            </w:r>
            <w:r>
              <w:rPr>
                <w:rFonts w:hint="eastAsia"/>
                <w:color w:val="auto"/>
                <w:kern w:val="0"/>
                <w:szCs w:val="21"/>
                <w:lang w:val="en-US" w:eastAsia="zh-CN"/>
              </w:rPr>
              <w:t xml:space="preserve"> </w:t>
            </w:r>
            <w:r>
              <w:rPr>
                <w:rFonts w:hint="eastAsia"/>
                <w:color w:val="auto"/>
                <w:kern w:val="0"/>
                <w:szCs w:val="21"/>
              </w:rPr>
              <w:t>总则》（HJ819-2017）进行制定，其环境监测计划见下表。</w:t>
            </w:r>
          </w:p>
          <w:p>
            <w:pPr>
              <w:spacing w:line="360" w:lineRule="auto"/>
              <w:jc w:val="center"/>
              <w:rPr>
                <w:b/>
                <w:bCs/>
                <w:color w:val="auto"/>
                <w:sz w:val="18"/>
                <w:szCs w:val="18"/>
                <w:lang w:val="zh-CN"/>
              </w:rPr>
            </w:pPr>
            <w:r>
              <w:rPr>
                <w:rFonts w:hint="eastAsia"/>
                <w:b/>
                <w:bCs/>
                <w:color w:val="auto"/>
                <w:sz w:val="18"/>
                <w:szCs w:val="18"/>
              </w:rPr>
              <w:t>表4-</w:t>
            </w:r>
            <w:r>
              <w:rPr>
                <w:rFonts w:hint="eastAsia"/>
                <w:b/>
                <w:bCs/>
                <w:color w:val="auto"/>
                <w:sz w:val="18"/>
                <w:szCs w:val="18"/>
                <w:lang w:val="en-US" w:eastAsia="zh-CN"/>
              </w:rPr>
              <w:t>10</w:t>
            </w:r>
            <w:r>
              <w:rPr>
                <w:rFonts w:hint="eastAsia"/>
                <w:b/>
                <w:bCs/>
                <w:color w:val="auto"/>
                <w:sz w:val="18"/>
                <w:szCs w:val="18"/>
              </w:rPr>
              <w:t xml:space="preserve">  </w:t>
            </w:r>
            <w:r>
              <w:rPr>
                <w:b/>
                <w:bCs/>
                <w:color w:val="auto"/>
                <w:sz w:val="18"/>
                <w:szCs w:val="18"/>
                <w:lang w:val="zh-CN"/>
              </w:rPr>
              <w:t>营运期噪声监测计划</w:t>
            </w:r>
          </w:p>
          <w:tbl>
            <w:tblPr>
              <w:tblStyle w:val="24"/>
              <w:tblW w:w="79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84"/>
              <w:gridCol w:w="1425"/>
              <w:gridCol w:w="1266"/>
              <w:gridCol w:w="1261"/>
              <w:gridCol w:w="25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b/>
                      <w:color w:val="auto"/>
                      <w:sz w:val="18"/>
                      <w:szCs w:val="18"/>
                    </w:rPr>
                  </w:pPr>
                  <w:r>
                    <w:rPr>
                      <w:b/>
                      <w:color w:val="auto"/>
                      <w:sz w:val="18"/>
                      <w:szCs w:val="18"/>
                    </w:rPr>
                    <w:t>监测项目</w:t>
                  </w:r>
                </w:p>
              </w:tc>
              <w:tc>
                <w:tcPr>
                  <w:tcW w:w="14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b/>
                      <w:color w:val="auto"/>
                      <w:sz w:val="18"/>
                      <w:szCs w:val="18"/>
                    </w:rPr>
                  </w:pPr>
                  <w:r>
                    <w:rPr>
                      <w:b/>
                      <w:color w:val="auto"/>
                      <w:sz w:val="18"/>
                      <w:szCs w:val="18"/>
                    </w:rPr>
                    <w:t>监测点位</w:t>
                  </w:r>
                </w:p>
              </w:tc>
              <w:tc>
                <w:tcPr>
                  <w:tcW w:w="12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b/>
                      <w:color w:val="auto"/>
                      <w:sz w:val="18"/>
                      <w:szCs w:val="18"/>
                    </w:rPr>
                  </w:pPr>
                  <w:r>
                    <w:rPr>
                      <w:b/>
                      <w:color w:val="auto"/>
                      <w:sz w:val="18"/>
                      <w:szCs w:val="18"/>
                    </w:rPr>
                    <w:t>监测因子</w:t>
                  </w:r>
                </w:p>
              </w:tc>
              <w:tc>
                <w:tcPr>
                  <w:tcW w:w="1261"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b/>
                      <w:color w:val="auto"/>
                      <w:sz w:val="18"/>
                      <w:szCs w:val="18"/>
                    </w:rPr>
                  </w:pPr>
                  <w:r>
                    <w:rPr>
                      <w:b/>
                      <w:color w:val="auto"/>
                      <w:sz w:val="18"/>
                      <w:szCs w:val="18"/>
                    </w:rPr>
                    <w:t>监测频率</w:t>
                  </w:r>
                </w:p>
              </w:tc>
              <w:tc>
                <w:tcPr>
                  <w:tcW w:w="2581"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b/>
                      <w:color w:val="auto"/>
                      <w:sz w:val="18"/>
                      <w:szCs w:val="18"/>
                    </w:rPr>
                  </w:pPr>
                  <w:r>
                    <w:rPr>
                      <w:rFonts w:hint="eastAsia"/>
                      <w:b/>
                      <w:color w:val="auto"/>
                      <w:sz w:val="18"/>
                      <w:szCs w:val="18"/>
                    </w:rPr>
                    <w:t>监测方式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jc w:val="center"/>
              </w:trPr>
              <w:tc>
                <w:tcPr>
                  <w:tcW w:w="1384"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spacing w:line="280" w:lineRule="exact"/>
                    <w:jc w:val="center"/>
                    <w:rPr>
                      <w:bCs/>
                      <w:color w:val="auto"/>
                      <w:sz w:val="18"/>
                      <w:szCs w:val="18"/>
                    </w:rPr>
                  </w:pPr>
                  <w:r>
                    <w:rPr>
                      <w:bCs/>
                      <w:color w:val="auto"/>
                      <w:sz w:val="18"/>
                      <w:szCs w:val="18"/>
                    </w:rPr>
                    <w:t>噪声</w:t>
                  </w:r>
                </w:p>
              </w:tc>
              <w:tc>
                <w:tcPr>
                  <w:tcW w:w="1425"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bCs/>
                      <w:color w:val="auto"/>
                      <w:sz w:val="18"/>
                      <w:szCs w:val="18"/>
                    </w:rPr>
                  </w:pPr>
                  <w:r>
                    <w:rPr>
                      <w:bCs/>
                      <w:color w:val="auto"/>
                      <w:sz w:val="18"/>
                      <w:szCs w:val="18"/>
                    </w:rPr>
                    <w:t>厂界四周</w:t>
                  </w:r>
                </w:p>
              </w:tc>
              <w:tc>
                <w:tcPr>
                  <w:tcW w:w="1266"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bCs/>
                      <w:color w:val="auto"/>
                      <w:sz w:val="18"/>
                      <w:szCs w:val="18"/>
                    </w:rPr>
                  </w:pPr>
                  <w:r>
                    <w:rPr>
                      <w:color w:val="auto"/>
                      <w:sz w:val="18"/>
                      <w:szCs w:val="18"/>
                    </w:rPr>
                    <w:t>噪声</w:t>
                  </w:r>
                </w:p>
              </w:tc>
              <w:tc>
                <w:tcPr>
                  <w:tcW w:w="1261"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bCs/>
                      <w:color w:val="auto"/>
                      <w:sz w:val="18"/>
                      <w:szCs w:val="18"/>
                    </w:rPr>
                  </w:pPr>
                  <w:r>
                    <w:rPr>
                      <w:bCs/>
                      <w:color w:val="auto"/>
                      <w:sz w:val="18"/>
                      <w:szCs w:val="18"/>
                    </w:rPr>
                    <w:t>1次/季度</w:t>
                  </w:r>
                </w:p>
              </w:tc>
              <w:tc>
                <w:tcPr>
                  <w:tcW w:w="2581" w:type="dxa"/>
                  <w:tcBorders>
                    <w:top w:val="single" w:color="auto" w:sz="4" w:space="0"/>
                    <w:left w:val="nil"/>
                    <w:bottom w:val="single" w:color="auto" w:sz="4" w:space="0"/>
                    <w:right w:val="single" w:color="auto" w:sz="4" w:space="0"/>
                  </w:tcBorders>
                  <w:vAlign w:val="center"/>
                </w:tcPr>
                <w:p>
                  <w:pPr>
                    <w:autoSpaceDE w:val="0"/>
                    <w:autoSpaceDN w:val="0"/>
                    <w:adjustRightInd w:val="0"/>
                    <w:spacing w:line="280" w:lineRule="exact"/>
                    <w:jc w:val="center"/>
                    <w:rPr>
                      <w:bCs/>
                      <w:color w:val="auto"/>
                      <w:sz w:val="18"/>
                      <w:szCs w:val="18"/>
                    </w:rPr>
                  </w:pPr>
                  <w:r>
                    <w:rPr>
                      <w:rFonts w:hint="eastAsia"/>
                      <w:bCs/>
                      <w:color w:val="auto"/>
                      <w:sz w:val="18"/>
                      <w:szCs w:val="18"/>
                    </w:rPr>
                    <w:t>委托第三方监测单位监测</w:t>
                  </w:r>
                </w:p>
              </w:tc>
            </w:tr>
          </w:tbl>
          <w:p>
            <w:pPr>
              <w:spacing w:line="360" w:lineRule="auto"/>
              <w:ind w:left="420" w:leftChars="200"/>
              <w:rPr>
                <w:b/>
                <w:bCs/>
                <w:color w:val="auto"/>
              </w:rPr>
            </w:pPr>
            <w:r>
              <w:rPr>
                <w:rFonts w:hint="eastAsia"/>
                <w:b/>
                <w:bCs/>
                <w:color w:val="auto"/>
              </w:rPr>
              <w:t>4、固体废物</w:t>
            </w:r>
          </w:p>
          <w:p>
            <w:pPr>
              <w:spacing w:line="360" w:lineRule="auto"/>
              <w:ind w:left="420" w:leftChars="200"/>
              <w:rPr>
                <w:color w:val="auto"/>
                <w:kern w:val="0"/>
                <w:szCs w:val="21"/>
              </w:rPr>
            </w:pPr>
            <w:r>
              <w:rPr>
                <w:color w:val="auto"/>
                <w:kern w:val="0"/>
                <w:szCs w:val="21"/>
              </w:rPr>
              <w:t>本项目固体废物</w:t>
            </w:r>
            <w:r>
              <w:rPr>
                <w:rFonts w:hint="eastAsia"/>
                <w:color w:val="auto"/>
                <w:kern w:val="0"/>
                <w:szCs w:val="21"/>
                <w:lang w:val="en-US" w:eastAsia="zh-CN"/>
              </w:rPr>
              <w:t>为</w:t>
            </w:r>
            <w:r>
              <w:rPr>
                <w:color w:val="auto"/>
                <w:kern w:val="0"/>
                <w:szCs w:val="21"/>
              </w:rPr>
              <w:t>一般固废</w:t>
            </w:r>
            <w:r>
              <w:rPr>
                <w:color w:val="auto"/>
                <w:kern w:val="0"/>
                <w:szCs w:val="21"/>
                <w:highlight w:val="none"/>
              </w:rPr>
              <w:t>。</w:t>
            </w:r>
          </w:p>
          <w:p>
            <w:pPr>
              <w:spacing w:line="360" w:lineRule="auto"/>
              <w:ind w:left="420" w:leftChars="200"/>
              <w:rPr>
                <w:color w:val="auto"/>
                <w:kern w:val="0"/>
                <w:szCs w:val="21"/>
              </w:rPr>
            </w:pPr>
            <w:r>
              <w:rPr>
                <w:b/>
                <w:bCs/>
                <w:color w:val="auto"/>
                <w:kern w:val="0"/>
                <w:szCs w:val="21"/>
              </w:rPr>
              <w:t>一般固废：</w:t>
            </w:r>
            <w:r>
              <w:rPr>
                <w:color w:val="auto"/>
                <w:kern w:val="0"/>
                <w:szCs w:val="21"/>
              </w:rPr>
              <w:t>生活垃圾</w:t>
            </w:r>
            <w:r>
              <w:rPr>
                <w:rFonts w:hint="eastAsia"/>
                <w:color w:val="auto"/>
                <w:kern w:val="0"/>
                <w:szCs w:val="21"/>
                <w:lang w:eastAsia="zh-CN"/>
              </w:rPr>
              <w:t>、</w:t>
            </w:r>
            <w:r>
              <w:rPr>
                <w:rFonts w:hint="eastAsia"/>
                <w:color w:val="auto"/>
                <w:kern w:val="0"/>
                <w:szCs w:val="21"/>
                <w:lang w:val="en-US" w:eastAsia="zh-CN"/>
              </w:rPr>
              <w:t>布袋除尘器收集粉尘、分拣废塑料、废金属</w:t>
            </w:r>
            <w:r>
              <w:rPr>
                <w:color w:val="auto"/>
                <w:kern w:val="0"/>
                <w:szCs w:val="21"/>
              </w:rPr>
              <w:t>。</w:t>
            </w:r>
          </w:p>
          <w:p>
            <w:pPr>
              <w:spacing w:line="360" w:lineRule="auto"/>
              <w:ind w:firstLine="420" w:firstLineChars="200"/>
              <w:rPr>
                <w:rFonts w:hint="eastAsia" w:eastAsia="宋体"/>
                <w:b w:val="0"/>
                <w:bCs w:val="0"/>
                <w:color w:val="auto"/>
                <w:kern w:val="0"/>
                <w:szCs w:val="21"/>
                <w:lang w:val="en-US" w:eastAsia="zh-CN"/>
              </w:rPr>
            </w:pPr>
            <w:r>
              <w:rPr>
                <w:rFonts w:hint="eastAsia"/>
                <w:color w:val="auto"/>
                <w:kern w:val="0"/>
                <w:szCs w:val="21"/>
                <w:highlight w:val="none"/>
              </w:rPr>
              <w:t>①</w:t>
            </w:r>
            <w:r>
              <w:rPr>
                <w:color w:val="auto"/>
                <w:kern w:val="0"/>
                <w:szCs w:val="21"/>
                <w:highlight w:val="none"/>
              </w:rPr>
              <w:t>生活垃圾</w:t>
            </w:r>
            <w:r>
              <w:rPr>
                <w:rFonts w:hint="eastAsia"/>
                <w:color w:val="auto"/>
                <w:kern w:val="0"/>
                <w:szCs w:val="21"/>
                <w:highlight w:val="none"/>
                <w:lang w:eastAsia="zh-CN"/>
              </w:rPr>
              <w:t>：</w:t>
            </w:r>
            <w:r>
              <w:rPr>
                <w:color w:val="auto"/>
                <w:kern w:val="0"/>
                <w:szCs w:val="21"/>
              </w:rPr>
              <w:t>生活垃圾产生量按0.5kg/人·d计，</w:t>
            </w:r>
            <w:r>
              <w:rPr>
                <w:rFonts w:hint="eastAsia"/>
                <w:color w:val="auto"/>
                <w:kern w:val="0"/>
                <w:szCs w:val="21"/>
              </w:rPr>
              <w:t>则</w:t>
            </w:r>
            <w:r>
              <w:rPr>
                <w:color w:val="auto"/>
                <w:kern w:val="0"/>
                <w:szCs w:val="21"/>
              </w:rPr>
              <w:t>生活垃圾产生量约为</w:t>
            </w:r>
            <w:r>
              <w:rPr>
                <w:rFonts w:hint="eastAsia"/>
                <w:color w:val="auto"/>
                <w:kern w:val="0"/>
                <w:szCs w:val="21"/>
                <w:lang w:val="en-US" w:eastAsia="zh-CN"/>
              </w:rPr>
              <w:t>0.75</w:t>
            </w:r>
            <w:r>
              <w:rPr>
                <w:color w:val="auto"/>
                <w:kern w:val="0"/>
                <w:szCs w:val="21"/>
              </w:rPr>
              <w:t>t/a。项目区生活垃圾</w:t>
            </w:r>
            <w:r>
              <w:rPr>
                <w:rFonts w:hint="eastAsia"/>
                <w:color w:val="auto"/>
                <w:kern w:val="0"/>
                <w:szCs w:val="21"/>
                <w:lang w:val="en-US" w:eastAsia="zh-CN"/>
              </w:rPr>
              <w:t>收集后交</w:t>
            </w:r>
            <w:r>
              <w:rPr>
                <w:color w:val="auto"/>
                <w:kern w:val="0"/>
                <w:szCs w:val="21"/>
              </w:rPr>
              <w:t>由环卫部门统一清运处置</w:t>
            </w:r>
            <w:r>
              <w:rPr>
                <w:rFonts w:hint="eastAsia"/>
                <w:color w:val="auto"/>
                <w:kern w:val="0"/>
                <w:szCs w:val="21"/>
              </w:rPr>
              <w:t>。</w:t>
            </w:r>
          </w:p>
          <w:p>
            <w:pPr>
              <w:spacing w:line="360" w:lineRule="auto"/>
              <w:ind w:firstLine="420" w:firstLineChars="200"/>
              <w:rPr>
                <w:rFonts w:hint="default" w:eastAsia="宋体"/>
                <w:color w:val="auto"/>
                <w:kern w:val="0"/>
                <w:szCs w:val="21"/>
                <w:highlight w:val="none"/>
                <w:lang w:val="en-US" w:eastAsia="zh-CN"/>
              </w:rPr>
            </w:pPr>
            <w:r>
              <w:rPr>
                <w:rFonts w:hint="eastAsia"/>
                <w:color w:val="auto"/>
                <w:kern w:val="0"/>
                <w:szCs w:val="21"/>
                <w:highlight w:val="none"/>
              </w:rPr>
              <w:t>②</w:t>
            </w:r>
            <w:r>
              <w:rPr>
                <w:rFonts w:hint="eastAsia"/>
                <w:color w:val="auto"/>
                <w:kern w:val="0"/>
                <w:szCs w:val="21"/>
                <w:highlight w:val="none"/>
                <w:lang w:val="en-US" w:eastAsia="zh-CN"/>
              </w:rPr>
              <w:t>布袋除尘器收集粉尘：布袋收集粉尘量为0.4455t/a，收集后回用于生产。</w:t>
            </w:r>
          </w:p>
          <w:p>
            <w:pPr>
              <w:spacing w:line="360" w:lineRule="auto"/>
              <w:ind w:firstLine="420" w:firstLineChars="200"/>
              <w:rPr>
                <w:rFonts w:hint="default" w:eastAsia="宋体"/>
                <w:b/>
                <w:bCs/>
                <w:color w:val="auto"/>
                <w:kern w:val="0"/>
                <w:szCs w:val="21"/>
                <w:lang w:val="en-US" w:eastAsia="zh-CN"/>
              </w:rPr>
            </w:pPr>
            <w:r>
              <w:rPr>
                <w:rFonts w:hint="eastAsia"/>
                <w:b w:val="0"/>
                <w:bCs w:val="0"/>
                <w:color w:val="auto"/>
                <w:kern w:val="0"/>
                <w:szCs w:val="21"/>
                <w:lang w:val="en-US" w:eastAsia="zh-CN"/>
              </w:rPr>
              <w:t>③分拣废</w:t>
            </w:r>
            <w:r>
              <w:rPr>
                <w:rFonts w:hint="eastAsia"/>
                <w:color w:val="auto"/>
                <w:kern w:val="0"/>
                <w:szCs w:val="21"/>
                <w:lang w:val="en-US" w:eastAsia="zh-CN"/>
              </w:rPr>
              <w:t>塑料、废金属：</w:t>
            </w:r>
            <w:r>
              <w:rPr>
                <w:rFonts w:hint="eastAsia"/>
                <w:b w:val="0"/>
                <w:bCs w:val="0"/>
                <w:color w:val="auto"/>
                <w:kern w:val="0"/>
                <w:szCs w:val="21"/>
                <w:lang w:val="en-US" w:eastAsia="zh-CN"/>
              </w:rPr>
              <w:t>分拣废</w:t>
            </w:r>
            <w:r>
              <w:rPr>
                <w:rFonts w:hint="eastAsia"/>
                <w:color w:val="auto"/>
                <w:kern w:val="0"/>
                <w:szCs w:val="21"/>
                <w:lang w:val="en-US" w:eastAsia="zh-CN"/>
              </w:rPr>
              <w:t>塑料、废金属产生量约为原料的0.01%，为0.15t/a，收集后外售资源回收厂家。</w:t>
            </w:r>
          </w:p>
          <w:p>
            <w:pPr>
              <w:spacing w:line="360" w:lineRule="auto"/>
              <w:ind w:firstLine="420" w:firstLineChars="200"/>
              <w:rPr>
                <w:color w:val="auto"/>
                <w:kern w:val="0"/>
                <w:szCs w:val="21"/>
              </w:rPr>
            </w:pPr>
            <w:r>
              <w:rPr>
                <w:rFonts w:hint="eastAsia"/>
                <w:color w:val="auto"/>
                <w:kern w:val="0"/>
                <w:szCs w:val="21"/>
              </w:rPr>
              <w:t>项目</w:t>
            </w:r>
            <w:r>
              <w:rPr>
                <w:rFonts w:hint="eastAsia"/>
                <w:color w:val="auto"/>
                <w:kern w:val="0"/>
                <w:szCs w:val="21"/>
                <w:lang w:val="en-US" w:eastAsia="zh-CN"/>
              </w:rPr>
              <w:t>固体废物</w:t>
            </w:r>
            <w:r>
              <w:rPr>
                <w:rFonts w:hint="eastAsia"/>
                <w:color w:val="auto"/>
                <w:kern w:val="0"/>
                <w:szCs w:val="21"/>
              </w:rPr>
              <w:t>汇总情况见</w:t>
            </w:r>
            <w:r>
              <w:rPr>
                <w:rFonts w:hint="eastAsia"/>
                <w:color w:val="auto"/>
                <w:kern w:val="0"/>
                <w:szCs w:val="21"/>
                <w:lang w:val="en-US" w:eastAsia="zh-CN"/>
              </w:rPr>
              <w:t>下</w:t>
            </w:r>
            <w:r>
              <w:rPr>
                <w:rFonts w:hint="eastAsia"/>
                <w:color w:val="auto"/>
                <w:kern w:val="0"/>
                <w:szCs w:val="21"/>
              </w:rPr>
              <w:t>表。</w:t>
            </w:r>
          </w:p>
          <w:p>
            <w:pPr>
              <w:spacing w:line="360" w:lineRule="auto"/>
              <w:jc w:val="center"/>
              <w:rPr>
                <w:b/>
                <w:bCs/>
                <w:color w:val="auto"/>
                <w:sz w:val="18"/>
                <w:szCs w:val="18"/>
                <w:highlight w:val="none"/>
              </w:rPr>
            </w:pPr>
            <w:r>
              <w:rPr>
                <w:rFonts w:hint="eastAsia"/>
                <w:b/>
                <w:bCs/>
                <w:color w:val="auto"/>
                <w:sz w:val="18"/>
                <w:szCs w:val="18"/>
                <w:highlight w:val="none"/>
              </w:rPr>
              <w:t>表4-1</w:t>
            </w:r>
            <w:r>
              <w:rPr>
                <w:rFonts w:hint="eastAsia"/>
                <w:b/>
                <w:bCs/>
                <w:color w:val="auto"/>
                <w:sz w:val="18"/>
                <w:szCs w:val="18"/>
                <w:highlight w:val="none"/>
                <w:lang w:val="en-US" w:eastAsia="zh-CN"/>
              </w:rPr>
              <w:t>1</w:t>
            </w:r>
            <w:r>
              <w:rPr>
                <w:rFonts w:hint="eastAsia"/>
                <w:b/>
                <w:bCs/>
                <w:color w:val="auto"/>
                <w:sz w:val="18"/>
                <w:szCs w:val="18"/>
                <w:highlight w:val="none"/>
              </w:rPr>
              <w:t xml:space="preserve">  </w:t>
            </w:r>
            <w:r>
              <w:rPr>
                <w:rFonts w:hint="eastAsia"/>
                <w:b/>
                <w:bCs/>
                <w:color w:val="auto"/>
                <w:sz w:val="18"/>
                <w:szCs w:val="18"/>
                <w:highlight w:val="none"/>
                <w:lang w:val="en-US" w:eastAsia="zh-CN"/>
              </w:rPr>
              <w:t>本</w:t>
            </w:r>
            <w:r>
              <w:rPr>
                <w:rFonts w:hint="eastAsia"/>
                <w:b/>
                <w:bCs/>
                <w:color w:val="auto"/>
                <w:sz w:val="18"/>
                <w:szCs w:val="18"/>
                <w:highlight w:val="none"/>
              </w:rPr>
              <w:t>项目</w:t>
            </w:r>
            <w:r>
              <w:rPr>
                <w:rFonts w:hint="eastAsia"/>
                <w:b/>
                <w:bCs/>
                <w:color w:val="auto"/>
                <w:sz w:val="18"/>
                <w:szCs w:val="18"/>
                <w:highlight w:val="none"/>
                <w:lang w:val="en-US" w:eastAsia="zh-CN"/>
              </w:rPr>
              <w:t>及全厂</w:t>
            </w:r>
            <w:r>
              <w:rPr>
                <w:rFonts w:hint="eastAsia"/>
                <w:b/>
                <w:bCs/>
                <w:color w:val="auto"/>
                <w:sz w:val="18"/>
                <w:szCs w:val="18"/>
                <w:highlight w:val="none"/>
              </w:rPr>
              <w:t>固废产生情况</w:t>
            </w:r>
          </w:p>
          <w:tbl>
            <w:tblPr>
              <w:tblStyle w:val="24"/>
              <w:tblW w:w="80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56"/>
              <w:gridCol w:w="518"/>
              <w:gridCol w:w="1365"/>
              <w:gridCol w:w="1057"/>
              <w:gridCol w:w="1200"/>
              <w:gridCol w:w="1112"/>
              <w:gridCol w:w="22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tblHeader/>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80" w:lineRule="exact"/>
                    <w:ind w:left="-71" w:leftChars="-34" w:right="-71" w:rightChars="-34"/>
                    <w:jc w:val="center"/>
                    <w:rPr>
                      <w:b/>
                      <w:color w:val="auto"/>
                      <w:sz w:val="18"/>
                      <w:szCs w:val="18"/>
                    </w:rPr>
                  </w:pPr>
                  <w:r>
                    <w:rPr>
                      <w:b/>
                      <w:color w:val="auto"/>
                      <w:sz w:val="18"/>
                      <w:szCs w:val="18"/>
                    </w:rPr>
                    <w:t>序号</w:t>
                  </w:r>
                </w:p>
              </w:tc>
              <w:tc>
                <w:tcPr>
                  <w:tcW w:w="518"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default" w:eastAsia="宋体"/>
                      <w:b/>
                      <w:color w:val="auto"/>
                      <w:sz w:val="18"/>
                      <w:szCs w:val="18"/>
                      <w:lang w:val="en-US" w:eastAsia="zh-CN"/>
                    </w:rPr>
                  </w:pPr>
                  <w:r>
                    <w:rPr>
                      <w:rFonts w:hint="eastAsia"/>
                      <w:b/>
                      <w:color w:val="auto"/>
                      <w:sz w:val="18"/>
                      <w:szCs w:val="18"/>
                      <w:lang w:val="en-US" w:eastAsia="zh-CN"/>
                    </w:rPr>
                    <w:t>固废性质</w:t>
                  </w:r>
                </w:p>
              </w:tc>
              <w:tc>
                <w:tcPr>
                  <w:tcW w:w="1365"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b/>
                      <w:color w:val="auto"/>
                      <w:sz w:val="18"/>
                      <w:szCs w:val="18"/>
                    </w:rPr>
                  </w:pPr>
                  <w:r>
                    <w:rPr>
                      <w:b/>
                      <w:color w:val="auto"/>
                      <w:sz w:val="18"/>
                      <w:szCs w:val="18"/>
                    </w:rPr>
                    <w:t>名称</w:t>
                  </w:r>
                </w:p>
              </w:tc>
              <w:tc>
                <w:tcPr>
                  <w:tcW w:w="1057"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b/>
                      <w:color w:val="auto"/>
                      <w:sz w:val="18"/>
                      <w:szCs w:val="18"/>
                    </w:rPr>
                  </w:pPr>
                  <w:r>
                    <w:rPr>
                      <w:b/>
                      <w:color w:val="auto"/>
                      <w:sz w:val="18"/>
                      <w:szCs w:val="18"/>
                    </w:rPr>
                    <w:t>产生环节</w:t>
                  </w:r>
                </w:p>
              </w:tc>
              <w:tc>
                <w:tcPr>
                  <w:tcW w:w="1200"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eastAsia" w:eastAsia="宋体"/>
                      <w:b/>
                      <w:color w:val="auto"/>
                      <w:sz w:val="18"/>
                      <w:szCs w:val="18"/>
                      <w:lang w:val="en-US" w:eastAsia="zh-CN"/>
                    </w:rPr>
                  </w:pPr>
                  <w:r>
                    <w:rPr>
                      <w:rFonts w:hint="eastAsia"/>
                      <w:b/>
                      <w:color w:val="auto"/>
                      <w:sz w:val="18"/>
                      <w:szCs w:val="18"/>
                      <w:lang w:val="en-US" w:eastAsia="zh-CN"/>
                    </w:rPr>
                    <w:t>废物代码</w:t>
                  </w:r>
                </w:p>
              </w:tc>
              <w:tc>
                <w:tcPr>
                  <w:tcW w:w="1112"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b/>
                      <w:color w:val="auto"/>
                      <w:sz w:val="18"/>
                      <w:szCs w:val="18"/>
                    </w:rPr>
                  </w:pPr>
                  <w:r>
                    <w:rPr>
                      <w:b/>
                      <w:color w:val="auto"/>
                      <w:sz w:val="18"/>
                      <w:szCs w:val="18"/>
                    </w:rPr>
                    <w:t>产生量</w:t>
                  </w:r>
                </w:p>
              </w:tc>
              <w:tc>
                <w:tcPr>
                  <w:tcW w:w="2269"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b/>
                      <w:color w:val="auto"/>
                      <w:sz w:val="18"/>
                      <w:szCs w:val="18"/>
                    </w:rPr>
                  </w:pPr>
                  <w:r>
                    <w:rPr>
                      <w:b/>
                      <w:color w:val="auto"/>
                      <w:sz w:val="18"/>
                      <w:szCs w:val="18"/>
                    </w:rPr>
                    <w:t>处置去向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80" w:lineRule="exact"/>
                    <w:ind w:left="-71" w:leftChars="-34" w:right="-71" w:rightChars="-34"/>
                    <w:jc w:val="center"/>
                    <w:rPr>
                      <w:color w:val="auto"/>
                      <w:sz w:val="18"/>
                      <w:szCs w:val="18"/>
                    </w:rPr>
                  </w:pPr>
                  <w:r>
                    <w:rPr>
                      <w:color w:val="auto"/>
                      <w:sz w:val="18"/>
                      <w:szCs w:val="18"/>
                    </w:rPr>
                    <w:t>1</w:t>
                  </w:r>
                </w:p>
              </w:tc>
              <w:tc>
                <w:tcPr>
                  <w:tcW w:w="518" w:type="dxa"/>
                  <w:vMerge w:val="restart"/>
                  <w:tcBorders>
                    <w:top w:val="single" w:color="auto" w:sz="4" w:space="0"/>
                    <w:left w:val="nil"/>
                    <w:right w:val="single" w:color="auto" w:sz="4" w:space="0"/>
                  </w:tcBorders>
                  <w:vAlign w:val="center"/>
                </w:tcPr>
                <w:p>
                  <w:pPr>
                    <w:spacing w:line="280" w:lineRule="exact"/>
                    <w:ind w:left="-71" w:leftChars="-34" w:right="-71" w:rightChars="-34"/>
                    <w:jc w:val="center"/>
                    <w:rPr>
                      <w:rFonts w:hint="eastAsia" w:eastAsia="宋体"/>
                      <w:color w:val="auto"/>
                      <w:sz w:val="18"/>
                      <w:szCs w:val="18"/>
                      <w:lang w:val="en-US" w:eastAsia="zh-CN"/>
                    </w:rPr>
                  </w:pPr>
                  <w:r>
                    <w:rPr>
                      <w:rFonts w:hint="eastAsia"/>
                      <w:color w:val="auto"/>
                      <w:sz w:val="18"/>
                      <w:szCs w:val="18"/>
                      <w:lang w:val="en-US" w:eastAsia="zh-CN"/>
                    </w:rPr>
                    <w:t>一般固废</w:t>
                  </w:r>
                </w:p>
              </w:tc>
              <w:tc>
                <w:tcPr>
                  <w:tcW w:w="1365"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eastAsia" w:ascii="Times New Roman" w:hAnsi="Times New Roman" w:eastAsia="宋体" w:cs="Times New Roman"/>
                      <w:color w:val="auto"/>
                      <w:kern w:val="2"/>
                      <w:sz w:val="18"/>
                      <w:szCs w:val="18"/>
                      <w:lang w:val="en-US" w:eastAsia="zh-CN" w:bidi="ar-SA"/>
                    </w:rPr>
                  </w:pPr>
                  <w:r>
                    <w:rPr>
                      <w:color w:val="auto"/>
                      <w:sz w:val="18"/>
                      <w:szCs w:val="18"/>
                    </w:rPr>
                    <w:t>生活垃圾</w:t>
                  </w:r>
                </w:p>
              </w:tc>
              <w:tc>
                <w:tcPr>
                  <w:tcW w:w="1057"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ascii="Times New Roman" w:hAnsi="Times New Roman" w:eastAsia="宋体" w:cs="Times New Roman"/>
                      <w:color w:val="auto"/>
                      <w:kern w:val="2"/>
                      <w:sz w:val="18"/>
                      <w:szCs w:val="18"/>
                      <w:lang w:val="en-US" w:eastAsia="zh-CN" w:bidi="ar-SA"/>
                    </w:rPr>
                  </w:pPr>
                  <w:r>
                    <w:rPr>
                      <w:color w:val="auto"/>
                      <w:sz w:val="18"/>
                      <w:szCs w:val="18"/>
                    </w:rPr>
                    <w:t>办公生活</w:t>
                  </w:r>
                </w:p>
              </w:tc>
              <w:tc>
                <w:tcPr>
                  <w:tcW w:w="1200"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default" w:eastAsia="宋体"/>
                      <w:color w:val="auto"/>
                      <w:sz w:val="18"/>
                      <w:szCs w:val="18"/>
                      <w:lang w:val="en-US" w:eastAsia="zh-CN"/>
                    </w:rPr>
                  </w:pPr>
                  <w:r>
                    <w:rPr>
                      <w:rFonts w:hint="eastAsia"/>
                      <w:color w:val="auto"/>
                      <w:sz w:val="18"/>
                      <w:szCs w:val="18"/>
                      <w:lang w:val="en-US" w:eastAsia="zh-CN"/>
                    </w:rPr>
                    <w:t>900-999-99</w:t>
                  </w:r>
                </w:p>
              </w:tc>
              <w:tc>
                <w:tcPr>
                  <w:tcW w:w="1112"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ascii="Times New Roman" w:hAnsi="Times New Roman" w:eastAsia="宋体" w:cs="Times New Roman"/>
                      <w:color w:val="auto"/>
                      <w:kern w:val="2"/>
                      <w:sz w:val="18"/>
                      <w:szCs w:val="18"/>
                      <w:lang w:val="en-US" w:eastAsia="zh-CN" w:bidi="ar-SA"/>
                    </w:rPr>
                  </w:pPr>
                  <w:r>
                    <w:rPr>
                      <w:rFonts w:hint="eastAsia"/>
                      <w:color w:val="auto"/>
                      <w:sz w:val="18"/>
                      <w:szCs w:val="18"/>
                      <w:lang w:val="en-US" w:eastAsia="zh-CN"/>
                    </w:rPr>
                    <w:t>0.75</w:t>
                  </w:r>
                  <w:r>
                    <w:rPr>
                      <w:color w:val="auto"/>
                      <w:sz w:val="18"/>
                      <w:szCs w:val="18"/>
                    </w:rPr>
                    <w:t>t/a</w:t>
                  </w:r>
                </w:p>
              </w:tc>
              <w:tc>
                <w:tcPr>
                  <w:tcW w:w="2269"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ascii="Times New Roman" w:hAnsi="Times New Roman" w:eastAsia="宋体" w:cs="Times New Roman"/>
                      <w:color w:val="auto"/>
                      <w:kern w:val="2"/>
                      <w:sz w:val="18"/>
                      <w:szCs w:val="18"/>
                      <w:lang w:val="en-US" w:eastAsia="zh-CN" w:bidi="ar-SA"/>
                    </w:rPr>
                  </w:pPr>
                  <w:r>
                    <w:rPr>
                      <w:color w:val="auto"/>
                      <w:sz w:val="18"/>
                      <w:szCs w:val="18"/>
                    </w:rPr>
                    <w:t>收集后交由环卫部门清运处理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80" w:lineRule="exact"/>
                    <w:ind w:left="-71" w:leftChars="-34" w:right="-71" w:rightChars="-34"/>
                    <w:jc w:val="center"/>
                    <w:rPr>
                      <w:color w:val="auto"/>
                      <w:sz w:val="18"/>
                      <w:szCs w:val="18"/>
                    </w:rPr>
                  </w:pPr>
                  <w:r>
                    <w:rPr>
                      <w:color w:val="auto"/>
                      <w:sz w:val="18"/>
                      <w:szCs w:val="18"/>
                    </w:rPr>
                    <w:t>2</w:t>
                  </w:r>
                </w:p>
              </w:tc>
              <w:tc>
                <w:tcPr>
                  <w:tcW w:w="518" w:type="dxa"/>
                  <w:vMerge w:val="continue"/>
                  <w:tcBorders>
                    <w:left w:val="nil"/>
                    <w:right w:val="single" w:color="auto" w:sz="4" w:space="0"/>
                  </w:tcBorders>
                  <w:vAlign w:val="center"/>
                </w:tcPr>
                <w:p>
                  <w:pPr>
                    <w:spacing w:line="280" w:lineRule="exact"/>
                    <w:ind w:left="-71" w:leftChars="-34" w:right="-71" w:rightChars="-34"/>
                    <w:jc w:val="center"/>
                    <w:rPr>
                      <w:color w:val="auto"/>
                      <w:sz w:val="18"/>
                      <w:szCs w:val="18"/>
                    </w:rPr>
                  </w:pPr>
                </w:p>
              </w:tc>
              <w:tc>
                <w:tcPr>
                  <w:tcW w:w="1365"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color w:val="auto"/>
                      <w:sz w:val="18"/>
                      <w:szCs w:val="18"/>
                    </w:rPr>
                  </w:pPr>
                  <w:r>
                    <w:rPr>
                      <w:rFonts w:hint="eastAsia"/>
                      <w:color w:val="auto"/>
                      <w:sz w:val="18"/>
                      <w:szCs w:val="18"/>
                    </w:rPr>
                    <w:t>布袋除尘器收集粉尘</w:t>
                  </w:r>
                </w:p>
              </w:tc>
              <w:tc>
                <w:tcPr>
                  <w:tcW w:w="1057"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default" w:eastAsia="宋体"/>
                      <w:color w:val="auto"/>
                      <w:sz w:val="18"/>
                      <w:szCs w:val="18"/>
                      <w:lang w:val="en-US" w:eastAsia="zh-CN"/>
                    </w:rPr>
                  </w:pPr>
                  <w:r>
                    <w:rPr>
                      <w:rFonts w:hint="eastAsia"/>
                      <w:color w:val="auto"/>
                      <w:sz w:val="18"/>
                      <w:szCs w:val="18"/>
                      <w:lang w:val="en-US" w:eastAsia="zh-CN"/>
                    </w:rPr>
                    <w:t>粉尘处理</w:t>
                  </w:r>
                </w:p>
              </w:tc>
              <w:tc>
                <w:tcPr>
                  <w:tcW w:w="1200"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eastAsia"/>
                      <w:color w:val="auto"/>
                      <w:sz w:val="18"/>
                      <w:szCs w:val="18"/>
                      <w:lang w:val="en-US" w:eastAsia="zh-CN"/>
                    </w:rPr>
                  </w:pPr>
                  <w:r>
                    <w:rPr>
                      <w:rFonts w:hint="eastAsia"/>
                      <w:color w:val="auto"/>
                      <w:sz w:val="18"/>
                      <w:szCs w:val="18"/>
                      <w:lang w:val="en-US" w:eastAsia="zh-CN"/>
                    </w:rPr>
                    <w:t>900-999-66</w:t>
                  </w:r>
                </w:p>
              </w:tc>
              <w:tc>
                <w:tcPr>
                  <w:tcW w:w="1112"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default" w:eastAsia="宋体"/>
                      <w:color w:val="auto"/>
                      <w:sz w:val="18"/>
                      <w:szCs w:val="18"/>
                      <w:lang w:val="en-US" w:eastAsia="zh-CN"/>
                    </w:rPr>
                  </w:pPr>
                  <w:r>
                    <w:rPr>
                      <w:rFonts w:hint="eastAsia"/>
                      <w:color w:val="auto"/>
                      <w:sz w:val="18"/>
                      <w:szCs w:val="18"/>
                      <w:lang w:val="en-US" w:eastAsia="zh-CN"/>
                    </w:rPr>
                    <w:t>0.4455</w:t>
                  </w:r>
                  <w:r>
                    <w:rPr>
                      <w:color w:val="auto"/>
                      <w:sz w:val="18"/>
                      <w:szCs w:val="18"/>
                    </w:rPr>
                    <w:t>t/a</w:t>
                  </w:r>
                </w:p>
              </w:tc>
              <w:tc>
                <w:tcPr>
                  <w:tcW w:w="2269"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color w:val="auto"/>
                      <w:sz w:val="18"/>
                      <w:szCs w:val="18"/>
                    </w:rPr>
                  </w:pPr>
                  <w:r>
                    <w:rPr>
                      <w:rFonts w:hint="eastAsia"/>
                      <w:color w:val="auto"/>
                      <w:sz w:val="18"/>
                      <w:szCs w:val="18"/>
                    </w:rPr>
                    <w:t>收集后回用于生产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556" w:type="dxa"/>
                  <w:tcBorders>
                    <w:top w:val="single" w:color="auto" w:sz="4" w:space="0"/>
                    <w:left w:val="single" w:color="auto" w:sz="4" w:space="0"/>
                    <w:bottom w:val="single" w:color="auto" w:sz="4" w:space="0"/>
                    <w:right w:val="single" w:color="auto" w:sz="4" w:space="0"/>
                  </w:tcBorders>
                  <w:vAlign w:val="center"/>
                </w:tcPr>
                <w:p>
                  <w:pPr>
                    <w:spacing w:line="280" w:lineRule="exact"/>
                    <w:ind w:left="-71" w:leftChars="-34" w:right="-71" w:rightChars="-34"/>
                    <w:jc w:val="center"/>
                    <w:rPr>
                      <w:rFonts w:hint="eastAsia" w:eastAsia="宋体"/>
                      <w:color w:val="auto"/>
                      <w:sz w:val="18"/>
                      <w:szCs w:val="18"/>
                      <w:lang w:val="en-US" w:eastAsia="zh-CN"/>
                    </w:rPr>
                  </w:pPr>
                  <w:r>
                    <w:rPr>
                      <w:rFonts w:hint="eastAsia"/>
                      <w:color w:val="auto"/>
                      <w:sz w:val="18"/>
                      <w:szCs w:val="18"/>
                      <w:lang w:val="en-US" w:eastAsia="zh-CN"/>
                    </w:rPr>
                    <w:t>3</w:t>
                  </w:r>
                </w:p>
              </w:tc>
              <w:tc>
                <w:tcPr>
                  <w:tcW w:w="518" w:type="dxa"/>
                  <w:vMerge w:val="continue"/>
                  <w:tcBorders>
                    <w:left w:val="nil"/>
                    <w:right w:val="single" w:color="auto" w:sz="4" w:space="0"/>
                  </w:tcBorders>
                  <w:vAlign w:val="center"/>
                </w:tcPr>
                <w:p>
                  <w:pPr>
                    <w:spacing w:line="280" w:lineRule="exact"/>
                    <w:ind w:left="-71" w:leftChars="-34" w:right="-71" w:rightChars="-34"/>
                    <w:jc w:val="center"/>
                    <w:rPr>
                      <w:color w:val="auto"/>
                      <w:sz w:val="18"/>
                      <w:szCs w:val="18"/>
                    </w:rPr>
                  </w:pPr>
                </w:p>
              </w:tc>
              <w:tc>
                <w:tcPr>
                  <w:tcW w:w="1365"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default" w:eastAsia="宋体"/>
                      <w:color w:val="auto"/>
                      <w:sz w:val="18"/>
                      <w:szCs w:val="18"/>
                      <w:lang w:val="en-US" w:eastAsia="zh-CN"/>
                    </w:rPr>
                  </w:pPr>
                  <w:r>
                    <w:rPr>
                      <w:rFonts w:hint="eastAsia"/>
                      <w:color w:val="auto"/>
                      <w:sz w:val="18"/>
                      <w:szCs w:val="18"/>
                      <w:lang w:val="en-US" w:eastAsia="zh-CN"/>
                    </w:rPr>
                    <w:t>分拣废塑料、废金属</w:t>
                  </w:r>
                </w:p>
              </w:tc>
              <w:tc>
                <w:tcPr>
                  <w:tcW w:w="1057"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default"/>
                      <w:color w:val="auto"/>
                      <w:sz w:val="18"/>
                      <w:szCs w:val="18"/>
                      <w:lang w:val="en-US" w:eastAsia="zh-CN"/>
                    </w:rPr>
                  </w:pPr>
                  <w:r>
                    <w:rPr>
                      <w:rFonts w:hint="eastAsia"/>
                      <w:color w:val="auto"/>
                      <w:sz w:val="18"/>
                      <w:szCs w:val="18"/>
                      <w:lang w:val="en-US" w:eastAsia="zh-CN"/>
                    </w:rPr>
                    <w:t>分拣</w:t>
                  </w:r>
                </w:p>
              </w:tc>
              <w:tc>
                <w:tcPr>
                  <w:tcW w:w="1200"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default"/>
                      <w:color w:val="auto"/>
                      <w:sz w:val="18"/>
                      <w:szCs w:val="18"/>
                      <w:lang w:val="en-US" w:eastAsia="zh-CN"/>
                    </w:rPr>
                  </w:pPr>
                  <w:r>
                    <w:rPr>
                      <w:rFonts w:hint="eastAsia"/>
                      <w:color w:val="auto"/>
                      <w:sz w:val="18"/>
                      <w:szCs w:val="18"/>
                      <w:lang w:val="en-US" w:eastAsia="zh-CN"/>
                    </w:rPr>
                    <w:t>900-999-99</w:t>
                  </w:r>
                </w:p>
              </w:tc>
              <w:tc>
                <w:tcPr>
                  <w:tcW w:w="1112"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default"/>
                      <w:color w:val="auto"/>
                      <w:sz w:val="18"/>
                      <w:szCs w:val="18"/>
                      <w:lang w:val="en-US" w:eastAsia="zh-CN"/>
                    </w:rPr>
                  </w:pPr>
                  <w:r>
                    <w:rPr>
                      <w:rFonts w:hint="eastAsia"/>
                      <w:color w:val="auto"/>
                      <w:sz w:val="18"/>
                      <w:szCs w:val="18"/>
                      <w:lang w:val="en-US" w:eastAsia="zh-CN"/>
                    </w:rPr>
                    <w:t>0.15</w:t>
                  </w:r>
                  <w:r>
                    <w:rPr>
                      <w:color w:val="auto"/>
                      <w:sz w:val="18"/>
                      <w:szCs w:val="18"/>
                    </w:rPr>
                    <w:t>t/a</w:t>
                  </w:r>
                </w:p>
              </w:tc>
              <w:tc>
                <w:tcPr>
                  <w:tcW w:w="2269" w:type="dxa"/>
                  <w:tcBorders>
                    <w:top w:val="single" w:color="auto" w:sz="4" w:space="0"/>
                    <w:left w:val="nil"/>
                    <w:bottom w:val="single" w:color="auto" w:sz="4" w:space="0"/>
                    <w:right w:val="single" w:color="auto" w:sz="4" w:space="0"/>
                  </w:tcBorders>
                  <w:vAlign w:val="center"/>
                </w:tcPr>
                <w:p>
                  <w:pPr>
                    <w:spacing w:line="280" w:lineRule="exact"/>
                    <w:ind w:left="-71" w:leftChars="-34" w:right="-71" w:rightChars="-34"/>
                    <w:jc w:val="center"/>
                    <w:rPr>
                      <w:rFonts w:hint="default" w:eastAsia="宋体"/>
                      <w:color w:val="auto"/>
                      <w:sz w:val="18"/>
                      <w:szCs w:val="18"/>
                      <w:lang w:val="en-US" w:eastAsia="zh-CN"/>
                    </w:rPr>
                  </w:pPr>
                  <w:r>
                    <w:rPr>
                      <w:rFonts w:hint="eastAsia"/>
                      <w:color w:val="auto"/>
                      <w:sz w:val="18"/>
                      <w:szCs w:val="18"/>
                      <w:lang w:val="en-US" w:eastAsia="zh-CN"/>
                    </w:rPr>
                    <w:t>收集后外售资源回收厂家</w:t>
                  </w:r>
                </w:p>
              </w:tc>
            </w:tr>
          </w:tbl>
          <w:p>
            <w:pPr>
              <w:spacing w:line="360" w:lineRule="auto"/>
              <w:ind w:firstLine="422" w:firstLineChars="200"/>
              <w:rPr>
                <w:b/>
                <w:bCs/>
                <w:color w:val="auto"/>
              </w:rPr>
            </w:pPr>
            <w:r>
              <w:rPr>
                <w:rFonts w:hint="eastAsia"/>
                <w:b/>
                <w:bCs/>
                <w:color w:val="auto"/>
              </w:rPr>
              <w:t>5、地下水、土壤</w:t>
            </w:r>
          </w:p>
          <w:p>
            <w:pPr>
              <w:spacing w:line="360" w:lineRule="auto"/>
              <w:ind w:firstLine="422" w:firstLineChars="200"/>
              <w:rPr>
                <w:rFonts w:hint="eastAsia" w:eastAsia="宋体"/>
                <w:b/>
                <w:bCs/>
                <w:color w:val="auto"/>
                <w:highlight w:val="none"/>
                <w:lang w:val="en-US" w:eastAsia="zh-CN"/>
              </w:rPr>
            </w:pPr>
            <w:r>
              <w:rPr>
                <w:rFonts w:hint="eastAsia"/>
                <w:b/>
                <w:bCs/>
                <w:color w:val="auto"/>
                <w:highlight w:val="none"/>
              </w:rPr>
              <w:t>（1）</w:t>
            </w:r>
            <w:r>
              <w:rPr>
                <w:rFonts w:hint="eastAsia"/>
                <w:b/>
                <w:bCs/>
                <w:color w:val="auto"/>
                <w:highlight w:val="none"/>
                <w:lang w:val="en-US" w:eastAsia="zh-CN"/>
              </w:rPr>
              <w:t>污染源</w:t>
            </w:r>
          </w:p>
          <w:p>
            <w:pPr>
              <w:spacing w:line="360" w:lineRule="auto"/>
              <w:ind w:firstLine="420" w:firstLineChars="200"/>
              <w:rPr>
                <w:rFonts w:hint="eastAsia"/>
                <w:color w:val="auto"/>
                <w:szCs w:val="21"/>
                <w:lang w:val="zh-CN"/>
              </w:rPr>
            </w:pPr>
            <w:r>
              <w:rPr>
                <w:rFonts w:hint="eastAsia"/>
                <w:color w:val="auto"/>
                <w:szCs w:val="21"/>
                <w:lang w:val="zh-CN"/>
              </w:rPr>
              <w:t>根据对项目生产过程及存储方式等进行分析，本项目对地下水及土壤环境影响的污染源有：污水管线、兑浆池、循环水池、固体废物间的地面等，主要污染物为生活废水和固体废物。</w:t>
            </w:r>
          </w:p>
          <w:p>
            <w:pPr>
              <w:spacing w:line="360" w:lineRule="auto"/>
              <w:ind w:firstLine="422" w:firstLineChars="200"/>
              <w:rPr>
                <w:rFonts w:hint="eastAsia"/>
                <w:b/>
                <w:bCs/>
                <w:color w:val="auto"/>
                <w:szCs w:val="21"/>
                <w:lang w:val="zh-CN"/>
              </w:rPr>
            </w:pPr>
            <w:r>
              <w:rPr>
                <w:rFonts w:hint="eastAsia"/>
                <w:b/>
                <w:bCs/>
                <w:color w:val="auto"/>
                <w:szCs w:val="21"/>
                <w:lang w:val="zh-CN"/>
              </w:rPr>
              <w:t>（</w:t>
            </w:r>
            <w:r>
              <w:rPr>
                <w:rFonts w:hint="eastAsia"/>
                <w:b/>
                <w:bCs/>
                <w:color w:val="auto"/>
                <w:szCs w:val="21"/>
                <w:lang w:val="en-US" w:eastAsia="zh-CN"/>
              </w:rPr>
              <w:t>2</w:t>
            </w:r>
            <w:r>
              <w:rPr>
                <w:rFonts w:hint="eastAsia"/>
                <w:b/>
                <w:bCs/>
                <w:color w:val="auto"/>
                <w:szCs w:val="21"/>
                <w:lang w:val="zh-CN"/>
              </w:rPr>
              <w:t>）地下水、土壤污染途径</w:t>
            </w:r>
          </w:p>
          <w:p>
            <w:pPr>
              <w:spacing w:line="360" w:lineRule="auto"/>
              <w:ind w:firstLine="420" w:firstLineChars="200"/>
              <w:rPr>
                <w:rFonts w:hint="eastAsia"/>
                <w:color w:val="auto"/>
                <w:szCs w:val="21"/>
                <w:lang w:val="zh-CN"/>
              </w:rPr>
            </w:pPr>
            <w:r>
              <w:rPr>
                <w:rFonts w:hint="eastAsia"/>
                <w:color w:val="auto"/>
                <w:szCs w:val="21"/>
                <w:lang w:val="zh-CN"/>
              </w:rPr>
              <w:t>本项目对地下水及土壤产生污染的途径主要是渗透污染。渗透污染是导致地下水污染的普遍和主要方式，主要产生可能性来自：</w:t>
            </w:r>
          </w:p>
          <w:p>
            <w:pPr>
              <w:spacing w:line="360" w:lineRule="auto"/>
              <w:ind w:firstLine="420" w:firstLineChars="200"/>
              <w:rPr>
                <w:rFonts w:hint="eastAsia"/>
                <w:color w:val="auto"/>
                <w:szCs w:val="21"/>
                <w:lang w:val="zh-CN"/>
              </w:rPr>
            </w:pPr>
            <w:r>
              <w:rPr>
                <w:rFonts w:hint="eastAsia"/>
                <w:color w:val="auto"/>
                <w:szCs w:val="21"/>
                <w:lang w:val="zh-CN"/>
              </w:rPr>
              <w:t>①项目产生的污水事故情况下排入地表水环境，再渗入补给地下水；或者直接渗入土壤，进而污染土壤及含水层。</w:t>
            </w:r>
          </w:p>
          <w:p>
            <w:pPr>
              <w:spacing w:line="360" w:lineRule="auto"/>
              <w:ind w:firstLine="420" w:firstLineChars="200"/>
              <w:rPr>
                <w:rFonts w:hint="eastAsia"/>
                <w:color w:val="auto"/>
                <w:szCs w:val="21"/>
                <w:lang w:val="zh-CN"/>
              </w:rPr>
            </w:pPr>
            <w:r>
              <w:rPr>
                <w:rFonts w:hint="eastAsia"/>
                <w:color w:val="auto"/>
                <w:szCs w:val="21"/>
                <w:lang w:val="zh-CN"/>
              </w:rPr>
              <w:t>②厂区内污水处理设施在未采取防渗防漏措施的情况下，废水将从构筑物下渗入含水层而污染地下水及土壤。</w:t>
            </w:r>
          </w:p>
          <w:p>
            <w:pPr>
              <w:spacing w:line="360" w:lineRule="auto"/>
              <w:ind w:firstLine="422" w:firstLineChars="200"/>
              <w:rPr>
                <w:rFonts w:hint="eastAsia"/>
                <w:b/>
                <w:bCs/>
                <w:color w:val="auto"/>
                <w:szCs w:val="21"/>
                <w:lang w:val="zh-CN"/>
              </w:rPr>
            </w:pPr>
            <w:r>
              <w:rPr>
                <w:rFonts w:hint="eastAsia"/>
                <w:b/>
                <w:bCs/>
                <w:color w:val="auto"/>
                <w:szCs w:val="21"/>
                <w:lang w:val="zh-CN" w:eastAsia="zh-CN"/>
              </w:rPr>
              <w:t>（</w:t>
            </w:r>
            <w:r>
              <w:rPr>
                <w:rFonts w:hint="eastAsia"/>
                <w:b/>
                <w:bCs/>
                <w:color w:val="auto"/>
                <w:szCs w:val="21"/>
                <w:lang w:val="en-US" w:eastAsia="zh-CN"/>
              </w:rPr>
              <w:t>3</w:t>
            </w:r>
            <w:r>
              <w:rPr>
                <w:rFonts w:hint="eastAsia"/>
                <w:b/>
                <w:bCs/>
                <w:color w:val="auto"/>
                <w:szCs w:val="21"/>
                <w:lang w:val="zh-CN" w:eastAsia="zh-CN"/>
              </w:rPr>
              <w:t>）</w:t>
            </w:r>
            <w:r>
              <w:rPr>
                <w:rFonts w:hint="eastAsia"/>
                <w:b/>
                <w:bCs/>
                <w:color w:val="auto"/>
                <w:szCs w:val="21"/>
                <w:lang w:val="zh-CN"/>
              </w:rPr>
              <w:t>污染防治措施</w:t>
            </w:r>
          </w:p>
          <w:p>
            <w:pPr>
              <w:spacing w:line="360" w:lineRule="auto"/>
              <w:ind w:firstLine="420" w:firstLineChars="200"/>
              <w:rPr>
                <w:color w:val="auto"/>
                <w:szCs w:val="21"/>
                <w:lang w:val="zh-CN"/>
              </w:rPr>
            </w:pPr>
            <w:r>
              <w:rPr>
                <w:color w:val="auto"/>
                <w:szCs w:val="21"/>
                <w:lang w:val="zh-CN"/>
              </w:rPr>
              <w:t>本项目对地下水、</w:t>
            </w:r>
            <w:r>
              <w:rPr>
                <w:color w:val="auto"/>
                <w:szCs w:val="21"/>
              </w:rPr>
              <w:t>土壤</w:t>
            </w:r>
            <w:r>
              <w:rPr>
                <w:color w:val="auto"/>
                <w:szCs w:val="21"/>
                <w:lang w:val="zh-CN"/>
              </w:rPr>
              <w:t>的可能影响主要是泄漏影响。地下水、</w:t>
            </w:r>
            <w:r>
              <w:rPr>
                <w:color w:val="auto"/>
                <w:szCs w:val="21"/>
              </w:rPr>
              <w:t>土壤</w:t>
            </w:r>
            <w:r>
              <w:rPr>
                <w:color w:val="auto"/>
                <w:szCs w:val="21"/>
                <w:lang w:val="zh-CN"/>
              </w:rPr>
              <w:t>污染防治措施坚持</w:t>
            </w:r>
            <w:r>
              <w:rPr>
                <w:rFonts w:hint="eastAsia"/>
                <w:color w:val="auto"/>
                <w:szCs w:val="21"/>
                <w:lang w:val="zh-CN"/>
              </w:rPr>
              <w:t>“</w:t>
            </w:r>
            <w:r>
              <w:rPr>
                <w:color w:val="auto"/>
                <w:szCs w:val="21"/>
                <w:lang w:val="zh-CN"/>
              </w:rPr>
              <w:t>源头控制、末端防治、污染监控、应急响应相结合</w:t>
            </w:r>
            <w:r>
              <w:rPr>
                <w:rFonts w:hint="eastAsia"/>
                <w:color w:val="auto"/>
                <w:szCs w:val="21"/>
                <w:lang w:val="zh-CN"/>
              </w:rPr>
              <w:t>”</w:t>
            </w:r>
            <w:r>
              <w:rPr>
                <w:color w:val="auto"/>
                <w:szCs w:val="21"/>
                <w:lang w:val="zh-CN"/>
              </w:rPr>
              <w:t>的原则，即采取主动控制和被动控制相结合的措施。</w:t>
            </w:r>
          </w:p>
          <w:p>
            <w:pPr>
              <w:numPr>
                <w:ilvl w:val="0"/>
                <w:numId w:val="6"/>
              </w:numPr>
              <w:spacing w:line="360" w:lineRule="auto"/>
              <w:ind w:firstLine="420" w:firstLineChars="200"/>
              <w:rPr>
                <w:color w:val="auto"/>
                <w:szCs w:val="21"/>
              </w:rPr>
            </w:pPr>
            <w:r>
              <w:rPr>
                <w:color w:val="auto"/>
                <w:szCs w:val="21"/>
              </w:rPr>
              <w:t>源头控制措施</w:t>
            </w:r>
          </w:p>
          <w:p>
            <w:pPr>
              <w:spacing w:line="360" w:lineRule="auto"/>
              <w:ind w:firstLine="420" w:firstLineChars="200"/>
              <w:rPr>
                <w:color w:val="auto"/>
                <w:szCs w:val="21"/>
              </w:rPr>
            </w:pPr>
            <w:r>
              <w:rPr>
                <w:rFonts w:hint="eastAsia"/>
                <w:color w:val="auto"/>
                <w:szCs w:val="21"/>
              </w:rPr>
              <w:t>①</w:t>
            </w:r>
            <w:r>
              <w:rPr>
                <w:color w:val="auto"/>
                <w:szCs w:val="21"/>
              </w:rPr>
              <w:t>积极推行实施清洁生产，实现各类废物合理处置，减少污染物的排放量；</w:t>
            </w:r>
            <w:r>
              <w:rPr>
                <w:rFonts w:hint="eastAsia"/>
                <w:color w:val="auto"/>
                <w:szCs w:val="21"/>
              </w:rPr>
              <w:t>加强污染物治理设施运行维护和管理，避免事故排放。</w:t>
            </w:r>
          </w:p>
          <w:p>
            <w:pPr>
              <w:spacing w:line="360" w:lineRule="auto"/>
              <w:ind w:firstLine="420" w:firstLineChars="200"/>
              <w:rPr>
                <w:color w:val="auto"/>
                <w:szCs w:val="21"/>
              </w:rPr>
            </w:pPr>
            <w:r>
              <w:rPr>
                <w:rFonts w:hint="eastAsia"/>
                <w:color w:val="auto"/>
                <w:szCs w:val="21"/>
              </w:rPr>
              <w:t>②</w:t>
            </w:r>
            <w:r>
              <w:rPr>
                <w:color w:val="auto"/>
                <w:szCs w:val="21"/>
              </w:rPr>
              <w:t>项目应根据国家现行相关规范加强环境管理，定期进行巡检并及时处理污染物跑、冒、滴、漏，若发现防渗密封材料老化或损坏，及时维修更换</w:t>
            </w:r>
            <w:r>
              <w:rPr>
                <w:rFonts w:hint="eastAsia"/>
                <w:color w:val="auto"/>
                <w:szCs w:val="21"/>
              </w:rPr>
              <w:t>。</w:t>
            </w:r>
          </w:p>
          <w:p>
            <w:pPr>
              <w:spacing w:line="360" w:lineRule="auto"/>
              <w:ind w:firstLine="420" w:firstLineChars="200"/>
              <w:rPr>
                <w:color w:val="auto"/>
                <w:szCs w:val="21"/>
              </w:rPr>
            </w:pPr>
            <w:r>
              <w:rPr>
                <w:rFonts w:hint="eastAsia"/>
                <w:color w:val="auto"/>
                <w:szCs w:val="21"/>
              </w:rPr>
              <w:t>③</w:t>
            </w:r>
            <w:r>
              <w:rPr>
                <w:color w:val="auto"/>
                <w:szCs w:val="21"/>
                <w:lang w:val="zh-CN"/>
              </w:rPr>
              <w:t>严格按照国家相关规范要求，对</w:t>
            </w:r>
            <w:r>
              <w:rPr>
                <w:rFonts w:hint="eastAsia"/>
                <w:color w:val="auto"/>
                <w:szCs w:val="21"/>
                <w:lang w:val="zh-CN"/>
              </w:rPr>
              <w:t>污水管线、兑浆池、循环水池、固体废物间</w:t>
            </w:r>
            <w:r>
              <w:rPr>
                <w:rFonts w:hint="eastAsia"/>
                <w:color w:val="auto"/>
                <w:szCs w:val="21"/>
              </w:rPr>
              <w:t>加强管理</w:t>
            </w:r>
            <w:r>
              <w:rPr>
                <w:color w:val="auto"/>
                <w:szCs w:val="21"/>
                <w:lang w:val="zh-CN"/>
              </w:rPr>
              <w:t>，防止和降低</w:t>
            </w:r>
            <w:r>
              <w:rPr>
                <w:rFonts w:hint="eastAsia"/>
                <w:color w:val="auto"/>
                <w:szCs w:val="21"/>
              </w:rPr>
              <w:t>事故排放</w:t>
            </w:r>
            <w:r>
              <w:rPr>
                <w:color w:val="auto"/>
                <w:szCs w:val="21"/>
                <w:lang w:val="zh-CN"/>
              </w:rPr>
              <w:t>，将泄漏的环境风险事故降低到最低程度</w:t>
            </w:r>
            <w:r>
              <w:rPr>
                <w:color w:val="auto"/>
                <w:szCs w:val="21"/>
              </w:rPr>
              <w:t>。</w:t>
            </w:r>
          </w:p>
          <w:p>
            <w:pPr>
              <w:numPr>
                <w:ilvl w:val="0"/>
                <w:numId w:val="6"/>
              </w:numPr>
              <w:spacing w:line="360" w:lineRule="auto"/>
              <w:ind w:firstLine="420" w:firstLineChars="200"/>
              <w:rPr>
                <w:color w:val="auto"/>
                <w:szCs w:val="21"/>
              </w:rPr>
            </w:pPr>
            <w:r>
              <w:rPr>
                <w:rFonts w:hint="eastAsia"/>
                <w:color w:val="auto"/>
                <w:szCs w:val="21"/>
              </w:rPr>
              <w:t>分区防渗</w:t>
            </w:r>
            <w:r>
              <w:rPr>
                <w:color w:val="auto"/>
                <w:szCs w:val="21"/>
              </w:rPr>
              <w:t>措施</w:t>
            </w:r>
          </w:p>
          <w:p>
            <w:pPr>
              <w:spacing w:line="360" w:lineRule="auto"/>
              <w:ind w:firstLine="420" w:firstLineChars="200"/>
              <w:rPr>
                <w:color w:val="auto"/>
                <w:szCs w:val="21"/>
              </w:rPr>
            </w:pPr>
            <w:r>
              <w:rPr>
                <w:color w:val="auto"/>
                <w:szCs w:val="21"/>
              </w:rPr>
              <w:t>为了最大限度降低生产过程中有毒有害物料的跑冒滴漏，防止地下水污染，根据分区防渗的原则，</w:t>
            </w:r>
            <w:r>
              <w:rPr>
                <w:rFonts w:hint="eastAsia"/>
                <w:color w:val="auto"/>
                <w:szCs w:val="21"/>
                <w:lang w:val="en-US" w:eastAsia="zh-CN"/>
              </w:rPr>
              <w:t>全厂区</w:t>
            </w:r>
            <w:r>
              <w:rPr>
                <w:color w:val="auto"/>
                <w:szCs w:val="21"/>
              </w:rPr>
              <w:t>划分为：重点污染防治区、一般污染防治区及简单防渗区。</w:t>
            </w:r>
          </w:p>
          <w:p>
            <w:pPr>
              <w:spacing w:line="360" w:lineRule="auto"/>
              <w:ind w:firstLine="420" w:firstLineChars="200"/>
              <w:rPr>
                <w:color w:val="auto"/>
                <w:szCs w:val="21"/>
              </w:rPr>
            </w:pPr>
            <w:r>
              <w:rPr>
                <w:color w:val="auto"/>
                <w:szCs w:val="21"/>
              </w:rPr>
              <w:t>本项目地下水污染防治分区防渗如下表：</w:t>
            </w:r>
          </w:p>
          <w:p>
            <w:pPr>
              <w:jc w:val="center"/>
              <w:rPr>
                <w:b/>
                <w:bCs/>
                <w:color w:val="auto"/>
                <w:sz w:val="18"/>
                <w:szCs w:val="18"/>
                <w:highlight w:val="none"/>
              </w:rPr>
            </w:pPr>
            <w:r>
              <w:rPr>
                <w:b/>
                <w:bCs/>
                <w:color w:val="auto"/>
                <w:sz w:val="18"/>
                <w:szCs w:val="18"/>
                <w:highlight w:val="none"/>
              </w:rPr>
              <w:t>表</w:t>
            </w:r>
            <w:r>
              <w:rPr>
                <w:rFonts w:hint="eastAsia"/>
                <w:b/>
                <w:bCs/>
                <w:color w:val="auto"/>
                <w:sz w:val="18"/>
                <w:szCs w:val="18"/>
                <w:highlight w:val="none"/>
              </w:rPr>
              <w:t>4-1</w:t>
            </w:r>
            <w:r>
              <w:rPr>
                <w:rFonts w:hint="eastAsia"/>
                <w:b/>
                <w:bCs/>
                <w:color w:val="auto"/>
                <w:sz w:val="18"/>
                <w:szCs w:val="18"/>
                <w:highlight w:val="none"/>
                <w:lang w:val="en-US" w:eastAsia="zh-CN"/>
              </w:rPr>
              <w:t>2</w:t>
            </w:r>
            <w:r>
              <w:rPr>
                <w:rFonts w:hint="eastAsia"/>
                <w:b/>
                <w:bCs/>
                <w:color w:val="auto"/>
                <w:sz w:val="18"/>
                <w:szCs w:val="18"/>
                <w:highlight w:val="none"/>
              </w:rPr>
              <w:t xml:space="preserve">  </w:t>
            </w:r>
            <w:r>
              <w:rPr>
                <w:b/>
                <w:bCs/>
                <w:color w:val="auto"/>
                <w:sz w:val="18"/>
                <w:szCs w:val="18"/>
                <w:highlight w:val="none"/>
              </w:rPr>
              <w:t>本项目分区防渗情况一览表</w:t>
            </w:r>
          </w:p>
          <w:tbl>
            <w:tblPr>
              <w:tblStyle w:val="25"/>
              <w:tblW w:w="80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91"/>
              <w:gridCol w:w="1989"/>
              <w:gridCol w:w="3230"/>
              <w:gridCol w:w="17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 w:type="dxa"/>
                  <w:vAlign w:val="center"/>
                </w:tcPr>
                <w:p>
                  <w:pPr>
                    <w:widowControl/>
                    <w:autoSpaceDE w:val="0"/>
                    <w:autoSpaceDN w:val="0"/>
                    <w:spacing w:line="320" w:lineRule="exact"/>
                    <w:jc w:val="center"/>
                    <w:rPr>
                      <w:rFonts w:cs="宋体"/>
                      <w:b/>
                      <w:bCs/>
                      <w:color w:val="auto"/>
                      <w:kern w:val="0"/>
                      <w:sz w:val="18"/>
                      <w:szCs w:val="18"/>
                      <w:lang w:bidi="zh-CN"/>
                    </w:rPr>
                  </w:pPr>
                  <w:r>
                    <w:rPr>
                      <w:rFonts w:hint="eastAsia" w:cs="宋体"/>
                      <w:b/>
                      <w:bCs/>
                      <w:color w:val="auto"/>
                      <w:kern w:val="0"/>
                      <w:sz w:val="18"/>
                      <w:szCs w:val="18"/>
                      <w:lang w:bidi="zh-CN"/>
                    </w:rPr>
                    <w:t>分区类别</w:t>
                  </w:r>
                </w:p>
              </w:tc>
              <w:tc>
                <w:tcPr>
                  <w:tcW w:w="1989" w:type="dxa"/>
                  <w:vAlign w:val="center"/>
                </w:tcPr>
                <w:p>
                  <w:pPr>
                    <w:widowControl/>
                    <w:autoSpaceDE w:val="0"/>
                    <w:autoSpaceDN w:val="0"/>
                    <w:spacing w:line="320" w:lineRule="exact"/>
                    <w:jc w:val="center"/>
                    <w:rPr>
                      <w:rFonts w:cs="宋体"/>
                      <w:b/>
                      <w:bCs/>
                      <w:color w:val="auto"/>
                      <w:kern w:val="0"/>
                      <w:sz w:val="18"/>
                      <w:szCs w:val="18"/>
                      <w:lang w:bidi="zh-CN"/>
                    </w:rPr>
                  </w:pPr>
                  <w:r>
                    <w:rPr>
                      <w:rFonts w:hint="eastAsia" w:cs="宋体"/>
                      <w:b/>
                      <w:bCs/>
                      <w:color w:val="auto"/>
                      <w:kern w:val="0"/>
                      <w:sz w:val="18"/>
                      <w:szCs w:val="18"/>
                      <w:lang w:bidi="zh-CN"/>
                    </w:rPr>
                    <w:t>污染防治区划</w:t>
                  </w:r>
                </w:p>
              </w:tc>
              <w:tc>
                <w:tcPr>
                  <w:tcW w:w="3230" w:type="dxa"/>
                  <w:vAlign w:val="center"/>
                </w:tcPr>
                <w:p>
                  <w:pPr>
                    <w:widowControl/>
                    <w:autoSpaceDE w:val="0"/>
                    <w:autoSpaceDN w:val="0"/>
                    <w:spacing w:line="320" w:lineRule="exact"/>
                    <w:jc w:val="center"/>
                    <w:rPr>
                      <w:rFonts w:cs="宋体"/>
                      <w:b/>
                      <w:bCs/>
                      <w:color w:val="auto"/>
                      <w:kern w:val="0"/>
                      <w:sz w:val="18"/>
                      <w:szCs w:val="18"/>
                      <w:lang w:bidi="zh-CN"/>
                    </w:rPr>
                  </w:pPr>
                  <w:r>
                    <w:rPr>
                      <w:rFonts w:hint="eastAsia" w:cs="宋体"/>
                      <w:b/>
                      <w:bCs/>
                      <w:color w:val="auto"/>
                      <w:kern w:val="0"/>
                      <w:sz w:val="18"/>
                      <w:szCs w:val="18"/>
                      <w:lang w:bidi="zh-CN"/>
                    </w:rPr>
                    <w:t>厂区地下水防渗措施</w:t>
                  </w:r>
                </w:p>
              </w:tc>
              <w:tc>
                <w:tcPr>
                  <w:tcW w:w="1749" w:type="dxa"/>
                  <w:vAlign w:val="center"/>
                </w:tcPr>
                <w:p>
                  <w:pPr>
                    <w:widowControl/>
                    <w:autoSpaceDE w:val="0"/>
                    <w:autoSpaceDN w:val="0"/>
                    <w:spacing w:line="320" w:lineRule="exact"/>
                    <w:jc w:val="center"/>
                    <w:rPr>
                      <w:rFonts w:cs="宋体"/>
                      <w:b/>
                      <w:bCs/>
                      <w:color w:val="auto"/>
                      <w:kern w:val="0"/>
                      <w:sz w:val="18"/>
                      <w:szCs w:val="18"/>
                      <w:lang w:bidi="zh-CN"/>
                    </w:rPr>
                  </w:pPr>
                  <w:r>
                    <w:rPr>
                      <w:rFonts w:hint="eastAsia" w:cs="宋体"/>
                      <w:b/>
                      <w:bCs/>
                      <w:color w:val="auto"/>
                      <w:kern w:val="0"/>
                      <w:sz w:val="18"/>
                      <w:szCs w:val="18"/>
                      <w:lang w:bidi="zh-CN"/>
                    </w:rPr>
                    <w:t>防渗系数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 w:type="dxa"/>
                  <w:vAlign w:val="center"/>
                </w:tcPr>
                <w:p>
                  <w:pPr>
                    <w:widowControl/>
                    <w:autoSpaceDE w:val="0"/>
                    <w:autoSpaceDN w:val="0"/>
                    <w:spacing w:line="320" w:lineRule="exact"/>
                    <w:jc w:val="center"/>
                    <w:rPr>
                      <w:rFonts w:cs="宋体"/>
                      <w:color w:val="auto"/>
                      <w:kern w:val="0"/>
                      <w:sz w:val="18"/>
                      <w:szCs w:val="18"/>
                      <w:lang w:bidi="zh-CN"/>
                    </w:rPr>
                  </w:pPr>
                  <w:r>
                    <w:rPr>
                      <w:rFonts w:hint="eastAsia" w:cs="宋体"/>
                      <w:color w:val="auto"/>
                      <w:kern w:val="0"/>
                      <w:sz w:val="18"/>
                      <w:szCs w:val="18"/>
                      <w:lang w:bidi="zh-CN"/>
                    </w:rPr>
                    <w:t>重点防渗区</w:t>
                  </w:r>
                </w:p>
              </w:tc>
              <w:tc>
                <w:tcPr>
                  <w:tcW w:w="1989" w:type="dxa"/>
                  <w:vAlign w:val="center"/>
                </w:tcPr>
                <w:p>
                  <w:pPr>
                    <w:widowControl/>
                    <w:autoSpaceDE w:val="0"/>
                    <w:autoSpaceDN w:val="0"/>
                    <w:spacing w:line="320" w:lineRule="exact"/>
                    <w:jc w:val="center"/>
                    <w:rPr>
                      <w:rFonts w:hint="default" w:ascii="Times New Roman" w:hAnsi="Times New Roman" w:eastAsia="宋体" w:cs="宋体"/>
                      <w:color w:val="auto"/>
                      <w:kern w:val="0"/>
                      <w:sz w:val="18"/>
                      <w:szCs w:val="18"/>
                      <w:lang w:val="en-US" w:eastAsia="zh-CN" w:bidi="zh-CN"/>
                    </w:rPr>
                  </w:pPr>
                  <w:r>
                    <w:rPr>
                      <w:rFonts w:hint="eastAsia" w:cs="宋体"/>
                      <w:color w:val="auto"/>
                      <w:kern w:val="0"/>
                      <w:sz w:val="18"/>
                      <w:szCs w:val="18"/>
                      <w:lang w:val="en-US" w:eastAsia="zh-CN" w:bidi="zh-CN"/>
                    </w:rPr>
                    <w:t>搅拌池、调浆池、循环池、储浆池</w:t>
                  </w:r>
                </w:p>
              </w:tc>
              <w:tc>
                <w:tcPr>
                  <w:tcW w:w="3230" w:type="dxa"/>
                  <w:vAlign w:val="center"/>
                </w:tcPr>
                <w:p>
                  <w:pPr>
                    <w:widowControl/>
                    <w:autoSpaceDE w:val="0"/>
                    <w:autoSpaceDN w:val="0"/>
                    <w:spacing w:line="320" w:lineRule="exact"/>
                    <w:jc w:val="center"/>
                    <w:rPr>
                      <w:rFonts w:hint="default" w:ascii="Times New Roman" w:hAnsi="Times New Roman" w:eastAsia="宋体" w:cs="宋体"/>
                      <w:color w:val="auto"/>
                      <w:kern w:val="0"/>
                      <w:sz w:val="18"/>
                      <w:szCs w:val="18"/>
                      <w:lang w:val="en-US" w:eastAsia="zh-CN" w:bidi="zh-CN"/>
                    </w:rPr>
                  </w:pPr>
                  <w:r>
                    <w:rPr>
                      <w:rFonts w:hint="eastAsia" w:cs="宋体"/>
                      <w:color w:val="auto"/>
                      <w:kern w:val="0"/>
                      <w:sz w:val="18"/>
                      <w:szCs w:val="18"/>
                      <w:lang w:bidi="zh-CN"/>
                    </w:rPr>
                    <w:t>混凝土硬化地面+2.0mmHDPE防渗膜</w:t>
                  </w:r>
                </w:p>
              </w:tc>
              <w:tc>
                <w:tcPr>
                  <w:tcW w:w="1749" w:type="dxa"/>
                  <w:vAlign w:val="center"/>
                </w:tcPr>
                <w:p>
                  <w:pPr>
                    <w:widowControl/>
                    <w:autoSpaceDE w:val="0"/>
                    <w:autoSpaceDN w:val="0"/>
                    <w:spacing w:line="320" w:lineRule="exact"/>
                    <w:jc w:val="center"/>
                    <w:rPr>
                      <w:rFonts w:cs="宋体"/>
                      <w:color w:val="auto"/>
                      <w:kern w:val="0"/>
                      <w:sz w:val="18"/>
                      <w:szCs w:val="18"/>
                      <w:lang w:bidi="zh-CN"/>
                    </w:rPr>
                  </w:pPr>
                  <w:r>
                    <w:rPr>
                      <w:rFonts w:hint="eastAsia" w:cs="宋体"/>
                      <w:color w:val="auto"/>
                      <w:kern w:val="0"/>
                      <w:sz w:val="18"/>
                      <w:szCs w:val="18"/>
                      <w:lang w:bidi="zh-CN"/>
                    </w:rPr>
                    <w:t>K≤1×10</w:t>
                  </w:r>
                  <w:r>
                    <w:rPr>
                      <w:rFonts w:hint="eastAsia" w:cs="宋体"/>
                      <w:color w:val="auto"/>
                      <w:kern w:val="0"/>
                      <w:sz w:val="18"/>
                      <w:szCs w:val="18"/>
                      <w:vertAlign w:val="superscript"/>
                      <w:lang w:bidi="zh-CN"/>
                    </w:rPr>
                    <w:t>-10</w:t>
                  </w:r>
                  <w:r>
                    <w:rPr>
                      <w:rFonts w:hint="eastAsia" w:cs="宋体"/>
                      <w:color w:val="auto"/>
                      <w:kern w:val="0"/>
                      <w:sz w:val="18"/>
                      <w:szCs w:val="18"/>
                      <w:lang w:bidi="zh-CN"/>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 w:type="dxa"/>
                  <w:vAlign w:val="center"/>
                </w:tcPr>
                <w:p>
                  <w:pPr>
                    <w:widowControl/>
                    <w:autoSpaceDE w:val="0"/>
                    <w:autoSpaceDN w:val="0"/>
                    <w:spacing w:line="320" w:lineRule="exact"/>
                    <w:jc w:val="center"/>
                    <w:rPr>
                      <w:rFonts w:cs="宋体"/>
                      <w:color w:val="auto"/>
                      <w:kern w:val="0"/>
                      <w:sz w:val="18"/>
                      <w:szCs w:val="18"/>
                      <w:highlight w:val="yellow"/>
                      <w:lang w:bidi="zh-CN"/>
                    </w:rPr>
                  </w:pPr>
                  <w:r>
                    <w:rPr>
                      <w:rFonts w:hint="eastAsia" w:cs="宋体"/>
                      <w:color w:val="auto"/>
                      <w:kern w:val="0"/>
                      <w:sz w:val="18"/>
                      <w:szCs w:val="18"/>
                      <w:lang w:bidi="zh-CN"/>
                    </w:rPr>
                    <w:t>一般防渗区</w:t>
                  </w:r>
                </w:p>
              </w:tc>
              <w:tc>
                <w:tcPr>
                  <w:tcW w:w="1989" w:type="dxa"/>
                  <w:vAlign w:val="center"/>
                </w:tcPr>
                <w:p>
                  <w:pPr>
                    <w:widowControl/>
                    <w:autoSpaceDE w:val="0"/>
                    <w:autoSpaceDN w:val="0"/>
                    <w:spacing w:line="320" w:lineRule="exact"/>
                    <w:jc w:val="center"/>
                    <w:rPr>
                      <w:rFonts w:hint="default" w:cs="宋体"/>
                      <w:color w:val="auto"/>
                      <w:kern w:val="0"/>
                      <w:sz w:val="18"/>
                      <w:szCs w:val="18"/>
                      <w:highlight w:val="yellow"/>
                      <w:lang w:val="en-US" w:bidi="zh-CN"/>
                    </w:rPr>
                  </w:pPr>
                  <w:r>
                    <w:rPr>
                      <w:rFonts w:hint="eastAsia" w:cs="宋体"/>
                      <w:color w:val="auto"/>
                      <w:kern w:val="0"/>
                      <w:sz w:val="18"/>
                      <w:szCs w:val="18"/>
                      <w:lang w:val="en-US" w:bidi="zh-CN"/>
                    </w:rPr>
                    <w:t>生产车间其他区域、</w:t>
                  </w:r>
                  <w:r>
                    <w:rPr>
                      <w:rFonts w:hint="eastAsia" w:cs="宋体"/>
                      <w:color w:val="auto"/>
                      <w:kern w:val="0"/>
                      <w:sz w:val="18"/>
                      <w:szCs w:val="18"/>
                      <w:lang w:bidi="zh-CN"/>
                    </w:rPr>
                    <w:t>固废库房、</w:t>
                  </w:r>
                  <w:r>
                    <w:rPr>
                      <w:rFonts w:hint="eastAsia" w:cs="宋体"/>
                      <w:color w:val="auto"/>
                      <w:kern w:val="0"/>
                      <w:sz w:val="18"/>
                      <w:szCs w:val="18"/>
                      <w:lang w:val="en-US" w:bidi="zh-CN"/>
                    </w:rPr>
                    <w:t>成品库房</w:t>
                  </w:r>
                </w:p>
              </w:tc>
              <w:tc>
                <w:tcPr>
                  <w:tcW w:w="3230" w:type="dxa"/>
                  <w:vAlign w:val="center"/>
                </w:tcPr>
                <w:p>
                  <w:pPr>
                    <w:widowControl/>
                    <w:autoSpaceDE w:val="0"/>
                    <w:autoSpaceDN w:val="0"/>
                    <w:spacing w:line="320" w:lineRule="exact"/>
                    <w:jc w:val="center"/>
                    <w:rPr>
                      <w:rFonts w:cs="宋体"/>
                      <w:color w:val="auto"/>
                      <w:kern w:val="0"/>
                      <w:sz w:val="18"/>
                      <w:szCs w:val="18"/>
                      <w:lang w:bidi="zh-CN"/>
                    </w:rPr>
                  </w:pPr>
                  <w:r>
                    <w:rPr>
                      <w:rFonts w:hint="eastAsia" w:cs="宋体"/>
                      <w:color w:val="auto"/>
                      <w:kern w:val="0"/>
                      <w:sz w:val="18"/>
                      <w:szCs w:val="18"/>
                      <w:lang w:bidi="zh-CN"/>
                    </w:rPr>
                    <w:t>抗渗混凝土硬化地面</w:t>
                  </w:r>
                </w:p>
              </w:tc>
              <w:tc>
                <w:tcPr>
                  <w:tcW w:w="1749" w:type="dxa"/>
                  <w:vAlign w:val="center"/>
                </w:tcPr>
                <w:p>
                  <w:pPr>
                    <w:widowControl/>
                    <w:autoSpaceDE w:val="0"/>
                    <w:autoSpaceDN w:val="0"/>
                    <w:spacing w:line="320" w:lineRule="exact"/>
                    <w:jc w:val="center"/>
                    <w:rPr>
                      <w:rFonts w:cs="宋体"/>
                      <w:color w:val="auto"/>
                      <w:kern w:val="0"/>
                      <w:sz w:val="18"/>
                      <w:szCs w:val="18"/>
                      <w:lang w:bidi="zh-CN"/>
                    </w:rPr>
                  </w:pPr>
                  <w:r>
                    <w:rPr>
                      <w:rFonts w:hint="eastAsia" w:cs="宋体"/>
                      <w:color w:val="auto"/>
                      <w:kern w:val="0"/>
                      <w:sz w:val="18"/>
                      <w:szCs w:val="18"/>
                      <w:lang w:bidi="zh-CN"/>
                    </w:rPr>
                    <w:t>K≤1×10</w:t>
                  </w:r>
                  <w:r>
                    <w:rPr>
                      <w:rFonts w:hint="eastAsia" w:cs="宋体"/>
                      <w:color w:val="auto"/>
                      <w:kern w:val="0"/>
                      <w:sz w:val="18"/>
                      <w:szCs w:val="18"/>
                      <w:vertAlign w:val="superscript"/>
                      <w:lang w:bidi="zh-CN"/>
                    </w:rPr>
                    <w:t>-7</w:t>
                  </w:r>
                  <w:r>
                    <w:rPr>
                      <w:rFonts w:hint="eastAsia" w:cs="宋体"/>
                      <w:color w:val="auto"/>
                      <w:kern w:val="0"/>
                      <w:sz w:val="18"/>
                      <w:szCs w:val="18"/>
                      <w:lang w:bidi="zh-CN"/>
                    </w:rPr>
                    <w:t>cm/s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091" w:type="dxa"/>
                  <w:vAlign w:val="center"/>
                </w:tcPr>
                <w:p>
                  <w:pPr>
                    <w:widowControl/>
                    <w:autoSpaceDE w:val="0"/>
                    <w:autoSpaceDN w:val="0"/>
                    <w:spacing w:line="320" w:lineRule="exact"/>
                    <w:jc w:val="center"/>
                    <w:rPr>
                      <w:rFonts w:cs="宋体"/>
                      <w:color w:val="auto"/>
                      <w:kern w:val="0"/>
                      <w:sz w:val="18"/>
                      <w:szCs w:val="18"/>
                      <w:lang w:bidi="zh-CN"/>
                    </w:rPr>
                  </w:pPr>
                  <w:r>
                    <w:rPr>
                      <w:rFonts w:hint="eastAsia" w:cs="宋体"/>
                      <w:color w:val="auto"/>
                      <w:kern w:val="0"/>
                      <w:sz w:val="18"/>
                      <w:szCs w:val="18"/>
                      <w:lang w:bidi="zh-CN"/>
                    </w:rPr>
                    <w:t>简单防渗区</w:t>
                  </w:r>
                </w:p>
              </w:tc>
              <w:tc>
                <w:tcPr>
                  <w:tcW w:w="1989" w:type="dxa"/>
                  <w:vAlign w:val="center"/>
                </w:tcPr>
                <w:p>
                  <w:pPr>
                    <w:widowControl/>
                    <w:autoSpaceDE w:val="0"/>
                    <w:autoSpaceDN w:val="0"/>
                    <w:spacing w:line="320" w:lineRule="exact"/>
                    <w:jc w:val="center"/>
                    <w:rPr>
                      <w:rFonts w:cs="宋体"/>
                      <w:color w:val="auto"/>
                      <w:kern w:val="0"/>
                      <w:sz w:val="18"/>
                      <w:szCs w:val="18"/>
                      <w:lang w:bidi="zh-CN"/>
                    </w:rPr>
                  </w:pPr>
                  <w:r>
                    <w:rPr>
                      <w:rFonts w:hint="eastAsia" w:cs="宋体"/>
                      <w:color w:val="auto"/>
                      <w:kern w:val="0"/>
                      <w:sz w:val="18"/>
                      <w:szCs w:val="18"/>
                      <w:lang w:bidi="zh-CN"/>
                    </w:rPr>
                    <w:t>生活区、厂区道路</w:t>
                  </w:r>
                </w:p>
              </w:tc>
              <w:tc>
                <w:tcPr>
                  <w:tcW w:w="3230" w:type="dxa"/>
                  <w:vAlign w:val="center"/>
                </w:tcPr>
                <w:p>
                  <w:pPr>
                    <w:widowControl/>
                    <w:autoSpaceDE w:val="0"/>
                    <w:autoSpaceDN w:val="0"/>
                    <w:spacing w:line="320" w:lineRule="exact"/>
                    <w:jc w:val="center"/>
                    <w:rPr>
                      <w:rFonts w:cs="宋体"/>
                      <w:color w:val="auto"/>
                      <w:kern w:val="0"/>
                      <w:sz w:val="18"/>
                      <w:szCs w:val="18"/>
                      <w:lang w:bidi="zh-CN"/>
                    </w:rPr>
                  </w:pPr>
                  <w:r>
                    <w:rPr>
                      <w:rFonts w:hint="eastAsia" w:cs="宋体"/>
                      <w:color w:val="auto"/>
                      <w:kern w:val="0"/>
                      <w:sz w:val="18"/>
                      <w:szCs w:val="18"/>
                      <w:lang w:bidi="zh-CN"/>
                    </w:rPr>
                    <w:t>除绿化区外，仅对地面进行硬化</w:t>
                  </w:r>
                </w:p>
              </w:tc>
              <w:tc>
                <w:tcPr>
                  <w:tcW w:w="1749" w:type="dxa"/>
                  <w:vAlign w:val="center"/>
                </w:tcPr>
                <w:p>
                  <w:pPr>
                    <w:widowControl/>
                    <w:autoSpaceDE w:val="0"/>
                    <w:autoSpaceDN w:val="0"/>
                    <w:spacing w:line="320" w:lineRule="exact"/>
                    <w:jc w:val="center"/>
                    <w:rPr>
                      <w:rFonts w:cs="宋体"/>
                      <w:color w:val="auto"/>
                      <w:kern w:val="0"/>
                      <w:sz w:val="18"/>
                      <w:szCs w:val="18"/>
                      <w:lang w:bidi="zh-CN"/>
                    </w:rPr>
                  </w:pPr>
                  <w:r>
                    <w:rPr>
                      <w:rFonts w:hint="eastAsia" w:cs="宋体"/>
                      <w:color w:val="auto"/>
                      <w:kern w:val="0"/>
                      <w:sz w:val="18"/>
                      <w:szCs w:val="18"/>
                      <w:lang w:bidi="zh-CN"/>
                    </w:rPr>
                    <w:t>/</w:t>
                  </w:r>
                </w:p>
              </w:tc>
            </w:tr>
          </w:tbl>
          <w:p>
            <w:pPr>
              <w:spacing w:line="360" w:lineRule="auto"/>
              <w:ind w:firstLine="420" w:firstLineChars="200"/>
              <w:rPr>
                <w:color w:val="auto"/>
              </w:rPr>
            </w:pPr>
            <w:r>
              <w:rPr>
                <w:color w:val="auto"/>
              </w:rPr>
              <w:t>采取上述措施后，可有效预防项目运行过程对地下水、土壤造成污染。其处理措施技术可行、经济合理</w:t>
            </w:r>
            <w:r>
              <w:rPr>
                <w:rFonts w:hint="eastAsia"/>
                <w:color w:val="auto"/>
              </w:rPr>
              <w:t>。</w:t>
            </w:r>
          </w:p>
          <w:p>
            <w:pPr>
              <w:spacing w:line="360" w:lineRule="auto"/>
              <w:ind w:firstLine="422" w:firstLineChars="200"/>
              <w:rPr>
                <w:b/>
                <w:bCs/>
                <w:color w:val="auto"/>
                <w:highlight w:val="yellow"/>
              </w:rPr>
            </w:pPr>
            <w:r>
              <w:rPr>
                <w:rFonts w:hint="eastAsia"/>
                <w:b/>
                <w:bCs/>
                <w:color w:val="auto"/>
                <w:highlight w:val="none"/>
                <w:lang w:val="en-US" w:eastAsia="zh-CN"/>
              </w:rPr>
              <w:t>6</w:t>
            </w:r>
            <w:r>
              <w:rPr>
                <w:b/>
                <w:bCs/>
                <w:color w:val="auto"/>
                <w:highlight w:val="none"/>
              </w:rPr>
              <w:t>、环境风险</w:t>
            </w:r>
          </w:p>
          <w:p>
            <w:pPr>
              <w:spacing w:line="360" w:lineRule="auto"/>
              <w:ind w:firstLine="420" w:firstLineChars="200"/>
              <w:rPr>
                <w:rFonts w:hint="default" w:eastAsia="宋体"/>
                <w:b w:val="0"/>
                <w:bCs w:val="0"/>
                <w:color w:val="auto"/>
                <w:lang w:val="en-US" w:eastAsia="zh-CN"/>
              </w:rPr>
            </w:pPr>
            <w:r>
              <w:rPr>
                <w:rFonts w:hint="eastAsia"/>
                <w:b w:val="0"/>
                <w:bCs w:val="0"/>
                <w:color w:val="auto"/>
                <w:lang w:eastAsia="zh-CN"/>
              </w:rPr>
              <w:t>（</w:t>
            </w:r>
            <w:r>
              <w:rPr>
                <w:rFonts w:hint="eastAsia"/>
                <w:b w:val="0"/>
                <w:bCs w:val="0"/>
                <w:color w:val="auto"/>
                <w:lang w:val="en-US" w:eastAsia="zh-CN"/>
              </w:rPr>
              <w:t>1</w:t>
            </w:r>
            <w:r>
              <w:rPr>
                <w:rFonts w:hint="eastAsia"/>
                <w:b w:val="0"/>
                <w:bCs w:val="0"/>
                <w:color w:val="auto"/>
                <w:lang w:eastAsia="zh-CN"/>
              </w:rPr>
              <w:t>）</w:t>
            </w:r>
            <w:r>
              <w:rPr>
                <w:rFonts w:hint="eastAsia"/>
                <w:b w:val="0"/>
                <w:bCs w:val="0"/>
                <w:color w:val="auto"/>
                <w:lang w:val="en-US" w:eastAsia="zh-CN"/>
              </w:rPr>
              <w:t>评价依据</w:t>
            </w:r>
          </w:p>
          <w:p>
            <w:pPr>
              <w:spacing w:line="360" w:lineRule="auto"/>
              <w:ind w:firstLine="420" w:firstLineChars="200"/>
              <w:rPr>
                <w:rFonts w:hint="eastAsia"/>
                <w:b w:val="0"/>
                <w:bCs w:val="0"/>
                <w:color w:val="auto"/>
              </w:rPr>
            </w:pPr>
            <w:r>
              <w:rPr>
                <w:rFonts w:hint="eastAsia"/>
                <w:b w:val="0"/>
                <w:bCs w:val="0"/>
                <w:color w:val="auto"/>
                <w:lang w:val="en-US" w:eastAsia="zh-CN"/>
              </w:rPr>
              <w:t>1）</w:t>
            </w:r>
            <w:r>
              <w:rPr>
                <w:rFonts w:hint="eastAsia"/>
                <w:b w:val="0"/>
                <w:bCs w:val="0"/>
                <w:color w:val="auto"/>
              </w:rPr>
              <w:t>风险调查及风险潜势初判</w:t>
            </w:r>
          </w:p>
          <w:p>
            <w:pPr>
              <w:spacing w:line="360" w:lineRule="auto"/>
              <w:ind w:firstLine="420" w:firstLineChars="200"/>
              <w:rPr>
                <w:rFonts w:hint="default" w:eastAsia="宋体"/>
                <w:b w:val="0"/>
                <w:bCs w:val="0"/>
                <w:color w:val="auto"/>
                <w:lang w:val="en-US" w:eastAsia="zh-CN"/>
              </w:rPr>
            </w:pPr>
            <w:r>
              <w:rPr>
                <w:rFonts w:hint="eastAsia"/>
                <w:b w:val="0"/>
                <w:bCs w:val="0"/>
                <w:color w:val="auto"/>
              </w:rPr>
              <w:t>本项目对照《建设项目环境风险评价技术导则》（HJ169-2018）及《国家危险废物名录》（2021年版），</w:t>
            </w:r>
            <w:r>
              <w:rPr>
                <w:rFonts w:hint="eastAsia"/>
                <w:b w:val="0"/>
                <w:bCs w:val="0"/>
                <w:color w:val="auto"/>
                <w:lang w:val="en-US" w:eastAsia="zh-CN"/>
              </w:rPr>
              <w:t>本项目不存在环境风险物质。</w:t>
            </w:r>
          </w:p>
          <w:p>
            <w:pPr>
              <w:spacing w:line="360" w:lineRule="auto"/>
              <w:ind w:firstLine="420" w:firstLineChars="200"/>
              <w:rPr>
                <w:rFonts w:hint="eastAsia"/>
                <w:b w:val="0"/>
                <w:bCs w:val="0"/>
                <w:color w:val="auto"/>
                <w:lang w:eastAsia="zh-CN"/>
              </w:rPr>
            </w:pPr>
            <w:r>
              <w:rPr>
                <w:rFonts w:hint="eastAsia"/>
                <w:b w:val="0"/>
                <w:bCs w:val="0"/>
                <w:color w:val="auto"/>
                <w:lang w:eastAsia="zh-CN"/>
              </w:rPr>
              <w:t>因本项目涉及到的风险物质Q&lt;1，该项目环境风险潜势为Ⅰ。</w:t>
            </w:r>
          </w:p>
          <w:p>
            <w:pPr>
              <w:spacing w:line="360" w:lineRule="auto"/>
              <w:ind w:firstLine="420" w:firstLineChars="200"/>
              <w:rPr>
                <w:rFonts w:hint="eastAsia"/>
                <w:b w:val="0"/>
                <w:bCs w:val="0"/>
                <w:color w:val="auto"/>
                <w:lang w:eastAsia="zh-CN"/>
              </w:rPr>
            </w:pPr>
            <w:r>
              <w:rPr>
                <w:rFonts w:hint="eastAsia"/>
                <w:b w:val="0"/>
                <w:bCs w:val="0"/>
                <w:color w:val="auto"/>
                <w:lang w:eastAsia="zh-CN"/>
              </w:rPr>
              <w:t>（2）评价等级</w:t>
            </w:r>
          </w:p>
          <w:p>
            <w:pPr>
              <w:spacing w:line="360" w:lineRule="auto"/>
              <w:ind w:firstLine="420" w:firstLineChars="200"/>
              <w:rPr>
                <w:rFonts w:hint="eastAsia"/>
                <w:b w:val="0"/>
                <w:bCs w:val="0"/>
                <w:color w:val="auto"/>
                <w:lang w:eastAsia="zh-CN"/>
              </w:rPr>
            </w:pPr>
            <w:r>
              <w:rPr>
                <w:rFonts w:hint="eastAsia"/>
                <w:b w:val="0"/>
                <w:bCs w:val="0"/>
                <w:color w:val="auto"/>
                <w:lang w:eastAsia="zh-CN"/>
              </w:rPr>
              <w:t>环境风险评价工作等级划分为一级、二级、三级、简单分析。根据项目涉及的物质及工艺系统危险性和所在地的环境敏感性确定环境风险潜势，按照下表确定评价工作等级。</w:t>
            </w:r>
          </w:p>
          <w:p>
            <w:pPr>
              <w:jc w:val="center"/>
              <w:rPr>
                <w:rFonts w:ascii="Times New Roman" w:hAnsi="Times New Roman" w:cs="Times New Roman"/>
                <w:b/>
                <w:bCs/>
                <w:color w:val="auto"/>
                <w:sz w:val="18"/>
                <w:szCs w:val="18"/>
                <w:highlight w:val="none"/>
              </w:rPr>
            </w:pPr>
            <w:r>
              <w:rPr>
                <w:rFonts w:ascii="Times New Roman" w:hAnsi="Times New Roman" w:cs="Times New Roman"/>
                <w:b/>
                <w:bCs/>
                <w:color w:val="auto"/>
                <w:sz w:val="18"/>
                <w:szCs w:val="18"/>
                <w:highlight w:val="none"/>
              </w:rPr>
              <w:t>表</w:t>
            </w:r>
            <w:r>
              <w:rPr>
                <w:rFonts w:hint="eastAsia" w:ascii="Times New Roman" w:hAnsi="Times New Roman" w:cs="Times New Roman"/>
                <w:b/>
                <w:bCs/>
                <w:color w:val="auto"/>
                <w:sz w:val="18"/>
                <w:szCs w:val="18"/>
                <w:highlight w:val="none"/>
                <w:lang w:val="en-US" w:eastAsia="zh-CN"/>
              </w:rPr>
              <w:t xml:space="preserve">4-13  </w:t>
            </w:r>
            <w:r>
              <w:rPr>
                <w:rFonts w:ascii="Times New Roman" w:hAnsi="Times New Roman" w:cs="Times New Roman"/>
                <w:b/>
                <w:bCs/>
                <w:color w:val="auto"/>
                <w:sz w:val="18"/>
                <w:szCs w:val="18"/>
                <w:highlight w:val="none"/>
              </w:rPr>
              <w:t>环境风险物质数量及其临界量</w:t>
            </w:r>
          </w:p>
          <w:tbl>
            <w:tblPr>
              <w:tblStyle w:val="24"/>
              <w:tblW w:w="835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719"/>
              <w:gridCol w:w="1562"/>
              <w:gridCol w:w="1997"/>
              <w:gridCol w:w="1386"/>
              <w:gridCol w:w="16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b/>
                      <w:bCs/>
                      <w:color w:val="auto"/>
                      <w:kern w:val="0"/>
                      <w:sz w:val="18"/>
                      <w:szCs w:val="18"/>
                    </w:rPr>
                  </w:pPr>
                  <w:r>
                    <w:rPr>
                      <w:b/>
                      <w:bCs/>
                      <w:color w:val="auto"/>
                      <w:kern w:val="0"/>
                      <w:sz w:val="18"/>
                      <w:szCs w:val="18"/>
                    </w:rPr>
                    <w:t>环境风险潜势</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b/>
                      <w:bCs/>
                      <w:color w:val="auto"/>
                      <w:kern w:val="0"/>
                      <w:sz w:val="18"/>
                      <w:szCs w:val="18"/>
                    </w:rPr>
                  </w:pPr>
                  <w:r>
                    <w:rPr>
                      <w:b/>
                      <w:bCs/>
                      <w:color w:val="auto"/>
                      <w:kern w:val="0"/>
                      <w:sz w:val="18"/>
                      <w:szCs w:val="18"/>
                    </w:rPr>
                    <w:t>Ⅳ、Ⅳ</w:t>
                  </w:r>
                  <w:r>
                    <w:rPr>
                      <w:b/>
                      <w:bCs/>
                      <w:color w:val="auto"/>
                      <w:kern w:val="0"/>
                      <w:sz w:val="18"/>
                      <w:szCs w:val="18"/>
                      <w:vertAlign w:val="superscript"/>
                    </w:rPr>
                    <w:t>+</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b/>
                      <w:bCs/>
                      <w:color w:val="auto"/>
                      <w:kern w:val="0"/>
                      <w:sz w:val="18"/>
                      <w:szCs w:val="18"/>
                    </w:rPr>
                  </w:pPr>
                  <w:r>
                    <w:rPr>
                      <w:b/>
                      <w:bCs/>
                      <w:color w:val="auto"/>
                      <w:kern w:val="0"/>
                      <w:sz w:val="18"/>
                      <w:szCs w:val="18"/>
                    </w:rPr>
                    <w:t>Ⅲ</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b/>
                      <w:bCs/>
                      <w:color w:val="auto"/>
                      <w:kern w:val="0"/>
                      <w:sz w:val="18"/>
                      <w:szCs w:val="18"/>
                    </w:rPr>
                  </w:pPr>
                  <w:r>
                    <w:rPr>
                      <w:b/>
                      <w:bCs/>
                      <w:color w:val="auto"/>
                      <w:kern w:val="0"/>
                      <w:sz w:val="18"/>
                      <w:szCs w:val="18"/>
                    </w:rPr>
                    <w:t>Ⅱ</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pPr>
                    <w:widowControl/>
                    <w:wordWrap w:val="0"/>
                    <w:spacing w:line="360" w:lineRule="auto"/>
                    <w:jc w:val="center"/>
                    <w:rPr>
                      <w:b/>
                      <w:bCs/>
                      <w:color w:val="auto"/>
                      <w:kern w:val="0"/>
                      <w:sz w:val="18"/>
                      <w:szCs w:val="18"/>
                    </w:rPr>
                  </w:pPr>
                  <w:r>
                    <w:rPr>
                      <w:b/>
                      <w:bCs/>
                      <w:color w:val="auto"/>
                      <w:kern w:val="0"/>
                      <w:sz w:val="18"/>
                      <w:szCs w:val="18"/>
                    </w:rPr>
                    <w:t>Ⅰ</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1719"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color w:val="auto"/>
                      <w:kern w:val="0"/>
                      <w:sz w:val="18"/>
                      <w:szCs w:val="18"/>
                    </w:rPr>
                  </w:pPr>
                  <w:r>
                    <w:rPr>
                      <w:color w:val="auto"/>
                      <w:kern w:val="0"/>
                      <w:sz w:val="18"/>
                      <w:szCs w:val="18"/>
                    </w:rPr>
                    <w:t>评价工作等级</w:t>
                  </w:r>
                </w:p>
              </w:tc>
              <w:tc>
                <w:tcPr>
                  <w:tcW w:w="156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color w:val="auto"/>
                      <w:kern w:val="0"/>
                      <w:sz w:val="18"/>
                      <w:szCs w:val="18"/>
                    </w:rPr>
                  </w:pPr>
                  <w:r>
                    <w:rPr>
                      <w:color w:val="auto"/>
                      <w:kern w:val="0"/>
                      <w:sz w:val="18"/>
                      <w:szCs w:val="18"/>
                    </w:rPr>
                    <w:t>一</w:t>
                  </w:r>
                </w:p>
              </w:tc>
              <w:tc>
                <w:tcPr>
                  <w:tcW w:w="1997"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color w:val="auto"/>
                      <w:kern w:val="0"/>
                      <w:sz w:val="18"/>
                      <w:szCs w:val="18"/>
                    </w:rPr>
                  </w:pPr>
                  <w:r>
                    <w:rPr>
                      <w:color w:val="auto"/>
                      <w:kern w:val="0"/>
                      <w:sz w:val="18"/>
                      <w:szCs w:val="18"/>
                    </w:rPr>
                    <w:t>二</w:t>
                  </w:r>
                </w:p>
              </w:tc>
              <w:tc>
                <w:tcPr>
                  <w:tcW w:w="1386"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color w:val="auto"/>
                      <w:kern w:val="0"/>
                      <w:sz w:val="18"/>
                      <w:szCs w:val="18"/>
                    </w:rPr>
                  </w:pPr>
                  <w:r>
                    <w:rPr>
                      <w:color w:val="auto"/>
                      <w:kern w:val="0"/>
                      <w:sz w:val="18"/>
                      <w:szCs w:val="18"/>
                    </w:rPr>
                    <w:t>三</w:t>
                  </w:r>
                </w:p>
              </w:tc>
              <w:tc>
                <w:tcPr>
                  <w:tcW w:w="1694"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center"/>
                    <w:rPr>
                      <w:color w:val="auto"/>
                      <w:kern w:val="0"/>
                      <w:sz w:val="18"/>
                      <w:szCs w:val="18"/>
                    </w:rPr>
                  </w:pPr>
                  <w:r>
                    <w:rPr>
                      <w:color w:val="auto"/>
                      <w:kern w:val="0"/>
                      <w:sz w:val="18"/>
                      <w:szCs w:val="18"/>
                    </w:rPr>
                    <w:t>简单分析</w:t>
                  </w:r>
                  <w:r>
                    <w:rPr>
                      <w:color w:val="auto"/>
                      <w:kern w:val="0"/>
                      <w:sz w:val="18"/>
                      <w:szCs w:val="18"/>
                      <w:vertAlign w:val="superscript"/>
                    </w:rPr>
                    <w:t>a</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0" w:hRule="atLeast"/>
                <w:jc w:val="center"/>
              </w:trPr>
              <w:tc>
                <w:tcPr>
                  <w:tcW w:w="8358" w:type="dxa"/>
                  <w:gridSpan w:val="5"/>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color w:val="auto"/>
                      <w:kern w:val="0"/>
                      <w:sz w:val="18"/>
                      <w:szCs w:val="18"/>
                    </w:rPr>
                  </w:pPr>
                  <w:r>
                    <w:rPr>
                      <w:color w:val="auto"/>
                      <w:kern w:val="0"/>
                      <w:sz w:val="18"/>
                      <w:szCs w:val="18"/>
                    </w:rPr>
                    <w:t>a是相对于详细评价工作内容而言，在描述危险物质、环境影响途径、环境危害后果、风险防范措施等方面给出定性的说明。</w:t>
                  </w:r>
                </w:p>
              </w:tc>
            </w:tr>
          </w:tbl>
          <w:p>
            <w:pPr>
              <w:spacing w:line="360" w:lineRule="auto"/>
              <w:ind w:firstLine="420" w:firstLineChars="200"/>
              <w:rPr>
                <w:rFonts w:hint="eastAsia"/>
                <w:b w:val="0"/>
                <w:bCs w:val="0"/>
                <w:color w:val="auto"/>
                <w:lang w:eastAsia="zh-CN"/>
              </w:rPr>
            </w:pPr>
            <w:r>
              <w:rPr>
                <w:rFonts w:hint="eastAsia"/>
                <w:b w:val="0"/>
                <w:bCs w:val="0"/>
                <w:color w:val="auto"/>
                <w:lang w:eastAsia="zh-CN"/>
              </w:rPr>
              <w:t>本项目环境风险潜势为Ⅰ，评价工作等级为简单分析。</w:t>
            </w:r>
          </w:p>
          <w:p>
            <w:pPr>
              <w:spacing w:line="360" w:lineRule="auto"/>
              <w:ind w:firstLine="420" w:firstLineChars="200"/>
              <w:rPr>
                <w:rFonts w:hint="default"/>
                <w:b w:val="0"/>
                <w:bCs w:val="0"/>
                <w:color w:val="auto"/>
                <w:lang w:val="en-US" w:eastAsia="zh-CN"/>
              </w:rPr>
            </w:pPr>
            <w:r>
              <w:rPr>
                <w:rFonts w:hint="eastAsia"/>
                <w:b w:val="0"/>
                <w:bCs w:val="0"/>
                <w:color w:val="auto"/>
                <w:lang w:eastAsia="zh-CN"/>
              </w:rPr>
              <w:t>（</w:t>
            </w:r>
            <w:r>
              <w:rPr>
                <w:rFonts w:hint="eastAsia"/>
                <w:b w:val="0"/>
                <w:bCs w:val="0"/>
                <w:color w:val="auto"/>
                <w:lang w:val="en-US" w:eastAsia="zh-CN"/>
              </w:rPr>
              <w:t>3</w:t>
            </w:r>
            <w:r>
              <w:rPr>
                <w:rFonts w:hint="eastAsia"/>
                <w:b w:val="0"/>
                <w:bCs w:val="0"/>
                <w:color w:val="auto"/>
                <w:lang w:eastAsia="zh-CN"/>
              </w:rPr>
              <w:t>）</w:t>
            </w:r>
            <w:r>
              <w:rPr>
                <w:rFonts w:hint="eastAsia"/>
                <w:b w:val="0"/>
                <w:bCs w:val="0"/>
                <w:color w:val="auto"/>
                <w:lang w:val="en-US" w:eastAsia="zh-CN"/>
              </w:rPr>
              <w:t>环境风险分析</w:t>
            </w:r>
          </w:p>
          <w:p>
            <w:pPr>
              <w:spacing w:line="360" w:lineRule="auto"/>
              <w:ind w:firstLine="420" w:firstLineChars="200"/>
              <w:rPr>
                <w:rFonts w:hint="default"/>
                <w:b w:val="0"/>
                <w:bCs w:val="0"/>
                <w:color w:val="auto"/>
                <w:lang w:val="en-US" w:eastAsia="zh-CN"/>
              </w:rPr>
            </w:pPr>
            <w:r>
              <w:rPr>
                <w:rFonts w:hint="eastAsia"/>
                <w:b w:val="0"/>
                <w:bCs w:val="0"/>
                <w:color w:val="auto"/>
                <w:lang w:val="en-US" w:eastAsia="zh-CN"/>
              </w:rPr>
              <w:t>1</w:t>
            </w:r>
            <w:r>
              <w:rPr>
                <w:rFonts w:hint="eastAsia"/>
                <w:b w:val="0"/>
                <w:bCs w:val="0"/>
                <w:color w:val="auto"/>
                <w:lang w:eastAsia="zh-CN"/>
              </w:rPr>
              <w:t>）</w:t>
            </w:r>
            <w:r>
              <w:rPr>
                <w:rFonts w:hint="eastAsia"/>
                <w:b w:val="0"/>
                <w:bCs w:val="0"/>
                <w:color w:val="auto"/>
                <w:lang w:val="en-US" w:eastAsia="zh-CN"/>
              </w:rPr>
              <w:t>火灾</w:t>
            </w:r>
          </w:p>
          <w:p>
            <w:pPr>
              <w:spacing w:line="360" w:lineRule="auto"/>
              <w:ind w:firstLine="420" w:firstLineChars="200"/>
              <w:rPr>
                <w:rFonts w:hint="default"/>
                <w:b w:val="0"/>
                <w:bCs w:val="0"/>
                <w:color w:val="auto"/>
                <w:lang w:val="en-US" w:eastAsia="zh-CN"/>
              </w:rPr>
            </w:pPr>
            <w:r>
              <w:rPr>
                <w:rFonts w:hint="eastAsia"/>
                <w:b w:val="0"/>
                <w:bCs w:val="0"/>
                <w:color w:val="auto"/>
                <w:lang w:val="en-US" w:eastAsia="zh-CN"/>
              </w:rPr>
              <w:t>火宅事故主要发生在废纸、纸质蛋托被引燃。</w:t>
            </w:r>
          </w:p>
          <w:p>
            <w:pPr>
              <w:spacing w:line="360" w:lineRule="auto"/>
              <w:ind w:firstLine="420" w:firstLineChars="200"/>
              <w:rPr>
                <w:rFonts w:hint="eastAsia"/>
                <w:b w:val="0"/>
                <w:bCs w:val="0"/>
                <w:color w:val="auto"/>
                <w:lang w:eastAsia="zh-CN"/>
              </w:rPr>
            </w:pPr>
            <w:r>
              <w:rPr>
                <w:rFonts w:hint="eastAsia"/>
                <w:b w:val="0"/>
                <w:bCs w:val="0"/>
                <w:color w:val="auto"/>
                <w:lang w:eastAsia="zh-CN"/>
              </w:rPr>
              <w:t>火灾事故的防范措施主要是提高企业运行管理水平和装置性能，以及采取有效的防火防爆措施。本项目采取措施如下：定期对设备进行安全检测，检测内容、时间、人员应有记录保存。安全检测应根据设备的安全性、危险性设定检测频次。应加强火源的管理，严禁烟火带入，对设备需进行维修焊接，应经安全部门确认、准许，并有记录。要有完善的安全消防措施。从平面布置上，本厂生产装置区等各功能区之间应按国家消防安全规定，设置足够的安全距离和道路，以便安全疏散和消防。各重点部位设备应设置消防系统和灭火器等。</w:t>
            </w:r>
          </w:p>
          <w:p>
            <w:pPr>
              <w:spacing w:line="360" w:lineRule="auto"/>
              <w:ind w:firstLine="420" w:firstLineChars="200"/>
              <w:rPr>
                <w:rFonts w:hint="eastAsia"/>
                <w:b w:val="0"/>
                <w:bCs w:val="0"/>
                <w:color w:val="auto"/>
              </w:rPr>
            </w:pPr>
            <w:r>
              <w:rPr>
                <w:rFonts w:hint="eastAsia"/>
                <w:b w:val="0"/>
                <w:bCs w:val="0"/>
                <w:color w:val="auto"/>
                <w:lang w:val="en-US" w:eastAsia="zh-CN"/>
              </w:rPr>
              <w:t>2</w:t>
            </w:r>
            <w:r>
              <w:rPr>
                <w:rFonts w:hint="eastAsia"/>
                <w:b w:val="0"/>
                <w:bCs w:val="0"/>
                <w:color w:val="auto"/>
                <w:lang w:eastAsia="zh-CN"/>
              </w:rPr>
              <w:t>）</w:t>
            </w:r>
            <w:r>
              <w:rPr>
                <w:rFonts w:hint="eastAsia"/>
                <w:b w:val="0"/>
                <w:bCs w:val="0"/>
                <w:color w:val="auto"/>
              </w:rPr>
              <w:t>生产事故废水排放</w:t>
            </w:r>
          </w:p>
          <w:p>
            <w:pPr>
              <w:spacing w:line="360" w:lineRule="auto"/>
              <w:ind w:firstLine="420" w:firstLineChars="200"/>
              <w:rPr>
                <w:rFonts w:hint="eastAsia"/>
                <w:b w:val="0"/>
                <w:bCs w:val="0"/>
                <w:color w:val="auto"/>
              </w:rPr>
            </w:pPr>
            <w:r>
              <w:rPr>
                <w:rFonts w:hint="eastAsia"/>
                <w:b w:val="0"/>
                <w:bCs w:val="0"/>
                <w:color w:val="auto"/>
              </w:rPr>
              <w:t>项目废水事故排放情况主要发生在突发性停电导致废水回用的生产装置不能正常运营，可能导致生产废水不能正常回用。废水处理设施一旦发生故障，应立即将生产供水中断，应将产生的废水储存于事故池中，不得外排。事故池内的废水经处理后通过泵输送至循环水池循环使用。</w:t>
            </w:r>
          </w:p>
          <w:p>
            <w:pPr>
              <w:spacing w:line="360" w:lineRule="auto"/>
              <w:ind w:firstLine="420" w:firstLineChars="200"/>
              <w:rPr>
                <w:rFonts w:hint="eastAsia"/>
                <w:b w:val="0"/>
                <w:bCs w:val="0"/>
                <w:color w:val="auto"/>
              </w:rPr>
            </w:pPr>
            <w:r>
              <w:rPr>
                <w:rFonts w:hint="eastAsia"/>
                <w:b w:val="0"/>
                <w:bCs w:val="0"/>
                <w:color w:val="auto"/>
              </w:rPr>
              <w:t>废水处理设施一旦发生故障，就可能产生废水的事故排放，对周围水环境产生污染冲击和较大影响。为确保不发生废水事故排放，从废水处理角度可采取以下预防措施：</w:t>
            </w:r>
          </w:p>
          <w:p>
            <w:pPr>
              <w:spacing w:line="360" w:lineRule="auto"/>
              <w:ind w:firstLine="420" w:firstLineChars="200"/>
              <w:rPr>
                <w:rFonts w:hint="eastAsia"/>
                <w:b w:val="0"/>
                <w:bCs w:val="0"/>
                <w:color w:val="auto"/>
              </w:rPr>
            </w:pPr>
            <w:r>
              <w:rPr>
                <w:rFonts w:hint="eastAsia"/>
                <w:b w:val="0"/>
                <w:bCs w:val="0"/>
                <w:color w:val="auto"/>
              </w:rPr>
              <w:t>①废水处理设施中，应设相应的备用设备，如备用泵、备用水池等。</w:t>
            </w:r>
          </w:p>
          <w:p>
            <w:pPr>
              <w:spacing w:line="360" w:lineRule="auto"/>
              <w:ind w:firstLine="420" w:firstLineChars="200"/>
              <w:rPr>
                <w:rFonts w:hint="eastAsia"/>
                <w:b w:val="0"/>
                <w:bCs w:val="0"/>
                <w:color w:val="auto"/>
              </w:rPr>
            </w:pPr>
            <w:r>
              <w:rPr>
                <w:rFonts w:hint="eastAsia"/>
                <w:b w:val="0"/>
                <w:bCs w:val="0"/>
                <w:color w:val="auto"/>
              </w:rPr>
              <w:t>②废水处理设施一旦发生故障，应将产生的废水储存于事故池中，不得外排，并及时检修，尽快使其恢复运行；若调节池蓄满水时，废水处理设施仍未修复，应立即停产检修。</w:t>
            </w:r>
          </w:p>
          <w:p>
            <w:pPr>
              <w:spacing w:line="360" w:lineRule="auto"/>
              <w:ind w:firstLine="420" w:firstLineChars="200"/>
              <w:rPr>
                <w:rFonts w:hint="eastAsia"/>
                <w:b w:val="0"/>
                <w:bCs w:val="0"/>
                <w:color w:val="auto"/>
              </w:rPr>
            </w:pPr>
            <w:r>
              <w:rPr>
                <w:rFonts w:hint="eastAsia"/>
                <w:b w:val="0"/>
                <w:bCs w:val="0"/>
                <w:color w:val="auto"/>
              </w:rPr>
              <w:t>③厂区应按清污分流、雨污分流的原则建立一个完善的排水系统，确保各类废水得到有效收集、监测监督和处理。</w:t>
            </w:r>
          </w:p>
          <w:p>
            <w:pPr>
              <w:spacing w:line="360" w:lineRule="auto"/>
              <w:ind w:firstLine="420" w:firstLineChars="200"/>
              <w:rPr>
                <w:rFonts w:hint="eastAsia"/>
                <w:b w:val="0"/>
                <w:bCs w:val="0"/>
                <w:color w:val="auto"/>
              </w:rPr>
            </w:pPr>
            <w:r>
              <w:rPr>
                <w:rFonts w:hint="eastAsia"/>
                <w:b w:val="0"/>
                <w:bCs w:val="0"/>
                <w:color w:val="auto"/>
              </w:rPr>
              <w:t>④事故风险应急监测：事故发生时应委托生态环境局环境监测站对项目所在地及周边地下水、地表水进行监测，发现问题后应立即启动应急预案，防止物料及污水渗漏造成地下水污染，监控因子为pH、COD</w:t>
            </w:r>
            <w:r>
              <w:rPr>
                <w:rFonts w:hint="eastAsia"/>
                <w:b w:val="0"/>
                <w:bCs w:val="0"/>
                <w:color w:val="auto"/>
                <w:vertAlign w:val="subscript"/>
              </w:rPr>
              <w:t>Cr</w:t>
            </w:r>
            <w:r>
              <w:rPr>
                <w:rFonts w:hint="eastAsia"/>
                <w:b w:val="0"/>
                <w:bCs w:val="0"/>
                <w:color w:val="auto"/>
              </w:rPr>
              <w:t>、NH</w:t>
            </w:r>
            <w:r>
              <w:rPr>
                <w:rFonts w:hint="eastAsia"/>
                <w:b w:val="0"/>
                <w:bCs w:val="0"/>
                <w:color w:val="auto"/>
                <w:vertAlign w:val="subscript"/>
              </w:rPr>
              <w:t>3</w:t>
            </w:r>
            <w:r>
              <w:rPr>
                <w:rFonts w:hint="eastAsia"/>
                <w:b w:val="0"/>
                <w:bCs w:val="0"/>
                <w:color w:val="auto"/>
              </w:rPr>
              <w:t>-N等。</w:t>
            </w:r>
          </w:p>
          <w:p>
            <w:pPr>
              <w:spacing w:line="360" w:lineRule="auto"/>
              <w:ind w:firstLine="420" w:firstLineChars="200"/>
              <w:rPr>
                <w:rFonts w:hint="eastAsia"/>
                <w:b w:val="0"/>
                <w:bCs w:val="0"/>
                <w:color w:val="auto"/>
              </w:rPr>
            </w:pPr>
            <w:r>
              <w:rPr>
                <w:rFonts w:hint="eastAsia"/>
                <w:b w:val="0"/>
                <w:bCs w:val="0"/>
                <w:color w:val="auto"/>
              </w:rPr>
              <w:t>⑤事故应急池：</w:t>
            </w:r>
            <w:r>
              <w:rPr>
                <w:rFonts w:hint="eastAsia"/>
                <w:b w:val="0"/>
                <w:bCs w:val="0"/>
                <w:color w:val="auto"/>
                <w:highlight w:val="none"/>
              </w:rPr>
              <w:t>根据《消防给水及消防栓系统技术规范》（GB 50974-2014），本项目属于丙类车间，事故池容量应满足发生火灾延续时间3小时以上的用水。厂房室外消防栓一次灭火用水量计为25L/s，室内消防栓一次灭火用水量计为 20L/s。则灭火所需消防水量共计486m</w:t>
            </w:r>
            <w:r>
              <w:rPr>
                <w:rFonts w:hint="eastAsia"/>
                <w:b w:val="0"/>
                <w:bCs w:val="0"/>
                <w:color w:val="auto"/>
                <w:highlight w:val="none"/>
                <w:vertAlign w:val="superscript"/>
              </w:rPr>
              <w:t>3</w:t>
            </w:r>
            <w:r>
              <w:rPr>
                <w:rFonts w:hint="eastAsia"/>
                <w:b w:val="0"/>
                <w:bCs w:val="0"/>
                <w:color w:val="auto"/>
                <w:highlight w:val="none"/>
              </w:rPr>
              <w:t>。</w:t>
            </w:r>
          </w:p>
          <w:p>
            <w:pPr>
              <w:spacing w:line="360" w:lineRule="auto"/>
              <w:ind w:firstLine="420" w:firstLineChars="200"/>
              <w:rPr>
                <w:rFonts w:hint="eastAsia"/>
                <w:b w:val="0"/>
                <w:bCs w:val="0"/>
                <w:color w:val="auto"/>
              </w:rPr>
            </w:pPr>
            <w:r>
              <w:rPr>
                <w:rFonts w:hint="eastAsia"/>
                <w:b w:val="0"/>
                <w:bCs w:val="0"/>
                <w:color w:val="auto"/>
              </w:rPr>
              <w:t>根据上述计算，每日生产用水量和生活用水量共计</w:t>
            </w:r>
            <w:r>
              <w:rPr>
                <w:rFonts w:hint="eastAsia"/>
                <w:b w:val="0"/>
                <w:bCs w:val="0"/>
                <w:color w:val="auto"/>
                <w:lang w:val="en-US" w:eastAsia="zh-CN"/>
              </w:rPr>
              <w:t>4.86</w:t>
            </w:r>
            <w:r>
              <w:rPr>
                <w:rFonts w:hint="eastAsia"/>
                <w:b w:val="0"/>
                <w:bCs w:val="0"/>
                <w:color w:val="auto"/>
              </w:rPr>
              <w:t>m</w:t>
            </w:r>
            <w:r>
              <w:rPr>
                <w:rFonts w:hint="eastAsia"/>
                <w:b w:val="0"/>
                <w:bCs w:val="0"/>
                <w:color w:val="auto"/>
                <w:vertAlign w:val="superscript"/>
              </w:rPr>
              <w:t>3</w:t>
            </w:r>
            <w:r>
              <w:rPr>
                <w:rFonts w:hint="eastAsia"/>
                <w:b w:val="0"/>
                <w:bCs w:val="0"/>
                <w:color w:val="auto"/>
              </w:rPr>
              <w:t>，因此，本环评要求建设单位建设一座</w:t>
            </w:r>
            <w:r>
              <w:rPr>
                <w:rFonts w:hint="eastAsia"/>
                <w:b w:val="0"/>
                <w:bCs w:val="0"/>
                <w:color w:val="auto"/>
                <w:lang w:val="en-US" w:eastAsia="zh-CN"/>
              </w:rPr>
              <w:t>495</w:t>
            </w:r>
            <w:r>
              <w:rPr>
                <w:rFonts w:hint="eastAsia"/>
                <w:b w:val="0"/>
                <w:bCs w:val="0"/>
                <w:color w:val="auto"/>
                <w:highlight w:val="none"/>
              </w:rPr>
              <w:t>m</w:t>
            </w:r>
            <w:r>
              <w:rPr>
                <w:rFonts w:hint="eastAsia"/>
                <w:b w:val="0"/>
                <w:bCs w:val="0"/>
                <w:color w:val="auto"/>
                <w:highlight w:val="none"/>
                <w:vertAlign w:val="superscript"/>
              </w:rPr>
              <w:t>3</w:t>
            </w:r>
            <w:r>
              <w:rPr>
                <w:rFonts w:hint="eastAsia"/>
                <w:b w:val="0"/>
                <w:bCs w:val="0"/>
                <w:color w:val="auto"/>
              </w:rPr>
              <w:t>的事故应急池，事故应急池用途包括：如发生污水处理设施泄漏、发生火灾产生的生产废水、消防废水，以杜绝其直接排入环境。该类污水、废水全部经导流至事故水池，切断其与厂外厂内雨水管网、污水管网的排放口。</w:t>
            </w:r>
          </w:p>
          <w:p>
            <w:pPr>
              <w:spacing w:line="360" w:lineRule="auto"/>
              <w:ind w:firstLine="422" w:firstLineChars="200"/>
              <w:rPr>
                <w:rFonts w:hint="eastAsia"/>
                <w:b/>
                <w:bCs/>
                <w:color w:val="auto"/>
              </w:rPr>
            </w:pPr>
            <w:r>
              <w:rPr>
                <w:rFonts w:hint="eastAsia"/>
                <w:b/>
                <w:bCs/>
                <w:color w:val="auto"/>
                <w:lang w:val="en-US" w:eastAsia="zh-CN"/>
              </w:rPr>
              <w:t>7</w:t>
            </w:r>
            <w:r>
              <w:rPr>
                <w:rFonts w:hint="eastAsia"/>
                <w:b/>
                <w:bCs/>
                <w:color w:val="auto"/>
              </w:rPr>
              <w:t>、环保投资及“三同时”验收内容</w:t>
            </w:r>
          </w:p>
          <w:p>
            <w:pPr>
              <w:spacing w:line="360" w:lineRule="auto"/>
              <w:ind w:firstLine="420" w:firstLineChars="200"/>
              <w:rPr>
                <w:rFonts w:hint="eastAsia" w:eastAsia="宋体"/>
                <w:b/>
                <w:bCs/>
                <w:color w:val="auto"/>
                <w:sz w:val="18"/>
                <w:szCs w:val="18"/>
                <w:lang w:eastAsia="zh-CN"/>
              </w:rPr>
            </w:pPr>
            <w:r>
              <w:rPr>
                <w:rFonts w:hint="eastAsia"/>
                <w:color w:val="auto"/>
              </w:rPr>
              <w:t>本项目总投资为</w:t>
            </w:r>
            <w:r>
              <w:rPr>
                <w:rFonts w:hint="eastAsia"/>
                <w:color w:val="auto"/>
                <w:lang w:val="en-US" w:eastAsia="zh-CN"/>
              </w:rPr>
              <w:t>680</w:t>
            </w:r>
            <w:r>
              <w:rPr>
                <w:rFonts w:hint="eastAsia"/>
                <w:color w:val="auto"/>
              </w:rPr>
              <w:t>万元，根据环保治理措施估算，环保投资为</w:t>
            </w:r>
            <w:r>
              <w:rPr>
                <w:rFonts w:hint="eastAsia"/>
                <w:color w:val="auto"/>
                <w:lang w:val="en-US" w:eastAsia="zh-CN"/>
              </w:rPr>
              <w:t>30.5</w:t>
            </w:r>
            <w:r>
              <w:rPr>
                <w:rFonts w:hint="eastAsia"/>
                <w:color w:val="auto"/>
              </w:rPr>
              <w:t>万元，根据建设单位项目“三同时”原则，在项目建设过程中，环境污染防治设施应与主体工程同时设计、同时施工、同时投入使用。本项目建成运营时，应对环保设施进行验收，环保投资与验收清单见</w:t>
            </w:r>
            <w:r>
              <w:rPr>
                <w:rFonts w:hint="eastAsia"/>
                <w:color w:val="auto"/>
                <w:lang w:val="en-US" w:eastAsia="zh-CN"/>
              </w:rPr>
              <w:t>下</w:t>
            </w:r>
            <w:r>
              <w:rPr>
                <w:rFonts w:hint="eastAsia"/>
                <w:color w:val="auto"/>
              </w:rPr>
              <w:t>表</w:t>
            </w:r>
            <w:r>
              <w:rPr>
                <w:rFonts w:hint="eastAsia"/>
                <w:color w:val="auto"/>
                <w:lang w:eastAsia="zh-CN"/>
              </w:rPr>
              <w:t>。</w:t>
            </w:r>
          </w:p>
          <w:p>
            <w:pPr>
              <w:spacing w:line="360" w:lineRule="auto"/>
              <w:jc w:val="center"/>
              <w:rPr>
                <w:b/>
                <w:bCs/>
                <w:color w:val="auto"/>
                <w:sz w:val="18"/>
                <w:szCs w:val="18"/>
              </w:rPr>
            </w:pPr>
            <w:r>
              <w:rPr>
                <w:rFonts w:hint="eastAsia"/>
                <w:b/>
                <w:bCs/>
                <w:color w:val="auto"/>
                <w:sz w:val="18"/>
                <w:szCs w:val="18"/>
              </w:rPr>
              <w:t>表4-1</w:t>
            </w:r>
            <w:r>
              <w:rPr>
                <w:rFonts w:hint="eastAsia"/>
                <w:b/>
                <w:bCs/>
                <w:color w:val="auto"/>
                <w:sz w:val="18"/>
                <w:szCs w:val="18"/>
                <w:lang w:val="en-US" w:eastAsia="zh-CN"/>
              </w:rPr>
              <w:t>4</w:t>
            </w:r>
            <w:r>
              <w:rPr>
                <w:rFonts w:hint="eastAsia"/>
                <w:b/>
                <w:bCs/>
                <w:color w:val="auto"/>
                <w:sz w:val="18"/>
                <w:szCs w:val="18"/>
              </w:rPr>
              <w:t xml:space="preserve">  环境保护投资估算表</w:t>
            </w:r>
          </w:p>
          <w:tbl>
            <w:tblPr>
              <w:tblStyle w:val="24"/>
              <w:tblW w:w="80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678"/>
              <w:gridCol w:w="960"/>
              <w:gridCol w:w="2985"/>
              <w:gridCol w:w="650"/>
              <w:gridCol w:w="28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Align w:val="center"/>
                </w:tcPr>
                <w:p>
                  <w:pPr>
                    <w:spacing w:line="320" w:lineRule="atLeast"/>
                    <w:jc w:val="center"/>
                    <w:rPr>
                      <w:color w:val="auto"/>
                      <w:sz w:val="18"/>
                      <w:szCs w:val="18"/>
                    </w:rPr>
                  </w:pPr>
                  <w:r>
                    <w:rPr>
                      <w:color w:val="auto"/>
                      <w:sz w:val="18"/>
                      <w:szCs w:val="18"/>
                    </w:rPr>
                    <w:t>时期</w:t>
                  </w:r>
                </w:p>
              </w:tc>
              <w:tc>
                <w:tcPr>
                  <w:tcW w:w="3945" w:type="dxa"/>
                  <w:gridSpan w:val="2"/>
                  <w:vAlign w:val="center"/>
                </w:tcPr>
                <w:p>
                  <w:pPr>
                    <w:spacing w:line="320" w:lineRule="atLeast"/>
                    <w:jc w:val="center"/>
                    <w:rPr>
                      <w:color w:val="auto"/>
                      <w:sz w:val="18"/>
                      <w:szCs w:val="18"/>
                    </w:rPr>
                  </w:pPr>
                  <w:r>
                    <w:rPr>
                      <w:color w:val="auto"/>
                      <w:sz w:val="18"/>
                      <w:szCs w:val="18"/>
                    </w:rPr>
                    <w:t>项目</w:t>
                  </w:r>
                </w:p>
              </w:tc>
              <w:tc>
                <w:tcPr>
                  <w:tcW w:w="650" w:type="dxa"/>
                  <w:vAlign w:val="center"/>
                </w:tcPr>
                <w:p>
                  <w:pPr>
                    <w:spacing w:line="320" w:lineRule="atLeast"/>
                    <w:jc w:val="center"/>
                    <w:rPr>
                      <w:color w:val="auto"/>
                      <w:sz w:val="18"/>
                      <w:szCs w:val="18"/>
                    </w:rPr>
                  </w:pPr>
                  <w:r>
                    <w:rPr>
                      <w:color w:val="auto"/>
                      <w:sz w:val="18"/>
                      <w:szCs w:val="18"/>
                    </w:rPr>
                    <w:t>投资</w:t>
                  </w:r>
                </w:p>
                <w:p>
                  <w:pPr>
                    <w:spacing w:line="320" w:lineRule="atLeast"/>
                    <w:jc w:val="center"/>
                    <w:rPr>
                      <w:color w:val="auto"/>
                      <w:sz w:val="18"/>
                      <w:szCs w:val="18"/>
                    </w:rPr>
                  </w:pPr>
                  <w:r>
                    <w:rPr>
                      <w:color w:val="auto"/>
                      <w:sz w:val="18"/>
                      <w:szCs w:val="18"/>
                    </w:rPr>
                    <w:t>（万元）</w:t>
                  </w:r>
                </w:p>
              </w:tc>
              <w:tc>
                <w:tcPr>
                  <w:tcW w:w="2826" w:type="dxa"/>
                  <w:vAlign w:val="center"/>
                </w:tcPr>
                <w:p>
                  <w:pPr>
                    <w:spacing w:line="320" w:lineRule="atLeast"/>
                    <w:jc w:val="center"/>
                    <w:rPr>
                      <w:rFonts w:hint="default" w:eastAsia="宋体"/>
                      <w:color w:val="auto"/>
                      <w:sz w:val="18"/>
                      <w:szCs w:val="18"/>
                      <w:lang w:val="en-US" w:eastAsia="zh-CN"/>
                    </w:rPr>
                  </w:pPr>
                  <w:r>
                    <w:rPr>
                      <w:rFonts w:hint="eastAsia"/>
                      <w:color w:val="auto"/>
                      <w:sz w:val="18"/>
                      <w:szCs w:val="18"/>
                      <w:lang w:val="en-US" w:eastAsia="zh-CN"/>
                    </w:rPr>
                    <w:t>验收标准及要求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restart"/>
                  <w:vAlign w:val="center"/>
                </w:tcPr>
                <w:p>
                  <w:pPr>
                    <w:spacing w:line="320" w:lineRule="atLeast"/>
                    <w:jc w:val="center"/>
                    <w:rPr>
                      <w:color w:val="auto"/>
                      <w:sz w:val="18"/>
                      <w:szCs w:val="18"/>
                    </w:rPr>
                  </w:pPr>
                  <w:r>
                    <w:rPr>
                      <w:rFonts w:hint="eastAsia"/>
                      <w:color w:val="auto"/>
                      <w:sz w:val="18"/>
                      <w:szCs w:val="18"/>
                    </w:rPr>
                    <w:t>施工期</w:t>
                  </w:r>
                </w:p>
              </w:tc>
              <w:tc>
                <w:tcPr>
                  <w:tcW w:w="960" w:type="dxa"/>
                  <w:vAlign w:val="center"/>
                </w:tcPr>
                <w:p>
                  <w:pPr>
                    <w:spacing w:line="320" w:lineRule="atLeast"/>
                    <w:jc w:val="center"/>
                    <w:rPr>
                      <w:color w:val="auto"/>
                      <w:sz w:val="18"/>
                      <w:szCs w:val="18"/>
                    </w:rPr>
                  </w:pPr>
                  <w:r>
                    <w:rPr>
                      <w:color w:val="auto"/>
                      <w:sz w:val="18"/>
                      <w:szCs w:val="18"/>
                    </w:rPr>
                    <w:t>废气治理</w:t>
                  </w:r>
                </w:p>
              </w:tc>
              <w:tc>
                <w:tcPr>
                  <w:tcW w:w="2985" w:type="dxa"/>
                  <w:vAlign w:val="center"/>
                </w:tcPr>
                <w:p>
                  <w:pPr>
                    <w:spacing w:line="320" w:lineRule="atLeast"/>
                    <w:jc w:val="left"/>
                    <w:rPr>
                      <w:color w:val="auto"/>
                      <w:sz w:val="18"/>
                      <w:szCs w:val="18"/>
                    </w:rPr>
                  </w:pPr>
                  <w:r>
                    <w:rPr>
                      <w:rFonts w:hint="eastAsia"/>
                      <w:color w:val="auto"/>
                      <w:sz w:val="18"/>
                      <w:szCs w:val="18"/>
                    </w:rPr>
                    <w:t>源头控制，设置遮挡，定期洒水，车胎清洗等</w:t>
                  </w:r>
                </w:p>
              </w:tc>
              <w:tc>
                <w:tcPr>
                  <w:tcW w:w="650" w:type="dxa"/>
                  <w:vAlign w:val="center"/>
                </w:tcPr>
                <w:p>
                  <w:pPr>
                    <w:spacing w:line="320" w:lineRule="atLeast"/>
                    <w:jc w:val="center"/>
                    <w:rPr>
                      <w:color w:val="auto"/>
                      <w:sz w:val="18"/>
                      <w:szCs w:val="18"/>
                    </w:rPr>
                  </w:pPr>
                  <w:r>
                    <w:rPr>
                      <w:rFonts w:hint="eastAsia"/>
                      <w:color w:val="auto"/>
                      <w:sz w:val="18"/>
                      <w:szCs w:val="18"/>
                    </w:rPr>
                    <w:t>3.0</w:t>
                  </w:r>
                </w:p>
              </w:tc>
              <w:tc>
                <w:tcPr>
                  <w:tcW w:w="2826" w:type="dxa"/>
                  <w:vAlign w:val="center"/>
                </w:tcPr>
                <w:p>
                  <w:pPr>
                    <w:spacing w:line="320" w:lineRule="atLeas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Align w:val="center"/>
                </w:tcPr>
                <w:p>
                  <w:pPr>
                    <w:spacing w:line="320" w:lineRule="atLeast"/>
                    <w:jc w:val="center"/>
                    <w:rPr>
                      <w:color w:val="auto"/>
                      <w:sz w:val="18"/>
                      <w:szCs w:val="18"/>
                    </w:rPr>
                  </w:pPr>
                  <w:r>
                    <w:rPr>
                      <w:color w:val="auto"/>
                      <w:sz w:val="18"/>
                      <w:szCs w:val="18"/>
                    </w:rPr>
                    <w:t>废水治理</w:t>
                  </w:r>
                </w:p>
              </w:tc>
              <w:tc>
                <w:tcPr>
                  <w:tcW w:w="2985" w:type="dxa"/>
                  <w:vAlign w:val="center"/>
                </w:tcPr>
                <w:p>
                  <w:pPr>
                    <w:spacing w:line="320" w:lineRule="atLeast"/>
                    <w:jc w:val="left"/>
                    <w:rPr>
                      <w:color w:val="auto"/>
                      <w:sz w:val="18"/>
                      <w:szCs w:val="18"/>
                    </w:rPr>
                  </w:pPr>
                  <w:r>
                    <w:rPr>
                      <w:rFonts w:hint="eastAsia"/>
                      <w:color w:val="auto"/>
                      <w:sz w:val="18"/>
                      <w:szCs w:val="18"/>
                    </w:rPr>
                    <w:t>废水</w:t>
                  </w:r>
                  <w:r>
                    <w:rPr>
                      <w:color w:val="auto"/>
                      <w:sz w:val="18"/>
                      <w:szCs w:val="18"/>
                    </w:rPr>
                    <w:t>经预处理池处理后</w:t>
                  </w:r>
                  <w:r>
                    <w:rPr>
                      <w:rFonts w:hint="eastAsia"/>
                      <w:color w:val="auto"/>
                      <w:sz w:val="18"/>
                      <w:szCs w:val="18"/>
                    </w:rPr>
                    <w:t>回用</w:t>
                  </w:r>
                </w:p>
              </w:tc>
              <w:tc>
                <w:tcPr>
                  <w:tcW w:w="650" w:type="dxa"/>
                  <w:vAlign w:val="center"/>
                </w:tcPr>
                <w:p>
                  <w:pPr>
                    <w:spacing w:line="320" w:lineRule="atLeast"/>
                    <w:jc w:val="center"/>
                    <w:rPr>
                      <w:color w:val="auto"/>
                      <w:sz w:val="18"/>
                      <w:szCs w:val="18"/>
                    </w:rPr>
                  </w:pPr>
                  <w:r>
                    <w:rPr>
                      <w:rFonts w:hint="eastAsia"/>
                      <w:color w:val="auto"/>
                      <w:sz w:val="18"/>
                      <w:szCs w:val="18"/>
                    </w:rPr>
                    <w:t>1.0</w:t>
                  </w:r>
                </w:p>
              </w:tc>
              <w:tc>
                <w:tcPr>
                  <w:tcW w:w="2826" w:type="dxa"/>
                  <w:vAlign w:val="center"/>
                </w:tcPr>
                <w:p>
                  <w:pPr>
                    <w:spacing w:line="320" w:lineRule="atLeas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Align w:val="center"/>
                </w:tcPr>
                <w:p>
                  <w:pPr>
                    <w:spacing w:line="320" w:lineRule="atLeast"/>
                    <w:jc w:val="center"/>
                    <w:rPr>
                      <w:color w:val="auto"/>
                      <w:sz w:val="18"/>
                      <w:szCs w:val="18"/>
                    </w:rPr>
                  </w:pPr>
                  <w:r>
                    <w:rPr>
                      <w:color w:val="auto"/>
                      <w:sz w:val="18"/>
                      <w:szCs w:val="18"/>
                    </w:rPr>
                    <w:t>噪声治理</w:t>
                  </w:r>
                </w:p>
              </w:tc>
              <w:tc>
                <w:tcPr>
                  <w:tcW w:w="2985" w:type="dxa"/>
                  <w:vAlign w:val="center"/>
                </w:tcPr>
                <w:p>
                  <w:pPr>
                    <w:spacing w:line="320" w:lineRule="atLeast"/>
                    <w:jc w:val="left"/>
                    <w:rPr>
                      <w:color w:val="auto"/>
                      <w:sz w:val="18"/>
                      <w:szCs w:val="18"/>
                    </w:rPr>
                  </w:pPr>
                  <w:r>
                    <w:rPr>
                      <w:rFonts w:hint="eastAsia"/>
                      <w:color w:val="auto"/>
                      <w:sz w:val="18"/>
                      <w:szCs w:val="18"/>
                    </w:rPr>
                    <w:t>合理安排施工时段，禁止夜间施工，设基础减震</w:t>
                  </w:r>
                </w:p>
              </w:tc>
              <w:tc>
                <w:tcPr>
                  <w:tcW w:w="650" w:type="dxa"/>
                  <w:vAlign w:val="center"/>
                </w:tcPr>
                <w:p>
                  <w:pPr>
                    <w:spacing w:line="320" w:lineRule="atLeast"/>
                    <w:jc w:val="center"/>
                    <w:rPr>
                      <w:color w:val="auto"/>
                      <w:sz w:val="18"/>
                      <w:szCs w:val="18"/>
                    </w:rPr>
                  </w:pPr>
                  <w:r>
                    <w:rPr>
                      <w:rFonts w:hint="eastAsia"/>
                      <w:color w:val="auto"/>
                      <w:sz w:val="18"/>
                      <w:szCs w:val="18"/>
                    </w:rPr>
                    <w:t>1.0</w:t>
                  </w:r>
                </w:p>
              </w:tc>
              <w:tc>
                <w:tcPr>
                  <w:tcW w:w="2826" w:type="dxa"/>
                  <w:vAlign w:val="center"/>
                </w:tcPr>
                <w:p>
                  <w:pPr>
                    <w:spacing w:line="320" w:lineRule="atLeas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Align w:val="center"/>
                </w:tcPr>
                <w:p>
                  <w:pPr>
                    <w:spacing w:line="320" w:lineRule="atLeast"/>
                    <w:jc w:val="center"/>
                    <w:rPr>
                      <w:color w:val="auto"/>
                      <w:sz w:val="18"/>
                      <w:szCs w:val="18"/>
                    </w:rPr>
                  </w:pPr>
                  <w:r>
                    <w:rPr>
                      <w:color w:val="auto"/>
                      <w:sz w:val="18"/>
                      <w:szCs w:val="18"/>
                    </w:rPr>
                    <w:t>固废治理</w:t>
                  </w:r>
                </w:p>
              </w:tc>
              <w:tc>
                <w:tcPr>
                  <w:tcW w:w="2985" w:type="dxa"/>
                  <w:vAlign w:val="center"/>
                </w:tcPr>
                <w:p>
                  <w:pPr>
                    <w:spacing w:line="320" w:lineRule="atLeast"/>
                    <w:jc w:val="left"/>
                    <w:rPr>
                      <w:color w:val="auto"/>
                      <w:sz w:val="18"/>
                      <w:szCs w:val="18"/>
                    </w:rPr>
                  </w:pPr>
                  <w:r>
                    <w:rPr>
                      <w:rFonts w:hint="eastAsia"/>
                      <w:color w:val="auto"/>
                      <w:sz w:val="18"/>
                      <w:szCs w:val="18"/>
                    </w:rPr>
                    <w:t>建渣等，密闭运往市政规定建筑垃圾堆放场所</w:t>
                  </w:r>
                </w:p>
              </w:tc>
              <w:tc>
                <w:tcPr>
                  <w:tcW w:w="650" w:type="dxa"/>
                  <w:vAlign w:val="center"/>
                </w:tcPr>
                <w:p>
                  <w:pPr>
                    <w:spacing w:line="320" w:lineRule="atLeast"/>
                    <w:jc w:val="center"/>
                    <w:rPr>
                      <w:color w:val="auto"/>
                      <w:sz w:val="18"/>
                      <w:szCs w:val="18"/>
                    </w:rPr>
                  </w:pPr>
                  <w:r>
                    <w:rPr>
                      <w:rFonts w:hint="eastAsia"/>
                      <w:color w:val="auto"/>
                      <w:sz w:val="18"/>
                      <w:szCs w:val="18"/>
                    </w:rPr>
                    <w:t>2.0</w:t>
                  </w:r>
                </w:p>
              </w:tc>
              <w:tc>
                <w:tcPr>
                  <w:tcW w:w="2826" w:type="dxa"/>
                  <w:vAlign w:val="center"/>
                </w:tcPr>
                <w:p>
                  <w:pPr>
                    <w:spacing w:line="320" w:lineRule="atLeas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restart"/>
                  <w:vAlign w:val="center"/>
                </w:tcPr>
                <w:p>
                  <w:pPr>
                    <w:spacing w:line="320" w:lineRule="atLeast"/>
                    <w:jc w:val="center"/>
                    <w:rPr>
                      <w:color w:val="auto"/>
                      <w:sz w:val="18"/>
                      <w:szCs w:val="18"/>
                    </w:rPr>
                  </w:pPr>
                  <w:r>
                    <w:rPr>
                      <w:color w:val="auto"/>
                      <w:sz w:val="18"/>
                      <w:szCs w:val="18"/>
                    </w:rPr>
                    <w:t>运营期</w:t>
                  </w:r>
                </w:p>
              </w:tc>
              <w:tc>
                <w:tcPr>
                  <w:tcW w:w="960" w:type="dxa"/>
                  <w:vMerge w:val="restart"/>
                  <w:vAlign w:val="center"/>
                </w:tcPr>
                <w:p>
                  <w:pPr>
                    <w:spacing w:line="320" w:lineRule="atLeast"/>
                    <w:jc w:val="center"/>
                    <w:rPr>
                      <w:color w:val="auto"/>
                      <w:sz w:val="18"/>
                      <w:szCs w:val="18"/>
                    </w:rPr>
                  </w:pPr>
                  <w:r>
                    <w:rPr>
                      <w:color w:val="auto"/>
                      <w:sz w:val="18"/>
                      <w:szCs w:val="18"/>
                    </w:rPr>
                    <w:t>废气治理</w:t>
                  </w:r>
                </w:p>
              </w:tc>
              <w:tc>
                <w:tcPr>
                  <w:tcW w:w="2985" w:type="dxa"/>
                  <w:vAlign w:val="center"/>
                </w:tcPr>
                <w:p>
                  <w:pPr>
                    <w:spacing w:line="320" w:lineRule="atLeast"/>
                    <w:jc w:val="left"/>
                    <w:rPr>
                      <w:rFonts w:hint="default" w:eastAsia="宋体"/>
                      <w:color w:val="auto"/>
                      <w:sz w:val="18"/>
                      <w:szCs w:val="18"/>
                      <w:lang w:val="en-US" w:eastAsia="zh-CN"/>
                    </w:rPr>
                  </w:pPr>
                  <w:r>
                    <w:rPr>
                      <w:rFonts w:hint="eastAsia"/>
                      <w:color w:val="auto"/>
                      <w:sz w:val="18"/>
                      <w:szCs w:val="18"/>
                      <w:lang w:val="en-US" w:eastAsia="zh-CN"/>
                    </w:rPr>
                    <w:t>投料粉尘：集气罩+布袋除尘器+15m高排气筒（DA001）排放</w:t>
                  </w:r>
                </w:p>
              </w:tc>
              <w:tc>
                <w:tcPr>
                  <w:tcW w:w="650" w:type="dxa"/>
                  <w:vAlign w:val="center"/>
                </w:tcPr>
                <w:p>
                  <w:pPr>
                    <w:spacing w:line="320" w:lineRule="atLeast"/>
                    <w:jc w:val="center"/>
                    <w:rPr>
                      <w:rFonts w:hint="default" w:eastAsia="宋体"/>
                      <w:color w:val="auto"/>
                      <w:sz w:val="18"/>
                      <w:szCs w:val="18"/>
                      <w:lang w:val="en-US" w:eastAsia="zh-CN"/>
                    </w:rPr>
                  </w:pPr>
                  <w:r>
                    <w:rPr>
                      <w:rFonts w:hint="eastAsia"/>
                      <w:color w:val="auto"/>
                      <w:sz w:val="18"/>
                      <w:szCs w:val="18"/>
                      <w:lang w:val="en-US" w:eastAsia="zh-CN"/>
                    </w:rPr>
                    <w:t>6</w:t>
                  </w:r>
                </w:p>
              </w:tc>
              <w:tc>
                <w:tcPr>
                  <w:tcW w:w="2826" w:type="dxa"/>
                  <w:vAlign w:val="center"/>
                </w:tcPr>
                <w:p>
                  <w:pPr>
                    <w:spacing w:line="320" w:lineRule="atLeast"/>
                    <w:jc w:val="center"/>
                    <w:rPr>
                      <w:rFonts w:hint="eastAsia"/>
                      <w:color w:val="auto"/>
                      <w:sz w:val="18"/>
                      <w:szCs w:val="18"/>
                      <w:lang w:val="en-US" w:eastAsia="zh-CN"/>
                    </w:rPr>
                  </w:pPr>
                  <w:r>
                    <w:rPr>
                      <w:rFonts w:hint="eastAsia"/>
                      <w:color w:val="auto"/>
                      <w:sz w:val="18"/>
                      <w:szCs w:val="18"/>
                      <w:lang w:val="en-US" w:eastAsia="zh-CN"/>
                    </w:rPr>
                    <w:t>《大气污染物综合排放标准》（GB16297-1996）表2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Merge w:val="continue"/>
                  <w:vAlign w:val="center"/>
                </w:tcPr>
                <w:p>
                  <w:pPr>
                    <w:spacing w:line="320" w:lineRule="atLeast"/>
                    <w:jc w:val="center"/>
                    <w:rPr>
                      <w:color w:val="auto"/>
                      <w:sz w:val="18"/>
                      <w:szCs w:val="18"/>
                    </w:rPr>
                  </w:pPr>
                </w:p>
              </w:tc>
              <w:tc>
                <w:tcPr>
                  <w:tcW w:w="2985" w:type="dxa"/>
                  <w:vAlign w:val="center"/>
                </w:tcPr>
                <w:p>
                  <w:pPr>
                    <w:spacing w:line="320" w:lineRule="atLeast"/>
                    <w:jc w:val="left"/>
                    <w:rPr>
                      <w:rFonts w:hint="default" w:eastAsia="宋体"/>
                      <w:color w:val="auto"/>
                      <w:sz w:val="18"/>
                      <w:szCs w:val="18"/>
                      <w:lang w:val="en-US" w:eastAsia="zh-CN"/>
                    </w:rPr>
                  </w:pPr>
                  <w:r>
                    <w:rPr>
                      <w:rFonts w:hint="eastAsia"/>
                      <w:color w:val="auto"/>
                      <w:sz w:val="18"/>
                      <w:szCs w:val="18"/>
                      <w:lang w:val="en-US" w:eastAsia="zh-CN"/>
                    </w:rPr>
                    <w:t>烘干废气：低氮燃烧+15m高排气筒（DA002）排放</w:t>
                  </w:r>
                </w:p>
              </w:tc>
              <w:tc>
                <w:tcPr>
                  <w:tcW w:w="650" w:type="dxa"/>
                  <w:vAlign w:val="center"/>
                </w:tcPr>
                <w:p>
                  <w:pPr>
                    <w:spacing w:line="320" w:lineRule="atLeast"/>
                    <w:jc w:val="center"/>
                    <w:rPr>
                      <w:rFonts w:hint="eastAsia" w:eastAsia="宋体"/>
                      <w:color w:val="auto"/>
                      <w:sz w:val="18"/>
                      <w:szCs w:val="18"/>
                      <w:lang w:val="en-US" w:eastAsia="zh-CN"/>
                    </w:rPr>
                  </w:pPr>
                  <w:r>
                    <w:rPr>
                      <w:rFonts w:hint="eastAsia"/>
                      <w:color w:val="auto"/>
                      <w:sz w:val="18"/>
                      <w:szCs w:val="18"/>
                      <w:lang w:val="en-US" w:eastAsia="zh-CN"/>
                    </w:rPr>
                    <w:t>4</w:t>
                  </w:r>
                </w:p>
              </w:tc>
              <w:tc>
                <w:tcPr>
                  <w:tcW w:w="2826" w:type="dxa"/>
                  <w:vAlign w:val="center"/>
                </w:tcPr>
                <w:p>
                  <w:pPr>
                    <w:spacing w:line="320" w:lineRule="atLeast"/>
                    <w:jc w:val="center"/>
                    <w:rPr>
                      <w:rFonts w:hint="eastAsia"/>
                      <w:color w:val="auto"/>
                      <w:sz w:val="18"/>
                      <w:szCs w:val="18"/>
                      <w:lang w:val="en-US" w:eastAsia="zh-CN"/>
                    </w:rPr>
                  </w:pPr>
                  <w:r>
                    <w:rPr>
                      <w:rFonts w:hint="eastAsia"/>
                      <w:color w:val="auto"/>
                      <w:sz w:val="18"/>
                      <w:szCs w:val="18"/>
                      <w:lang w:val="en-US" w:eastAsia="zh-CN"/>
                    </w:rPr>
                    <w:t>《工业炉窑大气污染物排放标准》（GB9078-1996）、《新疆维吾尔自治区工业炉窑大气污染治理实施方案》（新大气发〔2019〕127号）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Merge w:val="continue"/>
                  <w:vAlign w:val="center"/>
                </w:tcPr>
                <w:p>
                  <w:pPr>
                    <w:spacing w:line="320" w:lineRule="atLeast"/>
                    <w:jc w:val="center"/>
                    <w:rPr>
                      <w:color w:val="auto"/>
                      <w:sz w:val="18"/>
                      <w:szCs w:val="18"/>
                    </w:rPr>
                  </w:pPr>
                </w:p>
              </w:tc>
              <w:tc>
                <w:tcPr>
                  <w:tcW w:w="2985" w:type="dxa"/>
                  <w:vAlign w:val="center"/>
                </w:tcPr>
                <w:p>
                  <w:pPr>
                    <w:spacing w:line="320" w:lineRule="atLeast"/>
                    <w:jc w:val="left"/>
                    <w:rPr>
                      <w:rFonts w:hint="default" w:eastAsia="宋体"/>
                      <w:color w:val="auto"/>
                      <w:sz w:val="18"/>
                      <w:szCs w:val="18"/>
                      <w:lang w:val="en-US" w:eastAsia="zh-CN"/>
                    </w:rPr>
                  </w:pPr>
                  <w:r>
                    <w:rPr>
                      <w:rFonts w:hint="eastAsia"/>
                      <w:color w:val="auto"/>
                      <w:sz w:val="18"/>
                      <w:szCs w:val="18"/>
                      <w:lang w:val="en-US" w:eastAsia="zh-CN"/>
                    </w:rPr>
                    <w:t>食堂油烟：油烟净化器</w:t>
                  </w:r>
                </w:p>
              </w:tc>
              <w:tc>
                <w:tcPr>
                  <w:tcW w:w="650" w:type="dxa"/>
                  <w:vAlign w:val="center"/>
                </w:tcPr>
                <w:p>
                  <w:pPr>
                    <w:spacing w:line="320" w:lineRule="atLeast"/>
                    <w:jc w:val="center"/>
                    <w:rPr>
                      <w:rFonts w:hint="default" w:eastAsia="宋体"/>
                      <w:color w:val="auto"/>
                      <w:sz w:val="18"/>
                      <w:szCs w:val="18"/>
                      <w:lang w:val="en-US" w:eastAsia="zh-CN"/>
                    </w:rPr>
                  </w:pPr>
                  <w:r>
                    <w:rPr>
                      <w:rFonts w:hint="eastAsia"/>
                      <w:color w:val="auto"/>
                      <w:sz w:val="18"/>
                      <w:szCs w:val="18"/>
                      <w:lang w:val="en-US" w:eastAsia="zh-CN"/>
                    </w:rPr>
                    <w:t>0.5</w:t>
                  </w:r>
                </w:p>
              </w:tc>
              <w:tc>
                <w:tcPr>
                  <w:tcW w:w="2826" w:type="dxa"/>
                  <w:vAlign w:val="center"/>
                </w:tcPr>
                <w:p>
                  <w:pPr>
                    <w:spacing w:line="320" w:lineRule="atLeast"/>
                    <w:jc w:val="center"/>
                    <w:rPr>
                      <w:rFonts w:hint="eastAsia"/>
                      <w:color w:val="auto"/>
                      <w:sz w:val="18"/>
                      <w:szCs w:val="18"/>
                      <w:lang w:val="en-US" w:eastAsia="zh-CN"/>
                    </w:rPr>
                  </w:pPr>
                  <w:r>
                    <w:rPr>
                      <w:rFonts w:hint="eastAsia"/>
                      <w:color w:val="auto"/>
                      <w:sz w:val="18"/>
                      <w:szCs w:val="18"/>
                      <w:lang w:val="en-US" w:eastAsia="zh-CN"/>
                    </w:rPr>
                    <w:t>《饮食业油烟排放标准》（试用）（GB18483-2001）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Merge w:val="restart"/>
                  <w:vAlign w:val="center"/>
                </w:tcPr>
                <w:p>
                  <w:pPr>
                    <w:spacing w:line="320" w:lineRule="atLeast"/>
                    <w:jc w:val="center"/>
                    <w:rPr>
                      <w:color w:val="auto"/>
                      <w:sz w:val="18"/>
                      <w:szCs w:val="18"/>
                    </w:rPr>
                  </w:pPr>
                  <w:r>
                    <w:rPr>
                      <w:color w:val="auto"/>
                      <w:sz w:val="18"/>
                      <w:szCs w:val="18"/>
                    </w:rPr>
                    <w:t>废水治理</w:t>
                  </w:r>
                </w:p>
              </w:tc>
              <w:tc>
                <w:tcPr>
                  <w:tcW w:w="2985" w:type="dxa"/>
                  <w:vAlign w:val="center"/>
                </w:tcPr>
                <w:p>
                  <w:pPr>
                    <w:spacing w:line="320" w:lineRule="atLeast"/>
                    <w:jc w:val="left"/>
                    <w:rPr>
                      <w:rFonts w:hint="eastAsia" w:eastAsia="宋体"/>
                      <w:color w:val="auto"/>
                      <w:sz w:val="18"/>
                      <w:szCs w:val="18"/>
                      <w:lang w:val="en-US" w:eastAsia="zh-CN"/>
                    </w:rPr>
                  </w:pPr>
                  <w:r>
                    <w:rPr>
                      <w:rFonts w:hint="eastAsia"/>
                      <w:color w:val="auto"/>
                      <w:sz w:val="18"/>
                      <w:szCs w:val="18"/>
                      <w:lang w:val="en-US" w:eastAsia="zh-CN"/>
                    </w:rPr>
                    <w:t>生活废水：</w:t>
                  </w:r>
                  <w:r>
                    <w:rPr>
                      <w:rFonts w:hint="eastAsia" w:ascii="Times New Roman" w:hAnsi="Times New Roman" w:cs="Times New Roman"/>
                      <w:color w:val="auto"/>
                      <w:kern w:val="2"/>
                      <w:sz w:val="18"/>
                      <w:szCs w:val="18"/>
                    </w:rPr>
                    <w:t>直接排入市政污水管网，最终进入玛纳斯县污水处理厂</w:t>
                  </w:r>
                </w:p>
              </w:tc>
              <w:tc>
                <w:tcPr>
                  <w:tcW w:w="650" w:type="dxa"/>
                  <w:vAlign w:val="center"/>
                </w:tcPr>
                <w:p>
                  <w:pPr>
                    <w:spacing w:line="320" w:lineRule="atLeast"/>
                    <w:jc w:val="center"/>
                    <w:rPr>
                      <w:rFonts w:hint="eastAsia" w:eastAsia="宋体"/>
                      <w:color w:val="auto"/>
                      <w:sz w:val="18"/>
                      <w:szCs w:val="18"/>
                      <w:lang w:eastAsia="zh-CN"/>
                    </w:rPr>
                  </w:pPr>
                  <w:r>
                    <w:rPr>
                      <w:rFonts w:hint="eastAsia"/>
                      <w:color w:val="auto"/>
                      <w:sz w:val="18"/>
                      <w:szCs w:val="18"/>
                      <w:lang w:val="en-US" w:eastAsia="zh-CN"/>
                    </w:rPr>
                    <w:t>依托</w:t>
                  </w:r>
                </w:p>
              </w:tc>
              <w:tc>
                <w:tcPr>
                  <w:tcW w:w="2826" w:type="dxa"/>
                  <w:vAlign w:val="center"/>
                </w:tcPr>
                <w:p>
                  <w:pPr>
                    <w:spacing w:line="320" w:lineRule="atLeast"/>
                    <w:jc w:val="center"/>
                    <w:rPr>
                      <w:rFonts w:hint="eastAsia"/>
                      <w:color w:val="auto"/>
                      <w:sz w:val="18"/>
                      <w:szCs w:val="18"/>
                      <w:lang w:val="en-US" w:eastAsia="zh-CN"/>
                    </w:rPr>
                  </w:pPr>
                  <w:r>
                    <w:rPr>
                      <w:rFonts w:hint="eastAsia"/>
                      <w:color w:val="auto"/>
                      <w:sz w:val="18"/>
                      <w:szCs w:val="18"/>
                      <w:lang w:val="en-US" w:eastAsia="zh-CN"/>
                    </w:rPr>
                    <w:t>《污水综合排放标准》（GB8978-1996）表4中的三级排放标准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Merge w:val="continue"/>
                  <w:vAlign w:val="center"/>
                </w:tcPr>
                <w:p>
                  <w:pPr>
                    <w:spacing w:line="320" w:lineRule="atLeast"/>
                    <w:jc w:val="center"/>
                    <w:rPr>
                      <w:color w:val="auto"/>
                      <w:sz w:val="18"/>
                      <w:szCs w:val="18"/>
                    </w:rPr>
                  </w:pPr>
                </w:p>
              </w:tc>
              <w:tc>
                <w:tcPr>
                  <w:tcW w:w="2985" w:type="dxa"/>
                  <w:vAlign w:val="center"/>
                </w:tcPr>
                <w:p>
                  <w:pPr>
                    <w:spacing w:line="320" w:lineRule="atLeast"/>
                    <w:jc w:val="left"/>
                    <w:rPr>
                      <w:rFonts w:hint="default"/>
                      <w:color w:val="auto"/>
                      <w:sz w:val="18"/>
                      <w:szCs w:val="18"/>
                      <w:lang w:val="en-US" w:eastAsia="zh-CN"/>
                    </w:rPr>
                  </w:pPr>
                  <w:r>
                    <w:rPr>
                      <w:rFonts w:hint="eastAsia"/>
                      <w:color w:val="auto"/>
                      <w:sz w:val="18"/>
                      <w:szCs w:val="18"/>
                      <w:lang w:val="en-US" w:eastAsia="zh-CN"/>
                    </w:rPr>
                    <w:t>应急事故池</w:t>
                  </w:r>
                </w:p>
              </w:tc>
              <w:tc>
                <w:tcPr>
                  <w:tcW w:w="650" w:type="dxa"/>
                  <w:vAlign w:val="center"/>
                </w:tcPr>
                <w:p>
                  <w:pPr>
                    <w:spacing w:line="320" w:lineRule="atLeast"/>
                    <w:jc w:val="center"/>
                    <w:rPr>
                      <w:rFonts w:hint="default"/>
                      <w:color w:val="auto"/>
                      <w:sz w:val="18"/>
                      <w:szCs w:val="18"/>
                      <w:lang w:val="en-US" w:eastAsia="zh-CN"/>
                    </w:rPr>
                  </w:pPr>
                  <w:r>
                    <w:rPr>
                      <w:rFonts w:hint="eastAsia"/>
                      <w:color w:val="auto"/>
                      <w:sz w:val="18"/>
                      <w:szCs w:val="18"/>
                      <w:lang w:val="en-US" w:eastAsia="zh-CN"/>
                    </w:rPr>
                    <w:t>2</w:t>
                  </w:r>
                </w:p>
              </w:tc>
              <w:tc>
                <w:tcPr>
                  <w:tcW w:w="2826" w:type="dxa"/>
                  <w:vAlign w:val="center"/>
                </w:tcPr>
                <w:p>
                  <w:pPr>
                    <w:spacing w:line="320" w:lineRule="atLeast"/>
                    <w:jc w:val="center"/>
                    <w:rPr>
                      <w:rFonts w:hint="default"/>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Align w:val="center"/>
                </w:tcPr>
                <w:p>
                  <w:pPr>
                    <w:spacing w:line="320" w:lineRule="atLeast"/>
                    <w:jc w:val="center"/>
                    <w:rPr>
                      <w:color w:val="auto"/>
                      <w:sz w:val="18"/>
                      <w:szCs w:val="18"/>
                    </w:rPr>
                  </w:pPr>
                  <w:r>
                    <w:rPr>
                      <w:color w:val="auto"/>
                      <w:sz w:val="18"/>
                      <w:szCs w:val="18"/>
                    </w:rPr>
                    <w:t>噪声治理</w:t>
                  </w:r>
                </w:p>
              </w:tc>
              <w:tc>
                <w:tcPr>
                  <w:tcW w:w="2985" w:type="dxa"/>
                  <w:vAlign w:val="center"/>
                </w:tcPr>
                <w:p>
                  <w:pPr>
                    <w:spacing w:line="320" w:lineRule="atLeast"/>
                    <w:jc w:val="left"/>
                    <w:rPr>
                      <w:color w:val="auto"/>
                      <w:sz w:val="18"/>
                      <w:szCs w:val="18"/>
                    </w:rPr>
                  </w:pPr>
                  <w:r>
                    <w:rPr>
                      <w:color w:val="auto"/>
                      <w:sz w:val="18"/>
                      <w:szCs w:val="18"/>
                    </w:rPr>
                    <w:t>选择低噪声设备、底座安装</w:t>
                  </w:r>
                  <w:r>
                    <w:rPr>
                      <w:rFonts w:hint="eastAsia"/>
                      <w:color w:val="auto"/>
                      <w:sz w:val="18"/>
                      <w:szCs w:val="18"/>
                      <w:lang w:eastAsia="zh-CN"/>
                    </w:rPr>
                    <w:t>减振</w:t>
                  </w:r>
                  <w:r>
                    <w:rPr>
                      <w:color w:val="auto"/>
                      <w:sz w:val="18"/>
                      <w:szCs w:val="18"/>
                    </w:rPr>
                    <w:t>垫、润滑保养，地下式设置，合理布局，厂房隔声等。</w:t>
                  </w:r>
                </w:p>
              </w:tc>
              <w:tc>
                <w:tcPr>
                  <w:tcW w:w="650" w:type="dxa"/>
                  <w:vAlign w:val="center"/>
                </w:tcPr>
                <w:p>
                  <w:pPr>
                    <w:spacing w:line="320" w:lineRule="atLeast"/>
                    <w:jc w:val="center"/>
                    <w:rPr>
                      <w:rFonts w:hint="eastAsia" w:eastAsia="宋体"/>
                      <w:color w:val="auto"/>
                      <w:sz w:val="18"/>
                      <w:szCs w:val="18"/>
                      <w:lang w:eastAsia="zh-CN"/>
                    </w:rPr>
                  </w:pPr>
                  <w:r>
                    <w:rPr>
                      <w:rFonts w:hint="eastAsia"/>
                      <w:color w:val="auto"/>
                      <w:sz w:val="18"/>
                      <w:szCs w:val="18"/>
                      <w:lang w:val="en-US" w:eastAsia="zh-CN"/>
                    </w:rPr>
                    <w:t>1</w:t>
                  </w:r>
                </w:p>
              </w:tc>
              <w:tc>
                <w:tcPr>
                  <w:tcW w:w="2826" w:type="dxa"/>
                  <w:vAlign w:val="center"/>
                </w:tcPr>
                <w:p>
                  <w:pPr>
                    <w:spacing w:line="320" w:lineRule="atLeast"/>
                    <w:jc w:val="center"/>
                    <w:rPr>
                      <w:rFonts w:hint="eastAsia"/>
                      <w:color w:val="auto"/>
                      <w:sz w:val="18"/>
                      <w:szCs w:val="18"/>
                    </w:rPr>
                  </w:pPr>
                  <w:r>
                    <w:rPr>
                      <w:rFonts w:hint="eastAsia"/>
                      <w:color w:val="auto"/>
                      <w:sz w:val="18"/>
                      <w:szCs w:val="18"/>
                    </w:rPr>
                    <w:t>《工业企业厂界环境噪声排放标准》（GB12348-2008）中</w:t>
                  </w:r>
                  <w:r>
                    <w:rPr>
                      <w:rFonts w:hint="eastAsia"/>
                      <w:color w:val="auto"/>
                      <w:sz w:val="18"/>
                      <w:szCs w:val="18"/>
                      <w:lang w:val="en-US" w:eastAsia="zh-CN"/>
                    </w:rPr>
                    <w:t>2</w:t>
                  </w:r>
                  <w:r>
                    <w:rPr>
                      <w:rFonts w:hint="eastAsia"/>
                      <w:color w:val="auto"/>
                      <w:sz w:val="18"/>
                      <w:szCs w:val="18"/>
                    </w:rPr>
                    <w:t>类限值要求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Align w:val="center"/>
                </w:tcPr>
                <w:p>
                  <w:pPr>
                    <w:spacing w:line="320" w:lineRule="atLeast"/>
                    <w:jc w:val="center"/>
                    <w:rPr>
                      <w:color w:val="auto"/>
                      <w:sz w:val="18"/>
                      <w:szCs w:val="18"/>
                    </w:rPr>
                  </w:pPr>
                  <w:r>
                    <w:rPr>
                      <w:color w:val="auto"/>
                      <w:sz w:val="18"/>
                      <w:szCs w:val="18"/>
                    </w:rPr>
                    <w:t>固废治理</w:t>
                  </w:r>
                </w:p>
              </w:tc>
              <w:tc>
                <w:tcPr>
                  <w:tcW w:w="2985" w:type="dxa"/>
                  <w:vAlign w:val="center"/>
                </w:tcPr>
                <w:p>
                  <w:pPr>
                    <w:spacing w:line="320" w:lineRule="atLeast"/>
                    <w:jc w:val="left"/>
                    <w:rPr>
                      <w:color w:val="auto"/>
                      <w:sz w:val="18"/>
                      <w:szCs w:val="18"/>
                    </w:rPr>
                  </w:pPr>
                  <w:r>
                    <w:rPr>
                      <w:color w:val="auto"/>
                      <w:sz w:val="18"/>
                      <w:szCs w:val="18"/>
                    </w:rPr>
                    <w:t>固废库房：彩钢瓦顶棚，轻钢结构，用于堆存一般固废。</w:t>
                  </w:r>
                </w:p>
              </w:tc>
              <w:tc>
                <w:tcPr>
                  <w:tcW w:w="650" w:type="dxa"/>
                  <w:vAlign w:val="center"/>
                </w:tcPr>
                <w:p>
                  <w:pPr>
                    <w:spacing w:line="320" w:lineRule="atLeast"/>
                    <w:jc w:val="center"/>
                    <w:rPr>
                      <w:rFonts w:hint="eastAsia" w:eastAsia="宋体"/>
                      <w:color w:val="auto"/>
                      <w:sz w:val="18"/>
                      <w:szCs w:val="18"/>
                      <w:lang w:val="en-US" w:eastAsia="zh-CN"/>
                    </w:rPr>
                  </w:pPr>
                  <w:r>
                    <w:rPr>
                      <w:rFonts w:hint="eastAsia"/>
                      <w:color w:val="auto"/>
                      <w:sz w:val="18"/>
                      <w:szCs w:val="18"/>
                      <w:lang w:val="en-US" w:eastAsia="zh-CN"/>
                    </w:rPr>
                    <w:t>2</w:t>
                  </w:r>
                </w:p>
              </w:tc>
              <w:tc>
                <w:tcPr>
                  <w:tcW w:w="2826" w:type="dxa"/>
                  <w:vAlign w:val="center"/>
                </w:tcPr>
                <w:p>
                  <w:pPr>
                    <w:spacing w:line="320" w:lineRule="atLeast"/>
                    <w:jc w:val="center"/>
                    <w:rPr>
                      <w:rFonts w:hint="eastAsia"/>
                      <w:color w:val="auto"/>
                      <w:sz w:val="18"/>
                      <w:szCs w:val="18"/>
                      <w:lang w:val="en-US" w:eastAsia="zh-CN"/>
                    </w:rPr>
                  </w:pPr>
                  <w:r>
                    <w:rPr>
                      <w:rFonts w:hint="eastAsia"/>
                      <w:color w:val="auto"/>
                      <w:sz w:val="18"/>
                      <w:szCs w:val="18"/>
                      <w:lang w:val="en-US" w:eastAsia="zh-CN"/>
                    </w:rPr>
                    <w:t>《一般工业固体废物贮存和填埋污染控制标准》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Align w:val="center"/>
                </w:tcPr>
                <w:p>
                  <w:pPr>
                    <w:spacing w:line="320" w:lineRule="atLeast"/>
                    <w:jc w:val="center"/>
                    <w:rPr>
                      <w:color w:val="auto"/>
                      <w:sz w:val="18"/>
                      <w:szCs w:val="18"/>
                    </w:rPr>
                  </w:pPr>
                  <w:r>
                    <w:rPr>
                      <w:rFonts w:hint="eastAsia"/>
                      <w:color w:val="auto"/>
                      <w:sz w:val="18"/>
                      <w:szCs w:val="18"/>
                    </w:rPr>
                    <w:t>地下水防治</w:t>
                  </w:r>
                </w:p>
              </w:tc>
              <w:tc>
                <w:tcPr>
                  <w:tcW w:w="2985" w:type="dxa"/>
                  <w:vAlign w:val="center"/>
                </w:tcPr>
                <w:p>
                  <w:pPr>
                    <w:spacing w:line="320" w:lineRule="atLeast"/>
                    <w:jc w:val="left"/>
                    <w:rPr>
                      <w:color w:val="auto"/>
                      <w:sz w:val="18"/>
                      <w:szCs w:val="18"/>
                      <w:highlight w:val="none"/>
                    </w:rPr>
                  </w:pPr>
                  <w:r>
                    <w:rPr>
                      <w:rFonts w:hint="eastAsia"/>
                      <w:color w:val="auto"/>
                      <w:sz w:val="18"/>
                      <w:szCs w:val="18"/>
                      <w:highlight w:val="none"/>
                    </w:rPr>
                    <w:t>采取分区防渗：</w:t>
                  </w:r>
                </w:p>
                <w:p>
                  <w:pPr>
                    <w:spacing w:line="320" w:lineRule="atLeast"/>
                    <w:jc w:val="left"/>
                    <w:rPr>
                      <w:color w:val="auto"/>
                      <w:sz w:val="18"/>
                      <w:szCs w:val="18"/>
                      <w:highlight w:val="none"/>
                    </w:rPr>
                  </w:pPr>
                  <w:r>
                    <w:rPr>
                      <w:rFonts w:hint="eastAsia"/>
                      <w:b/>
                      <w:bCs/>
                      <w:color w:val="auto"/>
                      <w:sz w:val="18"/>
                      <w:szCs w:val="18"/>
                      <w:highlight w:val="none"/>
                    </w:rPr>
                    <w:t>简单防渗区（生活区、厂区道路等）：</w:t>
                  </w:r>
                  <w:r>
                    <w:rPr>
                      <w:rFonts w:hint="eastAsia"/>
                      <w:color w:val="auto"/>
                      <w:sz w:val="18"/>
                      <w:szCs w:val="18"/>
                      <w:highlight w:val="none"/>
                    </w:rPr>
                    <w:t>仅对地面进行硬化。</w:t>
                  </w:r>
                </w:p>
                <w:p>
                  <w:pPr>
                    <w:spacing w:line="320" w:lineRule="atLeast"/>
                    <w:jc w:val="left"/>
                    <w:rPr>
                      <w:color w:val="auto"/>
                      <w:sz w:val="18"/>
                      <w:szCs w:val="18"/>
                      <w:highlight w:val="none"/>
                    </w:rPr>
                  </w:pPr>
                  <w:r>
                    <w:rPr>
                      <w:rFonts w:hint="eastAsia"/>
                      <w:b/>
                      <w:bCs/>
                      <w:color w:val="auto"/>
                      <w:sz w:val="18"/>
                      <w:szCs w:val="18"/>
                      <w:highlight w:val="none"/>
                    </w:rPr>
                    <w:t>一般防渗区（生产车间其他区域、固废库房、成品库房）：</w:t>
                  </w:r>
                  <w:r>
                    <w:rPr>
                      <w:rFonts w:hint="eastAsia"/>
                      <w:color w:val="auto"/>
                      <w:sz w:val="18"/>
                      <w:szCs w:val="18"/>
                      <w:highlight w:val="none"/>
                    </w:rPr>
                    <w:t>采用抗渗混凝土硬化防渗，防渗系数≤1×10</w:t>
                  </w:r>
                  <w:r>
                    <w:rPr>
                      <w:rFonts w:hint="eastAsia"/>
                      <w:color w:val="auto"/>
                      <w:sz w:val="18"/>
                      <w:szCs w:val="18"/>
                      <w:highlight w:val="none"/>
                      <w:vertAlign w:val="superscript"/>
                    </w:rPr>
                    <w:t>-7</w:t>
                  </w:r>
                  <w:r>
                    <w:rPr>
                      <w:rFonts w:hint="eastAsia"/>
                      <w:color w:val="auto"/>
                      <w:sz w:val="18"/>
                      <w:szCs w:val="18"/>
                      <w:highlight w:val="none"/>
                    </w:rPr>
                    <w:t>cm/s。</w:t>
                  </w:r>
                </w:p>
                <w:p>
                  <w:pPr>
                    <w:spacing w:line="320" w:lineRule="atLeast"/>
                    <w:jc w:val="left"/>
                    <w:rPr>
                      <w:rFonts w:hint="eastAsia" w:eastAsia="宋体"/>
                      <w:color w:val="auto"/>
                      <w:sz w:val="18"/>
                      <w:szCs w:val="18"/>
                      <w:lang w:eastAsia="zh-CN"/>
                    </w:rPr>
                  </w:pPr>
                  <w:r>
                    <w:rPr>
                      <w:rFonts w:hint="eastAsia"/>
                      <w:b/>
                      <w:bCs/>
                      <w:color w:val="auto"/>
                      <w:sz w:val="18"/>
                      <w:szCs w:val="18"/>
                      <w:highlight w:val="none"/>
                    </w:rPr>
                    <w:t>重点防渗区</w:t>
                  </w:r>
                  <w:r>
                    <w:rPr>
                      <w:rFonts w:hint="eastAsia"/>
                      <w:b/>
                      <w:bCs/>
                      <w:color w:val="auto"/>
                      <w:sz w:val="18"/>
                      <w:szCs w:val="18"/>
                      <w:highlight w:val="none"/>
                      <w:lang w:eastAsia="zh-CN"/>
                    </w:rPr>
                    <w:t>（搅拌池、调浆池、循环池、储浆池）</w:t>
                  </w:r>
                  <w:r>
                    <w:rPr>
                      <w:rFonts w:hint="eastAsia"/>
                      <w:b/>
                      <w:bCs/>
                      <w:color w:val="auto"/>
                      <w:sz w:val="18"/>
                      <w:szCs w:val="18"/>
                      <w:highlight w:val="none"/>
                    </w:rPr>
                    <w:t>：</w:t>
                  </w:r>
                  <w:r>
                    <w:rPr>
                      <w:rFonts w:hint="eastAsia"/>
                      <w:color w:val="auto"/>
                      <w:sz w:val="18"/>
                      <w:szCs w:val="18"/>
                      <w:highlight w:val="none"/>
                    </w:rPr>
                    <w:t>采用抗渗混凝土硬化地坪+2mmHDPE防渗，防渗层渗透系数≤10</w:t>
                  </w:r>
                  <w:r>
                    <w:rPr>
                      <w:rFonts w:hint="eastAsia"/>
                      <w:color w:val="auto"/>
                      <w:sz w:val="18"/>
                      <w:szCs w:val="18"/>
                      <w:highlight w:val="none"/>
                      <w:vertAlign w:val="superscript"/>
                    </w:rPr>
                    <w:t>-10</w:t>
                  </w:r>
                  <w:r>
                    <w:rPr>
                      <w:rFonts w:hint="eastAsia"/>
                      <w:color w:val="auto"/>
                      <w:sz w:val="18"/>
                      <w:szCs w:val="18"/>
                      <w:highlight w:val="none"/>
                    </w:rPr>
                    <w:t>cm/s</w:t>
                  </w:r>
                  <w:r>
                    <w:rPr>
                      <w:rFonts w:hint="eastAsia"/>
                      <w:color w:val="auto"/>
                      <w:sz w:val="18"/>
                      <w:szCs w:val="18"/>
                      <w:highlight w:val="none"/>
                      <w:lang w:eastAsia="zh-CN"/>
                    </w:rPr>
                    <w:t>。</w:t>
                  </w:r>
                </w:p>
              </w:tc>
              <w:tc>
                <w:tcPr>
                  <w:tcW w:w="650" w:type="dxa"/>
                  <w:vAlign w:val="center"/>
                </w:tcPr>
                <w:p>
                  <w:pPr>
                    <w:spacing w:line="320" w:lineRule="atLeast"/>
                    <w:jc w:val="center"/>
                    <w:rPr>
                      <w:rFonts w:hint="eastAsia" w:eastAsia="宋体"/>
                      <w:color w:val="auto"/>
                      <w:sz w:val="18"/>
                      <w:szCs w:val="18"/>
                      <w:lang w:val="en-US" w:eastAsia="zh-CN"/>
                    </w:rPr>
                  </w:pPr>
                  <w:r>
                    <w:rPr>
                      <w:rFonts w:hint="eastAsia"/>
                      <w:color w:val="auto"/>
                      <w:sz w:val="18"/>
                      <w:szCs w:val="18"/>
                      <w:lang w:val="en-US" w:eastAsia="zh-CN"/>
                    </w:rPr>
                    <w:t>5</w:t>
                  </w:r>
                </w:p>
              </w:tc>
              <w:tc>
                <w:tcPr>
                  <w:tcW w:w="2826" w:type="dxa"/>
                  <w:vAlign w:val="center"/>
                </w:tcPr>
                <w:p>
                  <w:pPr>
                    <w:spacing w:line="320" w:lineRule="atLeast"/>
                    <w:jc w:val="left"/>
                    <w:rPr>
                      <w:color w:val="auto"/>
                      <w:sz w:val="18"/>
                      <w:szCs w:val="18"/>
                      <w:highlight w:val="none"/>
                    </w:rPr>
                  </w:pPr>
                  <w:r>
                    <w:rPr>
                      <w:rFonts w:hint="eastAsia"/>
                      <w:b/>
                      <w:bCs/>
                      <w:color w:val="auto"/>
                      <w:sz w:val="18"/>
                      <w:szCs w:val="18"/>
                      <w:highlight w:val="none"/>
                    </w:rPr>
                    <w:t>简单防渗区（生活区、厂区道路等）：</w:t>
                  </w:r>
                  <w:r>
                    <w:rPr>
                      <w:rFonts w:hint="eastAsia"/>
                      <w:color w:val="auto"/>
                      <w:sz w:val="18"/>
                      <w:szCs w:val="18"/>
                      <w:highlight w:val="none"/>
                    </w:rPr>
                    <w:t>仅对地面进行硬化。</w:t>
                  </w:r>
                </w:p>
                <w:p>
                  <w:pPr>
                    <w:spacing w:line="320" w:lineRule="atLeast"/>
                    <w:jc w:val="left"/>
                    <w:rPr>
                      <w:color w:val="auto"/>
                      <w:sz w:val="18"/>
                      <w:szCs w:val="18"/>
                      <w:highlight w:val="none"/>
                    </w:rPr>
                  </w:pPr>
                  <w:r>
                    <w:rPr>
                      <w:rFonts w:hint="eastAsia"/>
                      <w:b/>
                      <w:bCs/>
                      <w:color w:val="auto"/>
                      <w:sz w:val="18"/>
                      <w:szCs w:val="18"/>
                      <w:highlight w:val="none"/>
                    </w:rPr>
                    <w:t>一般防渗区（生产车间其他区域、固废库房、成品库房）：</w:t>
                  </w:r>
                  <w:r>
                    <w:rPr>
                      <w:rFonts w:hint="eastAsia"/>
                      <w:color w:val="auto"/>
                      <w:sz w:val="18"/>
                      <w:szCs w:val="18"/>
                      <w:highlight w:val="none"/>
                    </w:rPr>
                    <w:t>采用抗渗混凝土硬化防渗，防渗系数≤1×10</w:t>
                  </w:r>
                  <w:r>
                    <w:rPr>
                      <w:rFonts w:hint="eastAsia"/>
                      <w:color w:val="auto"/>
                      <w:sz w:val="18"/>
                      <w:szCs w:val="18"/>
                      <w:highlight w:val="none"/>
                      <w:vertAlign w:val="superscript"/>
                    </w:rPr>
                    <w:t>-7</w:t>
                  </w:r>
                  <w:r>
                    <w:rPr>
                      <w:rFonts w:hint="eastAsia"/>
                      <w:color w:val="auto"/>
                      <w:sz w:val="18"/>
                      <w:szCs w:val="18"/>
                      <w:highlight w:val="none"/>
                    </w:rPr>
                    <w:t>cm/s。</w:t>
                  </w:r>
                </w:p>
                <w:p>
                  <w:pPr>
                    <w:spacing w:line="320" w:lineRule="atLeast"/>
                    <w:jc w:val="center"/>
                    <w:rPr>
                      <w:rFonts w:hint="eastAsia"/>
                      <w:color w:val="auto"/>
                      <w:sz w:val="18"/>
                      <w:szCs w:val="18"/>
                      <w:lang w:val="en-US" w:eastAsia="zh-CN"/>
                    </w:rPr>
                  </w:pPr>
                  <w:r>
                    <w:rPr>
                      <w:rFonts w:hint="eastAsia"/>
                      <w:b/>
                      <w:bCs/>
                      <w:color w:val="auto"/>
                      <w:sz w:val="18"/>
                      <w:szCs w:val="18"/>
                      <w:highlight w:val="none"/>
                    </w:rPr>
                    <w:t>重点防渗区</w:t>
                  </w:r>
                  <w:r>
                    <w:rPr>
                      <w:rFonts w:hint="eastAsia"/>
                      <w:b/>
                      <w:bCs/>
                      <w:color w:val="auto"/>
                      <w:sz w:val="18"/>
                      <w:szCs w:val="18"/>
                      <w:highlight w:val="none"/>
                      <w:lang w:eastAsia="zh-CN"/>
                    </w:rPr>
                    <w:t>（搅拌池、调浆池、循环池、储浆池）</w:t>
                  </w:r>
                  <w:r>
                    <w:rPr>
                      <w:rFonts w:hint="eastAsia"/>
                      <w:b/>
                      <w:bCs/>
                      <w:color w:val="auto"/>
                      <w:sz w:val="18"/>
                      <w:szCs w:val="18"/>
                      <w:highlight w:val="none"/>
                    </w:rPr>
                    <w:t>：</w:t>
                  </w:r>
                  <w:r>
                    <w:rPr>
                      <w:rFonts w:hint="eastAsia"/>
                      <w:color w:val="auto"/>
                      <w:sz w:val="18"/>
                      <w:szCs w:val="18"/>
                      <w:highlight w:val="none"/>
                    </w:rPr>
                    <w:t>采用抗渗混凝土硬化地坪+2mmHDPE防渗，防渗层渗透系数≤10</w:t>
                  </w:r>
                  <w:r>
                    <w:rPr>
                      <w:rFonts w:hint="eastAsia"/>
                      <w:color w:val="auto"/>
                      <w:sz w:val="18"/>
                      <w:szCs w:val="18"/>
                      <w:highlight w:val="none"/>
                      <w:vertAlign w:val="superscript"/>
                    </w:rPr>
                    <w:t>-10</w:t>
                  </w:r>
                  <w:r>
                    <w:rPr>
                      <w:rFonts w:hint="eastAsia"/>
                      <w:color w:val="auto"/>
                      <w:sz w:val="18"/>
                      <w:szCs w:val="18"/>
                      <w:highlight w:val="none"/>
                    </w:rPr>
                    <w:t>cm/s</w:t>
                  </w:r>
                  <w:r>
                    <w:rPr>
                      <w:rFonts w:hint="eastAsia"/>
                      <w:color w:val="auto"/>
                      <w:sz w:val="18"/>
                      <w:szCs w:val="18"/>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Merge w:val="restart"/>
                  <w:vAlign w:val="center"/>
                </w:tcPr>
                <w:p>
                  <w:pPr>
                    <w:pStyle w:val="52"/>
                    <w:widowControl w:val="0"/>
                    <w:autoSpaceDE w:val="0"/>
                    <w:autoSpaceDN w:val="0"/>
                    <w:spacing w:before="0" w:after="0" w:line="320" w:lineRule="atLeast"/>
                    <w:jc w:val="center"/>
                    <w:rPr>
                      <w:rFonts w:eastAsia="宋体"/>
                      <w:bCs/>
                      <w:color w:val="auto"/>
                      <w:spacing w:val="-1"/>
                      <w:kern w:val="2"/>
                      <w:sz w:val="18"/>
                      <w:szCs w:val="18"/>
                      <w:lang w:eastAsia="zh-CN"/>
                    </w:rPr>
                  </w:pPr>
                  <w:r>
                    <w:rPr>
                      <w:rFonts w:eastAsia="宋体"/>
                      <w:bCs/>
                      <w:color w:val="auto"/>
                      <w:spacing w:val="-1"/>
                      <w:kern w:val="2"/>
                      <w:sz w:val="18"/>
                      <w:szCs w:val="18"/>
                      <w:lang w:eastAsia="zh-CN"/>
                    </w:rPr>
                    <w:t>环境风险防范</w:t>
                  </w:r>
                </w:p>
              </w:tc>
              <w:tc>
                <w:tcPr>
                  <w:tcW w:w="2985" w:type="dxa"/>
                  <w:vAlign w:val="center"/>
                </w:tcPr>
                <w:p>
                  <w:pPr>
                    <w:spacing w:line="320" w:lineRule="atLeast"/>
                    <w:jc w:val="left"/>
                    <w:rPr>
                      <w:color w:val="auto"/>
                      <w:sz w:val="18"/>
                      <w:szCs w:val="18"/>
                    </w:rPr>
                  </w:pPr>
                  <w:r>
                    <w:rPr>
                      <w:bCs/>
                      <w:color w:val="auto"/>
                      <w:spacing w:val="-1"/>
                      <w:sz w:val="18"/>
                      <w:szCs w:val="18"/>
                    </w:rPr>
                    <w:t>在易燃物堆放处设置明显、易见、显眼防火、防爆标识，配备相应品种和数量的消防器材</w:t>
                  </w:r>
                </w:p>
              </w:tc>
              <w:tc>
                <w:tcPr>
                  <w:tcW w:w="650" w:type="dxa"/>
                  <w:vAlign w:val="center"/>
                </w:tcPr>
                <w:p>
                  <w:pPr>
                    <w:spacing w:line="320" w:lineRule="atLeast"/>
                    <w:jc w:val="center"/>
                    <w:rPr>
                      <w:color w:val="auto"/>
                      <w:sz w:val="18"/>
                      <w:szCs w:val="18"/>
                    </w:rPr>
                  </w:pPr>
                  <w:r>
                    <w:rPr>
                      <w:rFonts w:hint="eastAsia"/>
                      <w:color w:val="auto"/>
                      <w:sz w:val="18"/>
                      <w:szCs w:val="18"/>
                    </w:rPr>
                    <w:t>1.5</w:t>
                  </w:r>
                </w:p>
              </w:tc>
              <w:tc>
                <w:tcPr>
                  <w:tcW w:w="2826" w:type="dxa"/>
                  <w:vAlign w:val="center"/>
                </w:tcPr>
                <w:p>
                  <w:pPr>
                    <w:spacing w:line="320" w:lineRule="atLeast"/>
                    <w:jc w:val="center"/>
                    <w:rPr>
                      <w:rFonts w:hint="eastAsia"/>
                      <w:color w:val="auto"/>
                      <w:sz w:val="18"/>
                      <w:szCs w:val="18"/>
                    </w:rPr>
                  </w:pPr>
                  <w:r>
                    <w:rPr>
                      <w:bCs/>
                      <w:color w:val="auto"/>
                      <w:spacing w:val="-1"/>
                      <w:sz w:val="18"/>
                      <w:szCs w:val="18"/>
                    </w:rPr>
                    <w:t>在易燃物堆放处设置明显、易见、显眼防火、防爆标识，配备相应品种和数量的消防器材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Merge w:val="continue"/>
                  <w:vAlign w:val="center"/>
                </w:tcPr>
                <w:p>
                  <w:pPr>
                    <w:pStyle w:val="52"/>
                    <w:widowControl w:val="0"/>
                    <w:autoSpaceDE w:val="0"/>
                    <w:autoSpaceDN w:val="0"/>
                    <w:spacing w:before="0" w:after="0" w:line="320" w:lineRule="atLeast"/>
                    <w:jc w:val="center"/>
                    <w:rPr>
                      <w:rFonts w:eastAsia="宋体"/>
                      <w:bCs/>
                      <w:color w:val="auto"/>
                      <w:spacing w:val="-1"/>
                      <w:kern w:val="2"/>
                      <w:sz w:val="18"/>
                      <w:szCs w:val="18"/>
                      <w:lang w:eastAsia="zh-CN"/>
                    </w:rPr>
                  </w:pPr>
                </w:p>
              </w:tc>
              <w:tc>
                <w:tcPr>
                  <w:tcW w:w="2985" w:type="dxa"/>
                  <w:vAlign w:val="center"/>
                </w:tcPr>
                <w:p>
                  <w:pPr>
                    <w:spacing w:line="320" w:lineRule="atLeast"/>
                    <w:jc w:val="left"/>
                    <w:rPr>
                      <w:bCs/>
                      <w:color w:val="auto"/>
                      <w:spacing w:val="-1"/>
                      <w:sz w:val="18"/>
                      <w:szCs w:val="18"/>
                    </w:rPr>
                  </w:pPr>
                  <w:r>
                    <w:rPr>
                      <w:bCs/>
                      <w:color w:val="auto"/>
                      <w:spacing w:val="-1"/>
                      <w:sz w:val="18"/>
                      <w:szCs w:val="18"/>
                    </w:rPr>
                    <w:t>消防设施定期检查，维护，电器线路定期检查、维修、保养</w:t>
                  </w:r>
                </w:p>
              </w:tc>
              <w:tc>
                <w:tcPr>
                  <w:tcW w:w="650" w:type="dxa"/>
                  <w:vAlign w:val="center"/>
                </w:tcPr>
                <w:p>
                  <w:pPr>
                    <w:spacing w:line="320" w:lineRule="atLeast"/>
                    <w:jc w:val="center"/>
                    <w:rPr>
                      <w:color w:val="auto"/>
                      <w:sz w:val="18"/>
                      <w:szCs w:val="18"/>
                    </w:rPr>
                  </w:pPr>
                  <w:r>
                    <w:rPr>
                      <w:rFonts w:hint="eastAsia"/>
                      <w:color w:val="auto"/>
                      <w:sz w:val="18"/>
                      <w:szCs w:val="18"/>
                    </w:rPr>
                    <w:t>0.5</w:t>
                  </w:r>
                </w:p>
              </w:tc>
              <w:tc>
                <w:tcPr>
                  <w:tcW w:w="2826" w:type="dxa"/>
                  <w:vAlign w:val="center"/>
                </w:tcPr>
                <w:p>
                  <w:pPr>
                    <w:spacing w:line="320" w:lineRule="atLeast"/>
                    <w:jc w:val="center"/>
                    <w:rPr>
                      <w:rFonts w:hint="eastAsia" w:eastAsia="宋体"/>
                      <w:color w:val="auto"/>
                      <w:sz w:val="18"/>
                      <w:szCs w:val="18"/>
                      <w:lang w:val="en-US" w:eastAsia="zh-CN"/>
                    </w:rPr>
                  </w:pPr>
                  <w:r>
                    <w:rPr>
                      <w:rFonts w:hint="eastAsia"/>
                      <w:color w:val="auto"/>
                      <w:sz w:val="18"/>
                      <w:szCs w:val="18"/>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678" w:type="dxa"/>
                  <w:vMerge w:val="continue"/>
                  <w:vAlign w:val="center"/>
                </w:tcPr>
                <w:p>
                  <w:pPr>
                    <w:spacing w:line="320" w:lineRule="atLeast"/>
                    <w:jc w:val="center"/>
                    <w:rPr>
                      <w:color w:val="auto"/>
                      <w:sz w:val="18"/>
                      <w:szCs w:val="18"/>
                    </w:rPr>
                  </w:pPr>
                </w:p>
              </w:tc>
              <w:tc>
                <w:tcPr>
                  <w:tcW w:w="960" w:type="dxa"/>
                  <w:vMerge w:val="continue"/>
                  <w:vAlign w:val="center"/>
                </w:tcPr>
                <w:p>
                  <w:pPr>
                    <w:pStyle w:val="52"/>
                    <w:widowControl w:val="0"/>
                    <w:autoSpaceDE w:val="0"/>
                    <w:autoSpaceDN w:val="0"/>
                    <w:spacing w:before="0" w:after="0" w:line="320" w:lineRule="atLeast"/>
                    <w:jc w:val="center"/>
                    <w:rPr>
                      <w:rFonts w:eastAsia="宋体"/>
                      <w:bCs/>
                      <w:color w:val="auto"/>
                      <w:spacing w:val="-1"/>
                      <w:kern w:val="2"/>
                      <w:sz w:val="18"/>
                      <w:szCs w:val="18"/>
                      <w:lang w:eastAsia="zh-CN"/>
                    </w:rPr>
                  </w:pPr>
                </w:p>
              </w:tc>
              <w:tc>
                <w:tcPr>
                  <w:tcW w:w="2985" w:type="dxa"/>
                  <w:vAlign w:val="center"/>
                </w:tcPr>
                <w:p>
                  <w:pPr>
                    <w:spacing w:line="320" w:lineRule="atLeast"/>
                    <w:jc w:val="left"/>
                    <w:rPr>
                      <w:bCs/>
                      <w:color w:val="auto"/>
                      <w:spacing w:val="-1"/>
                      <w:sz w:val="18"/>
                      <w:szCs w:val="18"/>
                    </w:rPr>
                  </w:pPr>
                  <w:r>
                    <w:rPr>
                      <w:rFonts w:hint="eastAsia"/>
                      <w:bCs/>
                      <w:color w:val="auto"/>
                      <w:spacing w:val="-1"/>
                      <w:sz w:val="18"/>
                      <w:szCs w:val="18"/>
                    </w:rPr>
                    <w:t>制定环境风险应急预案</w:t>
                  </w:r>
                </w:p>
              </w:tc>
              <w:tc>
                <w:tcPr>
                  <w:tcW w:w="650" w:type="dxa"/>
                  <w:vAlign w:val="center"/>
                </w:tcPr>
                <w:p>
                  <w:pPr>
                    <w:spacing w:line="320" w:lineRule="atLeast"/>
                    <w:jc w:val="center"/>
                    <w:rPr>
                      <w:color w:val="auto"/>
                      <w:sz w:val="18"/>
                      <w:szCs w:val="18"/>
                    </w:rPr>
                  </w:pPr>
                  <w:r>
                    <w:rPr>
                      <w:rFonts w:hint="eastAsia"/>
                      <w:color w:val="auto"/>
                      <w:sz w:val="18"/>
                      <w:szCs w:val="18"/>
                    </w:rPr>
                    <w:t>1</w:t>
                  </w:r>
                </w:p>
              </w:tc>
              <w:tc>
                <w:tcPr>
                  <w:tcW w:w="2826" w:type="dxa"/>
                  <w:vAlign w:val="center"/>
                </w:tcPr>
                <w:p>
                  <w:pPr>
                    <w:spacing w:line="320" w:lineRule="atLeast"/>
                    <w:jc w:val="center"/>
                    <w:rPr>
                      <w:rFonts w:hint="eastAsia"/>
                      <w:color w:val="auto"/>
                      <w:sz w:val="18"/>
                      <w:szCs w:val="18"/>
                    </w:rPr>
                  </w:pPr>
                  <w:r>
                    <w:rPr>
                      <w:rFonts w:hint="eastAsia"/>
                      <w:bCs/>
                      <w:color w:val="auto"/>
                      <w:spacing w:val="-1"/>
                      <w:sz w:val="18"/>
                      <w:szCs w:val="18"/>
                    </w:rPr>
                    <w:t>环境风险应急预案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4623" w:type="dxa"/>
                  <w:gridSpan w:val="3"/>
                  <w:vAlign w:val="center"/>
                </w:tcPr>
                <w:p>
                  <w:pPr>
                    <w:spacing w:line="320" w:lineRule="atLeast"/>
                    <w:jc w:val="center"/>
                    <w:rPr>
                      <w:color w:val="auto"/>
                      <w:sz w:val="18"/>
                      <w:szCs w:val="18"/>
                    </w:rPr>
                  </w:pPr>
                  <w:r>
                    <w:rPr>
                      <w:color w:val="auto"/>
                      <w:sz w:val="18"/>
                      <w:szCs w:val="18"/>
                    </w:rPr>
                    <w:t>环境保护措施投资合计</w:t>
                  </w:r>
                  <w:r>
                    <w:rPr>
                      <w:rFonts w:hint="eastAsia"/>
                      <w:color w:val="auto"/>
                      <w:sz w:val="18"/>
                      <w:szCs w:val="18"/>
                    </w:rPr>
                    <w:t>（万元）</w:t>
                  </w:r>
                </w:p>
              </w:tc>
              <w:tc>
                <w:tcPr>
                  <w:tcW w:w="3476" w:type="dxa"/>
                  <w:gridSpan w:val="2"/>
                  <w:vAlign w:val="center"/>
                </w:tcPr>
                <w:p>
                  <w:pPr>
                    <w:spacing w:line="320" w:lineRule="atLeast"/>
                    <w:jc w:val="center"/>
                    <w:rPr>
                      <w:rFonts w:hint="default" w:eastAsia="宋体"/>
                      <w:color w:val="auto"/>
                      <w:sz w:val="18"/>
                      <w:szCs w:val="18"/>
                      <w:lang w:val="en-US" w:eastAsia="zh-CN"/>
                    </w:rPr>
                  </w:pPr>
                  <w:r>
                    <w:rPr>
                      <w:rFonts w:hint="eastAsia"/>
                      <w:color w:val="auto"/>
                      <w:sz w:val="18"/>
                      <w:szCs w:val="18"/>
                      <w:lang w:val="en-US" w:eastAsia="zh-CN"/>
                    </w:rPr>
                    <w:t>30.5</w:t>
                  </w:r>
                </w:p>
              </w:tc>
            </w:tr>
          </w:tbl>
          <w:p>
            <w:pPr>
              <w:pStyle w:val="6"/>
              <w:rPr>
                <w:rFonts w:hint="eastAsia"/>
                <w:color w:val="auto"/>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9" w:type="dxa"/>
          </w:tcPr>
          <w:p>
            <w:pPr>
              <w:pStyle w:val="6"/>
              <w:rPr>
                <w:rFonts w:hint="eastAsia"/>
                <w:color w:val="auto"/>
                <w:vertAlign w:val="baseline"/>
                <w:lang w:eastAsia="zh-CN"/>
              </w:rPr>
            </w:pPr>
          </w:p>
        </w:tc>
        <w:tc>
          <w:tcPr>
            <w:tcW w:w="8242" w:type="dxa"/>
          </w:tcPr>
          <w:p>
            <w:pPr>
              <w:pStyle w:val="6"/>
              <w:rPr>
                <w:rFonts w:hint="eastAsia"/>
                <w:color w:val="auto"/>
                <w:vertAlign w:val="baseline"/>
                <w:lang w:eastAsia="zh-CN"/>
              </w:rPr>
            </w:pPr>
          </w:p>
        </w:tc>
      </w:tr>
    </w:tbl>
    <w:p>
      <w:pPr>
        <w:pStyle w:val="6"/>
        <w:rPr>
          <w:rFonts w:hint="eastAsia"/>
          <w:color w:val="auto"/>
          <w:lang w:eastAsia="zh-CN"/>
        </w:rPr>
        <w:sectPr>
          <w:pgSz w:w="11907" w:h="16840"/>
          <w:pgMar w:top="1701" w:right="1531" w:bottom="2127"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pStyle w:val="20"/>
        <w:jc w:val="center"/>
        <w:outlineLvl w:val="0"/>
        <w:rPr>
          <w:rFonts w:ascii="黑体" w:hAnsi="黑体" w:eastAsia="黑体"/>
          <w:snapToGrid w:val="0"/>
          <w:color w:val="auto"/>
          <w:sz w:val="30"/>
          <w:szCs w:val="30"/>
        </w:rPr>
      </w:pPr>
      <w:bookmarkStart w:id="13" w:name="_Toc16370"/>
      <w:r>
        <w:rPr>
          <w:rFonts w:hint="eastAsia" w:ascii="黑体" w:hAnsi="黑体" w:eastAsia="黑体"/>
          <w:snapToGrid w:val="0"/>
          <w:color w:val="auto"/>
          <w:sz w:val="30"/>
          <w:szCs w:val="30"/>
        </w:rPr>
        <w:t>五、</w:t>
      </w:r>
      <w:bookmarkStart w:id="14" w:name="_Hlk54167917"/>
      <w:r>
        <w:rPr>
          <w:rFonts w:hint="eastAsia" w:ascii="黑体" w:hAnsi="黑体" w:eastAsia="黑体"/>
          <w:snapToGrid w:val="0"/>
          <w:color w:val="auto"/>
          <w:sz w:val="30"/>
          <w:szCs w:val="30"/>
        </w:rPr>
        <w:t>环境保护措施监督检查清单</w:t>
      </w:r>
      <w:bookmarkEnd w:id="13"/>
      <w:bookmarkEnd w:id="14"/>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27"/>
        <w:gridCol w:w="1217"/>
        <w:gridCol w:w="1331"/>
        <w:gridCol w:w="2728"/>
        <w:gridCol w:w="259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tcBorders>
              <w:tl2br w:val="single" w:color="auto" w:sz="4" w:space="0"/>
            </w:tcBorders>
          </w:tcPr>
          <w:p>
            <w:pPr>
              <w:adjustRightInd w:val="0"/>
              <w:snapToGrid w:val="0"/>
              <w:spacing w:line="320" w:lineRule="exact"/>
              <w:ind w:firstLine="210" w:firstLineChars="100"/>
              <w:rPr>
                <w:color w:val="auto"/>
              </w:rPr>
            </w:pPr>
            <w:r>
              <w:rPr>
                <w:color w:val="auto"/>
              </w:rPr>
              <w:t>内容</w:t>
            </w:r>
          </w:p>
          <w:p>
            <w:pPr>
              <w:adjustRightInd w:val="0"/>
              <w:snapToGrid w:val="0"/>
              <w:spacing w:line="320" w:lineRule="exact"/>
              <w:rPr>
                <w:color w:val="auto"/>
              </w:rPr>
            </w:pPr>
            <w:r>
              <w:rPr>
                <w:color w:val="auto"/>
              </w:rPr>
              <w:t>要素</w:t>
            </w:r>
          </w:p>
        </w:tc>
        <w:tc>
          <w:tcPr>
            <w:tcW w:w="1217" w:type="dxa"/>
            <w:vAlign w:val="center"/>
          </w:tcPr>
          <w:p>
            <w:pPr>
              <w:adjustRightInd w:val="0"/>
              <w:snapToGrid w:val="0"/>
              <w:spacing w:line="320" w:lineRule="exact"/>
              <w:jc w:val="center"/>
              <w:rPr>
                <w:color w:val="auto"/>
                <w:szCs w:val="21"/>
              </w:rPr>
            </w:pPr>
            <w:r>
              <w:rPr>
                <w:color w:val="auto"/>
                <w:szCs w:val="21"/>
              </w:rPr>
              <w:t>排放口</w:t>
            </w:r>
            <w:r>
              <w:rPr>
                <w:rFonts w:hint="eastAsia"/>
                <w:color w:val="auto"/>
                <w:szCs w:val="21"/>
              </w:rPr>
              <w:t>（</w:t>
            </w:r>
            <w:r>
              <w:rPr>
                <w:color w:val="auto"/>
                <w:szCs w:val="21"/>
              </w:rPr>
              <w:t>编号、名称</w:t>
            </w:r>
            <w:r>
              <w:rPr>
                <w:rFonts w:hint="eastAsia"/>
                <w:color w:val="auto"/>
                <w:szCs w:val="21"/>
              </w:rPr>
              <w:t>）</w:t>
            </w:r>
            <w:r>
              <w:rPr>
                <w:color w:val="auto"/>
                <w:szCs w:val="21"/>
              </w:rPr>
              <w:t>/污染源</w:t>
            </w:r>
          </w:p>
        </w:tc>
        <w:tc>
          <w:tcPr>
            <w:tcW w:w="1331" w:type="dxa"/>
            <w:vAlign w:val="center"/>
          </w:tcPr>
          <w:p>
            <w:pPr>
              <w:adjustRightInd w:val="0"/>
              <w:snapToGrid w:val="0"/>
              <w:spacing w:line="320" w:lineRule="exact"/>
              <w:jc w:val="center"/>
              <w:rPr>
                <w:color w:val="auto"/>
                <w:szCs w:val="21"/>
              </w:rPr>
            </w:pPr>
            <w:r>
              <w:rPr>
                <w:color w:val="auto"/>
                <w:szCs w:val="21"/>
              </w:rPr>
              <w:t>污染物项目</w:t>
            </w:r>
          </w:p>
        </w:tc>
        <w:tc>
          <w:tcPr>
            <w:tcW w:w="2728" w:type="dxa"/>
            <w:vAlign w:val="center"/>
          </w:tcPr>
          <w:p>
            <w:pPr>
              <w:adjustRightInd w:val="0"/>
              <w:snapToGrid w:val="0"/>
              <w:spacing w:line="320" w:lineRule="exact"/>
              <w:jc w:val="center"/>
              <w:rPr>
                <w:color w:val="auto"/>
                <w:szCs w:val="21"/>
              </w:rPr>
            </w:pPr>
            <w:r>
              <w:rPr>
                <w:color w:val="auto"/>
                <w:szCs w:val="21"/>
              </w:rPr>
              <w:t>环境保护措施</w:t>
            </w:r>
          </w:p>
        </w:tc>
        <w:tc>
          <w:tcPr>
            <w:tcW w:w="2597" w:type="dxa"/>
            <w:vAlign w:val="center"/>
          </w:tcPr>
          <w:p>
            <w:pPr>
              <w:adjustRightInd w:val="0"/>
              <w:snapToGrid w:val="0"/>
              <w:spacing w:line="320" w:lineRule="exact"/>
              <w:jc w:val="center"/>
              <w:rPr>
                <w:color w:val="auto"/>
                <w:szCs w:val="21"/>
              </w:rPr>
            </w:pPr>
            <w:r>
              <w:rPr>
                <w:color w:val="auto"/>
                <w:szCs w:val="21"/>
              </w:rPr>
              <w:t>执行标准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Merge w:val="restart"/>
            <w:vAlign w:val="center"/>
          </w:tcPr>
          <w:p>
            <w:pPr>
              <w:adjustRightInd w:val="0"/>
              <w:snapToGrid w:val="0"/>
              <w:spacing w:line="320" w:lineRule="exact"/>
              <w:jc w:val="center"/>
              <w:rPr>
                <w:color w:val="auto"/>
                <w:szCs w:val="21"/>
              </w:rPr>
            </w:pPr>
            <w:r>
              <w:rPr>
                <w:color w:val="auto"/>
                <w:szCs w:val="21"/>
              </w:rPr>
              <w:t>大气环境</w:t>
            </w:r>
          </w:p>
        </w:tc>
        <w:tc>
          <w:tcPr>
            <w:tcW w:w="1217" w:type="dxa"/>
            <w:vAlign w:val="center"/>
          </w:tcPr>
          <w:p>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投料粉尘</w:t>
            </w:r>
          </w:p>
        </w:tc>
        <w:tc>
          <w:tcPr>
            <w:tcW w:w="1331" w:type="dxa"/>
            <w:vAlign w:val="center"/>
          </w:tcPr>
          <w:p>
            <w:pPr>
              <w:adjustRightInd w:val="0"/>
              <w:snapToGrid w:val="0"/>
              <w:spacing w:line="320" w:lineRule="exact"/>
              <w:jc w:val="center"/>
              <w:rPr>
                <w:rFonts w:ascii="Times New Roman" w:hAnsi="Times New Roman" w:eastAsia="宋体" w:cs="Times New Roman"/>
                <w:color w:val="auto"/>
                <w:kern w:val="2"/>
                <w:sz w:val="21"/>
                <w:szCs w:val="21"/>
                <w:lang w:val="en-US" w:eastAsia="zh-CN" w:bidi="ar-SA"/>
              </w:rPr>
            </w:pPr>
            <w:r>
              <w:rPr>
                <w:color w:val="auto"/>
                <w:szCs w:val="21"/>
              </w:rPr>
              <w:t>颗粒物</w:t>
            </w:r>
          </w:p>
        </w:tc>
        <w:tc>
          <w:tcPr>
            <w:tcW w:w="2728" w:type="dxa"/>
            <w:vAlign w:val="center"/>
          </w:tcPr>
          <w:p>
            <w:pPr>
              <w:adjustRightInd w:val="0"/>
              <w:snapToGrid w:val="0"/>
              <w:spacing w:line="320" w:lineRule="exact"/>
              <w:jc w:val="left"/>
              <w:rPr>
                <w:rFonts w:ascii="Times New Roman" w:hAnsi="Times New Roman" w:eastAsia="宋体" w:cs="Times New Roman"/>
                <w:color w:val="auto"/>
                <w:kern w:val="2"/>
                <w:sz w:val="21"/>
                <w:szCs w:val="21"/>
                <w:lang w:val="en-US" w:eastAsia="zh-CN" w:bidi="ar-SA"/>
              </w:rPr>
            </w:pPr>
            <w:r>
              <w:rPr>
                <w:rFonts w:hint="eastAsia"/>
                <w:color w:val="auto"/>
                <w:szCs w:val="21"/>
                <w:lang w:val="en-US" w:eastAsia="zh-CN"/>
              </w:rPr>
              <w:t>集气罩+布袋除尘器+1</w:t>
            </w:r>
            <w:r>
              <w:rPr>
                <w:rFonts w:hint="eastAsia"/>
                <w:color w:val="auto"/>
                <w:szCs w:val="21"/>
              </w:rPr>
              <w:t>根</w:t>
            </w:r>
            <w:r>
              <w:rPr>
                <w:rFonts w:hint="eastAsia"/>
                <w:color w:val="auto"/>
                <w:szCs w:val="21"/>
                <w:lang w:val="en-US" w:eastAsia="zh-CN"/>
              </w:rPr>
              <w:t>15</w:t>
            </w:r>
            <w:r>
              <w:rPr>
                <w:rFonts w:hint="eastAsia"/>
                <w:color w:val="auto"/>
                <w:szCs w:val="21"/>
              </w:rPr>
              <w:t>m高排气筒（DA00</w:t>
            </w:r>
            <w:r>
              <w:rPr>
                <w:rFonts w:hint="eastAsia"/>
                <w:color w:val="auto"/>
                <w:szCs w:val="21"/>
                <w:lang w:val="en-US" w:eastAsia="zh-CN"/>
              </w:rPr>
              <w:t>1</w:t>
            </w:r>
            <w:r>
              <w:rPr>
                <w:rFonts w:hint="eastAsia"/>
                <w:color w:val="auto"/>
                <w:szCs w:val="21"/>
              </w:rPr>
              <w:t>）排放</w:t>
            </w:r>
          </w:p>
        </w:tc>
        <w:tc>
          <w:tcPr>
            <w:tcW w:w="2597" w:type="dxa"/>
            <w:vAlign w:val="center"/>
          </w:tcPr>
          <w:p>
            <w:pPr>
              <w:adjustRightInd w:val="0"/>
              <w:snapToGrid w:val="0"/>
              <w:spacing w:line="320" w:lineRule="exact"/>
              <w:jc w:val="center"/>
              <w:rPr>
                <w:rFonts w:ascii="Times New Roman" w:hAnsi="Times New Roman" w:eastAsia="宋体" w:cs="Times New Roman"/>
                <w:color w:val="auto"/>
                <w:spacing w:val="-4"/>
                <w:kern w:val="2"/>
                <w:sz w:val="21"/>
                <w:szCs w:val="21"/>
                <w:lang w:val="en-US" w:eastAsia="zh-CN" w:bidi="ar-SA"/>
              </w:rPr>
            </w:pPr>
            <w:r>
              <w:rPr>
                <w:rFonts w:hint="eastAsia"/>
                <w:color w:val="auto"/>
                <w:spacing w:val="-4"/>
                <w:szCs w:val="21"/>
              </w:rPr>
              <w:t>《大气污染物综合排放标准》表2中二级标准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Merge w:val="continue"/>
            <w:vAlign w:val="center"/>
          </w:tcPr>
          <w:p>
            <w:pPr>
              <w:adjustRightInd w:val="0"/>
              <w:snapToGrid w:val="0"/>
              <w:spacing w:line="320" w:lineRule="exact"/>
              <w:jc w:val="center"/>
              <w:rPr>
                <w:color w:val="auto"/>
                <w:szCs w:val="21"/>
              </w:rPr>
            </w:pPr>
          </w:p>
        </w:tc>
        <w:tc>
          <w:tcPr>
            <w:tcW w:w="1217" w:type="dxa"/>
            <w:vAlign w:val="center"/>
          </w:tcPr>
          <w:p>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烘干废气</w:t>
            </w:r>
          </w:p>
        </w:tc>
        <w:tc>
          <w:tcPr>
            <w:tcW w:w="1331" w:type="dxa"/>
            <w:vAlign w:val="center"/>
          </w:tcPr>
          <w:p>
            <w:pPr>
              <w:adjustRightInd w:val="0"/>
              <w:snapToGrid w:val="0"/>
              <w:spacing w:line="320" w:lineRule="exact"/>
              <w:jc w:val="center"/>
              <w:rPr>
                <w:rFonts w:ascii="Times New Roman" w:hAnsi="Times New Roman" w:eastAsia="宋体" w:cs="Times New Roman"/>
                <w:color w:val="auto"/>
                <w:kern w:val="2"/>
                <w:sz w:val="21"/>
                <w:szCs w:val="21"/>
                <w:lang w:val="en-US" w:eastAsia="zh-CN" w:bidi="ar-SA"/>
              </w:rPr>
            </w:pPr>
            <w:r>
              <w:rPr>
                <w:color w:val="auto"/>
                <w:szCs w:val="21"/>
              </w:rPr>
              <w:t>颗粒物</w:t>
            </w:r>
            <w:r>
              <w:rPr>
                <w:rFonts w:hint="eastAsia"/>
                <w:color w:val="auto"/>
                <w:szCs w:val="21"/>
              </w:rPr>
              <w:t>、SO</w:t>
            </w:r>
            <w:r>
              <w:rPr>
                <w:rFonts w:hint="eastAsia"/>
                <w:color w:val="auto"/>
                <w:szCs w:val="21"/>
                <w:vertAlign w:val="subscript"/>
              </w:rPr>
              <w:t>2</w:t>
            </w:r>
            <w:r>
              <w:rPr>
                <w:rFonts w:hint="eastAsia"/>
                <w:color w:val="auto"/>
                <w:szCs w:val="21"/>
              </w:rPr>
              <w:t>、NO</w:t>
            </w:r>
            <w:r>
              <w:rPr>
                <w:rFonts w:hint="eastAsia"/>
                <w:color w:val="auto"/>
                <w:szCs w:val="21"/>
                <w:vertAlign w:val="subscript"/>
              </w:rPr>
              <w:t>X</w:t>
            </w:r>
          </w:p>
        </w:tc>
        <w:tc>
          <w:tcPr>
            <w:tcW w:w="2728" w:type="dxa"/>
            <w:vAlign w:val="center"/>
          </w:tcPr>
          <w:p>
            <w:pPr>
              <w:adjustRightInd w:val="0"/>
              <w:snapToGrid w:val="0"/>
              <w:spacing w:line="320" w:lineRule="exact"/>
              <w:jc w:val="left"/>
              <w:rPr>
                <w:rFonts w:ascii="Times New Roman" w:hAnsi="Times New Roman" w:eastAsia="宋体" w:cs="Times New Roman"/>
                <w:color w:val="auto"/>
                <w:kern w:val="2"/>
                <w:sz w:val="21"/>
                <w:szCs w:val="21"/>
                <w:lang w:val="en-US" w:eastAsia="zh-CN" w:bidi="ar-SA"/>
              </w:rPr>
            </w:pPr>
            <w:r>
              <w:rPr>
                <w:rFonts w:hint="eastAsia"/>
                <w:color w:val="auto"/>
                <w:szCs w:val="21"/>
              </w:rPr>
              <w:t>通过</w:t>
            </w:r>
            <w:r>
              <w:rPr>
                <w:rFonts w:hint="eastAsia"/>
                <w:color w:val="auto"/>
                <w:szCs w:val="21"/>
                <w:lang w:val="en-US" w:eastAsia="zh-CN"/>
              </w:rPr>
              <w:t>1</w:t>
            </w:r>
            <w:r>
              <w:rPr>
                <w:rFonts w:hint="eastAsia"/>
                <w:color w:val="auto"/>
                <w:szCs w:val="21"/>
              </w:rPr>
              <w:t>根</w:t>
            </w:r>
            <w:r>
              <w:rPr>
                <w:rFonts w:hint="eastAsia"/>
                <w:color w:val="auto"/>
                <w:szCs w:val="21"/>
                <w:lang w:val="en-US" w:eastAsia="zh-CN"/>
              </w:rPr>
              <w:t>15</w:t>
            </w:r>
            <w:r>
              <w:rPr>
                <w:rFonts w:hint="eastAsia"/>
                <w:color w:val="auto"/>
                <w:szCs w:val="21"/>
              </w:rPr>
              <w:t>m高排气筒（DA00</w:t>
            </w:r>
            <w:r>
              <w:rPr>
                <w:rFonts w:hint="eastAsia"/>
                <w:color w:val="auto"/>
                <w:szCs w:val="21"/>
                <w:lang w:val="en-US" w:eastAsia="zh-CN"/>
              </w:rPr>
              <w:t>2</w:t>
            </w:r>
            <w:r>
              <w:rPr>
                <w:rFonts w:hint="eastAsia"/>
                <w:color w:val="auto"/>
                <w:szCs w:val="21"/>
              </w:rPr>
              <w:t>）排放</w:t>
            </w:r>
          </w:p>
        </w:tc>
        <w:tc>
          <w:tcPr>
            <w:tcW w:w="2597" w:type="dxa"/>
            <w:vAlign w:val="center"/>
          </w:tcPr>
          <w:p>
            <w:pPr>
              <w:adjustRightInd w:val="0"/>
              <w:snapToGrid w:val="0"/>
              <w:spacing w:line="320" w:lineRule="exact"/>
              <w:jc w:val="center"/>
              <w:rPr>
                <w:rFonts w:hint="default" w:ascii="Times New Roman" w:hAnsi="Times New Roman" w:eastAsia="宋体" w:cs="Times New Roman"/>
                <w:color w:val="auto"/>
                <w:spacing w:val="-4"/>
                <w:kern w:val="2"/>
                <w:sz w:val="21"/>
                <w:szCs w:val="21"/>
                <w:lang w:val="en-US" w:eastAsia="zh-CN" w:bidi="ar-SA"/>
              </w:rPr>
            </w:pPr>
            <w:r>
              <w:rPr>
                <w:rFonts w:hint="eastAsia"/>
                <w:color w:val="auto"/>
                <w:spacing w:val="-4"/>
                <w:szCs w:val="21"/>
              </w:rPr>
              <w:t>《工业炉窑大气污染物排放标准》（GB9078-996）中表2、《新疆维吾尔自治区工业炉窑大气污染治理实施方案》（新大气发〔2019〕127号）中重点区域工业炉窑排放标准限值</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Merge w:val="continue"/>
            <w:vAlign w:val="center"/>
          </w:tcPr>
          <w:p>
            <w:pPr>
              <w:adjustRightInd w:val="0"/>
              <w:snapToGrid w:val="0"/>
              <w:spacing w:line="320" w:lineRule="exact"/>
              <w:jc w:val="center"/>
              <w:rPr>
                <w:color w:val="auto"/>
                <w:szCs w:val="21"/>
              </w:rPr>
            </w:pPr>
          </w:p>
        </w:tc>
        <w:tc>
          <w:tcPr>
            <w:tcW w:w="1217" w:type="dxa"/>
            <w:vAlign w:val="center"/>
          </w:tcPr>
          <w:p>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食堂</w:t>
            </w:r>
          </w:p>
        </w:tc>
        <w:tc>
          <w:tcPr>
            <w:tcW w:w="1331" w:type="dxa"/>
            <w:vAlign w:val="center"/>
          </w:tcPr>
          <w:p>
            <w:pPr>
              <w:adjustRightInd w:val="0"/>
              <w:snapToGrid w:val="0"/>
              <w:spacing w:line="32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lang w:val="en-US" w:eastAsia="zh-CN"/>
              </w:rPr>
              <w:t>油烟</w:t>
            </w:r>
          </w:p>
        </w:tc>
        <w:tc>
          <w:tcPr>
            <w:tcW w:w="2728" w:type="dxa"/>
            <w:vAlign w:val="center"/>
          </w:tcPr>
          <w:p>
            <w:pPr>
              <w:adjustRightInd w:val="0"/>
              <w:snapToGrid w:val="0"/>
              <w:spacing w:line="320" w:lineRule="exact"/>
              <w:jc w:val="left"/>
              <w:rPr>
                <w:rFonts w:hint="default" w:ascii="Times New Roman" w:hAnsi="Times New Roman" w:eastAsia="宋体" w:cs="Times New Roman"/>
                <w:color w:val="auto"/>
                <w:kern w:val="2"/>
                <w:sz w:val="21"/>
                <w:szCs w:val="21"/>
                <w:lang w:val="en-US" w:eastAsia="zh-CN" w:bidi="ar-SA"/>
              </w:rPr>
            </w:pPr>
            <w:r>
              <w:rPr>
                <w:rFonts w:hint="eastAsia"/>
                <w:color w:val="auto"/>
                <w:szCs w:val="21"/>
                <w:lang w:val="en-US" w:eastAsia="zh-CN"/>
              </w:rPr>
              <w:t>油烟净化器</w:t>
            </w:r>
          </w:p>
        </w:tc>
        <w:tc>
          <w:tcPr>
            <w:tcW w:w="2597" w:type="dxa"/>
            <w:vAlign w:val="center"/>
          </w:tcPr>
          <w:p>
            <w:pPr>
              <w:adjustRightInd w:val="0"/>
              <w:snapToGrid w:val="0"/>
              <w:spacing w:line="320" w:lineRule="exact"/>
              <w:jc w:val="center"/>
              <w:rPr>
                <w:rFonts w:hint="default" w:ascii="Times New Roman" w:hAnsi="Times New Roman" w:eastAsia="宋体" w:cs="Times New Roman"/>
                <w:color w:val="auto"/>
                <w:spacing w:val="-4"/>
                <w:kern w:val="2"/>
                <w:sz w:val="21"/>
                <w:szCs w:val="21"/>
                <w:lang w:val="en-US" w:eastAsia="zh-CN" w:bidi="ar-SA"/>
              </w:rPr>
            </w:pPr>
            <w:r>
              <w:rPr>
                <w:rFonts w:hint="eastAsia"/>
                <w:color w:val="auto"/>
                <w:spacing w:val="-4"/>
                <w:szCs w:val="21"/>
              </w:rPr>
              <w:t>《饮食业油烟排放标准》（试用）（GB18483-2001）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Merge w:val="continue"/>
            <w:vAlign w:val="center"/>
          </w:tcPr>
          <w:p>
            <w:pPr>
              <w:adjustRightInd w:val="0"/>
              <w:snapToGrid w:val="0"/>
              <w:spacing w:line="320" w:lineRule="exact"/>
              <w:jc w:val="center"/>
              <w:rPr>
                <w:color w:val="auto"/>
                <w:szCs w:val="21"/>
              </w:rPr>
            </w:pPr>
          </w:p>
        </w:tc>
        <w:tc>
          <w:tcPr>
            <w:tcW w:w="1217" w:type="dxa"/>
            <w:vAlign w:val="center"/>
          </w:tcPr>
          <w:p>
            <w:pPr>
              <w:adjustRightInd w:val="0"/>
              <w:snapToGrid w:val="0"/>
              <w:spacing w:line="320" w:lineRule="exact"/>
              <w:jc w:val="center"/>
              <w:rPr>
                <w:rFonts w:hint="eastAsia" w:ascii="Times New Roman" w:hAnsi="Times New Roman" w:eastAsia="宋体" w:cs="Times New Roman"/>
                <w:color w:val="auto"/>
                <w:kern w:val="2"/>
                <w:sz w:val="21"/>
                <w:szCs w:val="21"/>
                <w:lang w:val="en-US" w:eastAsia="zh-CN" w:bidi="ar-SA"/>
              </w:rPr>
            </w:pPr>
            <w:r>
              <w:rPr>
                <w:color w:val="auto"/>
                <w:szCs w:val="21"/>
              </w:rPr>
              <w:t>无组织废气</w:t>
            </w:r>
          </w:p>
        </w:tc>
        <w:tc>
          <w:tcPr>
            <w:tcW w:w="1331" w:type="dxa"/>
            <w:vAlign w:val="center"/>
          </w:tcPr>
          <w:p>
            <w:pPr>
              <w:adjustRightInd w:val="0"/>
              <w:snapToGrid w:val="0"/>
              <w:spacing w:line="320" w:lineRule="exact"/>
              <w:jc w:val="center"/>
              <w:rPr>
                <w:rFonts w:hint="eastAsia" w:ascii="Times New Roman" w:hAnsi="Times New Roman" w:eastAsia="宋体" w:cs="Times New Roman"/>
                <w:color w:val="auto"/>
                <w:kern w:val="2"/>
                <w:sz w:val="21"/>
                <w:szCs w:val="21"/>
                <w:lang w:val="en-US" w:eastAsia="zh-CN" w:bidi="ar-SA"/>
              </w:rPr>
            </w:pPr>
            <w:r>
              <w:rPr>
                <w:color w:val="auto"/>
                <w:szCs w:val="21"/>
              </w:rPr>
              <w:t>颗粒物</w:t>
            </w:r>
          </w:p>
        </w:tc>
        <w:tc>
          <w:tcPr>
            <w:tcW w:w="2728" w:type="dxa"/>
            <w:vAlign w:val="center"/>
          </w:tcPr>
          <w:p>
            <w:pPr>
              <w:adjustRightInd w:val="0"/>
              <w:snapToGrid w:val="0"/>
              <w:spacing w:line="320" w:lineRule="exact"/>
              <w:jc w:val="left"/>
              <w:rPr>
                <w:rFonts w:hint="default" w:ascii="Times New Roman" w:hAnsi="Times New Roman" w:eastAsia="宋体" w:cs="Times New Roman"/>
                <w:color w:val="auto"/>
                <w:kern w:val="2"/>
                <w:sz w:val="21"/>
                <w:szCs w:val="21"/>
                <w:lang w:val="en-US" w:eastAsia="zh-CN" w:bidi="ar-SA"/>
              </w:rPr>
            </w:pPr>
            <w:r>
              <w:rPr>
                <w:color w:val="auto"/>
                <w:szCs w:val="21"/>
              </w:rPr>
              <w:t>加强车间通风</w:t>
            </w:r>
          </w:p>
        </w:tc>
        <w:tc>
          <w:tcPr>
            <w:tcW w:w="2597" w:type="dxa"/>
            <w:vAlign w:val="center"/>
          </w:tcPr>
          <w:p>
            <w:pPr>
              <w:adjustRightInd w:val="0"/>
              <w:snapToGrid w:val="0"/>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《大气污染物综合排放标准》表2中二级标准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adjustRightInd w:val="0"/>
              <w:snapToGrid w:val="0"/>
              <w:spacing w:line="320" w:lineRule="exact"/>
              <w:jc w:val="center"/>
              <w:rPr>
                <w:color w:val="auto"/>
                <w:szCs w:val="21"/>
              </w:rPr>
            </w:pPr>
            <w:r>
              <w:rPr>
                <w:color w:val="auto"/>
                <w:szCs w:val="21"/>
              </w:rPr>
              <w:t>地表水环境</w:t>
            </w:r>
          </w:p>
        </w:tc>
        <w:tc>
          <w:tcPr>
            <w:tcW w:w="1217" w:type="dxa"/>
            <w:vAlign w:val="center"/>
          </w:tcPr>
          <w:p>
            <w:pPr>
              <w:adjustRightInd w:val="0"/>
              <w:snapToGrid w:val="0"/>
              <w:spacing w:line="320" w:lineRule="exact"/>
              <w:jc w:val="center"/>
              <w:rPr>
                <w:rFonts w:hint="eastAsia" w:ascii="Times New Roman" w:hAnsi="Times New Roman" w:eastAsia="宋体" w:cs="Times New Roman"/>
                <w:color w:val="auto"/>
                <w:kern w:val="2"/>
                <w:sz w:val="21"/>
                <w:szCs w:val="21"/>
                <w:lang w:val="en-US" w:eastAsia="zh-CN" w:bidi="ar-SA"/>
              </w:rPr>
            </w:pPr>
            <w:r>
              <w:rPr>
                <w:rFonts w:hint="eastAsia"/>
                <w:color w:val="auto"/>
                <w:szCs w:val="21"/>
                <w:highlight w:val="none"/>
                <w:lang w:val="en-US" w:eastAsia="zh-CN"/>
              </w:rPr>
              <w:t>生活废水</w:t>
            </w:r>
          </w:p>
        </w:tc>
        <w:tc>
          <w:tcPr>
            <w:tcW w:w="1331" w:type="dxa"/>
            <w:vAlign w:val="center"/>
          </w:tcPr>
          <w:p>
            <w:pPr>
              <w:spacing w:line="320" w:lineRule="exact"/>
              <w:jc w:val="center"/>
              <w:rPr>
                <w:rFonts w:ascii="Times New Roman" w:hAnsi="Times New Roman" w:eastAsia="宋体" w:cs="Times New Roman"/>
                <w:color w:val="auto"/>
                <w:spacing w:val="-20"/>
                <w:kern w:val="2"/>
                <w:sz w:val="21"/>
                <w:szCs w:val="21"/>
                <w:lang w:val="en-US" w:eastAsia="zh-CN" w:bidi="ar-SA"/>
              </w:rPr>
            </w:pPr>
            <w:r>
              <w:rPr>
                <w:rFonts w:hint="eastAsia"/>
                <w:color w:val="auto"/>
                <w:sz w:val="21"/>
                <w:szCs w:val="21"/>
              </w:rPr>
              <w:t>pH</w:t>
            </w:r>
            <w:r>
              <w:rPr>
                <w:rFonts w:hint="eastAsia"/>
                <w:color w:val="auto"/>
                <w:sz w:val="21"/>
                <w:szCs w:val="21"/>
                <w:lang w:eastAsia="zh-CN"/>
              </w:rPr>
              <w:t>、BOD</w:t>
            </w:r>
            <w:r>
              <w:rPr>
                <w:rFonts w:hint="eastAsia"/>
                <w:color w:val="auto"/>
                <w:sz w:val="21"/>
                <w:szCs w:val="21"/>
                <w:vertAlign w:val="subscript"/>
                <w:lang w:eastAsia="zh-CN"/>
              </w:rPr>
              <w:t>5</w:t>
            </w:r>
            <w:r>
              <w:rPr>
                <w:rFonts w:hint="eastAsia"/>
                <w:color w:val="auto"/>
                <w:sz w:val="21"/>
                <w:szCs w:val="21"/>
                <w:lang w:eastAsia="zh-CN"/>
              </w:rPr>
              <w:t>、NH</w:t>
            </w:r>
            <w:r>
              <w:rPr>
                <w:rFonts w:hint="eastAsia"/>
                <w:color w:val="auto"/>
                <w:sz w:val="21"/>
                <w:szCs w:val="21"/>
                <w:vertAlign w:val="subscript"/>
                <w:lang w:eastAsia="zh-CN"/>
              </w:rPr>
              <w:t>3</w:t>
            </w:r>
            <w:r>
              <w:rPr>
                <w:rFonts w:hint="eastAsia"/>
                <w:color w:val="auto"/>
                <w:sz w:val="21"/>
                <w:szCs w:val="21"/>
                <w:lang w:eastAsia="zh-CN"/>
              </w:rPr>
              <w:t>-N、阴离子表面活性剂、溶解性总固体、溶解氧、总氯</w:t>
            </w:r>
          </w:p>
        </w:tc>
        <w:tc>
          <w:tcPr>
            <w:tcW w:w="2728" w:type="dxa"/>
            <w:vAlign w:val="center"/>
          </w:tcPr>
          <w:p>
            <w:pPr>
              <w:spacing w:line="320" w:lineRule="exact"/>
              <w:jc w:val="left"/>
              <w:rPr>
                <w:rFonts w:ascii="Times New Roman" w:hAnsi="Times New Roman" w:eastAsia="宋体" w:cs="Times New Roman"/>
                <w:color w:val="auto"/>
                <w:kern w:val="2"/>
                <w:sz w:val="21"/>
                <w:szCs w:val="21"/>
                <w:lang w:val="en-US" w:eastAsia="zh-CN" w:bidi="ar-SA"/>
              </w:rPr>
            </w:pPr>
            <w:r>
              <w:rPr>
                <w:rFonts w:hint="eastAsia"/>
                <w:color w:val="auto"/>
                <w:szCs w:val="21"/>
              </w:rPr>
              <w:t>直接排入市政污水管网，最终进入玛纳斯县污水处理厂</w:t>
            </w:r>
          </w:p>
        </w:tc>
        <w:tc>
          <w:tcPr>
            <w:tcW w:w="2597" w:type="dxa"/>
            <w:vAlign w:val="center"/>
          </w:tcPr>
          <w:p>
            <w:pPr>
              <w:spacing w:line="320" w:lineRule="exact"/>
              <w:jc w:val="center"/>
              <w:rPr>
                <w:rFonts w:hint="default" w:ascii="Times New Roman" w:hAnsi="Times New Roman" w:eastAsia="宋体" w:cs="Times New Roman"/>
                <w:color w:val="auto"/>
                <w:kern w:val="2"/>
                <w:sz w:val="21"/>
                <w:szCs w:val="21"/>
                <w:lang w:val="en-US" w:eastAsia="zh-CN" w:bidi="ar-SA"/>
              </w:rPr>
            </w:pPr>
            <w:r>
              <w:rPr>
                <w:rFonts w:hint="eastAsia"/>
                <w:color w:val="auto"/>
                <w:szCs w:val="21"/>
              </w:rPr>
              <w:t>玛纳斯县污水处理厂</w:t>
            </w:r>
            <w:r>
              <w:rPr>
                <w:rFonts w:hint="eastAsia"/>
                <w:color w:val="auto"/>
                <w:szCs w:val="21"/>
                <w:lang w:val="en-US" w:eastAsia="zh-CN"/>
              </w:rPr>
              <w:t>纳管要求</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adjustRightInd w:val="0"/>
              <w:snapToGrid w:val="0"/>
              <w:spacing w:line="320" w:lineRule="exact"/>
              <w:jc w:val="center"/>
              <w:rPr>
                <w:color w:val="auto"/>
                <w:szCs w:val="21"/>
              </w:rPr>
            </w:pPr>
            <w:r>
              <w:rPr>
                <w:color w:val="auto"/>
                <w:szCs w:val="21"/>
              </w:rPr>
              <w:t>声环境</w:t>
            </w:r>
          </w:p>
        </w:tc>
        <w:tc>
          <w:tcPr>
            <w:tcW w:w="1217" w:type="dxa"/>
            <w:vAlign w:val="center"/>
          </w:tcPr>
          <w:p>
            <w:pPr>
              <w:adjustRightInd w:val="0"/>
              <w:snapToGrid w:val="0"/>
              <w:spacing w:line="320" w:lineRule="exact"/>
              <w:jc w:val="center"/>
              <w:rPr>
                <w:rFonts w:ascii="Times New Roman" w:hAnsi="Times New Roman" w:eastAsia="宋体" w:cs="Times New Roman"/>
                <w:color w:val="auto"/>
                <w:kern w:val="2"/>
                <w:sz w:val="21"/>
                <w:szCs w:val="21"/>
                <w:lang w:val="en-US" w:eastAsia="zh-CN" w:bidi="ar-SA"/>
              </w:rPr>
            </w:pPr>
            <w:r>
              <w:rPr>
                <w:color w:val="auto"/>
                <w:szCs w:val="21"/>
              </w:rPr>
              <w:t>生产、运输噪声</w:t>
            </w:r>
          </w:p>
        </w:tc>
        <w:tc>
          <w:tcPr>
            <w:tcW w:w="1331" w:type="dxa"/>
            <w:vAlign w:val="center"/>
          </w:tcPr>
          <w:p>
            <w:pPr>
              <w:adjustRightInd w:val="0"/>
              <w:snapToGrid w:val="0"/>
              <w:spacing w:line="320" w:lineRule="exact"/>
              <w:jc w:val="center"/>
              <w:rPr>
                <w:rFonts w:ascii="Times New Roman" w:hAnsi="Times New Roman" w:eastAsia="宋体" w:cs="Times New Roman"/>
                <w:color w:val="auto"/>
                <w:kern w:val="2"/>
                <w:sz w:val="21"/>
                <w:szCs w:val="21"/>
                <w:lang w:val="en-US" w:eastAsia="zh-CN" w:bidi="ar-SA"/>
              </w:rPr>
            </w:pPr>
            <w:r>
              <w:rPr>
                <w:color w:val="auto"/>
                <w:szCs w:val="21"/>
              </w:rPr>
              <w:t>噪声</w:t>
            </w:r>
          </w:p>
        </w:tc>
        <w:tc>
          <w:tcPr>
            <w:tcW w:w="2728" w:type="dxa"/>
            <w:vAlign w:val="center"/>
          </w:tcPr>
          <w:p>
            <w:pPr>
              <w:adjustRightInd w:val="0"/>
              <w:snapToGrid w:val="0"/>
              <w:spacing w:line="320" w:lineRule="exact"/>
              <w:jc w:val="left"/>
              <w:rPr>
                <w:rFonts w:ascii="Times New Roman" w:hAnsi="Times New Roman" w:eastAsia="宋体" w:cs="Times New Roman"/>
                <w:color w:val="auto"/>
                <w:kern w:val="2"/>
                <w:sz w:val="21"/>
                <w:szCs w:val="21"/>
                <w:lang w:val="en-US" w:eastAsia="zh-CN" w:bidi="ar-SA"/>
              </w:rPr>
            </w:pPr>
            <w:r>
              <w:rPr>
                <w:color w:val="auto"/>
                <w:szCs w:val="21"/>
              </w:rPr>
              <w:t>采用低噪声设备、消声、减震、建筑隔声等</w:t>
            </w:r>
          </w:p>
        </w:tc>
        <w:tc>
          <w:tcPr>
            <w:tcW w:w="2597" w:type="dxa"/>
            <w:vAlign w:val="center"/>
          </w:tcPr>
          <w:p>
            <w:pPr>
              <w:widowControl/>
              <w:spacing w:line="320" w:lineRule="exact"/>
              <w:jc w:val="left"/>
              <w:rPr>
                <w:rFonts w:ascii="Times New Roman" w:hAnsi="Times New Roman" w:eastAsia="宋体" w:cs="Times New Roman"/>
                <w:color w:val="auto"/>
                <w:kern w:val="2"/>
                <w:sz w:val="21"/>
                <w:szCs w:val="21"/>
                <w:lang w:val="en-US" w:eastAsia="zh-CN" w:bidi="ar-SA"/>
              </w:rPr>
            </w:pPr>
            <w:r>
              <w:rPr>
                <w:rFonts w:eastAsia="TimesNewRomanPSMT"/>
                <w:color w:val="auto"/>
                <w:kern w:val="0"/>
                <w:szCs w:val="21"/>
                <w:lang w:bidi="ar"/>
              </w:rPr>
              <w:t>《工业企业厂界环境噪声排放标准》（GB12348-2008）中</w:t>
            </w:r>
            <w:r>
              <w:rPr>
                <w:rFonts w:hint="eastAsia" w:eastAsia="宋体"/>
                <w:color w:val="auto"/>
                <w:kern w:val="0"/>
                <w:szCs w:val="21"/>
                <w:lang w:val="en-US" w:eastAsia="zh-CN" w:bidi="ar"/>
              </w:rPr>
              <w:t>2</w:t>
            </w:r>
            <w:r>
              <w:rPr>
                <w:rFonts w:eastAsia="TimesNewRomanPSMT"/>
                <w:color w:val="auto"/>
                <w:kern w:val="0"/>
                <w:szCs w:val="21"/>
                <w:lang w:bidi="ar"/>
              </w:rPr>
              <w:t>类标准</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adjustRightInd w:val="0"/>
              <w:snapToGrid w:val="0"/>
              <w:spacing w:line="320" w:lineRule="exact"/>
              <w:jc w:val="center"/>
              <w:rPr>
                <w:color w:val="auto"/>
                <w:szCs w:val="21"/>
              </w:rPr>
            </w:pPr>
            <w:r>
              <w:rPr>
                <w:color w:val="auto"/>
                <w:szCs w:val="21"/>
              </w:rPr>
              <w:t>电磁辐射</w:t>
            </w:r>
          </w:p>
        </w:tc>
        <w:tc>
          <w:tcPr>
            <w:tcW w:w="1217" w:type="dxa"/>
            <w:vAlign w:val="center"/>
          </w:tcPr>
          <w:p>
            <w:pPr>
              <w:adjustRightInd w:val="0"/>
              <w:snapToGrid w:val="0"/>
              <w:spacing w:line="320" w:lineRule="exact"/>
              <w:jc w:val="center"/>
              <w:rPr>
                <w:color w:val="auto"/>
                <w:szCs w:val="21"/>
              </w:rPr>
            </w:pPr>
            <w:r>
              <w:rPr>
                <w:rFonts w:hint="eastAsia"/>
                <w:color w:val="auto"/>
                <w:szCs w:val="21"/>
              </w:rPr>
              <w:t>/</w:t>
            </w:r>
          </w:p>
        </w:tc>
        <w:tc>
          <w:tcPr>
            <w:tcW w:w="1331" w:type="dxa"/>
            <w:vAlign w:val="center"/>
          </w:tcPr>
          <w:p>
            <w:pPr>
              <w:adjustRightInd w:val="0"/>
              <w:snapToGrid w:val="0"/>
              <w:spacing w:line="320" w:lineRule="exact"/>
              <w:jc w:val="center"/>
              <w:rPr>
                <w:color w:val="auto"/>
                <w:szCs w:val="21"/>
              </w:rPr>
            </w:pPr>
            <w:r>
              <w:rPr>
                <w:rFonts w:hint="eastAsia"/>
                <w:color w:val="auto"/>
                <w:szCs w:val="21"/>
              </w:rPr>
              <w:t>/</w:t>
            </w:r>
          </w:p>
        </w:tc>
        <w:tc>
          <w:tcPr>
            <w:tcW w:w="2728" w:type="dxa"/>
            <w:vAlign w:val="center"/>
          </w:tcPr>
          <w:p>
            <w:pPr>
              <w:adjustRightInd w:val="0"/>
              <w:snapToGrid w:val="0"/>
              <w:spacing w:line="320" w:lineRule="exact"/>
              <w:jc w:val="center"/>
              <w:rPr>
                <w:color w:val="auto"/>
                <w:szCs w:val="21"/>
              </w:rPr>
            </w:pPr>
            <w:r>
              <w:rPr>
                <w:rFonts w:hint="eastAsia"/>
                <w:color w:val="auto"/>
                <w:szCs w:val="21"/>
              </w:rPr>
              <w:t>/</w:t>
            </w:r>
          </w:p>
        </w:tc>
        <w:tc>
          <w:tcPr>
            <w:tcW w:w="2597" w:type="dxa"/>
            <w:vAlign w:val="center"/>
          </w:tcPr>
          <w:p>
            <w:pPr>
              <w:adjustRightInd w:val="0"/>
              <w:snapToGrid w:val="0"/>
              <w:spacing w:line="320" w:lineRule="exact"/>
              <w:jc w:val="center"/>
              <w:rPr>
                <w:color w:val="auto"/>
                <w:szCs w:val="21"/>
              </w:rPr>
            </w:pPr>
            <w:r>
              <w:rPr>
                <w:rFonts w:hint="eastAsia"/>
                <w:color w:val="auto"/>
                <w:szCs w:val="21"/>
              </w:rPr>
              <w:t>/</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adjustRightInd w:val="0"/>
              <w:snapToGrid w:val="0"/>
              <w:spacing w:line="320" w:lineRule="exact"/>
              <w:jc w:val="center"/>
              <w:rPr>
                <w:color w:val="auto"/>
                <w:szCs w:val="21"/>
              </w:rPr>
            </w:pPr>
            <w:r>
              <w:rPr>
                <w:color w:val="auto"/>
                <w:szCs w:val="21"/>
              </w:rPr>
              <w:t>固体废物</w:t>
            </w:r>
          </w:p>
        </w:tc>
        <w:tc>
          <w:tcPr>
            <w:tcW w:w="7873" w:type="dxa"/>
            <w:gridSpan w:val="4"/>
            <w:vAlign w:val="center"/>
          </w:tcPr>
          <w:p>
            <w:pPr>
              <w:spacing w:line="360" w:lineRule="auto"/>
              <w:ind w:firstLine="420" w:firstLineChars="200"/>
              <w:rPr>
                <w:color w:val="auto"/>
              </w:rPr>
            </w:pPr>
            <w:r>
              <w:rPr>
                <w:rFonts w:hint="eastAsia"/>
                <w:color w:val="auto"/>
              </w:rPr>
              <w:t>1、生活垃圾：生活垃圾收集由环卫部门统一清运；</w:t>
            </w:r>
          </w:p>
          <w:p>
            <w:pPr>
              <w:spacing w:line="360" w:lineRule="auto"/>
              <w:ind w:firstLine="420" w:firstLineChars="200"/>
              <w:rPr>
                <w:rFonts w:hint="eastAsia"/>
                <w:color w:val="auto"/>
              </w:rPr>
            </w:pPr>
            <w:r>
              <w:rPr>
                <w:rFonts w:hint="eastAsia"/>
                <w:color w:val="auto"/>
              </w:rPr>
              <w:t>2、一般固废：</w:t>
            </w:r>
            <w:r>
              <w:rPr>
                <w:rFonts w:hint="eastAsia"/>
                <w:color w:val="auto"/>
                <w:lang w:val="en-US" w:eastAsia="zh-CN"/>
              </w:rPr>
              <w:t>布袋除尘器收集灰：收集后回用于生产；分拣废塑料、废金属收集后外售资源回收厂家</w:t>
            </w:r>
            <w:r>
              <w:rPr>
                <w:rFonts w:hint="eastAsia"/>
                <w:color w:val="auto"/>
              </w:rPr>
              <w:t>；</w:t>
            </w:r>
          </w:p>
          <w:p>
            <w:pPr>
              <w:pStyle w:val="23"/>
              <w:spacing w:line="320" w:lineRule="exact"/>
              <w:ind w:left="0" w:leftChars="0" w:firstLine="0" w:firstLineChars="0"/>
              <w:rPr>
                <w:color w:val="auto"/>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adjustRightInd w:val="0"/>
              <w:snapToGrid w:val="0"/>
              <w:spacing w:line="360" w:lineRule="auto"/>
              <w:jc w:val="center"/>
              <w:rPr>
                <w:color w:val="auto"/>
                <w:szCs w:val="21"/>
              </w:rPr>
            </w:pPr>
            <w:r>
              <w:rPr>
                <w:color w:val="auto"/>
                <w:szCs w:val="21"/>
              </w:rPr>
              <w:t>土壤及地下水污染防治措施</w:t>
            </w:r>
          </w:p>
        </w:tc>
        <w:tc>
          <w:tcPr>
            <w:tcW w:w="7873" w:type="dxa"/>
            <w:gridSpan w:val="4"/>
            <w:vAlign w:val="center"/>
          </w:tcPr>
          <w:p>
            <w:pPr>
              <w:numPr>
                <w:ilvl w:val="0"/>
                <w:numId w:val="7"/>
              </w:numPr>
              <w:adjustRightInd w:val="0"/>
              <w:snapToGrid w:val="0"/>
              <w:spacing w:line="360" w:lineRule="auto"/>
              <w:ind w:firstLine="420" w:firstLineChars="200"/>
              <w:rPr>
                <w:color w:val="auto"/>
                <w:szCs w:val="21"/>
                <w:highlight w:val="none"/>
              </w:rPr>
            </w:pPr>
            <w:r>
              <w:rPr>
                <w:rFonts w:hint="eastAsia"/>
                <w:color w:val="auto"/>
                <w:szCs w:val="21"/>
                <w:highlight w:val="none"/>
              </w:rPr>
              <w:t>重点防渗区措施：搅拌池、调浆池、循环池、储浆池采用混凝土硬化地面+2.0mmHDPE防渗膜。防渗系数为</w:t>
            </w:r>
            <w:r>
              <w:rPr>
                <w:rFonts w:hint="eastAsia" w:cs="宋体"/>
                <w:color w:val="auto"/>
                <w:kern w:val="0"/>
                <w:szCs w:val="21"/>
                <w:highlight w:val="none"/>
                <w:lang w:bidi="zh-CN"/>
              </w:rPr>
              <w:t>K≤1×10</w:t>
            </w:r>
            <w:r>
              <w:rPr>
                <w:rFonts w:hint="eastAsia" w:cs="宋体"/>
                <w:color w:val="auto"/>
                <w:kern w:val="0"/>
                <w:szCs w:val="21"/>
                <w:highlight w:val="none"/>
                <w:vertAlign w:val="superscript"/>
                <w:lang w:bidi="zh-CN"/>
              </w:rPr>
              <w:t>-10</w:t>
            </w:r>
            <w:r>
              <w:rPr>
                <w:rFonts w:hint="eastAsia" w:cs="宋体"/>
                <w:color w:val="auto"/>
                <w:kern w:val="0"/>
                <w:szCs w:val="21"/>
                <w:highlight w:val="none"/>
                <w:lang w:bidi="zh-CN"/>
              </w:rPr>
              <w:t>cm/s。</w:t>
            </w:r>
          </w:p>
          <w:p>
            <w:pPr>
              <w:adjustRightInd w:val="0"/>
              <w:snapToGrid w:val="0"/>
              <w:spacing w:line="360" w:lineRule="auto"/>
              <w:ind w:firstLine="420" w:firstLineChars="200"/>
              <w:rPr>
                <w:color w:val="auto"/>
                <w:szCs w:val="21"/>
                <w:highlight w:val="none"/>
              </w:rPr>
            </w:pPr>
            <w:r>
              <w:rPr>
                <w:rFonts w:hint="eastAsia"/>
                <w:color w:val="auto"/>
                <w:szCs w:val="21"/>
                <w:highlight w:val="none"/>
              </w:rPr>
              <w:t>2、一般防渗区设施：生产车间其他区域、固废库房、成品库房采用抗渗混凝土硬化地面，防渗系数为</w:t>
            </w:r>
            <w:r>
              <w:rPr>
                <w:rFonts w:hint="eastAsia" w:cs="宋体"/>
                <w:color w:val="auto"/>
                <w:kern w:val="0"/>
                <w:szCs w:val="21"/>
                <w:highlight w:val="none"/>
                <w:lang w:bidi="zh-CN"/>
              </w:rPr>
              <w:t>K≤1×10</w:t>
            </w:r>
            <w:r>
              <w:rPr>
                <w:rFonts w:hint="eastAsia" w:cs="宋体"/>
                <w:color w:val="auto"/>
                <w:kern w:val="0"/>
                <w:szCs w:val="21"/>
                <w:highlight w:val="none"/>
                <w:vertAlign w:val="superscript"/>
                <w:lang w:bidi="zh-CN"/>
              </w:rPr>
              <w:t>-7</w:t>
            </w:r>
            <w:r>
              <w:rPr>
                <w:rFonts w:hint="eastAsia" w:cs="宋体"/>
                <w:color w:val="auto"/>
                <w:kern w:val="0"/>
                <w:szCs w:val="21"/>
                <w:highlight w:val="none"/>
                <w:lang w:bidi="zh-CN"/>
              </w:rPr>
              <w:t>cm/s。</w:t>
            </w:r>
          </w:p>
          <w:p>
            <w:pPr>
              <w:adjustRightInd w:val="0"/>
              <w:snapToGrid w:val="0"/>
              <w:spacing w:line="360" w:lineRule="auto"/>
              <w:ind w:firstLine="420" w:firstLineChars="200"/>
              <w:rPr>
                <w:color w:val="auto"/>
                <w:szCs w:val="21"/>
              </w:rPr>
            </w:pPr>
            <w:r>
              <w:rPr>
                <w:rFonts w:hint="eastAsia"/>
                <w:color w:val="auto"/>
                <w:szCs w:val="21"/>
                <w:highlight w:val="none"/>
              </w:rPr>
              <w:t>3、简单防渗区防渗措施：生活区、厂区道路仅对地面进行硬化。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adjustRightInd w:val="0"/>
              <w:snapToGrid w:val="0"/>
              <w:spacing w:line="360" w:lineRule="auto"/>
              <w:jc w:val="center"/>
              <w:rPr>
                <w:color w:val="auto"/>
                <w:szCs w:val="21"/>
              </w:rPr>
            </w:pPr>
            <w:r>
              <w:rPr>
                <w:color w:val="auto"/>
                <w:szCs w:val="21"/>
              </w:rPr>
              <w:t>生态保护措施</w:t>
            </w:r>
          </w:p>
        </w:tc>
        <w:tc>
          <w:tcPr>
            <w:tcW w:w="7873" w:type="dxa"/>
            <w:gridSpan w:val="4"/>
            <w:vAlign w:val="center"/>
          </w:tcPr>
          <w:p>
            <w:pPr>
              <w:adjustRightInd w:val="0"/>
              <w:snapToGrid w:val="0"/>
              <w:spacing w:line="320" w:lineRule="exact"/>
              <w:ind w:firstLine="420" w:firstLineChars="200"/>
              <w:jc w:val="left"/>
              <w:rPr>
                <w:color w:val="auto"/>
                <w:szCs w:val="21"/>
              </w:rPr>
            </w:pPr>
            <w:r>
              <w:rPr>
                <w:rFonts w:hint="eastAsia"/>
                <w:color w:val="auto"/>
                <w:szCs w:val="21"/>
              </w:rPr>
              <w:t>做好厂区绿化工作，以吸收颗粒物达到净化大气环境、滞尘降噪的效果；妥善处置固体废物，杜绝二次污染。</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adjustRightInd w:val="0"/>
              <w:snapToGrid w:val="0"/>
              <w:spacing w:line="360" w:lineRule="auto"/>
              <w:jc w:val="center"/>
              <w:rPr>
                <w:color w:val="auto"/>
                <w:spacing w:val="-8"/>
                <w:szCs w:val="21"/>
              </w:rPr>
            </w:pPr>
            <w:r>
              <w:rPr>
                <w:color w:val="auto"/>
                <w:spacing w:val="-8"/>
                <w:szCs w:val="21"/>
              </w:rPr>
              <w:t>环境风险防范措施</w:t>
            </w:r>
          </w:p>
        </w:tc>
        <w:tc>
          <w:tcPr>
            <w:tcW w:w="7873" w:type="dxa"/>
            <w:gridSpan w:val="4"/>
            <w:vAlign w:val="center"/>
          </w:tcPr>
          <w:p>
            <w:pPr>
              <w:widowControl/>
              <w:spacing w:line="360" w:lineRule="auto"/>
              <w:ind w:firstLine="420" w:firstLineChars="200"/>
              <w:jc w:val="left"/>
              <w:rPr>
                <w:rFonts w:hint="eastAsia"/>
                <w:color w:val="auto"/>
                <w:highlight w:val="none"/>
              </w:rPr>
            </w:pPr>
            <w:r>
              <w:rPr>
                <w:rFonts w:hint="eastAsia"/>
                <w:color w:val="auto"/>
                <w:highlight w:val="none"/>
              </w:rPr>
              <w:t>①加强对场内的安全管理，做好防火消防工作，做到专人管理、专人负责，设置禁火标志，做好防渗、围堰等。</w:t>
            </w:r>
          </w:p>
          <w:p>
            <w:pPr>
              <w:widowControl/>
              <w:spacing w:line="360" w:lineRule="auto"/>
              <w:ind w:firstLine="420" w:firstLineChars="200"/>
              <w:jc w:val="left"/>
              <w:rPr>
                <w:color w:val="auto"/>
              </w:rPr>
            </w:pPr>
            <w:r>
              <w:rPr>
                <w:rFonts w:hint="eastAsia"/>
                <w:color w:val="auto"/>
                <w:highlight w:val="none"/>
              </w:rPr>
              <w:t>②设置应急事故池</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27" w:type="dxa"/>
            <w:vAlign w:val="center"/>
          </w:tcPr>
          <w:p>
            <w:pPr>
              <w:adjustRightInd w:val="0"/>
              <w:snapToGrid w:val="0"/>
              <w:spacing w:line="360" w:lineRule="auto"/>
              <w:jc w:val="center"/>
              <w:rPr>
                <w:color w:val="auto"/>
                <w:spacing w:val="-8"/>
                <w:szCs w:val="21"/>
              </w:rPr>
            </w:pPr>
            <w:r>
              <w:rPr>
                <w:color w:val="auto"/>
                <w:spacing w:val="-8"/>
                <w:szCs w:val="21"/>
              </w:rPr>
              <w:t>其他环境管理要求</w:t>
            </w:r>
          </w:p>
        </w:tc>
        <w:tc>
          <w:tcPr>
            <w:tcW w:w="7873" w:type="dxa"/>
            <w:gridSpan w:val="4"/>
            <w:vAlign w:val="top"/>
          </w:tcPr>
          <w:p>
            <w:pPr>
              <w:adjustRightInd w:val="0"/>
              <w:snapToGrid w:val="0"/>
              <w:spacing w:line="360" w:lineRule="auto"/>
              <w:ind w:firstLine="422" w:firstLineChars="200"/>
              <w:jc w:val="both"/>
              <w:rPr>
                <w:rFonts w:hint="eastAsia"/>
                <w:b/>
                <w:bCs/>
                <w:color w:val="auto"/>
                <w:lang w:val="en-US" w:eastAsia="zh-CN"/>
              </w:rPr>
            </w:pPr>
            <w:r>
              <w:rPr>
                <w:rFonts w:hint="eastAsia"/>
                <w:b/>
                <w:bCs/>
                <w:color w:val="auto"/>
                <w:lang w:val="en-US" w:eastAsia="zh-CN"/>
              </w:rPr>
              <w:t>1、环境管理</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环境管理建设单位内部污染源监督管理的重要组成部分。在企业中建立健全的环保机构，加强环保管理工作，开展厂内环境监测、监督，并把环保工作纳入生产管理，有助于控制和减少污染物的排放、促进资源的合理回用，对减轻环境污染、保护环境有着重要意义。</w:t>
            </w:r>
          </w:p>
          <w:p>
            <w:pPr>
              <w:adjustRightInd w:val="0"/>
              <w:snapToGrid w:val="0"/>
              <w:spacing w:line="360" w:lineRule="auto"/>
              <w:ind w:firstLine="422" w:firstLineChars="200"/>
              <w:jc w:val="both"/>
              <w:rPr>
                <w:rFonts w:hint="eastAsia"/>
                <w:b/>
                <w:bCs/>
                <w:color w:val="auto"/>
                <w:szCs w:val="21"/>
                <w:lang w:val="en-US" w:eastAsia="zh-CN"/>
              </w:rPr>
            </w:pPr>
            <w:r>
              <w:rPr>
                <w:rFonts w:hint="eastAsia"/>
                <w:b/>
                <w:bCs/>
                <w:color w:val="auto"/>
                <w:szCs w:val="21"/>
                <w:lang w:val="en-US" w:eastAsia="zh-CN"/>
              </w:rPr>
              <w:t>（1）环境管理</w:t>
            </w:r>
          </w:p>
          <w:p>
            <w:pPr>
              <w:adjustRightInd w:val="0"/>
              <w:snapToGrid w:val="0"/>
              <w:spacing w:line="360" w:lineRule="auto"/>
              <w:ind w:firstLine="420" w:firstLineChars="200"/>
              <w:jc w:val="both"/>
              <w:rPr>
                <w:rFonts w:hint="eastAsia"/>
                <w:color w:val="auto"/>
                <w:szCs w:val="21"/>
                <w:lang w:val="en-US" w:eastAsia="zh-CN"/>
              </w:rPr>
            </w:pPr>
            <w:r>
              <w:rPr>
                <w:rFonts w:hint="eastAsia"/>
                <w:color w:val="auto"/>
                <w:szCs w:val="21"/>
                <w:lang w:val="en-US" w:eastAsia="zh-CN"/>
              </w:rPr>
              <w:t>为贯彻环境保护法规，促进项目社会效益、经济效益、环境效益的协调统一，对项目污染排放及区域环境质量实行监控，为区域环境管理与环境规划提供科学依据，必须加强企业环境管理与监测工作，建议建设单位至少指派1人负责企业环境管理与监测工作。环境管理采取总经理负责制，具体工作如下：</w:t>
            </w:r>
          </w:p>
          <w:p>
            <w:pPr>
              <w:adjustRightInd w:val="0"/>
              <w:snapToGrid w:val="0"/>
              <w:spacing w:line="360" w:lineRule="auto"/>
              <w:ind w:firstLine="420" w:firstLineChars="200"/>
              <w:jc w:val="both"/>
              <w:rPr>
                <w:rFonts w:hint="eastAsia"/>
                <w:color w:val="auto"/>
                <w:szCs w:val="21"/>
                <w:lang w:val="en-US" w:eastAsia="zh-CN"/>
              </w:rPr>
            </w:pPr>
            <w:r>
              <w:rPr>
                <w:rFonts w:hint="eastAsia"/>
                <w:color w:val="auto"/>
                <w:szCs w:val="21"/>
                <w:lang w:val="en-US" w:eastAsia="zh-CN"/>
              </w:rPr>
              <w:t>①贯彻执行国家和自治区现行各项环保方针、政策、法规和标准，并认真执行环保行政管理部门下达的各项任务。</w:t>
            </w:r>
          </w:p>
          <w:p>
            <w:pPr>
              <w:adjustRightInd w:val="0"/>
              <w:snapToGrid w:val="0"/>
              <w:spacing w:line="360" w:lineRule="auto"/>
              <w:ind w:firstLine="420" w:firstLineChars="200"/>
              <w:jc w:val="both"/>
              <w:rPr>
                <w:rFonts w:hint="eastAsia"/>
                <w:color w:val="auto"/>
                <w:szCs w:val="21"/>
                <w:lang w:val="en-US" w:eastAsia="zh-CN"/>
              </w:rPr>
            </w:pPr>
            <w:r>
              <w:rPr>
                <w:rFonts w:hint="eastAsia"/>
                <w:color w:val="auto"/>
                <w:szCs w:val="21"/>
                <w:lang w:val="en-US" w:eastAsia="zh-CN"/>
              </w:rPr>
              <w:t>②建立各项环境保护规章制度，并经常进行监督检查。</w:t>
            </w:r>
          </w:p>
          <w:p>
            <w:pPr>
              <w:adjustRightInd w:val="0"/>
              <w:snapToGrid w:val="0"/>
              <w:spacing w:line="360" w:lineRule="auto"/>
              <w:ind w:firstLine="420" w:firstLineChars="200"/>
              <w:jc w:val="both"/>
              <w:rPr>
                <w:rFonts w:hint="eastAsia"/>
                <w:color w:val="auto"/>
                <w:szCs w:val="21"/>
                <w:lang w:val="en-US" w:eastAsia="zh-CN"/>
              </w:rPr>
            </w:pPr>
            <w:r>
              <w:rPr>
                <w:rFonts w:hint="eastAsia"/>
                <w:color w:val="auto"/>
                <w:szCs w:val="21"/>
                <w:lang w:val="en-US" w:eastAsia="zh-CN"/>
              </w:rPr>
              <w:t>③定期对各污染源进行检查，请当地环境监测部门对本企业污染源排放情况进行监测，了解各污染源动态，及时发现和掌握企业污染变化情况，从而制定相应处理措施。</w:t>
            </w:r>
          </w:p>
          <w:p>
            <w:pPr>
              <w:adjustRightInd w:val="0"/>
              <w:snapToGrid w:val="0"/>
              <w:spacing w:line="360" w:lineRule="auto"/>
              <w:ind w:firstLine="420" w:firstLineChars="200"/>
              <w:jc w:val="both"/>
              <w:rPr>
                <w:rFonts w:hint="eastAsia"/>
                <w:color w:val="auto"/>
                <w:szCs w:val="21"/>
                <w:lang w:val="en-US" w:eastAsia="zh-CN"/>
              </w:rPr>
            </w:pPr>
            <w:r>
              <w:rPr>
                <w:rFonts w:hint="eastAsia"/>
                <w:color w:val="auto"/>
                <w:szCs w:val="21"/>
                <w:lang w:val="en-US" w:eastAsia="zh-CN"/>
              </w:rPr>
              <w:t>④加强对污染治理设施的管理、检查及维护，确保污染治理设施正常运行，并把污染治理设施的治理效率按生产指标一样进行考核，以防止污染事故发生。</w:t>
            </w:r>
          </w:p>
          <w:p>
            <w:pPr>
              <w:adjustRightInd w:val="0"/>
              <w:snapToGrid w:val="0"/>
              <w:spacing w:line="360" w:lineRule="auto"/>
              <w:ind w:firstLine="420" w:firstLineChars="200"/>
              <w:jc w:val="both"/>
              <w:rPr>
                <w:rFonts w:hint="eastAsia"/>
                <w:color w:val="auto"/>
                <w:szCs w:val="21"/>
                <w:lang w:val="en-US" w:eastAsia="zh-CN"/>
              </w:rPr>
            </w:pPr>
            <w:r>
              <w:rPr>
                <w:rFonts w:hint="eastAsia"/>
                <w:color w:val="auto"/>
                <w:szCs w:val="21"/>
                <w:lang w:val="en-US" w:eastAsia="zh-CN"/>
              </w:rPr>
              <w:t>⑤学习并推广应用先进的环保技术和经验，组织污染治理设施操作人员进行岗前专业技术培训。</w:t>
            </w:r>
          </w:p>
          <w:p>
            <w:pPr>
              <w:adjustRightInd w:val="0"/>
              <w:snapToGrid w:val="0"/>
              <w:spacing w:line="360" w:lineRule="auto"/>
              <w:ind w:firstLine="420" w:firstLineChars="200"/>
              <w:jc w:val="both"/>
              <w:rPr>
                <w:rFonts w:hint="eastAsia"/>
                <w:color w:val="auto"/>
                <w:szCs w:val="21"/>
                <w:lang w:val="en-US" w:eastAsia="zh-CN"/>
              </w:rPr>
            </w:pPr>
            <w:r>
              <w:rPr>
                <w:rFonts w:hint="eastAsia"/>
                <w:color w:val="auto"/>
                <w:szCs w:val="21"/>
                <w:lang w:val="en-US" w:eastAsia="zh-CN"/>
              </w:rPr>
              <w:t>⑥对职工进行环保宣传教育，增强职工环保意识。</w:t>
            </w:r>
          </w:p>
          <w:p>
            <w:pPr>
              <w:adjustRightInd w:val="0"/>
              <w:snapToGrid w:val="0"/>
              <w:spacing w:line="360" w:lineRule="auto"/>
              <w:ind w:firstLine="420" w:firstLineChars="200"/>
              <w:jc w:val="both"/>
              <w:rPr>
                <w:rFonts w:hint="eastAsia"/>
                <w:color w:val="auto"/>
                <w:szCs w:val="21"/>
                <w:lang w:val="en-US" w:eastAsia="zh-CN"/>
              </w:rPr>
            </w:pPr>
            <w:r>
              <w:rPr>
                <w:rFonts w:hint="eastAsia"/>
                <w:color w:val="auto"/>
                <w:szCs w:val="21"/>
                <w:lang w:val="en-US" w:eastAsia="zh-CN"/>
              </w:rPr>
              <w:t>⑦建立固体废物管理台账要求，如实记录产生的固体废物的种类、数量、去向等内容，每年年底编制固体废物环境管理。</w:t>
            </w:r>
          </w:p>
          <w:p>
            <w:pPr>
              <w:adjustRightInd w:val="0"/>
              <w:snapToGrid w:val="0"/>
              <w:spacing w:line="360" w:lineRule="auto"/>
              <w:ind w:firstLine="420" w:firstLineChars="200"/>
              <w:jc w:val="both"/>
              <w:rPr>
                <w:rFonts w:hint="default" w:eastAsia="宋体"/>
                <w:color w:val="auto"/>
                <w:szCs w:val="21"/>
                <w:lang w:val="en-US" w:eastAsia="zh-CN"/>
              </w:rPr>
            </w:pPr>
            <w:r>
              <w:rPr>
                <w:rFonts w:hint="eastAsia"/>
                <w:color w:val="auto"/>
                <w:szCs w:val="21"/>
                <w:lang w:val="en-US" w:eastAsia="zh-CN"/>
              </w:rPr>
              <w:t>⑧建设单位应委托环境监理机构依据环境影响评价文件、环境保护行政主管部门批复及环境监理合同，对项目施工建设实行的环境保护监督管理（环境监理资料和工程质量验收资料要作为本项目建成后竣工环境保护验收的技术支撑资料）年报，报当地生态环境保护部门。</w:t>
            </w:r>
          </w:p>
          <w:p>
            <w:pPr>
              <w:adjustRightInd w:val="0"/>
              <w:snapToGrid w:val="0"/>
              <w:spacing w:line="360" w:lineRule="auto"/>
              <w:ind w:firstLine="422" w:firstLineChars="200"/>
              <w:jc w:val="both"/>
              <w:rPr>
                <w:rFonts w:hint="eastAsia"/>
                <w:b/>
                <w:bCs/>
                <w:color w:val="auto"/>
                <w:szCs w:val="21"/>
                <w:lang w:val="en-US" w:eastAsia="zh-CN"/>
              </w:rPr>
            </w:pPr>
            <w:r>
              <w:rPr>
                <w:rFonts w:hint="eastAsia"/>
                <w:b/>
                <w:bCs/>
                <w:color w:val="auto"/>
                <w:szCs w:val="21"/>
                <w:lang w:val="en-US" w:eastAsia="zh-CN"/>
              </w:rPr>
              <w:t>（2）严格落实排污许可证制度</w:t>
            </w:r>
          </w:p>
          <w:p>
            <w:pPr>
              <w:adjustRightInd w:val="0"/>
              <w:snapToGrid w:val="0"/>
              <w:spacing w:line="360" w:lineRule="auto"/>
              <w:ind w:firstLine="420" w:firstLineChars="200"/>
              <w:jc w:val="both"/>
              <w:rPr>
                <w:rFonts w:hint="eastAsia"/>
                <w:color w:val="auto"/>
                <w:szCs w:val="21"/>
                <w:lang w:val="en-US" w:eastAsia="zh-CN"/>
              </w:rPr>
            </w:pPr>
            <w:r>
              <w:rPr>
                <w:rFonts w:hint="eastAsia"/>
                <w:color w:val="auto"/>
                <w:szCs w:val="21"/>
                <w:lang w:val="en-US" w:eastAsia="zh-CN"/>
              </w:rPr>
              <w:t>1）落实按证排污责任</w:t>
            </w:r>
          </w:p>
          <w:p>
            <w:pPr>
              <w:adjustRightInd w:val="0"/>
              <w:snapToGrid w:val="0"/>
              <w:spacing w:line="360" w:lineRule="auto"/>
              <w:ind w:firstLine="420" w:firstLineChars="200"/>
              <w:jc w:val="both"/>
              <w:rPr>
                <w:rFonts w:hint="default" w:eastAsia="宋体"/>
                <w:color w:val="auto"/>
                <w:szCs w:val="21"/>
                <w:lang w:val="en-US" w:eastAsia="zh-CN"/>
              </w:rPr>
            </w:pPr>
            <w:r>
              <w:rPr>
                <w:rFonts w:hint="eastAsia"/>
                <w:color w:val="auto"/>
                <w:szCs w:val="21"/>
                <w:lang w:val="en-US" w:eastAsia="zh-CN"/>
              </w:rPr>
              <w:t>建设单位必须按期持证排污、按证排污，不得无证排污，及时申领排污许可证，对申请材料的真实性、准确性和完整性承担法律责任，承诺按照排污许可证的规定排污并严格执行；落实污染物排放控制措施和其他各项环境管理要求，确保污染物排放种类、浓度和排放量等达到许可要求；明确单位负责人和相关人员环境保护责任，不断提高污染治理和环境管理水平，自觉接受监督检查。</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2）实行自行监测和定期报告制度</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依法开展自行监测，安装或使用监测设备应符合国家有关环境监测、计量认证规定和技术规范，保障数据合法有效，保证设备正常运行，妥善保存原始记录，建立准确完整的环境管理台账。如实向环境保护部门报告排污许可证执行情况，依法向社会公开污染物排放数据并对数据真实性负责。排放情况与排污许可证要求不符的，应及时向环境保护部门报告。</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3）排污许可证管理</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根据《关于做好环境影响评价制度与排污许可制衔接相关工作的通知》（环办环评[2017]84号），本项目与排污许可制度衔接工作如下：</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①在排污许可管理中，应严格按照本评价的要求核发排污许可证；</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②在核发排污许可证时应严格核定排放口数量、位置以及每个排放口的污染物种类、允许排放浓度和允许排放量、排放方式、排放去向、自行监测计划等与污染物排放相关的主要内容；</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③项目在发生实际排污行为之前，排污单位应当按照国家环境保护相关法律法规及排污许可证申请与核发技术规范要求申请排污许可证，不得无证排污或不按证排污。</w:t>
            </w:r>
          </w:p>
          <w:p>
            <w:pPr>
              <w:adjustRightInd w:val="0"/>
              <w:snapToGrid w:val="0"/>
              <w:spacing w:line="360" w:lineRule="auto"/>
              <w:ind w:firstLine="422" w:firstLineChars="200"/>
              <w:jc w:val="both"/>
              <w:rPr>
                <w:rFonts w:hint="default" w:eastAsia="宋体"/>
                <w:b/>
                <w:bCs/>
                <w:color w:val="auto"/>
                <w:szCs w:val="21"/>
                <w:lang w:val="en-US" w:eastAsia="zh-CN"/>
              </w:rPr>
            </w:pPr>
            <w:r>
              <w:rPr>
                <w:rFonts w:hint="eastAsia"/>
                <w:b/>
                <w:bCs/>
                <w:color w:val="auto"/>
                <w:szCs w:val="21"/>
                <w:lang w:val="en-US" w:eastAsia="zh-CN"/>
              </w:rPr>
              <w:t>（3）</w:t>
            </w:r>
            <w:r>
              <w:rPr>
                <w:rFonts w:hint="default" w:eastAsia="宋体"/>
                <w:b/>
                <w:bCs/>
                <w:color w:val="auto"/>
                <w:szCs w:val="21"/>
                <w:lang w:val="en-US" w:eastAsia="zh-CN"/>
              </w:rPr>
              <w:t>排污口规范化设置</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根据国家标准《环境保护图形标志—排放口（源）》和国家环保总局《排污口规范化整治要求（试行》的技术要求，企业所有排放口（包括气、声、渣）必须按照</w:t>
            </w:r>
            <w:r>
              <w:rPr>
                <w:rFonts w:hint="eastAsia"/>
                <w:color w:val="auto"/>
                <w:szCs w:val="21"/>
                <w:lang w:val="en-US" w:eastAsia="zh-CN"/>
              </w:rPr>
              <w:t>“</w:t>
            </w:r>
            <w:r>
              <w:rPr>
                <w:rFonts w:hint="default" w:eastAsia="宋体"/>
                <w:color w:val="auto"/>
                <w:szCs w:val="21"/>
                <w:lang w:val="en-US" w:eastAsia="zh-CN"/>
              </w:rPr>
              <w:t>便于采样、便于计量监测、便于日常现场监督检查</w:t>
            </w:r>
            <w:r>
              <w:rPr>
                <w:rFonts w:hint="eastAsia"/>
                <w:color w:val="auto"/>
                <w:szCs w:val="21"/>
                <w:lang w:val="en-US" w:eastAsia="zh-CN"/>
              </w:rPr>
              <w:t>”</w:t>
            </w:r>
            <w:r>
              <w:rPr>
                <w:rFonts w:hint="default" w:eastAsia="宋体"/>
                <w:color w:val="auto"/>
                <w:szCs w:val="21"/>
                <w:lang w:val="en-US" w:eastAsia="zh-CN"/>
              </w:rPr>
              <w:t>的原则和规范化要求，设置与之相适应的环境保护图形标志牌，绘制企业排污口分布图，排污口的规范化要符合环境监察部门及水利部门的相关要求。</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在厂区</w:t>
            </w:r>
            <w:r>
              <w:rPr>
                <w:rFonts w:hint="eastAsia"/>
                <w:color w:val="auto"/>
                <w:szCs w:val="21"/>
                <w:lang w:val="en-US" w:eastAsia="zh-CN"/>
              </w:rPr>
              <w:t>“</w:t>
            </w:r>
            <w:r>
              <w:rPr>
                <w:rFonts w:hint="default" w:eastAsia="宋体"/>
                <w:color w:val="auto"/>
                <w:szCs w:val="21"/>
                <w:lang w:val="en-US" w:eastAsia="zh-CN"/>
              </w:rPr>
              <w:t>三废</w:t>
            </w:r>
            <w:r>
              <w:rPr>
                <w:rFonts w:hint="eastAsia"/>
                <w:color w:val="auto"/>
                <w:szCs w:val="21"/>
                <w:lang w:val="en-US" w:eastAsia="zh-CN"/>
              </w:rPr>
              <w:t>”</w:t>
            </w:r>
            <w:r>
              <w:rPr>
                <w:rFonts w:hint="default" w:eastAsia="宋体"/>
                <w:color w:val="auto"/>
                <w:szCs w:val="21"/>
                <w:lang w:val="en-US" w:eastAsia="zh-CN"/>
              </w:rPr>
              <w:t>及噪声排放点，设置明显标志，标志的设置应执行《环境保护图形标志排放口》(15562.1-1995)、《环境保护图形标志固体废物贮存（处置）场》(15562.2-1995）中有关规定。</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①废气排放口必须符合规定的高度和按《污染源监测技术规范》便于采样、监测的要求，设置采样口，如无法满足要求的，其采样口与环境监测部门共同确认</w:t>
            </w:r>
            <w:r>
              <w:rPr>
                <w:rFonts w:hint="eastAsia"/>
                <w:color w:val="auto"/>
                <w:szCs w:val="21"/>
                <w:lang w:val="en-US" w:eastAsia="zh-CN"/>
              </w:rPr>
              <w:t>。</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②设置标志牌环境保护图形标志牌由国家环保总局统一定点制作，并由市环境监察部门根据企业排污情况统一向国家环保总局订购。企业排污口分布图由市环境监察部门统一绘制。标志牌设置位置在排污口（采样点）附近醒目处，高度为标志牌上边缘离地面2m。排污口附近1m范围内有建筑物的，设现面式标志牌，无建筑物的设立式标志牌。规范排污口的有关设置（如图形标专牌、计量装置等）均属于环保设施，排污单位必须负责日常的维护保养，任何单位和个人不得擅自拆除，如需要变更的须报环境监察部门同意并变更手续。</w:t>
            </w:r>
          </w:p>
          <w:p>
            <w:pPr>
              <w:adjustRightInd w:val="0"/>
              <w:snapToGrid w:val="0"/>
              <w:spacing w:line="360" w:lineRule="auto"/>
              <w:ind w:firstLine="422" w:firstLineChars="200"/>
              <w:jc w:val="both"/>
              <w:rPr>
                <w:rFonts w:hint="default" w:eastAsia="宋体"/>
                <w:b/>
                <w:bCs/>
                <w:color w:val="auto"/>
                <w:szCs w:val="21"/>
                <w:lang w:val="en-US" w:eastAsia="zh-CN"/>
              </w:rPr>
            </w:pPr>
            <w:r>
              <w:rPr>
                <w:rFonts w:hint="eastAsia"/>
                <w:b/>
                <w:bCs/>
                <w:color w:val="auto"/>
                <w:szCs w:val="21"/>
                <w:lang w:val="en-US" w:eastAsia="zh-CN"/>
              </w:rPr>
              <w:t>（4）</w:t>
            </w:r>
            <w:r>
              <w:rPr>
                <w:rFonts w:hint="default" w:eastAsia="宋体"/>
                <w:b/>
                <w:bCs/>
                <w:color w:val="auto"/>
                <w:szCs w:val="21"/>
                <w:lang w:val="en-US" w:eastAsia="zh-CN"/>
              </w:rPr>
              <w:t>环保竣工验收</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根据《建设项目环境保护管理条例》（2017年修订版）以及建设单位自主开展建设项目竣工环境保护验收的相关要求。</w:t>
            </w:r>
          </w:p>
          <w:p>
            <w:pPr>
              <w:adjustRightInd w:val="0"/>
              <w:snapToGrid w:val="0"/>
              <w:spacing w:line="360" w:lineRule="auto"/>
              <w:ind w:firstLine="420" w:firstLineChars="200"/>
              <w:jc w:val="both"/>
              <w:rPr>
                <w:rFonts w:hint="default" w:eastAsia="宋体"/>
                <w:color w:val="auto"/>
                <w:szCs w:val="21"/>
                <w:lang w:val="en-US" w:eastAsia="zh-CN"/>
              </w:rPr>
            </w:pPr>
            <w:r>
              <w:rPr>
                <w:rFonts w:hint="default" w:eastAsia="宋体"/>
                <w:color w:val="auto"/>
                <w:szCs w:val="21"/>
                <w:lang w:val="en-US" w:eastAsia="zh-CN"/>
              </w:rPr>
              <w:t>环境污染防治设施必须与主体工程同时设计、同时施工、同时投入使用。在工程完成后，建设单位应对环境保护设施进行验收。</w:t>
            </w:r>
          </w:p>
          <w:p>
            <w:pPr>
              <w:adjustRightInd w:val="0"/>
              <w:snapToGrid w:val="0"/>
              <w:spacing w:line="360" w:lineRule="auto"/>
              <w:ind w:firstLine="420" w:firstLineChars="200"/>
              <w:jc w:val="both"/>
              <w:rPr>
                <w:rFonts w:hint="default" w:eastAsia="宋体"/>
                <w:color w:val="auto"/>
                <w:szCs w:val="21"/>
                <w:lang w:val="en-US" w:eastAsia="zh-CN"/>
              </w:rPr>
            </w:pPr>
          </w:p>
          <w:p>
            <w:pPr>
              <w:adjustRightInd w:val="0"/>
              <w:snapToGrid w:val="0"/>
              <w:spacing w:line="360" w:lineRule="auto"/>
              <w:ind w:firstLine="420" w:firstLineChars="200"/>
              <w:jc w:val="both"/>
              <w:rPr>
                <w:rFonts w:hint="default" w:eastAsia="宋体"/>
                <w:color w:val="auto"/>
                <w:szCs w:val="21"/>
                <w:lang w:val="en-US" w:eastAsia="zh-CN"/>
              </w:rPr>
            </w:pPr>
          </w:p>
          <w:p>
            <w:pPr>
              <w:adjustRightInd w:val="0"/>
              <w:snapToGrid w:val="0"/>
              <w:spacing w:line="360" w:lineRule="auto"/>
              <w:ind w:firstLine="420" w:firstLineChars="200"/>
              <w:jc w:val="both"/>
              <w:rPr>
                <w:rFonts w:hint="default" w:eastAsia="宋体"/>
                <w:color w:val="auto"/>
                <w:szCs w:val="21"/>
                <w:lang w:val="en-US" w:eastAsia="zh-CN"/>
              </w:rPr>
            </w:pPr>
          </w:p>
          <w:p>
            <w:pPr>
              <w:adjustRightInd w:val="0"/>
              <w:snapToGrid w:val="0"/>
              <w:spacing w:line="360" w:lineRule="auto"/>
              <w:ind w:firstLine="420" w:firstLineChars="200"/>
              <w:jc w:val="both"/>
              <w:rPr>
                <w:rFonts w:hint="default" w:eastAsia="宋体"/>
                <w:color w:val="auto"/>
                <w:szCs w:val="21"/>
                <w:lang w:val="en-US" w:eastAsia="zh-CN"/>
              </w:rPr>
            </w:pPr>
          </w:p>
          <w:p>
            <w:pPr>
              <w:adjustRightInd w:val="0"/>
              <w:snapToGrid w:val="0"/>
              <w:spacing w:line="360" w:lineRule="auto"/>
              <w:ind w:firstLine="420" w:firstLineChars="200"/>
              <w:jc w:val="both"/>
              <w:rPr>
                <w:rFonts w:hint="default" w:eastAsia="宋体"/>
                <w:color w:val="auto"/>
                <w:szCs w:val="21"/>
                <w:lang w:val="en-US" w:eastAsia="zh-CN"/>
              </w:rPr>
            </w:pPr>
          </w:p>
        </w:tc>
      </w:tr>
    </w:tbl>
    <w:p>
      <w:pPr>
        <w:pStyle w:val="20"/>
        <w:jc w:val="center"/>
        <w:outlineLvl w:val="0"/>
        <w:rPr>
          <w:rFonts w:ascii="黑体" w:hAnsi="黑体" w:eastAsia="黑体"/>
          <w:snapToGrid w:val="0"/>
          <w:color w:val="auto"/>
          <w:sz w:val="30"/>
          <w:szCs w:val="30"/>
        </w:rPr>
      </w:pPr>
      <w:r>
        <w:rPr>
          <w:snapToGrid w:val="0"/>
          <w:color w:val="auto"/>
        </w:rPr>
        <w:br w:type="page"/>
      </w:r>
      <w:bookmarkStart w:id="15" w:name="_Toc7247"/>
      <w:r>
        <w:rPr>
          <w:rFonts w:hint="eastAsia" w:ascii="黑体" w:hAnsi="黑体" w:eastAsia="黑体"/>
          <w:snapToGrid w:val="0"/>
          <w:color w:val="auto"/>
          <w:sz w:val="30"/>
          <w:szCs w:val="30"/>
        </w:rPr>
        <w:t>六、结论</w:t>
      </w:r>
      <w:bookmarkEnd w:id="15"/>
    </w:p>
    <w:tbl>
      <w:tblPr>
        <w:tblStyle w:val="2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8865"/>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991" w:hRule="atLeast"/>
          <w:jc w:val="center"/>
        </w:trPr>
        <w:tc>
          <w:tcPr>
            <w:tcW w:w="8865" w:type="dxa"/>
          </w:tcPr>
          <w:p>
            <w:pPr>
              <w:widowControl/>
              <w:spacing w:line="360" w:lineRule="auto"/>
              <w:ind w:firstLine="420" w:firstLineChars="200"/>
              <w:rPr>
                <w:rFonts w:ascii="宋体" w:hAnsi="宋体" w:cs="宋体"/>
                <w:color w:val="auto"/>
                <w:kern w:val="0"/>
                <w:szCs w:val="21"/>
                <w:lang w:bidi="ar"/>
              </w:rPr>
            </w:pPr>
            <w:r>
              <w:rPr>
                <w:rFonts w:hint="eastAsia" w:ascii="宋体" w:hAnsi="宋体" w:cs="宋体"/>
                <w:color w:val="auto"/>
                <w:kern w:val="0"/>
                <w:szCs w:val="21"/>
                <w:lang w:bidi="ar"/>
              </w:rPr>
              <w:t>新疆卓兴纸业有限公司“</w:t>
            </w:r>
            <w:r>
              <w:rPr>
                <w:rFonts w:hint="eastAsia" w:ascii="宋体" w:hAnsi="宋体"/>
                <w:color w:val="auto"/>
              </w:rPr>
              <w:t>玛纳斯县新疆卓兴有限公司年产4000万个纸质蛋托项目</w:t>
            </w:r>
            <w:r>
              <w:rPr>
                <w:rFonts w:hint="eastAsia" w:ascii="宋体" w:hAnsi="宋体" w:cs="宋体"/>
                <w:color w:val="auto"/>
                <w:kern w:val="0"/>
                <w:szCs w:val="21"/>
                <w:lang w:bidi="ar"/>
              </w:rPr>
              <w:t>”符合国家产业发展政策，项目周围外环境简单，无重大外环境制约因素，项目选址合理。本项目拟采取的各项污染防治措施经济技术可行、措施有效。建设单位只要严格落实本报告提出的环保措施，严格执行环保“三同时”制度，能够最大限度地减轻项目建设对周围环境造成的影响，项目的环境影响为可接受程度，环境风险可控，污染物排放符合总量控制要求。</w:t>
            </w:r>
          </w:p>
          <w:p>
            <w:pPr>
              <w:widowControl/>
              <w:spacing w:line="360" w:lineRule="auto"/>
              <w:ind w:firstLine="420" w:firstLineChars="200"/>
              <w:rPr>
                <w:rFonts w:ascii="宋体" w:cs="宋体"/>
                <w:color w:val="auto"/>
                <w:sz w:val="24"/>
              </w:rPr>
            </w:pPr>
            <w:r>
              <w:rPr>
                <w:rFonts w:hint="eastAsia" w:ascii="宋体" w:hAnsi="宋体" w:cs="宋体"/>
                <w:color w:val="auto"/>
                <w:kern w:val="0"/>
                <w:szCs w:val="21"/>
                <w:lang w:bidi="ar"/>
              </w:rPr>
              <w:t>因此，从环保角度论证，本项目的建设是可行的。</w:t>
            </w:r>
          </w:p>
        </w:tc>
      </w:tr>
    </w:tbl>
    <w:p>
      <w:pPr>
        <w:rPr>
          <w:rFonts w:ascii="宋体"/>
          <w:color w:val="auto"/>
        </w:rPr>
        <w:sectPr>
          <w:pgSz w:w="11906" w:h="16838"/>
          <w:pgMar w:top="1701" w:right="1531" w:bottom="1701" w:left="1531" w:header="851" w:footer="851" w:gutter="0"/>
          <w:pgBorders>
            <w:top w:val="none" w:sz="0" w:space="0"/>
            <w:left w:val="none" w:sz="0" w:space="0"/>
            <w:bottom w:val="none" w:sz="0" w:space="0"/>
            <w:right w:val="none" w:sz="0" w:space="0"/>
          </w:pgBorders>
          <w:pgNumType w:fmt="decimal"/>
          <w:cols w:space="720" w:num="1"/>
          <w:docGrid w:linePitch="312" w:charSpace="0"/>
        </w:sectPr>
      </w:pPr>
    </w:p>
    <w:p>
      <w:pPr>
        <w:bidi w:val="0"/>
        <w:rPr>
          <w:rFonts w:hint="eastAsia" w:ascii="黑体" w:hAnsi="黑体" w:eastAsia="黑体" w:cs="黑体"/>
          <w:color w:val="auto"/>
          <w:sz w:val="32"/>
          <w:szCs w:val="32"/>
        </w:rPr>
      </w:pPr>
      <w:bookmarkStart w:id="16" w:name="_Toc7737"/>
      <w:r>
        <w:rPr>
          <w:rFonts w:hint="eastAsia" w:ascii="黑体" w:hAnsi="黑体" w:eastAsia="黑体" w:cs="黑体"/>
          <w:color w:val="auto"/>
          <w:sz w:val="32"/>
          <w:szCs w:val="32"/>
        </w:rPr>
        <w:t>附表</w:t>
      </w:r>
      <w:bookmarkEnd w:id="16"/>
    </w:p>
    <w:p>
      <w:pPr>
        <w:bidi w:val="0"/>
        <w:jc w:val="center"/>
        <w:rPr>
          <w:rFonts w:hint="eastAsia" w:ascii="黑体" w:hAnsi="黑体" w:eastAsia="黑体" w:cs="黑体"/>
          <w:color w:val="auto"/>
          <w:sz w:val="38"/>
          <w:szCs w:val="38"/>
        </w:rPr>
      </w:pPr>
      <w:bookmarkStart w:id="17" w:name="_Toc23399"/>
      <w:r>
        <w:rPr>
          <w:rFonts w:hint="eastAsia" w:ascii="黑体" w:hAnsi="黑体" w:eastAsia="黑体" w:cs="黑体"/>
          <w:color w:val="auto"/>
          <w:sz w:val="38"/>
          <w:szCs w:val="38"/>
        </w:rPr>
        <w:t>建设项目污染物排放量汇总表</w:t>
      </w:r>
      <w:bookmarkEnd w:id="17"/>
    </w:p>
    <w:tbl>
      <w:tblPr>
        <w:tblStyle w:val="24"/>
        <w:tblW w:w="13788"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588"/>
        <w:gridCol w:w="1417"/>
        <w:gridCol w:w="1701"/>
        <w:gridCol w:w="1276"/>
        <w:gridCol w:w="1701"/>
        <w:gridCol w:w="1559"/>
        <w:gridCol w:w="1383"/>
        <w:gridCol w:w="1965"/>
        <w:gridCol w:w="119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88" w:type="dxa"/>
            <w:tcBorders>
              <w:tl2br w:val="single" w:color="auto" w:sz="4" w:space="0"/>
            </w:tcBorders>
            <w:tcMar>
              <w:left w:w="28" w:type="dxa"/>
              <w:right w:w="28" w:type="dxa"/>
            </w:tcMar>
            <w:vAlign w:val="center"/>
          </w:tcPr>
          <w:p>
            <w:pPr>
              <w:pStyle w:val="44"/>
              <w:spacing w:beforeLines="0" w:afterLines="0" w:line="240" w:lineRule="auto"/>
              <w:jc w:val="right"/>
              <w:rPr>
                <w:rFonts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项目</w:t>
            </w:r>
          </w:p>
          <w:p>
            <w:pPr>
              <w:pStyle w:val="44"/>
              <w:spacing w:beforeLines="0" w:afterLines="0" w:line="240" w:lineRule="auto"/>
              <w:jc w:val="left"/>
              <w:rPr>
                <w:rFonts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分类</w:t>
            </w:r>
          </w:p>
        </w:tc>
        <w:tc>
          <w:tcPr>
            <w:tcW w:w="1417" w:type="dxa"/>
            <w:tcMar>
              <w:left w:w="28" w:type="dxa"/>
              <w:right w:w="28" w:type="dxa"/>
            </w:tcMar>
            <w:vAlign w:val="center"/>
          </w:tcPr>
          <w:p>
            <w:pPr>
              <w:pStyle w:val="44"/>
              <w:spacing w:beforeLines="0" w:afterLines="0" w:line="240" w:lineRule="auto"/>
              <w:rPr>
                <w:rFonts w:ascii="黑体" w:hAnsi="黑体" w:eastAsia="黑体" w:cs="宋体"/>
                <w:snapToGrid w:val="0"/>
                <w:color w:val="auto"/>
                <w:spacing w:val="-6"/>
                <w:kern w:val="21"/>
                <w:szCs w:val="21"/>
              </w:rPr>
            </w:pPr>
            <w:r>
              <w:rPr>
                <w:rFonts w:hint="eastAsia" w:ascii="黑体" w:hAnsi="黑体" w:eastAsia="黑体" w:cs="宋体"/>
                <w:snapToGrid w:val="0"/>
                <w:color w:val="auto"/>
                <w:spacing w:val="-6"/>
                <w:kern w:val="21"/>
                <w:szCs w:val="21"/>
              </w:rPr>
              <w:t>污染物名称</w:t>
            </w:r>
          </w:p>
        </w:tc>
        <w:tc>
          <w:tcPr>
            <w:tcW w:w="1701" w:type="dxa"/>
            <w:tcMar>
              <w:left w:w="28" w:type="dxa"/>
              <w:right w:w="28" w:type="dxa"/>
            </w:tcMar>
            <w:vAlign w:val="center"/>
          </w:tcPr>
          <w:p>
            <w:pPr>
              <w:pStyle w:val="44"/>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pPr>
              <w:pStyle w:val="44"/>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1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①</w:t>
            </w:r>
            <w:r>
              <w:rPr>
                <w:rFonts w:ascii="黑体" w:hAnsi="黑体" w:eastAsia="黑体"/>
                <w:snapToGrid w:val="0"/>
                <w:color w:val="auto"/>
                <w:spacing w:val="-6"/>
                <w:kern w:val="21"/>
                <w:szCs w:val="21"/>
              </w:rPr>
              <w:fldChar w:fldCharType="end"/>
            </w:r>
          </w:p>
        </w:tc>
        <w:tc>
          <w:tcPr>
            <w:tcW w:w="1276" w:type="dxa"/>
            <w:tcMar>
              <w:left w:w="28" w:type="dxa"/>
              <w:right w:w="28" w:type="dxa"/>
            </w:tcMar>
            <w:vAlign w:val="center"/>
          </w:tcPr>
          <w:p>
            <w:pPr>
              <w:pStyle w:val="44"/>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现有工程</w:t>
            </w:r>
          </w:p>
          <w:p>
            <w:pPr>
              <w:pStyle w:val="44"/>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许可排放量</w:t>
            </w:r>
          </w:p>
          <w:p>
            <w:pPr>
              <w:pStyle w:val="44"/>
              <w:spacing w:beforeLines="0" w:afterLines="0"/>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2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snapToGrid w:val="0"/>
                <w:color w:val="auto"/>
                <w:spacing w:val="-6"/>
                <w:kern w:val="21"/>
                <w:szCs w:val="21"/>
              </w:rPr>
              <w:t>②</w:t>
            </w:r>
            <w:r>
              <w:rPr>
                <w:rFonts w:ascii="黑体" w:hAnsi="黑体" w:eastAsia="黑体"/>
                <w:snapToGrid w:val="0"/>
                <w:color w:val="auto"/>
                <w:spacing w:val="-6"/>
                <w:kern w:val="21"/>
                <w:szCs w:val="21"/>
              </w:rPr>
              <w:fldChar w:fldCharType="end"/>
            </w:r>
          </w:p>
        </w:tc>
        <w:tc>
          <w:tcPr>
            <w:tcW w:w="1701" w:type="dxa"/>
            <w:tcMar>
              <w:left w:w="28" w:type="dxa"/>
              <w:right w:w="28" w:type="dxa"/>
            </w:tcMar>
            <w:vAlign w:val="center"/>
          </w:tcPr>
          <w:p>
            <w:pPr>
              <w:pStyle w:val="44"/>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在建工程</w:t>
            </w:r>
          </w:p>
          <w:p>
            <w:pPr>
              <w:pStyle w:val="44"/>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3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③</w:t>
            </w:r>
            <w:r>
              <w:rPr>
                <w:rFonts w:ascii="黑体" w:hAnsi="黑体" w:eastAsia="黑体"/>
                <w:snapToGrid w:val="0"/>
                <w:color w:val="auto"/>
                <w:spacing w:val="-6"/>
                <w:kern w:val="21"/>
                <w:szCs w:val="21"/>
              </w:rPr>
              <w:fldChar w:fldCharType="end"/>
            </w:r>
          </w:p>
        </w:tc>
        <w:tc>
          <w:tcPr>
            <w:tcW w:w="1559" w:type="dxa"/>
            <w:tcMar>
              <w:left w:w="28" w:type="dxa"/>
              <w:right w:w="28" w:type="dxa"/>
            </w:tcMar>
            <w:vAlign w:val="center"/>
          </w:tcPr>
          <w:p>
            <w:pPr>
              <w:pStyle w:val="44"/>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本项目</w:t>
            </w:r>
          </w:p>
          <w:p>
            <w:pPr>
              <w:pStyle w:val="44"/>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排放量（固</w:t>
            </w:r>
            <w:r>
              <w:rPr>
                <w:rFonts w:hint="eastAsia" w:ascii="黑体" w:hAnsi="黑体" w:eastAsia="黑体"/>
                <w:snapToGrid w:val="0"/>
                <w:color w:val="auto"/>
                <w:spacing w:val="-6"/>
                <w:kern w:val="21"/>
                <w:szCs w:val="21"/>
              </w:rPr>
              <w:t>体</w:t>
            </w:r>
            <w:r>
              <w:rPr>
                <w:rFonts w:ascii="黑体" w:hAnsi="黑体" w:eastAsia="黑体"/>
                <w:snapToGrid w:val="0"/>
                <w:color w:val="auto"/>
                <w:spacing w:val="-6"/>
                <w:kern w:val="21"/>
                <w:szCs w:val="21"/>
              </w:rPr>
              <w:t>废</w:t>
            </w:r>
            <w:r>
              <w:rPr>
                <w:rFonts w:hint="eastAsia" w:ascii="黑体" w:hAnsi="黑体" w:eastAsia="黑体"/>
                <w:snapToGrid w:val="0"/>
                <w:color w:val="auto"/>
                <w:spacing w:val="-6"/>
                <w:kern w:val="21"/>
                <w:szCs w:val="21"/>
              </w:rPr>
              <w:t>物</w:t>
            </w:r>
            <w:r>
              <w:rPr>
                <w:rFonts w:ascii="黑体" w:hAnsi="黑体" w:eastAsia="黑体"/>
                <w:snapToGrid w:val="0"/>
                <w:color w:val="auto"/>
                <w:spacing w:val="-6"/>
                <w:kern w:val="21"/>
                <w:szCs w:val="21"/>
              </w:rPr>
              <w:t>产生量）</w:t>
            </w: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4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④</w:t>
            </w:r>
            <w:r>
              <w:rPr>
                <w:rFonts w:ascii="黑体" w:hAnsi="黑体" w:eastAsia="黑体"/>
                <w:snapToGrid w:val="0"/>
                <w:color w:val="auto"/>
                <w:spacing w:val="-6"/>
                <w:kern w:val="21"/>
                <w:szCs w:val="21"/>
              </w:rPr>
              <w:fldChar w:fldCharType="end"/>
            </w:r>
          </w:p>
        </w:tc>
        <w:tc>
          <w:tcPr>
            <w:tcW w:w="1383" w:type="dxa"/>
            <w:tcMar>
              <w:left w:w="28" w:type="dxa"/>
              <w:right w:w="28" w:type="dxa"/>
            </w:tcMar>
            <w:vAlign w:val="center"/>
          </w:tcPr>
          <w:p>
            <w:pPr>
              <w:pStyle w:val="44"/>
              <w:spacing w:beforeLines="0" w:afterLines="0" w:line="240" w:lineRule="auto"/>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以新带老削减量</w:t>
            </w:r>
          </w:p>
          <w:p>
            <w:pPr>
              <w:pStyle w:val="44"/>
              <w:spacing w:beforeLines="0" w:afterLines="0" w:line="240" w:lineRule="auto"/>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（新建项目不填）</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5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⑤</w:t>
            </w:r>
            <w:r>
              <w:rPr>
                <w:rFonts w:ascii="黑体" w:hAnsi="黑体" w:eastAsia="黑体"/>
                <w:snapToGrid w:val="0"/>
                <w:color w:val="auto"/>
                <w:spacing w:val="-16"/>
                <w:kern w:val="21"/>
                <w:szCs w:val="21"/>
              </w:rPr>
              <w:fldChar w:fldCharType="end"/>
            </w:r>
          </w:p>
        </w:tc>
        <w:tc>
          <w:tcPr>
            <w:tcW w:w="1965" w:type="dxa"/>
            <w:tcMar>
              <w:left w:w="28" w:type="dxa"/>
              <w:right w:w="28" w:type="dxa"/>
            </w:tcMar>
            <w:vAlign w:val="center"/>
          </w:tcPr>
          <w:p>
            <w:pPr>
              <w:pStyle w:val="44"/>
              <w:spacing w:beforeLines="0" w:afterLines="0" w:line="240" w:lineRule="auto"/>
              <w:rPr>
                <w:rFonts w:ascii="黑体" w:hAnsi="黑体" w:eastAsia="黑体"/>
                <w:snapToGrid w:val="0"/>
                <w:color w:val="auto"/>
                <w:spacing w:val="-16"/>
                <w:kern w:val="21"/>
                <w:szCs w:val="21"/>
              </w:rPr>
            </w:pPr>
            <w:r>
              <w:rPr>
                <w:rFonts w:ascii="黑体" w:hAnsi="黑体" w:eastAsia="黑体"/>
                <w:snapToGrid w:val="0"/>
                <w:color w:val="auto"/>
                <w:spacing w:val="-16"/>
                <w:kern w:val="21"/>
                <w:szCs w:val="21"/>
              </w:rPr>
              <w:t>本项目建成后</w:t>
            </w:r>
          </w:p>
          <w:p>
            <w:pPr>
              <w:pStyle w:val="44"/>
              <w:spacing w:beforeLines="0" w:afterLines="0" w:line="240" w:lineRule="auto"/>
              <w:rPr>
                <w:rFonts w:ascii="黑体" w:hAnsi="黑体" w:eastAsia="黑体"/>
                <w:snapToGrid w:val="0"/>
                <w:color w:val="auto"/>
                <w:spacing w:val="-16"/>
                <w:kern w:val="21"/>
                <w:szCs w:val="21"/>
              </w:rPr>
            </w:pPr>
            <w:r>
              <w:rPr>
                <w:rFonts w:hint="eastAsia" w:ascii="黑体" w:hAnsi="黑体" w:eastAsia="黑体"/>
                <w:snapToGrid w:val="0"/>
                <w:color w:val="auto"/>
                <w:spacing w:val="-16"/>
                <w:kern w:val="21"/>
                <w:szCs w:val="21"/>
              </w:rPr>
              <w:t>全厂</w:t>
            </w:r>
            <w:r>
              <w:rPr>
                <w:rFonts w:ascii="黑体" w:hAnsi="黑体" w:eastAsia="黑体"/>
                <w:snapToGrid w:val="0"/>
                <w:color w:val="auto"/>
                <w:spacing w:val="-16"/>
                <w:kern w:val="21"/>
                <w:szCs w:val="21"/>
              </w:rPr>
              <w:t>排放量（固</w:t>
            </w:r>
            <w:r>
              <w:rPr>
                <w:rFonts w:hint="eastAsia" w:ascii="黑体" w:hAnsi="黑体" w:eastAsia="黑体"/>
                <w:snapToGrid w:val="0"/>
                <w:color w:val="auto"/>
                <w:spacing w:val="-16"/>
                <w:kern w:val="21"/>
                <w:szCs w:val="21"/>
              </w:rPr>
              <w:t>体</w:t>
            </w:r>
            <w:r>
              <w:rPr>
                <w:rFonts w:ascii="黑体" w:hAnsi="黑体" w:eastAsia="黑体"/>
                <w:snapToGrid w:val="0"/>
                <w:color w:val="auto"/>
                <w:spacing w:val="-16"/>
                <w:kern w:val="21"/>
                <w:szCs w:val="21"/>
              </w:rPr>
              <w:t>废</w:t>
            </w:r>
            <w:r>
              <w:rPr>
                <w:rFonts w:hint="eastAsia" w:ascii="黑体" w:hAnsi="黑体" w:eastAsia="黑体"/>
                <w:snapToGrid w:val="0"/>
                <w:color w:val="auto"/>
                <w:spacing w:val="-16"/>
                <w:kern w:val="21"/>
                <w:szCs w:val="21"/>
              </w:rPr>
              <w:t>物</w:t>
            </w:r>
            <w:r>
              <w:rPr>
                <w:rFonts w:ascii="黑体" w:hAnsi="黑体" w:eastAsia="黑体"/>
                <w:snapToGrid w:val="0"/>
                <w:color w:val="auto"/>
                <w:spacing w:val="-16"/>
                <w:kern w:val="21"/>
                <w:szCs w:val="21"/>
              </w:rPr>
              <w:t>产生量）</w:t>
            </w:r>
            <w:r>
              <w:rPr>
                <w:rFonts w:ascii="黑体" w:hAnsi="黑体" w:eastAsia="黑体"/>
                <w:snapToGrid w:val="0"/>
                <w:color w:val="auto"/>
                <w:spacing w:val="-16"/>
                <w:kern w:val="21"/>
                <w:szCs w:val="21"/>
              </w:rPr>
              <w:fldChar w:fldCharType="begin"/>
            </w:r>
            <w:r>
              <w:rPr>
                <w:rFonts w:ascii="黑体" w:hAnsi="黑体" w:eastAsia="黑体"/>
                <w:snapToGrid w:val="0"/>
                <w:color w:val="auto"/>
                <w:spacing w:val="-16"/>
                <w:kern w:val="21"/>
                <w:szCs w:val="21"/>
              </w:rPr>
              <w:instrText xml:space="preserve"> = 6 \* GB3 \* MERGEFORMAT </w:instrText>
            </w:r>
            <w:r>
              <w:rPr>
                <w:rFonts w:ascii="黑体" w:hAnsi="黑体" w:eastAsia="黑体"/>
                <w:snapToGrid w:val="0"/>
                <w:color w:val="auto"/>
                <w:spacing w:val="-16"/>
                <w:kern w:val="21"/>
                <w:szCs w:val="21"/>
              </w:rPr>
              <w:fldChar w:fldCharType="separate"/>
            </w:r>
            <w:r>
              <w:rPr>
                <w:rFonts w:hint="eastAsia" w:ascii="黑体" w:hAnsi="黑体" w:eastAsia="黑体" w:cs="宋体"/>
                <w:color w:val="auto"/>
                <w:kern w:val="2"/>
                <w:szCs w:val="21"/>
              </w:rPr>
              <w:t>⑥</w:t>
            </w:r>
            <w:r>
              <w:rPr>
                <w:rFonts w:ascii="黑体" w:hAnsi="黑体" w:eastAsia="黑体"/>
                <w:snapToGrid w:val="0"/>
                <w:color w:val="auto"/>
                <w:spacing w:val="-16"/>
                <w:kern w:val="21"/>
                <w:szCs w:val="21"/>
              </w:rPr>
              <w:fldChar w:fldCharType="end"/>
            </w:r>
          </w:p>
        </w:tc>
        <w:tc>
          <w:tcPr>
            <w:tcW w:w="1198" w:type="dxa"/>
            <w:tcMar>
              <w:left w:w="28" w:type="dxa"/>
              <w:right w:w="28" w:type="dxa"/>
            </w:tcMar>
            <w:vAlign w:val="center"/>
          </w:tcPr>
          <w:p>
            <w:pPr>
              <w:pStyle w:val="44"/>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t>变化量</w:t>
            </w:r>
          </w:p>
          <w:p>
            <w:pPr>
              <w:pStyle w:val="44"/>
              <w:spacing w:beforeLines="0" w:afterLines="0" w:line="240" w:lineRule="auto"/>
              <w:rPr>
                <w:rFonts w:ascii="黑体" w:hAnsi="黑体" w:eastAsia="黑体"/>
                <w:snapToGrid w:val="0"/>
                <w:color w:val="auto"/>
                <w:spacing w:val="-6"/>
                <w:kern w:val="21"/>
                <w:szCs w:val="21"/>
              </w:rPr>
            </w:pPr>
            <w:r>
              <w:rPr>
                <w:rFonts w:ascii="黑体" w:hAnsi="黑体" w:eastAsia="黑体"/>
                <w:snapToGrid w:val="0"/>
                <w:color w:val="auto"/>
                <w:spacing w:val="-6"/>
                <w:kern w:val="21"/>
                <w:szCs w:val="21"/>
              </w:rPr>
              <w:fldChar w:fldCharType="begin"/>
            </w:r>
            <w:r>
              <w:rPr>
                <w:rFonts w:ascii="黑体" w:hAnsi="黑体" w:eastAsia="黑体"/>
                <w:snapToGrid w:val="0"/>
                <w:color w:val="auto"/>
                <w:spacing w:val="-6"/>
                <w:kern w:val="21"/>
                <w:szCs w:val="21"/>
              </w:rPr>
              <w:instrText xml:space="preserve"> = 7 \* GB3 \* MERGEFORMAT </w:instrText>
            </w:r>
            <w:r>
              <w:rPr>
                <w:rFonts w:ascii="黑体" w:hAnsi="黑体" w:eastAsia="黑体"/>
                <w:snapToGrid w:val="0"/>
                <w:color w:val="auto"/>
                <w:spacing w:val="-6"/>
                <w:kern w:val="21"/>
                <w:szCs w:val="21"/>
              </w:rPr>
              <w:fldChar w:fldCharType="separate"/>
            </w:r>
            <w:r>
              <w:rPr>
                <w:rFonts w:hint="eastAsia" w:ascii="黑体" w:hAnsi="黑体" w:eastAsia="黑体" w:cs="宋体"/>
                <w:color w:val="auto"/>
                <w:kern w:val="2"/>
                <w:szCs w:val="21"/>
              </w:rPr>
              <w:t>⑦</w:t>
            </w:r>
            <w:r>
              <w:rPr>
                <w:rFonts w:ascii="黑体" w:hAnsi="黑体" w:eastAsia="黑体"/>
                <w:snapToGrid w:val="0"/>
                <w:color w:val="auto"/>
                <w:spacing w:val="-6"/>
                <w:kern w:val="21"/>
                <w:szCs w:val="21"/>
              </w:rPr>
              <w:fldChar w:fldCharType="end"/>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44"/>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废气</w:t>
            </w:r>
          </w:p>
        </w:tc>
        <w:tc>
          <w:tcPr>
            <w:tcW w:w="1417" w:type="dxa"/>
            <w:vAlign w:val="center"/>
          </w:tcPr>
          <w:p>
            <w:pPr>
              <w:pStyle w:val="44"/>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颗粒物</w:t>
            </w:r>
          </w:p>
        </w:tc>
        <w:tc>
          <w:tcPr>
            <w:tcW w:w="1701" w:type="dxa"/>
            <w:vAlign w:val="center"/>
          </w:tcPr>
          <w:p>
            <w:pPr>
              <w:pStyle w:val="44"/>
              <w:spacing w:beforeLines="0" w:afterLines="0" w:line="240" w:lineRule="auto"/>
              <w:rPr>
                <w:rFonts w:ascii="Times New Roman"/>
                <w:snapToGrid w:val="0"/>
                <w:color w:val="auto"/>
                <w:kern w:val="21"/>
                <w:szCs w:val="21"/>
              </w:rPr>
            </w:pPr>
          </w:p>
        </w:tc>
        <w:tc>
          <w:tcPr>
            <w:tcW w:w="1276" w:type="dxa"/>
            <w:vAlign w:val="center"/>
          </w:tcPr>
          <w:p>
            <w:pPr>
              <w:pStyle w:val="44"/>
              <w:spacing w:beforeLines="0" w:afterLines="0" w:line="240" w:lineRule="auto"/>
              <w:rPr>
                <w:rFonts w:hAnsi="宋体" w:cs="宋体"/>
                <w:snapToGrid w:val="0"/>
                <w:color w:val="auto"/>
                <w:kern w:val="21"/>
                <w:szCs w:val="21"/>
              </w:rPr>
            </w:pPr>
          </w:p>
        </w:tc>
        <w:tc>
          <w:tcPr>
            <w:tcW w:w="1701" w:type="dxa"/>
            <w:vAlign w:val="center"/>
          </w:tcPr>
          <w:p>
            <w:pPr>
              <w:pStyle w:val="44"/>
              <w:spacing w:beforeLines="0" w:afterLines="0" w:line="240" w:lineRule="auto"/>
              <w:rPr>
                <w:rFonts w:hAnsi="宋体" w:cs="宋体"/>
                <w:snapToGrid w:val="0"/>
                <w:color w:val="auto"/>
                <w:kern w:val="21"/>
                <w:szCs w:val="21"/>
              </w:rPr>
            </w:pPr>
          </w:p>
        </w:tc>
        <w:tc>
          <w:tcPr>
            <w:tcW w:w="1559" w:type="dxa"/>
            <w:vAlign w:val="center"/>
          </w:tcPr>
          <w:p>
            <w:pPr>
              <w:pStyle w:val="44"/>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0.1485t/a</w:t>
            </w:r>
          </w:p>
        </w:tc>
        <w:tc>
          <w:tcPr>
            <w:tcW w:w="1383" w:type="dxa"/>
            <w:vAlign w:val="center"/>
          </w:tcPr>
          <w:p>
            <w:pPr>
              <w:pStyle w:val="44"/>
              <w:spacing w:beforeLines="0" w:afterLines="0" w:line="240" w:lineRule="auto"/>
              <w:rPr>
                <w:rFonts w:hint="default" w:ascii="Times New Roman" w:eastAsia="宋体"/>
                <w:color w:val="auto"/>
                <w:szCs w:val="21"/>
                <w:lang w:val="en-US" w:eastAsia="zh-CN"/>
              </w:rPr>
            </w:pPr>
          </w:p>
        </w:tc>
        <w:tc>
          <w:tcPr>
            <w:tcW w:w="1965" w:type="dxa"/>
            <w:vAlign w:val="center"/>
          </w:tcPr>
          <w:p>
            <w:pPr>
              <w:pStyle w:val="44"/>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lang w:val="en-US" w:eastAsia="zh-CN"/>
              </w:rPr>
              <w:t>0.1485t/a</w:t>
            </w:r>
          </w:p>
        </w:tc>
        <w:tc>
          <w:tcPr>
            <w:tcW w:w="1198" w:type="dxa"/>
            <w:vAlign w:val="center"/>
          </w:tcPr>
          <w:p>
            <w:pPr>
              <w:pStyle w:val="44"/>
              <w:spacing w:beforeLines="0" w:afterLines="0" w:line="240" w:lineRule="auto"/>
              <w:rPr>
                <w:rFonts w:ascii="Times New Roman"/>
                <w:color w:val="auto"/>
                <w:kern w:val="2"/>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44"/>
              <w:spacing w:beforeLines="0" w:afterLines="0" w:line="240" w:lineRule="auto"/>
              <w:rPr>
                <w:rFonts w:hAnsi="宋体" w:cs="宋体"/>
                <w:snapToGrid w:val="0"/>
                <w:color w:val="auto"/>
                <w:kern w:val="21"/>
                <w:szCs w:val="21"/>
              </w:rPr>
            </w:pPr>
          </w:p>
        </w:tc>
        <w:tc>
          <w:tcPr>
            <w:tcW w:w="1417" w:type="dxa"/>
            <w:vAlign w:val="center"/>
          </w:tcPr>
          <w:p>
            <w:pPr>
              <w:spacing w:line="320" w:lineRule="atLeast"/>
              <w:jc w:val="center"/>
              <w:rPr>
                <w:color w:val="auto"/>
                <w:szCs w:val="21"/>
              </w:rPr>
            </w:pPr>
            <w:r>
              <w:rPr>
                <w:rFonts w:hint="eastAsia"/>
                <w:color w:val="auto"/>
                <w:szCs w:val="21"/>
              </w:rPr>
              <w:t>SO</w:t>
            </w:r>
            <w:r>
              <w:rPr>
                <w:rFonts w:hint="eastAsia"/>
                <w:color w:val="auto"/>
                <w:szCs w:val="21"/>
                <w:vertAlign w:val="subscript"/>
              </w:rPr>
              <w:t>2</w:t>
            </w:r>
          </w:p>
        </w:tc>
        <w:tc>
          <w:tcPr>
            <w:tcW w:w="1701" w:type="dxa"/>
            <w:vAlign w:val="center"/>
          </w:tcPr>
          <w:p>
            <w:pPr>
              <w:spacing w:line="320" w:lineRule="exact"/>
              <w:jc w:val="center"/>
              <w:rPr>
                <w:color w:val="auto"/>
                <w:szCs w:val="21"/>
              </w:rPr>
            </w:pPr>
          </w:p>
        </w:tc>
        <w:tc>
          <w:tcPr>
            <w:tcW w:w="1276" w:type="dxa"/>
            <w:vAlign w:val="center"/>
          </w:tcPr>
          <w:p>
            <w:pPr>
              <w:pStyle w:val="44"/>
              <w:spacing w:beforeLines="0" w:afterLines="0" w:line="240" w:lineRule="auto"/>
              <w:rPr>
                <w:rFonts w:hAnsi="宋体" w:cs="宋体"/>
                <w:snapToGrid w:val="0"/>
                <w:color w:val="auto"/>
                <w:kern w:val="21"/>
                <w:szCs w:val="21"/>
              </w:rPr>
            </w:pPr>
          </w:p>
        </w:tc>
        <w:tc>
          <w:tcPr>
            <w:tcW w:w="1701" w:type="dxa"/>
            <w:vAlign w:val="center"/>
          </w:tcPr>
          <w:p>
            <w:pPr>
              <w:pStyle w:val="44"/>
              <w:spacing w:beforeLines="0" w:afterLines="0" w:line="240" w:lineRule="auto"/>
              <w:rPr>
                <w:rFonts w:hAnsi="宋体" w:cs="宋体"/>
                <w:snapToGrid w:val="0"/>
                <w:color w:val="auto"/>
                <w:kern w:val="21"/>
                <w:szCs w:val="21"/>
              </w:rPr>
            </w:pPr>
          </w:p>
        </w:tc>
        <w:tc>
          <w:tcPr>
            <w:tcW w:w="1559" w:type="dxa"/>
            <w:vAlign w:val="center"/>
          </w:tcPr>
          <w:p>
            <w:pPr>
              <w:pStyle w:val="44"/>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0.01668t/a</w:t>
            </w:r>
          </w:p>
        </w:tc>
        <w:tc>
          <w:tcPr>
            <w:tcW w:w="1383" w:type="dxa"/>
            <w:vAlign w:val="center"/>
          </w:tcPr>
          <w:p>
            <w:pPr>
              <w:pStyle w:val="44"/>
              <w:spacing w:beforeLines="0" w:afterLines="0" w:line="240" w:lineRule="auto"/>
              <w:rPr>
                <w:rFonts w:hint="default" w:ascii="Times New Roman" w:eastAsia="宋体"/>
                <w:color w:val="auto"/>
                <w:szCs w:val="21"/>
                <w:lang w:val="en-US" w:eastAsia="zh-CN"/>
              </w:rPr>
            </w:pPr>
          </w:p>
        </w:tc>
        <w:tc>
          <w:tcPr>
            <w:tcW w:w="1965" w:type="dxa"/>
            <w:vAlign w:val="center"/>
          </w:tcPr>
          <w:p>
            <w:pPr>
              <w:pStyle w:val="44"/>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lang w:val="en-US" w:eastAsia="zh-CN"/>
              </w:rPr>
              <w:t>0.01668t/a</w:t>
            </w:r>
          </w:p>
        </w:tc>
        <w:tc>
          <w:tcPr>
            <w:tcW w:w="1198" w:type="dxa"/>
            <w:vAlign w:val="center"/>
          </w:tcPr>
          <w:p>
            <w:pPr>
              <w:pStyle w:val="44"/>
              <w:spacing w:beforeLines="0" w:afterLines="0" w:line="240" w:lineRule="auto"/>
              <w:rPr>
                <w:rFonts w:hint="default" w:ascii="Times New Roman" w:eastAsia="宋体"/>
                <w:color w:val="auto"/>
                <w:kern w:val="2"/>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44"/>
              <w:spacing w:beforeLines="0" w:afterLines="0" w:line="240" w:lineRule="auto"/>
              <w:rPr>
                <w:rFonts w:hAnsi="宋体" w:cs="宋体"/>
                <w:snapToGrid w:val="0"/>
                <w:color w:val="auto"/>
                <w:kern w:val="21"/>
                <w:szCs w:val="21"/>
              </w:rPr>
            </w:pPr>
          </w:p>
        </w:tc>
        <w:tc>
          <w:tcPr>
            <w:tcW w:w="1417" w:type="dxa"/>
            <w:vAlign w:val="center"/>
          </w:tcPr>
          <w:p>
            <w:pPr>
              <w:spacing w:line="320" w:lineRule="atLeast"/>
              <w:jc w:val="center"/>
              <w:rPr>
                <w:color w:val="auto"/>
                <w:szCs w:val="21"/>
              </w:rPr>
            </w:pPr>
            <w:r>
              <w:rPr>
                <w:rFonts w:hint="eastAsia"/>
                <w:color w:val="auto"/>
                <w:szCs w:val="21"/>
              </w:rPr>
              <w:t>NO</w:t>
            </w:r>
            <w:r>
              <w:rPr>
                <w:rFonts w:hint="eastAsia"/>
                <w:color w:val="auto"/>
                <w:szCs w:val="21"/>
                <w:vertAlign w:val="subscript"/>
              </w:rPr>
              <w:t>X</w:t>
            </w:r>
          </w:p>
        </w:tc>
        <w:tc>
          <w:tcPr>
            <w:tcW w:w="1701" w:type="dxa"/>
            <w:vAlign w:val="center"/>
          </w:tcPr>
          <w:p>
            <w:pPr>
              <w:spacing w:line="320" w:lineRule="exact"/>
              <w:jc w:val="center"/>
              <w:rPr>
                <w:color w:val="auto"/>
                <w:szCs w:val="21"/>
              </w:rPr>
            </w:pPr>
          </w:p>
        </w:tc>
        <w:tc>
          <w:tcPr>
            <w:tcW w:w="1276" w:type="dxa"/>
            <w:vAlign w:val="center"/>
          </w:tcPr>
          <w:p>
            <w:pPr>
              <w:pStyle w:val="44"/>
              <w:spacing w:beforeLines="0" w:afterLines="0" w:line="240" w:lineRule="auto"/>
              <w:rPr>
                <w:rFonts w:hAnsi="宋体" w:cs="宋体"/>
                <w:snapToGrid w:val="0"/>
                <w:color w:val="auto"/>
                <w:kern w:val="21"/>
                <w:szCs w:val="21"/>
              </w:rPr>
            </w:pPr>
          </w:p>
        </w:tc>
        <w:tc>
          <w:tcPr>
            <w:tcW w:w="1701" w:type="dxa"/>
            <w:vAlign w:val="center"/>
          </w:tcPr>
          <w:p>
            <w:pPr>
              <w:pStyle w:val="44"/>
              <w:spacing w:beforeLines="0" w:afterLines="0" w:line="240" w:lineRule="auto"/>
              <w:rPr>
                <w:rFonts w:hAnsi="宋体" w:cs="宋体"/>
                <w:snapToGrid w:val="0"/>
                <w:color w:val="auto"/>
                <w:kern w:val="21"/>
                <w:szCs w:val="21"/>
              </w:rPr>
            </w:pPr>
          </w:p>
        </w:tc>
        <w:tc>
          <w:tcPr>
            <w:tcW w:w="1559" w:type="dxa"/>
            <w:vAlign w:val="center"/>
          </w:tcPr>
          <w:p>
            <w:pPr>
              <w:pStyle w:val="44"/>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0.1394t/a</w:t>
            </w:r>
          </w:p>
        </w:tc>
        <w:tc>
          <w:tcPr>
            <w:tcW w:w="1383" w:type="dxa"/>
            <w:vAlign w:val="center"/>
          </w:tcPr>
          <w:p>
            <w:pPr>
              <w:pStyle w:val="44"/>
              <w:spacing w:beforeLines="0" w:afterLines="0" w:line="240" w:lineRule="auto"/>
              <w:rPr>
                <w:rFonts w:hint="eastAsia" w:ascii="Times New Roman" w:eastAsia="宋体"/>
                <w:color w:val="auto"/>
                <w:szCs w:val="21"/>
                <w:lang w:val="en-US" w:eastAsia="zh-CN"/>
              </w:rPr>
            </w:pPr>
          </w:p>
        </w:tc>
        <w:tc>
          <w:tcPr>
            <w:tcW w:w="1965" w:type="dxa"/>
            <w:vAlign w:val="center"/>
          </w:tcPr>
          <w:p>
            <w:pPr>
              <w:pStyle w:val="44"/>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lang w:val="en-US" w:eastAsia="zh-CN"/>
              </w:rPr>
              <w:t>0.1394t/a</w:t>
            </w:r>
          </w:p>
        </w:tc>
        <w:tc>
          <w:tcPr>
            <w:tcW w:w="1198" w:type="dxa"/>
            <w:vAlign w:val="center"/>
          </w:tcPr>
          <w:p>
            <w:pPr>
              <w:pStyle w:val="44"/>
              <w:spacing w:beforeLines="0" w:afterLines="0" w:line="240" w:lineRule="auto"/>
              <w:rPr>
                <w:rFonts w:hint="default" w:ascii="Times New Roman" w:eastAsia="宋体"/>
                <w:color w:val="auto"/>
                <w:kern w:val="2"/>
                <w:szCs w:val="21"/>
                <w:lang w:val="en-US" w:eastAsia="zh-CN"/>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44"/>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废水</w:t>
            </w:r>
          </w:p>
        </w:tc>
        <w:tc>
          <w:tcPr>
            <w:tcW w:w="1417" w:type="dxa"/>
            <w:vAlign w:val="center"/>
          </w:tcPr>
          <w:p>
            <w:pPr>
              <w:widowControl/>
              <w:jc w:val="center"/>
              <w:rPr>
                <w:snapToGrid w:val="0"/>
                <w:color w:val="auto"/>
                <w:kern w:val="21"/>
                <w:szCs w:val="21"/>
              </w:rPr>
            </w:pPr>
            <w:r>
              <w:rPr>
                <w:color w:val="auto"/>
                <w:kern w:val="0"/>
                <w:szCs w:val="21"/>
                <w:lang w:bidi="ar"/>
              </w:rPr>
              <w:t>COD</w:t>
            </w:r>
          </w:p>
        </w:tc>
        <w:tc>
          <w:tcPr>
            <w:tcW w:w="1701" w:type="dxa"/>
            <w:vAlign w:val="center"/>
          </w:tcPr>
          <w:p>
            <w:pPr>
              <w:pStyle w:val="44"/>
              <w:spacing w:beforeLines="0" w:afterLines="0" w:line="240" w:lineRule="auto"/>
              <w:rPr>
                <w:rFonts w:ascii="Times New Roman"/>
                <w:color w:val="auto"/>
                <w:szCs w:val="21"/>
              </w:rPr>
            </w:pPr>
          </w:p>
        </w:tc>
        <w:tc>
          <w:tcPr>
            <w:tcW w:w="1276" w:type="dxa"/>
            <w:vAlign w:val="center"/>
          </w:tcPr>
          <w:p>
            <w:pPr>
              <w:pStyle w:val="44"/>
              <w:spacing w:beforeLines="0" w:afterLines="0" w:line="240" w:lineRule="auto"/>
              <w:rPr>
                <w:rFonts w:hAnsi="宋体" w:cs="宋体"/>
                <w:snapToGrid w:val="0"/>
                <w:color w:val="auto"/>
                <w:kern w:val="21"/>
                <w:szCs w:val="21"/>
              </w:rPr>
            </w:pPr>
          </w:p>
        </w:tc>
        <w:tc>
          <w:tcPr>
            <w:tcW w:w="1701" w:type="dxa"/>
            <w:vAlign w:val="center"/>
          </w:tcPr>
          <w:p>
            <w:pPr>
              <w:pStyle w:val="44"/>
              <w:spacing w:beforeLines="0" w:afterLines="0" w:line="240" w:lineRule="auto"/>
              <w:rPr>
                <w:rFonts w:hAnsi="宋体" w:cs="宋体"/>
                <w:snapToGrid w:val="0"/>
                <w:color w:val="auto"/>
                <w:kern w:val="21"/>
                <w:szCs w:val="21"/>
              </w:rPr>
            </w:pPr>
          </w:p>
        </w:tc>
        <w:tc>
          <w:tcPr>
            <w:tcW w:w="1559" w:type="dxa"/>
            <w:vAlign w:val="center"/>
          </w:tcPr>
          <w:p>
            <w:pPr>
              <w:pStyle w:val="44"/>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0.048t/a</w:t>
            </w:r>
          </w:p>
        </w:tc>
        <w:tc>
          <w:tcPr>
            <w:tcW w:w="1383" w:type="dxa"/>
            <w:vAlign w:val="center"/>
          </w:tcPr>
          <w:p>
            <w:pPr>
              <w:pStyle w:val="44"/>
              <w:spacing w:beforeLines="0" w:afterLines="0" w:line="240" w:lineRule="auto"/>
              <w:rPr>
                <w:rFonts w:hint="eastAsia" w:ascii="Times New Roman" w:eastAsia="宋体"/>
                <w:color w:val="auto"/>
                <w:szCs w:val="21"/>
                <w:lang w:val="en-US" w:eastAsia="zh-CN"/>
              </w:rPr>
            </w:pPr>
          </w:p>
        </w:tc>
        <w:tc>
          <w:tcPr>
            <w:tcW w:w="1965" w:type="dxa"/>
            <w:vAlign w:val="center"/>
          </w:tcPr>
          <w:p>
            <w:pPr>
              <w:pStyle w:val="44"/>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lang w:val="en-US" w:eastAsia="zh-CN"/>
              </w:rPr>
              <w:t>0.048t/a</w:t>
            </w:r>
          </w:p>
        </w:tc>
        <w:tc>
          <w:tcPr>
            <w:tcW w:w="1198" w:type="dxa"/>
            <w:vAlign w:val="center"/>
          </w:tcPr>
          <w:p>
            <w:pPr>
              <w:pStyle w:val="44"/>
              <w:spacing w:beforeLines="0" w:afterLines="0" w:line="240" w:lineRule="auto"/>
              <w:rPr>
                <w:rFonts w:ascii="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44"/>
              <w:spacing w:beforeLines="0" w:afterLines="0" w:line="240" w:lineRule="auto"/>
              <w:rPr>
                <w:rFonts w:hAnsi="宋体" w:cs="宋体"/>
                <w:snapToGrid w:val="0"/>
                <w:color w:val="auto"/>
                <w:kern w:val="21"/>
                <w:szCs w:val="21"/>
              </w:rPr>
            </w:pPr>
          </w:p>
        </w:tc>
        <w:tc>
          <w:tcPr>
            <w:tcW w:w="1417" w:type="dxa"/>
            <w:vAlign w:val="center"/>
          </w:tcPr>
          <w:p>
            <w:pPr>
              <w:widowControl/>
              <w:jc w:val="center"/>
              <w:rPr>
                <w:snapToGrid w:val="0"/>
                <w:color w:val="auto"/>
                <w:kern w:val="21"/>
                <w:szCs w:val="21"/>
              </w:rPr>
            </w:pPr>
            <w:r>
              <w:rPr>
                <w:color w:val="auto"/>
                <w:kern w:val="0"/>
                <w:szCs w:val="21"/>
                <w:lang w:bidi="ar"/>
              </w:rPr>
              <w:t>NH</w:t>
            </w:r>
            <w:r>
              <w:rPr>
                <w:color w:val="auto"/>
                <w:kern w:val="0"/>
                <w:szCs w:val="21"/>
                <w:vertAlign w:val="subscript"/>
                <w:lang w:bidi="ar"/>
              </w:rPr>
              <w:t>3</w:t>
            </w:r>
            <w:r>
              <w:rPr>
                <w:color w:val="auto"/>
                <w:kern w:val="0"/>
                <w:szCs w:val="21"/>
                <w:lang w:bidi="ar"/>
              </w:rPr>
              <w:t>-N</w:t>
            </w:r>
          </w:p>
        </w:tc>
        <w:tc>
          <w:tcPr>
            <w:tcW w:w="1701" w:type="dxa"/>
            <w:vAlign w:val="center"/>
          </w:tcPr>
          <w:p>
            <w:pPr>
              <w:pStyle w:val="44"/>
              <w:spacing w:beforeLines="0" w:afterLines="0" w:line="240" w:lineRule="auto"/>
              <w:rPr>
                <w:rFonts w:ascii="Times New Roman"/>
                <w:color w:val="auto"/>
                <w:szCs w:val="21"/>
              </w:rPr>
            </w:pPr>
          </w:p>
        </w:tc>
        <w:tc>
          <w:tcPr>
            <w:tcW w:w="1276" w:type="dxa"/>
            <w:vAlign w:val="center"/>
          </w:tcPr>
          <w:p>
            <w:pPr>
              <w:pStyle w:val="44"/>
              <w:spacing w:beforeLines="0" w:afterLines="0" w:line="240" w:lineRule="auto"/>
              <w:rPr>
                <w:rFonts w:hAnsi="宋体" w:cs="宋体"/>
                <w:snapToGrid w:val="0"/>
                <w:color w:val="auto"/>
                <w:kern w:val="21"/>
                <w:szCs w:val="21"/>
              </w:rPr>
            </w:pPr>
          </w:p>
        </w:tc>
        <w:tc>
          <w:tcPr>
            <w:tcW w:w="1701" w:type="dxa"/>
            <w:vAlign w:val="center"/>
          </w:tcPr>
          <w:p>
            <w:pPr>
              <w:pStyle w:val="44"/>
              <w:spacing w:beforeLines="0" w:afterLines="0" w:line="240" w:lineRule="auto"/>
              <w:rPr>
                <w:rFonts w:hAnsi="宋体" w:cs="宋体"/>
                <w:snapToGrid w:val="0"/>
                <w:color w:val="auto"/>
                <w:kern w:val="21"/>
                <w:szCs w:val="21"/>
              </w:rPr>
            </w:pPr>
          </w:p>
        </w:tc>
        <w:tc>
          <w:tcPr>
            <w:tcW w:w="1559" w:type="dxa"/>
            <w:vAlign w:val="center"/>
          </w:tcPr>
          <w:p>
            <w:pPr>
              <w:pStyle w:val="44"/>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0.00144t/a</w:t>
            </w:r>
          </w:p>
        </w:tc>
        <w:tc>
          <w:tcPr>
            <w:tcW w:w="1383" w:type="dxa"/>
            <w:vAlign w:val="center"/>
          </w:tcPr>
          <w:p>
            <w:pPr>
              <w:pStyle w:val="44"/>
              <w:spacing w:beforeLines="0" w:afterLines="0" w:line="240" w:lineRule="auto"/>
              <w:rPr>
                <w:rFonts w:hint="eastAsia" w:ascii="Times New Roman" w:eastAsia="宋体"/>
                <w:color w:val="auto"/>
                <w:szCs w:val="21"/>
                <w:lang w:val="en-US" w:eastAsia="zh-CN"/>
              </w:rPr>
            </w:pPr>
          </w:p>
        </w:tc>
        <w:tc>
          <w:tcPr>
            <w:tcW w:w="1965" w:type="dxa"/>
            <w:vAlign w:val="center"/>
          </w:tcPr>
          <w:p>
            <w:pPr>
              <w:pStyle w:val="44"/>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lang w:val="en-US" w:eastAsia="zh-CN"/>
              </w:rPr>
              <w:t>0.00144t/a</w:t>
            </w:r>
          </w:p>
        </w:tc>
        <w:tc>
          <w:tcPr>
            <w:tcW w:w="1198" w:type="dxa"/>
            <w:vAlign w:val="center"/>
          </w:tcPr>
          <w:p>
            <w:pPr>
              <w:pStyle w:val="44"/>
              <w:spacing w:beforeLines="0" w:afterLines="0" w:line="240" w:lineRule="auto"/>
              <w:rPr>
                <w:rFonts w:ascii="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continue"/>
            <w:vAlign w:val="center"/>
          </w:tcPr>
          <w:p>
            <w:pPr>
              <w:pStyle w:val="44"/>
              <w:spacing w:beforeLines="0" w:afterLines="0" w:line="240" w:lineRule="auto"/>
              <w:rPr>
                <w:rFonts w:hAnsi="宋体" w:cs="宋体"/>
                <w:snapToGrid w:val="0"/>
                <w:color w:val="auto"/>
                <w:kern w:val="21"/>
                <w:szCs w:val="21"/>
              </w:rPr>
            </w:pPr>
          </w:p>
        </w:tc>
        <w:tc>
          <w:tcPr>
            <w:tcW w:w="1417" w:type="dxa"/>
            <w:vAlign w:val="center"/>
          </w:tcPr>
          <w:p>
            <w:pPr>
              <w:widowControl/>
              <w:jc w:val="center"/>
              <w:rPr>
                <w:snapToGrid w:val="0"/>
                <w:color w:val="auto"/>
                <w:kern w:val="21"/>
                <w:szCs w:val="21"/>
              </w:rPr>
            </w:pPr>
            <w:r>
              <w:rPr>
                <w:color w:val="auto"/>
                <w:kern w:val="0"/>
                <w:szCs w:val="21"/>
                <w:lang w:bidi="ar"/>
              </w:rPr>
              <w:t>TP</w:t>
            </w:r>
          </w:p>
        </w:tc>
        <w:tc>
          <w:tcPr>
            <w:tcW w:w="1701" w:type="dxa"/>
            <w:vAlign w:val="center"/>
          </w:tcPr>
          <w:p>
            <w:pPr>
              <w:pStyle w:val="44"/>
              <w:spacing w:beforeLines="0" w:afterLines="0" w:line="240" w:lineRule="auto"/>
              <w:rPr>
                <w:rFonts w:ascii="Times New Roman"/>
                <w:color w:val="auto"/>
                <w:szCs w:val="21"/>
              </w:rPr>
            </w:pPr>
          </w:p>
        </w:tc>
        <w:tc>
          <w:tcPr>
            <w:tcW w:w="1276" w:type="dxa"/>
            <w:vAlign w:val="center"/>
          </w:tcPr>
          <w:p>
            <w:pPr>
              <w:pStyle w:val="44"/>
              <w:spacing w:beforeLines="0" w:afterLines="0" w:line="240" w:lineRule="auto"/>
              <w:rPr>
                <w:rFonts w:hAnsi="宋体" w:cs="宋体"/>
                <w:snapToGrid w:val="0"/>
                <w:color w:val="auto"/>
                <w:kern w:val="21"/>
                <w:szCs w:val="21"/>
              </w:rPr>
            </w:pPr>
          </w:p>
        </w:tc>
        <w:tc>
          <w:tcPr>
            <w:tcW w:w="1701" w:type="dxa"/>
            <w:vAlign w:val="center"/>
          </w:tcPr>
          <w:p>
            <w:pPr>
              <w:pStyle w:val="44"/>
              <w:spacing w:beforeLines="0" w:afterLines="0" w:line="240" w:lineRule="auto"/>
              <w:rPr>
                <w:rFonts w:hAnsi="宋体" w:cs="宋体"/>
                <w:snapToGrid w:val="0"/>
                <w:color w:val="auto"/>
                <w:kern w:val="21"/>
                <w:szCs w:val="21"/>
              </w:rPr>
            </w:pPr>
          </w:p>
        </w:tc>
        <w:tc>
          <w:tcPr>
            <w:tcW w:w="1559" w:type="dxa"/>
            <w:vAlign w:val="center"/>
          </w:tcPr>
          <w:p>
            <w:pPr>
              <w:pStyle w:val="44"/>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0.000768t/a</w:t>
            </w:r>
          </w:p>
        </w:tc>
        <w:tc>
          <w:tcPr>
            <w:tcW w:w="1383" w:type="dxa"/>
            <w:vAlign w:val="center"/>
          </w:tcPr>
          <w:p>
            <w:pPr>
              <w:pStyle w:val="44"/>
              <w:spacing w:beforeLines="0" w:afterLines="0" w:line="240" w:lineRule="auto"/>
              <w:rPr>
                <w:rFonts w:hint="eastAsia" w:ascii="Times New Roman" w:eastAsia="宋体"/>
                <w:color w:val="auto"/>
                <w:szCs w:val="21"/>
                <w:lang w:val="en-US" w:eastAsia="zh-CN"/>
              </w:rPr>
            </w:pPr>
          </w:p>
        </w:tc>
        <w:tc>
          <w:tcPr>
            <w:tcW w:w="1965" w:type="dxa"/>
            <w:vAlign w:val="center"/>
          </w:tcPr>
          <w:p>
            <w:pPr>
              <w:pStyle w:val="44"/>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lang w:val="en-US" w:eastAsia="zh-CN"/>
              </w:rPr>
              <w:t>0.000768t/a</w:t>
            </w:r>
          </w:p>
        </w:tc>
        <w:tc>
          <w:tcPr>
            <w:tcW w:w="1198" w:type="dxa"/>
            <w:vAlign w:val="center"/>
          </w:tcPr>
          <w:p>
            <w:pPr>
              <w:pStyle w:val="44"/>
              <w:spacing w:beforeLines="0" w:afterLines="0" w:line="240" w:lineRule="auto"/>
              <w:rPr>
                <w:rFonts w:ascii="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588" w:type="dxa"/>
            <w:vMerge w:val="restart"/>
            <w:vAlign w:val="center"/>
          </w:tcPr>
          <w:p>
            <w:pPr>
              <w:pStyle w:val="44"/>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一般工业</w:t>
            </w:r>
          </w:p>
          <w:p>
            <w:pPr>
              <w:pStyle w:val="44"/>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固体废物</w:t>
            </w:r>
          </w:p>
        </w:tc>
        <w:tc>
          <w:tcPr>
            <w:tcW w:w="1417" w:type="dxa"/>
            <w:vAlign w:val="center"/>
          </w:tcPr>
          <w:p>
            <w:pPr>
              <w:pStyle w:val="44"/>
              <w:spacing w:beforeLines="0" w:afterLines="0" w:line="240" w:lineRule="auto"/>
              <w:rPr>
                <w:rFonts w:hAnsi="宋体" w:cs="宋体"/>
                <w:snapToGrid w:val="0"/>
                <w:color w:val="auto"/>
                <w:kern w:val="21"/>
                <w:szCs w:val="21"/>
              </w:rPr>
            </w:pPr>
            <w:r>
              <w:rPr>
                <w:rFonts w:hint="eastAsia" w:hAnsi="宋体" w:cs="宋体"/>
                <w:snapToGrid w:val="0"/>
                <w:color w:val="auto"/>
                <w:kern w:val="21"/>
                <w:szCs w:val="21"/>
              </w:rPr>
              <w:t>生活垃圾</w:t>
            </w:r>
          </w:p>
        </w:tc>
        <w:tc>
          <w:tcPr>
            <w:tcW w:w="1701" w:type="dxa"/>
            <w:vAlign w:val="center"/>
          </w:tcPr>
          <w:p>
            <w:pPr>
              <w:pStyle w:val="44"/>
              <w:spacing w:beforeLines="0" w:afterLines="0" w:line="240" w:lineRule="auto"/>
              <w:rPr>
                <w:rFonts w:hAnsi="宋体" w:cs="宋体"/>
                <w:snapToGrid w:val="0"/>
                <w:color w:val="auto"/>
                <w:kern w:val="21"/>
                <w:szCs w:val="21"/>
              </w:rPr>
            </w:pPr>
          </w:p>
        </w:tc>
        <w:tc>
          <w:tcPr>
            <w:tcW w:w="1276" w:type="dxa"/>
            <w:vAlign w:val="center"/>
          </w:tcPr>
          <w:p>
            <w:pPr>
              <w:pStyle w:val="44"/>
              <w:spacing w:beforeLines="0" w:afterLines="0" w:line="240" w:lineRule="auto"/>
              <w:rPr>
                <w:rFonts w:hAnsi="宋体" w:cs="宋体"/>
                <w:snapToGrid w:val="0"/>
                <w:color w:val="auto"/>
                <w:kern w:val="21"/>
                <w:szCs w:val="21"/>
              </w:rPr>
            </w:pPr>
          </w:p>
        </w:tc>
        <w:tc>
          <w:tcPr>
            <w:tcW w:w="1701" w:type="dxa"/>
            <w:vAlign w:val="center"/>
          </w:tcPr>
          <w:p>
            <w:pPr>
              <w:pStyle w:val="44"/>
              <w:spacing w:beforeLines="0" w:afterLines="0" w:line="240" w:lineRule="auto"/>
              <w:rPr>
                <w:rFonts w:hAnsi="宋体" w:cs="宋体"/>
                <w:snapToGrid w:val="0"/>
                <w:color w:val="auto"/>
                <w:kern w:val="21"/>
                <w:szCs w:val="21"/>
              </w:rPr>
            </w:pPr>
          </w:p>
        </w:tc>
        <w:tc>
          <w:tcPr>
            <w:tcW w:w="1559" w:type="dxa"/>
            <w:vAlign w:val="center"/>
          </w:tcPr>
          <w:p>
            <w:pPr>
              <w:pStyle w:val="44"/>
              <w:spacing w:beforeLines="0" w:afterLines="0" w:line="240" w:lineRule="auto"/>
              <w:rPr>
                <w:rFonts w:hint="default" w:ascii="Times New Roman" w:eastAsia="宋体"/>
                <w:color w:val="auto"/>
                <w:szCs w:val="21"/>
                <w:lang w:val="en-US" w:eastAsia="zh-CN"/>
              </w:rPr>
            </w:pPr>
            <w:r>
              <w:rPr>
                <w:rFonts w:hint="eastAsia" w:ascii="Times New Roman"/>
                <w:color w:val="auto"/>
                <w:szCs w:val="21"/>
                <w:lang w:val="en-US" w:eastAsia="zh-CN"/>
              </w:rPr>
              <w:t>0.75</w:t>
            </w:r>
            <w:r>
              <w:rPr>
                <w:rFonts w:hint="eastAsia" w:ascii="Times New Roman"/>
                <w:snapToGrid w:val="0"/>
                <w:color w:val="auto"/>
                <w:kern w:val="21"/>
                <w:szCs w:val="21"/>
                <w:lang w:val="en-US" w:eastAsia="zh-CN"/>
              </w:rPr>
              <w:t>t/a</w:t>
            </w:r>
          </w:p>
        </w:tc>
        <w:tc>
          <w:tcPr>
            <w:tcW w:w="1383" w:type="dxa"/>
            <w:vAlign w:val="center"/>
          </w:tcPr>
          <w:p>
            <w:pPr>
              <w:pStyle w:val="44"/>
              <w:spacing w:beforeLines="0" w:afterLines="0" w:line="240" w:lineRule="auto"/>
              <w:rPr>
                <w:rFonts w:hint="default" w:ascii="Times New Roman" w:eastAsia="宋体"/>
                <w:color w:val="auto"/>
                <w:szCs w:val="21"/>
                <w:lang w:val="en-US" w:eastAsia="zh-CN"/>
              </w:rPr>
            </w:pPr>
          </w:p>
        </w:tc>
        <w:tc>
          <w:tcPr>
            <w:tcW w:w="1965" w:type="dxa"/>
            <w:vAlign w:val="center"/>
          </w:tcPr>
          <w:p>
            <w:pPr>
              <w:pStyle w:val="44"/>
              <w:spacing w:beforeLines="0" w:afterLines="0" w:line="240" w:lineRule="auto"/>
              <w:rPr>
                <w:rFonts w:hint="default" w:ascii="Times New Roman" w:hAnsi="Times New Roman" w:eastAsia="宋体" w:cs="Times New Roman"/>
                <w:color w:val="auto"/>
                <w:kern w:val="0"/>
                <w:sz w:val="21"/>
                <w:szCs w:val="21"/>
                <w:lang w:val="en-US" w:eastAsia="zh-CN" w:bidi="ar-SA"/>
              </w:rPr>
            </w:pPr>
            <w:r>
              <w:rPr>
                <w:rFonts w:hint="eastAsia" w:ascii="Times New Roman"/>
                <w:color w:val="auto"/>
                <w:szCs w:val="21"/>
                <w:lang w:val="en-US" w:eastAsia="zh-CN"/>
              </w:rPr>
              <w:t>0.75</w:t>
            </w:r>
            <w:r>
              <w:rPr>
                <w:rFonts w:hint="eastAsia" w:ascii="Times New Roman"/>
                <w:snapToGrid w:val="0"/>
                <w:color w:val="auto"/>
                <w:kern w:val="21"/>
                <w:szCs w:val="21"/>
                <w:lang w:val="en-US" w:eastAsia="zh-CN"/>
              </w:rPr>
              <w:t>t/a</w:t>
            </w:r>
          </w:p>
        </w:tc>
        <w:tc>
          <w:tcPr>
            <w:tcW w:w="1198" w:type="dxa"/>
            <w:vAlign w:val="center"/>
          </w:tcPr>
          <w:p>
            <w:pPr>
              <w:pStyle w:val="44"/>
              <w:spacing w:beforeLines="0" w:afterLines="0" w:line="240" w:lineRule="auto"/>
              <w:rPr>
                <w:rFonts w:ascii="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88" w:type="dxa"/>
            <w:vMerge w:val="continue"/>
            <w:vAlign w:val="center"/>
          </w:tcPr>
          <w:p>
            <w:pPr>
              <w:pStyle w:val="44"/>
              <w:spacing w:beforeLines="0" w:afterLines="0" w:line="240" w:lineRule="auto"/>
              <w:rPr>
                <w:rFonts w:hAnsi="宋体" w:cs="宋体"/>
                <w:snapToGrid w:val="0"/>
                <w:color w:val="auto"/>
                <w:kern w:val="21"/>
                <w:szCs w:val="21"/>
              </w:rPr>
            </w:pPr>
          </w:p>
        </w:tc>
        <w:tc>
          <w:tcPr>
            <w:tcW w:w="1417" w:type="dxa"/>
            <w:vAlign w:val="center"/>
          </w:tcPr>
          <w:p>
            <w:pPr>
              <w:spacing w:line="280" w:lineRule="exact"/>
              <w:ind w:left="-71" w:leftChars="-34" w:right="-71" w:rightChars="-34"/>
              <w:jc w:val="center"/>
              <w:rPr>
                <w:rFonts w:hint="default" w:ascii="宋体" w:hAnsi="宋体" w:eastAsia="宋体" w:cs="宋体"/>
                <w:snapToGrid w:val="0"/>
                <w:color w:val="auto"/>
                <w:kern w:val="21"/>
                <w:szCs w:val="21"/>
                <w:lang w:val="en-US" w:eastAsia="zh-CN"/>
              </w:rPr>
            </w:pPr>
            <w:r>
              <w:rPr>
                <w:rFonts w:hint="eastAsia" w:ascii="宋体" w:hAnsi="宋体" w:cs="宋体"/>
                <w:snapToGrid w:val="0"/>
                <w:color w:val="auto"/>
                <w:kern w:val="21"/>
                <w:szCs w:val="21"/>
                <w:lang w:val="en-US" w:eastAsia="zh-CN"/>
              </w:rPr>
              <w:t>布袋除尘器收集灰</w:t>
            </w:r>
          </w:p>
        </w:tc>
        <w:tc>
          <w:tcPr>
            <w:tcW w:w="1701" w:type="dxa"/>
            <w:vAlign w:val="center"/>
          </w:tcPr>
          <w:p>
            <w:pPr>
              <w:pStyle w:val="44"/>
              <w:spacing w:beforeLines="0" w:afterLines="0" w:line="240" w:lineRule="auto"/>
              <w:rPr>
                <w:rFonts w:ascii="Times New Roman"/>
                <w:color w:val="auto"/>
                <w:szCs w:val="21"/>
              </w:rPr>
            </w:pPr>
          </w:p>
        </w:tc>
        <w:tc>
          <w:tcPr>
            <w:tcW w:w="1276" w:type="dxa"/>
            <w:vAlign w:val="center"/>
          </w:tcPr>
          <w:p>
            <w:pPr>
              <w:pStyle w:val="44"/>
              <w:spacing w:beforeLines="0" w:afterLines="0" w:line="240" w:lineRule="auto"/>
              <w:rPr>
                <w:rFonts w:hAnsi="宋体" w:cs="宋体"/>
                <w:snapToGrid w:val="0"/>
                <w:color w:val="auto"/>
                <w:kern w:val="21"/>
                <w:szCs w:val="21"/>
              </w:rPr>
            </w:pPr>
          </w:p>
        </w:tc>
        <w:tc>
          <w:tcPr>
            <w:tcW w:w="1701" w:type="dxa"/>
            <w:vAlign w:val="center"/>
          </w:tcPr>
          <w:p>
            <w:pPr>
              <w:pStyle w:val="44"/>
              <w:spacing w:beforeLines="0" w:afterLines="0" w:line="240" w:lineRule="auto"/>
              <w:rPr>
                <w:rFonts w:ascii="Times New Roman"/>
                <w:snapToGrid w:val="0"/>
                <w:color w:val="auto"/>
                <w:kern w:val="21"/>
                <w:szCs w:val="21"/>
              </w:rPr>
            </w:pPr>
          </w:p>
        </w:tc>
        <w:tc>
          <w:tcPr>
            <w:tcW w:w="1559" w:type="dxa"/>
            <w:vAlign w:val="center"/>
          </w:tcPr>
          <w:p>
            <w:pPr>
              <w:pStyle w:val="44"/>
              <w:spacing w:beforeLines="0" w:afterLines="0" w:line="240" w:lineRule="auto"/>
              <w:rPr>
                <w:rFonts w:hint="default" w:ascii="Times New Roman" w:eastAsia="宋体"/>
                <w:snapToGrid w:val="0"/>
                <w:color w:val="auto"/>
                <w:kern w:val="21"/>
                <w:szCs w:val="21"/>
                <w:lang w:val="en-US" w:eastAsia="zh-CN"/>
              </w:rPr>
            </w:pPr>
            <w:r>
              <w:rPr>
                <w:rFonts w:hint="eastAsia" w:ascii="Times New Roman"/>
                <w:snapToGrid w:val="0"/>
                <w:color w:val="auto"/>
                <w:kern w:val="21"/>
                <w:szCs w:val="21"/>
                <w:lang w:val="en-US" w:eastAsia="zh-CN"/>
              </w:rPr>
              <w:t>0.4455t/a</w:t>
            </w:r>
          </w:p>
        </w:tc>
        <w:tc>
          <w:tcPr>
            <w:tcW w:w="1383" w:type="dxa"/>
            <w:vAlign w:val="center"/>
          </w:tcPr>
          <w:p>
            <w:pPr>
              <w:pStyle w:val="44"/>
              <w:spacing w:beforeLines="0" w:afterLines="0" w:line="240" w:lineRule="auto"/>
              <w:rPr>
                <w:rFonts w:hint="eastAsia" w:hAnsi="宋体" w:eastAsia="宋体" w:cs="宋体"/>
                <w:snapToGrid w:val="0"/>
                <w:color w:val="auto"/>
                <w:kern w:val="21"/>
                <w:szCs w:val="21"/>
                <w:lang w:val="en-US" w:eastAsia="zh-CN"/>
              </w:rPr>
            </w:pPr>
          </w:p>
        </w:tc>
        <w:tc>
          <w:tcPr>
            <w:tcW w:w="1965" w:type="dxa"/>
            <w:vAlign w:val="center"/>
          </w:tcPr>
          <w:p>
            <w:pPr>
              <w:pStyle w:val="44"/>
              <w:spacing w:beforeLines="0" w:afterLines="0" w:line="240" w:lineRule="auto"/>
              <w:rPr>
                <w:rFonts w:hint="default" w:ascii="Times New Roman" w:hAnsi="Times New Roman" w:eastAsia="宋体" w:cs="Times New Roman"/>
                <w:snapToGrid w:val="0"/>
                <w:color w:val="auto"/>
                <w:kern w:val="21"/>
                <w:sz w:val="21"/>
                <w:szCs w:val="21"/>
                <w:lang w:val="en-US" w:eastAsia="zh-CN" w:bidi="ar-SA"/>
              </w:rPr>
            </w:pPr>
            <w:r>
              <w:rPr>
                <w:rFonts w:hint="eastAsia" w:ascii="Times New Roman"/>
                <w:snapToGrid w:val="0"/>
                <w:color w:val="auto"/>
                <w:kern w:val="21"/>
                <w:szCs w:val="21"/>
                <w:lang w:val="en-US" w:eastAsia="zh-CN"/>
              </w:rPr>
              <w:t>0.4455t/a</w:t>
            </w:r>
          </w:p>
        </w:tc>
        <w:tc>
          <w:tcPr>
            <w:tcW w:w="1198" w:type="dxa"/>
            <w:vAlign w:val="center"/>
          </w:tcPr>
          <w:p>
            <w:pPr>
              <w:pStyle w:val="44"/>
              <w:spacing w:beforeLines="0" w:afterLines="0" w:line="240" w:lineRule="auto"/>
              <w:rPr>
                <w:rFonts w:ascii="Times New Roman"/>
                <w:color w:val="auto"/>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588" w:type="dxa"/>
            <w:vMerge w:val="continue"/>
            <w:vAlign w:val="center"/>
          </w:tcPr>
          <w:p>
            <w:pPr>
              <w:pStyle w:val="44"/>
              <w:spacing w:beforeLines="0" w:afterLines="0" w:line="240" w:lineRule="auto"/>
              <w:rPr>
                <w:rFonts w:hAnsi="宋体" w:cs="宋体"/>
                <w:snapToGrid w:val="0"/>
                <w:color w:val="auto"/>
                <w:kern w:val="21"/>
                <w:szCs w:val="21"/>
              </w:rPr>
            </w:pPr>
          </w:p>
        </w:tc>
        <w:tc>
          <w:tcPr>
            <w:tcW w:w="1417" w:type="dxa"/>
            <w:vAlign w:val="center"/>
          </w:tcPr>
          <w:p>
            <w:pPr>
              <w:spacing w:line="280" w:lineRule="exact"/>
              <w:ind w:left="-71" w:leftChars="-34" w:right="-71" w:rightChars="-34"/>
              <w:jc w:val="center"/>
              <w:rPr>
                <w:rFonts w:hint="default" w:ascii="宋体" w:hAnsi="宋体" w:cs="宋体"/>
                <w:snapToGrid w:val="0"/>
                <w:color w:val="auto"/>
                <w:kern w:val="21"/>
                <w:szCs w:val="21"/>
                <w:lang w:val="en-US" w:eastAsia="zh-CN"/>
              </w:rPr>
            </w:pPr>
            <w:r>
              <w:rPr>
                <w:rFonts w:hint="eastAsia" w:ascii="宋体" w:hAnsi="宋体" w:cs="宋体"/>
                <w:snapToGrid w:val="0"/>
                <w:color w:val="auto"/>
                <w:kern w:val="21"/>
                <w:szCs w:val="21"/>
                <w:lang w:val="en-US" w:eastAsia="zh-CN"/>
              </w:rPr>
              <w:t>分拣废塑料、废金属</w:t>
            </w:r>
          </w:p>
        </w:tc>
        <w:tc>
          <w:tcPr>
            <w:tcW w:w="1701" w:type="dxa"/>
            <w:vAlign w:val="center"/>
          </w:tcPr>
          <w:p>
            <w:pPr>
              <w:pStyle w:val="44"/>
              <w:spacing w:beforeLines="0" w:afterLines="0" w:line="240" w:lineRule="auto"/>
              <w:rPr>
                <w:rFonts w:ascii="Times New Roman"/>
                <w:color w:val="auto"/>
                <w:szCs w:val="21"/>
              </w:rPr>
            </w:pPr>
          </w:p>
        </w:tc>
        <w:tc>
          <w:tcPr>
            <w:tcW w:w="1276" w:type="dxa"/>
            <w:vAlign w:val="center"/>
          </w:tcPr>
          <w:p>
            <w:pPr>
              <w:pStyle w:val="44"/>
              <w:spacing w:beforeLines="0" w:afterLines="0" w:line="240" w:lineRule="auto"/>
              <w:rPr>
                <w:rFonts w:hAnsi="宋体" w:cs="宋体"/>
                <w:snapToGrid w:val="0"/>
                <w:color w:val="auto"/>
                <w:kern w:val="21"/>
                <w:szCs w:val="21"/>
              </w:rPr>
            </w:pPr>
          </w:p>
        </w:tc>
        <w:tc>
          <w:tcPr>
            <w:tcW w:w="1701" w:type="dxa"/>
            <w:vAlign w:val="center"/>
          </w:tcPr>
          <w:p>
            <w:pPr>
              <w:pStyle w:val="44"/>
              <w:spacing w:beforeLines="0" w:afterLines="0" w:line="240" w:lineRule="auto"/>
              <w:rPr>
                <w:rFonts w:ascii="Times New Roman"/>
                <w:snapToGrid w:val="0"/>
                <w:color w:val="auto"/>
                <w:kern w:val="21"/>
                <w:szCs w:val="21"/>
              </w:rPr>
            </w:pPr>
          </w:p>
        </w:tc>
        <w:tc>
          <w:tcPr>
            <w:tcW w:w="1559" w:type="dxa"/>
            <w:vAlign w:val="center"/>
          </w:tcPr>
          <w:p>
            <w:pPr>
              <w:pStyle w:val="44"/>
              <w:spacing w:beforeLines="0" w:afterLines="0" w:line="240" w:lineRule="auto"/>
              <w:rPr>
                <w:rFonts w:hint="default" w:ascii="Times New Roman"/>
                <w:snapToGrid w:val="0"/>
                <w:color w:val="auto"/>
                <w:kern w:val="21"/>
                <w:szCs w:val="21"/>
                <w:lang w:val="en-US" w:eastAsia="zh-CN"/>
              </w:rPr>
            </w:pPr>
            <w:r>
              <w:rPr>
                <w:rFonts w:hint="eastAsia" w:ascii="Times New Roman"/>
                <w:snapToGrid w:val="0"/>
                <w:color w:val="auto"/>
                <w:kern w:val="21"/>
                <w:szCs w:val="21"/>
                <w:lang w:val="en-US" w:eastAsia="zh-CN"/>
              </w:rPr>
              <w:t>0.15t/a</w:t>
            </w:r>
          </w:p>
        </w:tc>
        <w:tc>
          <w:tcPr>
            <w:tcW w:w="1383" w:type="dxa"/>
            <w:vAlign w:val="center"/>
          </w:tcPr>
          <w:p>
            <w:pPr>
              <w:pStyle w:val="44"/>
              <w:spacing w:beforeLines="0" w:afterLines="0" w:line="240" w:lineRule="auto"/>
              <w:rPr>
                <w:rFonts w:hint="eastAsia" w:hAnsi="宋体" w:eastAsia="宋体" w:cs="宋体"/>
                <w:snapToGrid w:val="0"/>
                <w:color w:val="auto"/>
                <w:kern w:val="21"/>
                <w:szCs w:val="21"/>
                <w:lang w:val="en-US" w:eastAsia="zh-CN"/>
              </w:rPr>
            </w:pPr>
          </w:p>
        </w:tc>
        <w:tc>
          <w:tcPr>
            <w:tcW w:w="1965" w:type="dxa"/>
            <w:vAlign w:val="center"/>
          </w:tcPr>
          <w:p>
            <w:pPr>
              <w:pStyle w:val="44"/>
              <w:spacing w:beforeLines="0" w:afterLines="0" w:line="240" w:lineRule="auto"/>
              <w:rPr>
                <w:rFonts w:hint="eastAsia" w:ascii="Times New Roman"/>
                <w:snapToGrid w:val="0"/>
                <w:color w:val="auto"/>
                <w:kern w:val="21"/>
                <w:szCs w:val="21"/>
                <w:lang w:val="en-US" w:eastAsia="zh-CN"/>
              </w:rPr>
            </w:pPr>
            <w:r>
              <w:rPr>
                <w:rFonts w:hint="eastAsia" w:ascii="Times New Roman"/>
                <w:snapToGrid w:val="0"/>
                <w:color w:val="auto"/>
                <w:kern w:val="21"/>
                <w:szCs w:val="21"/>
                <w:lang w:val="en-US" w:eastAsia="zh-CN"/>
              </w:rPr>
              <w:t>0.15t/a</w:t>
            </w:r>
          </w:p>
        </w:tc>
        <w:tc>
          <w:tcPr>
            <w:tcW w:w="1198" w:type="dxa"/>
            <w:vAlign w:val="center"/>
          </w:tcPr>
          <w:p>
            <w:pPr>
              <w:pStyle w:val="44"/>
              <w:spacing w:beforeLines="0" w:afterLines="0" w:line="240" w:lineRule="auto"/>
              <w:rPr>
                <w:rFonts w:ascii="Times New Roman"/>
                <w:color w:val="auto"/>
                <w:szCs w:val="21"/>
              </w:rPr>
            </w:pPr>
          </w:p>
        </w:tc>
      </w:tr>
    </w:tbl>
    <w:p>
      <w:pPr>
        <w:pStyle w:val="44"/>
        <w:spacing w:before="192" w:beforeLines="80" w:after="24"/>
        <w:jc w:val="left"/>
        <w:rPr>
          <w:rFonts w:hAnsi="宋体"/>
          <w:snapToGrid w:val="0"/>
          <w:color w:val="auto"/>
          <w:spacing w:val="-6"/>
          <w:kern w:val="21"/>
          <w:szCs w:val="21"/>
        </w:rPr>
      </w:pPr>
      <w:r>
        <w:rPr>
          <w:rFonts w:hAnsi="宋体"/>
          <w:snapToGrid w:val="0"/>
          <w:color w:val="auto"/>
          <w:kern w:val="21"/>
          <w:szCs w:val="21"/>
        </w:rPr>
        <w:t>注：</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3 \* GB3 \* MERGEFORMAT </w:instrText>
      </w:r>
      <w:r>
        <w:rPr>
          <w:rFonts w:hAnsi="宋体"/>
          <w:snapToGrid w:val="0"/>
          <w:color w:val="auto"/>
          <w:spacing w:val="-6"/>
          <w:kern w:val="21"/>
          <w:szCs w:val="21"/>
        </w:rPr>
        <w:fldChar w:fldCharType="separate"/>
      </w:r>
      <w:r>
        <w:rPr>
          <w:rFonts w:hint="eastAsia" w:hAnsi="宋体"/>
          <w:color w:val="auto"/>
          <w:szCs w:val="21"/>
        </w:rPr>
        <w:t>③</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4 \* GB3 \* MERGEFORMAT </w:instrText>
      </w:r>
      <w:r>
        <w:rPr>
          <w:rFonts w:hAnsi="宋体"/>
          <w:snapToGrid w:val="0"/>
          <w:color w:val="auto"/>
          <w:spacing w:val="-6"/>
          <w:kern w:val="21"/>
          <w:szCs w:val="21"/>
        </w:rPr>
        <w:fldChar w:fldCharType="separate"/>
      </w:r>
      <w:r>
        <w:rPr>
          <w:rFonts w:hint="eastAsia" w:hAnsi="宋体"/>
          <w:color w:val="auto"/>
          <w:szCs w:val="21"/>
        </w:rPr>
        <w:t>④</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5 \* GB3 \* MERGEFORMAT </w:instrText>
      </w:r>
      <w:r>
        <w:rPr>
          <w:rFonts w:hAnsi="宋体"/>
          <w:snapToGrid w:val="0"/>
          <w:color w:val="auto"/>
          <w:spacing w:val="-16"/>
          <w:kern w:val="21"/>
          <w:szCs w:val="21"/>
        </w:rPr>
        <w:fldChar w:fldCharType="separate"/>
      </w:r>
      <w:r>
        <w:rPr>
          <w:rFonts w:hint="eastAsia" w:hAnsi="宋体"/>
          <w:color w:val="auto"/>
          <w:szCs w:val="21"/>
        </w:rPr>
        <w:t>⑤</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7 \* GB3 \* MERGEFORMAT </w:instrText>
      </w:r>
      <w:r>
        <w:rPr>
          <w:rFonts w:hAnsi="宋体"/>
          <w:snapToGrid w:val="0"/>
          <w:color w:val="auto"/>
          <w:spacing w:val="-6"/>
          <w:kern w:val="21"/>
          <w:szCs w:val="21"/>
        </w:rPr>
        <w:fldChar w:fldCharType="separate"/>
      </w:r>
      <w:r>
        <w:rPr>
          <w:rFonts w:hint="eastAsia" w:hAnsi="宋体"/>
          <w:color w:val="auto"/>
          <w:szCs w:val="21"/>
        </w:rPr>
        <w:t>⑦</w:t>
      </w:r>
      <w:r>
        <w:rPr>
          <w:rFonts w:hAnsi="宋体"/>
          <w:snapToGrid w:val="0"/>
          <w:color w:val="auto"/>
          <w:spacing w:val="-6"/>
          <w:kern w:val="21"/>
          <w:szCs w:val="21"/>
        </w:rPr>
        <w:fldChar w:fldCharType="end"/>
      </w:r>
      <w:r>
        <w:rPr>
          <w:rFonts w:hAnsi="宋体"/>
          <w:snapToGrid w:val="0"/>
          <w:color w:val="auto"/>
          <w:spacing w:val="-6"/>
          <w:kern w:val="21"/>
          <w:szCs w:val="21"/>
        </w:rPr>
        <w:t>=</w:t>
      </w:r>
      <w:r>
        <w:rPr>
          <w:rFonts w:hAnsi="宋体"/>
          <w:snapToGrid w:val="0"/>
          <w:color w:val="auto"/>
          <w:spacing w:val="-16"/>
          <w:kern w:val="21"/>
          <w:szCs w:val="21"/>
        </w:rPr>
        <w:fldChar w:fldCharType="begin"/>
      </w:r>
      <w:r>
        <w:rPr>
          <w:rFonts w:hAnsi="宋体"/>
          <w:snapToGrid w:val="0"/>
          <w:color w:val="auto"/>
          <w:spacing w:val="-16"/>
          <w:kern w:val="21"/>
          <w:szCs w:val="21"/>
        </w:rPr>
        <w:instrText xml:space="preserve"> = 6 \* GB3 \* MERGEFORMAT </w:instrText>
      </w:r>
      <w:r>
        <w:rPr>
          <w:rFonts w:hAnsi="宋体"/>
          <w:snapToGrid w:val="0"/>
          <w:color w:val="auto"/>
          <w:spacing w:val="-16"/>
          <w:kern w:val="21"/>
          <w:szCs w:val="21"/>
        </w:rPr>
        <w:fldChar w:fldCharType="separate"/>
      </w:r>
      <w:r>
        <w:rPr>
          <w:rFonts w:hint="eastAsia" w:hAnsi="宋体"/>
          <w:color w:val="auto"/>
          <w:szCs w:val="21"/>
        </w:rPr>
        <w:t>⑥</w:t>
      </w:r>
      <w:r>
        <w:rPr>
          <w:rFonts w:hAnsi="宋体"/>
          <w:snapToGrid w:val="0"/>
          <w:color w:val="auto"/>
          <w:spacing w:val="-16"/>
          <w:kern w:val="21"/>
          <w:szCs w:val="21"/>
        </w:rPr>
        <w:fldChar w:fldCharType="end"/>
      </w:r>
      <w:r>
        <w:rPr>
          <w:rFonts w:hAnsi="宋体"/>
          <w:snapToGrid w:val="0"/>
          <w:color w:val="auto"/>
          <w:spacing w:val="-16"/>
          <w:kern w:val="21"/>
          <w:szCs w:val="21"/>
        </w:rPr>
        <w:t>-</w:t>
      </w:r>
      <w:r>
        <w:rPr>
          <w:rFonts w:hAnsi="宋体"/>
          <w:snapToGrid w:val="0"/>
          <w:color w:val="auto"/>
          <w:spacing w:val="-6"/>
          <w:kern w:val="21"/>
          <w:szCs w:val="21"/>
        </w:rPr>
        <w:fldChar w:fldCharType="begin"/>
      </w:r>
      <w:r>
        <w:rPr>
          <w:rFonts w:hAnsi="宋体"/>
          <w:snapToGrid w:val="0"/>
          <w:color w:val="auto"/>
          <w:spacing w:val="-6"/>
          <w:kern w:val="21"/>
          <w:szCs w:val="21"/>
        </w:rPr>
        <w:instrText xml:space="preserve"> = 1 \* GB3 \* MERGEFORMAT </w:instrText>
      </w:r>
      <w:r>
        <w:rPr>
          <w:rFonts w:hAnsi="宋体"/>
          <w:snapToGrid w:val="0"/>
          <w:color w:val="auto"/>
          <w:spacing w:val="-6"/>
          <w:kern w:val="21"/>
          <w:szCs w:val="21"/>
        </w:rPr>
        <w:fldChar w:fldCharType="separate"/>
      </w:r>
      <w:r>
        <w:rPr>
          <w:rFonts w:hint="eastAsia" w:hAnsi="宋体"/>
          <w:color w:val="auto"/>
          <w:szCs w:val="21"/>
        </w:rPr>
        <w:t>①</w:t>
      </w:r>
      <w:r>
        <w:rPr>
          <w:rFonts w:hAnsi="宋体"/>
          <w:snapToGrid w:val="0"/>
          <w:color w:val="auto"/>
          <w:spacing w:val="-6"/>
          <w:kern w:val="21"/>
          <w:szCs w:val="21"/>
        </w:rPr>
        <w:fldChar w:fldCharType="end"/>
      </w:r>
    </w:p>
    <w:p>
      <w:pPr>
        <w:spacing w:line="360" w:lineRule="auto"/>
        <w:rPr>
          <w:color w:val="auto"/>
        </w:rPr>
      </w:pPr>
    </w:p>
    <w:sectPr>
      <w:footerReference r:id="rId9" w:type="default"/>
      <w:pgSz w:w="16838" w:h="11906" w:orient="landscape"/>
      <w:pgMar w:top="1531" w:right="1701" w:bottom="1531" w:left="1701" w:header="851" w:footer="851" w:gutter="0"/>
      <w:pgBorders>
        <w:top w:val="none" w:sz="0" w:space="0"/>
        <w:left w:val="none" w:sz="0" w:space="0"/>
        <w:bottom w:val="none" w:sz="0" w:space="0"/>
        <w:right w:val="none" w:sz="0" w:space="0"/>
      </w:pgBorders>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Times New Roman Bold">
    <w:altName w:val="Times New Roman"/>
    <w:panose1 w:val="02020803070505020304"/>
    <w:charset w:val="00"/>
    <w:family w:val="auto"/>
    <w:pitch w:val="default"/>
    <w:sig w:usb0="00000000" w:usb1="00000000" w:usb2="00000000" w:usb3="00000000" w:csb0="00000001" w:csb1="00000000"/>
  </w:font>
  <w:font w:name="ヒラギノ角ゴ Pro W3">
    <w:altName w:val="MS Gothic"/>
    <w:panose1 w:val="00000000000000000000"/>
    <w:charset w:val="4E"/>
    <w:family w:val="auto"/>
    <w:pitch w:val="default"/>
    <w:sig w:usb0="00000000" w:usb1="00000000" w:usb2="00000012" w:usb3="00000000" w:csb0="0002000D" w:csb1="00000000"/>
  </w:font>
  <w:font w:name="方正小标宋_GBK">
    <w:altName w:val="微软雅黑"/>
    <w:panose1 w:val="00000000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华文仿宋">
    <w:panose1 w:val="02010600040101010101"/>
    <w:charset w:val="86"/>
    <w:family w:val="auto"/>
    <w:pitch w:val="default"/>
    <w:sig w:usb0="00000287" w:usb1="080F0000" w:usb2="00000000" w:usb3="00000000" w:csb0="0004009F" w:csb1="DFD70000"/>
  </w:font>
  <w:font w:name="Wingdings 2">
    <w:panose1 w:val="05020102010507070707"/>
    <w:charset w:val="00"/>
    <w:family w:val="auto"/>
    <w:pitch w:val="default"/>
    <w:sig w:usb0="00000000" w:usb1="00000000" w:usb2="00000000" w:usb3="00000000" w:csb0="80000000" w:csb1="00000000"/>
  </w:font>
  <w:font w:name="TimesNewRomanPS-BoldMT">
    <w:altName w:val="宋体"/>
    <w:panose1 w:val="00000000000000000000"/>
    <w:charset w:val="86"/>
    <w:family w:val="auto"/>
    <w:pitch w:val="default"/>
    <w:sig w:usb0="00000000" w:usb1="00000000" w:usb2="00000000" w:usb3="00000000" w:csb0="00040000" w:csb1="00000000"/>
  </w:font>
  <w:font w:name="宋">
    <w:altName w:val="宋体"/>
    <w:panose1 w:val="00000000000000000000"/>
    <w:charset w:val="00"/>
    <w:family w:val="auto"/>
    <w:pitch w:val="default"/>
    <w:sig w:usb0="00000000" w:usb1="00000000" w:usb2="00000000" w:usb3="00000000" w:csb0="00040001" w:csb1="00000000"/>
  </w:font>
  <w:font w:name="TimesNewRomanPSMT">
    <w:altName w:val="Times New Roman"/>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framePr w:wrap="around" w:vAnchor="text" w:hAnchor="margin" w:xAlign="center" w:y="1"/>
      <w:rPr>
        <w:rStyle w:val="27"/>
      </w:rPr>
    </w:pPr>
    <w:r>
      <w:fldChar w:fldCharType="begin"/>
    </w:r>
    <w:r>
      <w:rPr>
        <w:rStyle w:val="27"/>
      </w:rPr>
      <w:instrText xml:space="preserve">PAGE  </w:instrText>
    </w:r>
    <w:r>
      <w:fldChar w:fldCharType="end"/>
    </w:r>
  </w:p>
  <w:p>
    <w:pPr>
      <w:pStyle w:val="15"/>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11</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15"/>
                          </w:pPr>
                        </w:p>
                      </w:txbxContent>
                    </wps:txbx>
                    <wps:bodyPr vert="horz" wrap="none" lIns="0" tIns="0" rIns="0" bIns="0" anchor="t" anchorCtr="0">
                      <a:spAutoFit/>
                    </wps:bodyPr>
                  </wps:wsp>
                </a:graphicData>
              </a:graphic>
            </wp:anchor>
          </w:drawing>
        </mc:Choice>
        <mc:Fallback>
          <w:pict>
            <v:shape id="文本框 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">
              <v:fill on="f" focussize="0,0"/>
              <v:stroke on="f"/>
              <v:imagedata o:title=""/>
              <o:lock v:ext="edit" aspectratio="f"/>
              <v:textbox inset="0mm,0mm,0mm,0mm" style="mso-fit-shape-to-text:t;">
                <w:txbxContent>
                  <w:p>
                    <w:pPr>
                      <w:pStyle w:val="15"/>
                    </w:pP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ind w:right="360"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5"/>
                          </w:pPr>
                          <w:r>
                            <w:fldChar w:fldCharType="begin"/>
                          </w:r>
                          <w:r>
                            <w:instrText xml:space="preserve"> PAGE  \* MERGEFORMAT </w:instrText>
                          </w:r>
                          <w:r>
                            <w:fldChar w:fldCharType="separate"/>
                          </w:r>
                          <w:r>
                            <w:t>43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5"/>
                    </w:pPr>
                    <w:r>
                      <w:fldChar w:fldCharType="begin"/>
                    </w:r>
                    <w:r>
                      <w:instrText xml:space="preserve"> PAGE  \* MERGEFORMAT </w:instrText>
                    </w:r>
                    <w:r>
                      <w:fldChar w:fldCharType="separate"/>
                    </w:r>
                    <w:r>
                      <w:t>43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3A0EA7"/>
    <w:multiLevelType w:val="singleLevel"/>
    <w:tmpl w:val="873A0EA7"/>
    <w:lvl w:ilvl="0" w:tentative="0">
      <w:start w:val="19"/>
      <w:numFmt w:val="chineseCounting"/>
      <w:suff w:val="nothing"/>
      <w:lvlText w:val="%1、"/>
      <w:lvlJc w:val="left"/>
      <w:rPr>
        <w:rFonts w:hint="eastAsia"/>
      </w:rPr>
    </w:lvl>
  </w:abstractNum>
  <w:abstractNum w:abstractNumId="1">
    <w:nsid w:val="9DDB2EAD"/>
    <w:multiLevelType w:val="singleLevel"/>
    <w:tmpl w:val="9DDB2EAD"/>
    <w:lvl w:ilvl="0" w:tentative="0">
      <w:start w:val="1"/>
      <w:numFmt w:val="decimal"/>
      <w:suff w:val="nothing"/>
      <w:lvlText w:val="%1、"/>
      <w:lvlJc w:val="left"/>
    </w:lvl>
  </w:abstractNum>
  <w:abstractNum w:abstractNumId="2">
    <w:nsid w:val="C7914710"/>
    <w:multiLevelType w:val="singleLevel"/>
    <w:tmpl w:val="C7914710"/>
    <w:lvl w:ilvl="0" w:tentative="0">
      <w:start w:val="4"/>
      <w:numFmt w:val="decimal"/>
      <w:suff w:val="nothing"/>
      <w:lvlText w:val="（%1）"/>
      <w:lvlJc w:val="left"/>
    </w:lvl>
  </w:abstractNum>
  <w:abstractNum w:abstractNumId="3">
    <w:nsid w:val="E51F968B"/>
    <w:multiLevelType w:val="multilevel"/>
    <w:tmpl w:val="E51F968B"/>
    <w:lvl w:ilvl="0" w:tentative="0">
      <w:start w:val="7"/>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4">
    <w:nsid w:val="27AC1D20"/>
    <w:multiLevelType w:val="singleLevel"/>
    <w:tmpl w:val="27AC1D20"/>
    <w:lvl w:ilvl="0" w:tentative="0">
      <w:start w:val="1"/>
      <w:numFmt w:val="chineseCounting"/>
      <w:suff w:val="nothing"/>
      <w:lvlText w:val="%1、"/>
      <w:lvlJc w:val="left"/>
      <w:rPr>
        <w:rFonts w:hint="eastAsia"/>
      </w:rPr>
    </w:lvl>
  </w:abstractNum>
  <w:abstractNum w:abstractNumId="5">
    <w:nsid w:val="516C24FC"/>
    <w:multiLevelType w:val="singleLevel"/>
    <w:tmpl w:val="516C24FC"/>
    <w:lvl w:ilvl="0" w:tentative="0">
      <w:start w:val="1"/>
      <w:numFmt w:val="decimal"/>
      <w:suff w:val="nothing"/>
      <w:lvlText w:val="%1）"/>
      <w:lvlJc w:val="left"/>
    </w:lvl>
  </w:abstractNum>
  <w:abstractNum w:abstractNumId="6">
    <w:nsid w:val="6522AE6B"/>
    <w:multiLevelType w:val="singleLevel"/>
    <w:tmpl w:val="6522AE6B"/>
    <w:lvl w:ilvl="0" w:tentative="0">
      <w:start w:val="1"/>
      <w:numFmt w:val="decimal"/>
      <w:suff w:val="nothing"/>
      <w:lvlText w:val="%1、"/>
      <w:lvlJc w:val="left"/>
    </w:lvl>
  </w:abstractNum>
  <w:num w:numId="1">
    <w:abstractNumId w:val="0"/>
  </w:num>
  <w:num w:numId="2">
    <w:abstractNumId w:val="4"/>
  </w:num>
  <w:num w:numId="3">
    <w:abstractNumId w:val="6"/>
  </w:num>
  <w:num w:numId="4">
    <w:abstractNumId w:val="3"/>
  </w:num>
  <w:num w:numId="5">
    <w:abstractNumId w:val="2"/>
  </w:num>
  <w:num w:numId="6">
    <w:abstractNumId w:val="5"/>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420"/>
  <w:doNotHyphenateCaps/>
  <w:drawingGridVerticalSpacing w:val="156"/>
  <w:displayHorizontalDrawingGridEvery w:val="1"/>
  <w:displayVerticalDrawingGridEvery w:val="1"/>
  <w:noPunctuationKerning w:val="1"/>
  <w:characterSpacingControl w:val="compressPunctuation"/>
  <w:noLineBreaksAfter w:lang="zh-CN" w:val="([{·‘“〈《「『【〔〖（．［｛￡￥"/>
  <w:noLineBreaksBefore w:lang="zh-CN" w:val="!),.:;?]}¨·ˇˉ―‖’”…∶、。〃々〉》」』】〕〗！＂＇），．：；？］｀｜｝～￠"/>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BjOGM2NDdlNTM4OGEyZWZmZjQwZjRmNTdiNDE0N2EifQ=="/>
  </w:docVars>
  <w:rsids>
    <w:rsidRoot w:val="00172A27"/>
    <w:rsid w:val="000060B3"/>
    <w:rsid w:val="0004364B"/>
    <w:rsid w:val="00061B1F"/>
    <w:rsid w:val="000733C4"/>
    <w:rsid w:val="00074783"/>
    <w:rsid w:val="0008070B"/>
    <w:rsid w:val="000810AC"/>
    <w:rsid w:val="00081A02"/>
    <w:rsid w:val="00082231"/>
    <w:rsid w:val="00092D38"/>
    <w:rsid w:val="0009377B"/>
    <w:rsid w:val="000A20C9"/>
    <w:rsid w:val="000B058F"/>
    <w:rsid w:val="000B4467"/>
    <w:rsid w:val="000B4DB9"/>
    <w:rsid w:val="000C09AC"/>
    <w:rsid w:val="000C767F"/>
    <w:rsid w:val="000D5A44"/>
    <w:rsid w:val="000E3ED2"/>
    <w:rsid w:val="00131F42"/>
    <w:rsid w:val="001357F1"/>
    <w:rsid w:val="00140FA8"/>
    <w:rsid w:val="00142FEB"/>
    <w:rsid w:val="00143A2D"/>
    <w:rsid w:val="00145A41"/>
    <w:rsid w:val="00151675"/>
    <w:rsid w:val="00157435"/>
    <w:rsid w:val="00172A27"/>
    <w:rsid w:val="0017504D"/>
    <w:rsid w:val="00176349"/>
    <w:rsid w:val="0017671A"/>
    <w:rsid w:val="00177422"/>
    <w:rsid w:val="00184590"/>
    <w:rsid w:val="001870D1"/>
    <w:rsid w:val="0018781E"/>
    <w:rsid w:val="0019262D"/>
    <w:rsid w:val="001A1B35"/>
    <w:rsid w:val="001A48A2"/>
    <w:rsid w:val="001A6F61"/>
    <w:rsid w:val="001B72B8"/>
    <w:rsid w:val="001C69B3"/>
    <w:rsid w:val="001D5595"/>
    <w:rsid w:val="001D7874"/>
    <w:rsid w:val="001D7F22"/>
    <w:rsid w:val="001F0F17"/>
    <w:rsid w:val="001F3347"/>
    <w:rsid w:val="001F69E4"/>
    <w:rsid w:val="002125B4"/>
    <w:rsid w:val="002155B8"/>
    <w:rsid w:val="00224839"/>
    <w:rsid w:val="002249B2"/>
    <w:rsid w:val="00226574"/>
    <w:rsid w:val="002278EC"/>
    <w:rsid w:val="0023280E"/>
    <w:rsid w:val="002377D1"/>
    <w:rsid w:val="002506BC"/>
    <w:rsid w:val="00254345"/>
    <w:rsid w:val="00264557"/>
    <w:rsid w:val="002805AB"/>
    <w:rsid w:val="00284204"/>
    <w:rsid w:val="00291773"/>
    <w:rsid w:val="002A168C"/>
    <w:rsid w:val="002A3DC7"/>
    <w:rsid w:val="002B49E2"/>
    <w:rsid w:val="002B7B00"/>
    <w:rsid w:val="002B7C44"/>
    <w:rsid w:val="002C2B17"/>
    <w:rsid w:val="002D3DD0"/>
    <w:rsid w:val="002E1F3A"/>
    <w:rsid w:val="002E298A"/>
    <w:rsid w:val="002F671A"/>
    <w:rsid w:val="00301978"/>
    <w:rsid w:val="0030332C"/>
    <w:rsid w:val="003051C2"/>
    <w:rsid w:val="00312296"/>
    <w:rsid w:val="00314F0E"/>
    <w:rsid w:val="00321D8E"/>
    <w:rsid w:val="00325928"/>
    <w:rsid w:val="00332863"/>
    <w:rsid w:val="0033684D"/>
    <w:rsid w:val="00337B42"/>
    <w:rsid w:val="00341B42"/>
    <w:rsid w:val="0034348F"/>
    <w:rsid w:val="003444A7"/>
    <w:rsid w:val="00356653"/>
    <w:rsid w:val="0035743F"/>
    <w:rsid w:val="00357BE2"/>
    <w:rsid w:val="0036170C"/>
    <w:rsid w:val="00366E0F"/>
    <w:rsid w:val="00381A72"/>
    <w:rsid w:val="00384676"/>
    <w:rsid w:val="00390857"/>
    <w:rsid w:val="003A4BF3"/>
    <w:rsid w:val="003B420D"/>
    <w:rsid w:val="003C0215"/>
    <w:rsid w:val="003C6C16"/>
    <w:rsid w:val="003D794D"/>
    <w:rsid w:val="003E3058"/>
    <w:rsid w:val="003E76A9"/>
    <w:rsid w:val="003F0809"/>
    <w:rsid w:val="003F6A8C"/>
    <w:rsid w:val="003F755C"/>
    <w:rsid w:val="00406F01"/>
    <w:rsid w:val="0041016C"/>
    <w:rsid w:val="00416D50"/>
    <w:rsid w:val="00416FD5"/>
    <w:rsid w:val="00417772"/>
    <w:rsid w:val="00420E6A"/>
    <w:rsid w:val="00425A9E"/>
    <w:rsid w:val="00426D6B"/>
    <w:rsid w:val="00431E6C"/>
    <w:rsid w:val="00433CE7"/>
    <w:rsid w:val="00452738"/>
    <w:rsid w:val="00456091"/>
    <w:rsid w:val="00466321"/>
    <w:rsid w:val="00484B9B"/>
    <w:rsid w:val="004855F6"/>
    <w:rsid w:val="0048661E"/>
    <w:rsid w:val="00494670"/>
    <w:rsid w:val="004A3823"/>
    <w:rsid w:val="004E6946"/>
    <w:rsid w:val="004F1AD8"/>
    <w:rsid w:val="005039CB"/>
    <w:rsid w:val="0050558F"/>
    <w:rsid w:val="00506286"/>
    <w:rsid w:val="00510813"/>
    <w:rsid w:val="00511990"/>
    <w:rsid w:val="00511DE0"/>
    <w:rsid w:val="00514870"/>
    <w:rsid w:val="00514B9B"/>
    <w:rsid w:val="00517F02"/>
    <w:rsid w:val="00524303"/>
    <w:rsid w:val="005258A2"/>
    <w:rsid w:val="005401AE"/>
    <w:rsid w:val="00542E07"/>
    <w:rsid w:val="00545424"/>
    <w:rsid w:val="00554A7B"/>
    <w:rsid w:val="0055572C"/>
    <w:rsid w:val="0056106A"/>
    <w:rsid w:val="005720AE"/>
    <w:rsid w:val="00594D77"/>
    <w:rsid w:val="005969E4"/>
    <w:rsid w:val="005A06B7"/>
    <w:rsid w:val="005A1759"/>
    <w:rsid w:val="005A68A7"/>
    <w:rsid w:val="005D36AB"/>
    <w:rsid w:val="00617CC3"/>
    <w:rsid w:val="006377A6"/>
    <w:rsid w:val="00637A3D"/>
    <w:rsid w:val="006411EF"/>
    <w:rsid w:val="006513BD"/>
    <w:rsid w:val="0066758E"/>
    <w:rsid w:val="006748B8"/>
    <w:rsid w:val="006775C3"/>
    <w:rsid w:val="00690D89"/>
    <w:rsid w:val="0069290A"/>
    <w:rsid w:val="0069775A"/>
    <w:rsid w:val="00697813"/>
    <w:rsid w:val="006A3EE8"/>
    <w:rsid w:val="006A72BF"/>
    <w:rsid w:val="006B03F2"/>
    <w:rsid w:val="006B37DC"/>
    <w:rsid w:val="006B4F68"/>
    <w:rsid w:val="006C0592"/>
    <w:rsid w:val="006C272E"/>
    <w:rsid w:val="006C5479"/>
    <w:rsid w:val="006D13B5"/>
    <w:rsid w:val="006E12FF"/>
    <w:rsid w:val="006E607E"/>
    <w:rsid w:val="00706C5D"/>
    <w:rsid w:val="00732922"/>
    <w:rsid w:val="0075162E"/>
    <w:rsid w:val="00754034"/>
    <w:rsid w:val="00756556"/>
    <w:rsid w:val="007618C4"/>
    <w:rsid w:val="00767980"/>
    <w:rsid w:val="00770B19"/>
    <w:rsid w:val="0077463F"/>
    <w:rsid w:val="007836EA"/>
    <w:rsid w:val="00784CDA"/>
    <w:rsid w:val="007906C4"/>
    <w:rsid w:val="007940EA"/>
    <w:rsid w:val="007967E8"/>
    <w:rsid w:val="007A2170"/>
    <w:rsid w:val="007A22BF"/>
    <w:rsid w:val="007A3323"/>
    <w:rsid w:val="007B72B8"/>
    <w:rsid w:val="007B7A58"/>
    <w:rsid w:val="007C21B5"/>
    <w:rsid w:val="007E4BD2"/>
    <w:rsid w:val="00801393"/>
    <w:rsid w:val="00802F88"/>
    <w:rsid w:val="0081293E"/>
    <w:rsid w:val="00815465"/>
    <w:rsid w:val="00817E9A"/>
    <w:rsid w:val="008306BD"/>
    <w:rsid w:val="00831A80"/>
    <w:rsid w:val="00833743"/>
    <w:rsid w:val="008340A4"/>
    <w:rsid w:val="0087135F"/>
    <w:rsid w:val="00872D94"/>
    <w:rsid w:val="00880364"/>
    <w:rsid w:val="00891592"/>
    <w:rsid w:val="00891E9E"/>
    <w:rsid w:val="008A2F68"/>
    <w:rsid w:val="008B4FA6"/>
    <w:rsid w:val="008B5282"/>
    <w:rsid w:val="008B7C17"/>
    <w:rsid w:val="008C2D01"/>
    <w:rsid w:val="008C40E6"/>
    <w:rsid w:val="008D0F7A"/>
    <w:rsid w:val="008D68E4"/>
    <w:rsid w:val="008E0506"/>
    <w:rsid w:val="008E0CFF"/>
    <w:rsid w:val="008E5D6B"/>
    <w:rsid w:val="008E76F0"/>
    <w:rsid w:val="008F15FE"/>
    <w:rsid w:val="008F2D29"/>
    <w:rsid w:val="008F5187"/>
    <w:rsid w:val="008F60D8"/>
    <w:rsid w:val="00902727"/>
    <w:rsid w:val="0090312B"/>
    <w:rsid w:val="0091736D"/>
    <w:rsid w:val="0093037A"/>
    <w:rsid w:val="0094154D"/>
    <w:rsid w:val="0095155F"/>
    <w:rsid w:val="00954429"/>
    <w:rsid w:val="009563CE"/>
    <w:rsid w:val="00976328"/>
    <w:rsid w:val="0097680D"/>
    <w:rsid w:val="00982438"/>
    <w:rsid w:val="0098404C"/>
    <w:rsid w:val="00985283"/>
    <w:rsid w:val="00995992"/>
    <w:rsid w:val="009A03E5"/>
    <w:rsid w:val="009A0F3B"/>
    <w:rsid w:val="009A1BB4"/>
    <w:rsid w:val="009A2628"/>
    <w:rsid w:val="009A3200"/>
    <w:rsid w:val="009B0897"/>
    <w:rsid w:val="009B7BD9"/>
    <w:rsid w:val="009C7DD5"/>
    <w:rsid w:val="009E227D"/>
    <w:rsid w:val="009E5019"/>
    <w:rsid w:val="00A04F1B"/>
    <w:rsid w:val="00A0501B"/>
    <w:rsid w:val="00A14947"/>
    <w:rsid w:val="00A32A83"/>
    <w:rsid w:val="00A368DB"/>
    <w:rsid w:val="00A423AA"/>
    <w:rsid w:val="00A53EC6"/>
    <w:rsid w:val="00A55C0F"/>
    <w:rsid w:val="00A7137A"/>
    <w:rsid w:val="00A8713F"/>
    <w:rsid w:val="00A90BA1"/>
    <w:rsid w:val="00A97A9A"/>
    <w:rsid w:val="00AA0671"/>
    <w:rsid w:val="00AA2531"/>
    <w:rsid w:val="00AB1E09"/>
    <w:rsid w:val="00AB5330"/>
    <w:rsid w:val="00AB7747"/>
    <w:rsid w:val="00AC14CE"/>
    <w:rsid w:val="00AC2A56"/>
    <w:rsid w:val="00AD055E"/>
    <w:rsid w:val="00AD47A7"/>
    <w:rsid w:val="00AF0CBF"/>
    <w:rsid w:val="00AF257F"/>
    <w:rsid w:val="00AF33CF"/>
    <w:rsid w:val="00AF4D50"/>
    <w:rsid w:val="00AF6179"/>
    <w:rsid w:val="00B1295A"/>
    <w:rsid w:val="00B20A45"/>
    <w:rsid w:val="00B22C5C"/>
    <w:rsid w:val="00B24F30"/>
    <w:rsid w:val="00B31ABF"/>
    <w:rsid w:val="00B33BE3"/>
    <w:rsid w:val="00B53B5D"/>
    <w:rsid w:val="00B6055E"/>
    <w:rsid w:val="00B6317D"/>
    <w:rsid w:val="00B7723F"/>
    <w:rsid w:val="00B80534"/>
    <w:rsid w:val="00B8433C"/>
    <w:rsid w:val="00B87491"/>
    <w:rsid w:val="00BA29E9"/>
    <w:rsid w:val="00BA7142"/>
    <w:rsid w:val="00BB237C"/>
    <w:rsid w:val="00BB41A3"/>
    <w:rsid w:val="00BC32DC"/>
    <w:rsid w:val="00BC35B6"/>
    <w:rsid w:val="00BD1B51"/>
    <w:rsid w:val="00BD4596"/>
    <w:rsid w:val="00BE1405"/>
    <w:rsid w:val="00BE312D"/>
    <w:rsid w:val="00BF1C20"/>
    <w:rsid w:val="00C10578"/>
    <w:rsid w:val="00C135BC"/>
    <w:rsid w:val="00C15C95"/>
    <w:rsid w:val="00C2596A"/>
    <w:rsid w:val="00C27537"/>
    <w:rsid w:val="00C328FE"/>
    <w:rsid w:val="00C33507"/>
    <w:rsid w:val="00C4409D"/>
    <w:rsid w:val="00C44E72"/>
    <w:rsid w:val="00C45A06"/>
    <w:rsid w:val="00C47E5B"/>
    <w:rsid w:val="00C61E4B"/>
    <w:rsid w:val="00C64BFF"/>
    <w:rsid w:val="00C704E9"/>
    <w:rsid w:val="00C763C9"/>
    <w:rsid w:val="00C80057"/>
    <w:rsid w:val="00C82232"/>
    <w:rsid w:val="00C82913"/>
    <w:rsid w:val="00C972B1"/>
    <w:rsid w:val="00CA2CCE"/>
    <w:rsid w:val="00CA43FD"/>
    <w:rsid w:val="00CA7EF8"/>
    <w:rsid w:val="00CC489B"/>
    <w:rsid w:val="00CD2BCD"/>
    <w:rsid w:val="00CD3A4C"/>
    <w:rsid w:val="00CD3DE4"/>
    <w:rsid w:val="00CE10E9"/>
    <w:rsid w:val="00CE2910"/>
    <w:rsid w:val="00CE5393"/>
    <w:rsid w:val="00CF36BE"/>
    <w:rsid w:val="00CF6000"/>
    <w:rsid w:val="00D003F3"/>
    <w:rsid w:val="00D0364F"/>
    <w:rsid w:val="00D06834"/>
    <w:rsid w:val="00D308ED"/>
    <w:rsid w:val="00D36D86"/>
    <w:rsid w:val="00D428AA"/>
    <w:rsid w:val="00D50A34"/>
    <w:rsid w:val="00D53EFA"/>
    <w:rsid w:val="00D94A7C"/>
    <w:rsid w:val="00D95896"/>
    <w:rsid w:val="00DB2983"/>
    <w:rsid w:val="00DC1257"/>
    <w:rsid w:val="00DC3DC0"/>
    <w:rsid w:val="00DC4A3E"/>
    <w:rsid w:val="00DC5B2B"/>
    <w:rsid w:val="00DD318D"/>
    <w:rsid w:val="00DF2E12"/>
    <w:rsid w:val="00DF514A"/>
    <w:rsid w:val="00DF6690"/>
    <w:rsid w:val="00DF6804"/>
    <w:rsid w:val="00E0358D"/>
    <w:rsid w:val="00E04323"/>
    <w:rsid w:val="00E070A2"/>
    <w:rsid w:val="00E2656A"/>
    <w:rsid w:val="00E412D0"/>
    <w:rsid w:val="00E56322"/>
    <w:rsid w:val="00E60982"/>
    <w:rsid w:val="00E62C62"/>
    <w:rsid w:val="00E654C1"/>
    <w:rsid w:val="00E65D97"/>
    <w:rsid w:val="00E72A5A"/>
    <w:rsid w:val="00E73354"/>
    <w:rsid w:val="00E9242D"/>
    <w:rsid w:val="00EB5255"/>
    <w:rsid w:val="00EB5C47"/>
    <w:rsid w:val="00ED0639"/>
    <w:rsid w:val="00EF4755"/>
    <w:rsid w:val="00EF7135"/>
    <w:rsid w:val="00F027DB"/>
    <w:rsid w:val="00F14A7A"/>
    <w:rsid w:val="00F22985"/>
    <w:rsid w:val="00F3383E"/>
    <w:rsid w:val="00F338D9"/>
    <w:rsid w:val="00F43C08"/>
    <w:rsid w:val="00F465A7"/>
    <w:rsid w:val="00F50B7C"/>
    <w:rsid w:val="00F550E6"/>
    <w:rsid w:val="00F74345"/>
    <w:rsid w:val="00F80A0A"/>
    <w:rsid w:val="00F82B19"/>
    <w:rsid w:val="00F9212D"/>
    <w:rsid w:val="00F965DA"/>
    <w:rsid w:val="00FA406A"/>
    <w:rsid w:val="00FB503A"/>
    <w:rsid w:val="00FB516C"/>
    <w:rsid w:val="00FD0236"/>
    <w:rsid w:val="00FD18F4"/>
    <w:rsid w:val="00FD54DB"/>
    <w:rsid w:val="00FD619F"/>
    <w:rsid w:val="01227598"/>
    <w:rsid w:val="01290F7E"/>
    <w:rsid w:val="015D1E09"/>
    <w:rsid w:val="01FC2C14"/>
    <w:rsid w:val="02697903"/>
    <w:rsid w:val="02C24BF1"/>
    <w:rsid w:val="02F96569"/>
    <w:rsid w:val="035449BD"/>
    <w:rsid w:val="039B5C3E"/>
    <w:rsid w:val="03EA7B21"/>
    <w:rsid w:val="03F60FF6"/>
    <w:rsid w:val="041562C5"/>
    <w:rsid w:val="04DF66E0"/>
    <w:rsid w:val="051007D6"/>
    <w:rsid w:val="052553AB"/>
    <w:rsid w:val="055258D6"/>
    <w:rsid w:val="0577344A"/>
    <w:rsid w:val="05845E60"/>
    <w:rsid w:val="05C96F74"/>
    <w:rsid w:val="05F83EAE"/>
    <w:rsid w:val="06061352"/>
    <w:rsid w:val="062565E7"/>
    <w:rsid w:val="062C0ED5"/>
    <w:rsid w:val="062C37F1"/>
    <w:rsid w:val="063E7D85"/>
    <w:rsid w:val="0692420C"/>
    <w:rsid w:val="07293586"/>
    <w:rsid w:val="07295285"/>
    <w:rsid w:val="074C5C20"/>
    <w:rsid w:val="07636392"/>
    <w:rsid w:val="07770C56"/>
    <w:rsid w:val="079D621E"/>
    <w:rsid w:val="07F90F90"/>
    <w:rsid w:val="08102208"/>
    <w:rsid w:val="08420B3E"/>
    <w:rsid w:val="086A5A93"/>
    <w:rsid w:val="08DD0762"/>
    <w:rsid w:val="08FC0E5C"/>
    <w:rsid w:val="092217DD"/>
    <w:rsid w:val="093A7294"/>
    <w:rsid w:val="09641EE4"/>
    <w:rsid w:val="09653B97"/>
    <w:rsid w:val="097906FF"/>
    <w:rsid w:val="09F309CD"/>
    <w:rsid w:val="0A263993"/>
    <w:rsid w:val="0A2D3AC2"/>
    <w:rsid w:val="0A344626"/>
    <w:rsid w:val="0A531B28"/>
    <w:rsid w:val="0A7B0576"/>
    <w:rsid w:val="0AA755DF"/>
    <w:rsid w:val="0B120D44"/>
    <w:rsid w:val="0B220922"/>
    <w:rsid w:val="0B3127C3"/>
    <w:rsid w:val="0BBB79EF"/>
    <w:rsid w:val="0BD27BF6"/>
    <w:rsid w:val="0BD91775"/>
    <w:rsid w:val="0C124830"/>
    <w:rsid w:val="0C3B3C7D"/>
    <w:rsid w:val="0C8E310C"/>
    <w:rsid w:val="0CAB2EAE"/>
    <w:rsid w:val="0CD349E5"/>
    <w:rsid w:val="0CE75980"/>
    <w:rsid w:val="0D274837"/>
    <w:rsid w:val="0D501777"/>
    <w:rsid w:val="0D621C7D"/>
    <w:rsid w:val="0DAF7C01"/>
    <w:rsid w:val="0DBB6868"/>
    <w:rsid w:val="0DDF6F9F"/>
    <w:rsid w:val="0DFD26B4"/>
    <w:rsid w:val="0E4453C0"/>
    <w:rsid w:val="0E71711C"/>
    <w:rsid w:val="0E73034D"/>
    <w:rsid w:val="0EED4578"/>
    <w:rsid w:val="0F13775A"/>
    <w:rsid w:val="0F160BEE"/>
    <w:rsid w:val="0F2712BD"/>
    <w:rsid w:val="0F4942C1"/>
    <w:rsid w:val="0F5F45FE"/>
    <w:rsid w:val="0F9A112B"/>
    <w:rsid w:val="0F9A3F8A"/>
    <w:rsid w:val="10262ACC"/>
    <w:rsid w:val="106D2F64"/>
    <w:rsid w:val="107B09B6"/>
    <w:rsid w:val="10920D9C"/>
    <w:rsid w:val="10936D09"/>
    <w:rsid w:val="10B227D0"/>
    <w:rsid w:val="10B63710"/>
    <w:rsid w:val="10F10820"/>
    <w:rsid w:val="111C2F7A"/>
    <w:rsid w:val="11205904"/>
    <w:rsid w:val="112F20DB"/>
    <w:rsid w:val="11665CA1"/>
    <w:rsid w:val="11766A97"/>
    <w:rsid w:val="11DB094A"/>
    <w:rsid w:val="12443874"/>
    <w:rsid w:val="1266673E"/>
    <w:rsid w:val="12DF5EA8"/>
    <w:rsid w:val="12E82452"/>
    <w:rsid w:val="1305681F"/>
    <w:rsid w:val="13864B47"/>
    <w:rsid w:val="13912AE9"/>
    <w:rsid w:val="13951726"/>
    <w:rsid w:val="13FD3CDB"/>
    <w:rsid w:val="14396509"/>
    <w:rsid w:val="147C1E0E"/>
    <w:rsid w:val="14A3767F"/>
    <w:rsid w:val="14DD2C3C"/>
    <w:rsid w:val="14E940D9"/>
    <w:rsid w:val="152263F7"/>
    <w:rsid w:val="156C2EC6"/>
    <w:rsid w:val="16087E1D"/>
    <w:rsid w:val="16C25D4A"/>
    <w:rsid w:val="16D47753"/>
    <w:rsid w:val="16DB47A7"/>
    <w:rsid w:val="17701D14"/>
    <w:rsid w:val="17735226"/>
    <w:rsid w:val="178501E1"/>
    <w:rsid w:val="17944CC1"/>
    <w:rsid w:val="17983597"/>
    <w:rsid w:val="18544CF7"/>
    <w:rsid w:val="189F624C"/>
    <w:rsid w:val="18B3324D"/>
    <w:rsid w:val="19330334"/>
    <w:rsid w:val="194E7600"/>
    <w:rsid w:val="19585B36"/>
    <w:rsid w:val="195A686C"/>
    <w:rsid w:val="1A0758B3"/>
    <w:rsid w:val="1A1C66C0"/>
    <w:rsid w:val="1A42393B"/>
    <w:rsid w:val="1A4B6BC8"/>
    <w:rsid w:val="1A5D6DEC"/>
    <w:rsid w:val="1AAD45DE"/>
    <w:rsid w:val="1ACB0C72"/>
    <w:rsid w:val="1AFA362D"/>
    <w:rsid w:val="1B046F80"/>
    <w:rsid w:val="1B3267B5"/>
    <w:rsid w:val="1B40161D"/>
    <w:rsid w:val="1B441859"/>
    <w:rsid w:val="1B6606B1"/>
    <w:rsid w:val="1B882F85"/>
    <w:rsid w:val="1BF00A95"/>
    <w:rsid w:val="1BF561E1"/>
    <w:rsid w:val="1C233D98"/>
    <w:rsid w:val="1C5E7925"/>
    <w:rsid w:val="1CB65E0D"/>
    <w:rsid w:val="1CE5336F"/>
    <w:rsid w:val="1CFD070F"/>
    <w:rsid w:val="1D420417"/>
    <w:rsid w:val="1D5F6196"/>
    <w:rsid w:val="1D6132A5"/>
    <w:rsid w:val="1D6F3190"/>
    <w:rsid w:val="1D8E56D5"/>
    <w:rsid w:val="1D9D6DE6"/>
    <w:rsid w:val="1DC43C29"/>
    <w:rsid w:val="1DDC1E78"/>
    <w:rsid w:val="1DEE49FE"/>
    <w:rsid w:val="1E5C371F"/>
    <w:rsid w:val="1E7A43DA"/>
    <w:rsid w:val="1E7D6517"/>
    <w:rsid w:val="1E9D7C88"/>
    <w:rsid w:val="1EC3265C"/>
    <w:rsid w:val="1F2E6A96"/>
    <w:rsid w:val="1FA42F54"/>
    <w:rsid w:val="1FAD76CB"/>
    <w:rsid w:val="1FCC7D35"/>
    <w:rsid w:val="1FE7539E"/>
    <w:rsid w:val="200D58C5"/>
    <w:rsid w:val="20671BE0"/>
    <w:rsid w:val="20963CB8"/>
    <w:rsid w:val="20A81A1B"/>
    <w:rsid w:val="20AA0D51"/>
    <w:rsid w:val="20B07FB6"/>
    <w:rsid w:val="20B646FB"/>
    <w:rsid w:val="20CD3587"/>
    <w:rsid w:val="20D14202"/>
    <w:rsid w:val="213B74B1"/>
    <w:rsid w:val="215A2310"/>
    <w:rsid w:val="217952E8"/>
    <w:rsid w:val="21D049B5"/>
    <w:rsid w:val="21DE318A"/>
    <w:rsid w:val="21EF5B80"/>
    <w:rsid w:val="21F11323"/>
    <w:rsid w:val="22576990"/>
    <w:rsid w:val="2268108B"/>
    <w:rsid w:val="229D6DB5"/>
    <w:rsid w:val="22BD7457"/>
    <w:rsid w:val="22F47480"/>
    <w:rsid w:val="22F85FE7"/>
    <w:rsid w:val="23056708"/>
    <w:rsid w:val="23985163"/>
    <w:rsid w:val="23A3664D"/>
    <w:rsid w:val="23A36FB5"/>
    <w:rsid w:val="23DE1C48"/>
    <w:rsid w:val="240210CD"/>
    <w:rsid w:val="246177EF"/>
    <w:rsid w:val="24BF09F7"/>
    <w:rsid w:val="24F2155B"/>
    <w:rsid w:val="252D53FE"/>
    <w:rsid w:val="25333A00"/>
    <w:rsid w:val="25D51BCD"/>
    <w:rsid w:val="25DD1B55"/>
    <w:rsid w:val="25EA1B17"/>
    <w:rsid w:val="25EC2D81"/>
    <w:rsid w:val="263574E7"/>
    <w:rsid w:val="265A095A"/>
    <w:rsid w:val="268F3BD0"/>
    <w:rsid w:val="26AE1043"/>
    <w:rsid w:val="27133FC2"/>
    <w:rsid w:val="27542C3D"/>
    <w:rsid w:val="27590AA7"/>
    <w:rsid w:val="277057A2"/>
    <w:rsid w:val="27B74DE4"/>
    <w:rsid w:val="27E120A2"/>
    <w:rsid w:val="2863174C"/>
    <w:rsid w:val="28A067DF"/>
    <w:rsid w:val="28BF5437"/>
    <w:rsid w:val="29206EB8"/>
    <w:rsid w:val="293544ED"/>
    <w:rsid w:val="29595666"/>
    <w:rsid w:val="29874881"/>
    <w:rsid w:val="299B1F8F"/>
    <w:rsid w:val="29E322E3"/>
    <w:rsid w:val="29E325E0"/>
    <w:rsid w:val="2A452503"/>
    <w:rsid w:val="2A775107"/>
    <w:rsid w:val="2BA936A8"/>
    <w:rsid w:val="2BE708E5"/>
    <w:rsid w:val="2C1D7805"/>
    <w:rsid w:val="2C315A5A"/>
    <w:rsid w:val="2C4B1C25"/>
    <w:rsid w:val="2C5A39EA"/>
    <w:rsid w:val="2C6D7701"/>
    <w:rsid w:val="2D9E56F5"/>
    <w:rsid w:val="2DA075F0"/>
    <w:rsid w:val="2DCA0E72"/>
    <w:rsid w:val="2DFA155F"/>
    <w:rsid w:val="2E33681F"/>
    <w:rsid w:val="2E667F96"/>
    <w:rsid w:val="2E8226AB"/>
    <w:rsid w:val="2EB9751C"/>
    <w:rsid w:val="2EBF5FE3"/>
    <w:rsid w:val="2EEB21C5"/>
    <w:rsid w:val="2F2F5238"/>
    <w:rsid w:val="2F6F6B5F"/>
    <w:rsid w:val="2F9257C7"/>
    <w:rsid w:val="2FAC7B88"/>
    <w:rsid w:val="2FCF07C9"/>
    <w:rsid w:val="2FD065E6"/>
    <w:rsid w:val="2FD96870"/>
    <w:rsid w:val="303B182C"/>
    <w:rsid w:val="30580BC9"/>
    <w:rsid w:val="30FF0EE0"/>
    <w:rsid w:val="31071DAF"/>
    <w:rsid w:val="310A7A8D"/>
    <w:rsid w:val="311E2ED7"/>
    <w:rsid w:val="31351CC3"/>
    <w:rsid w:val="31444F51"/>
    <w:rsid w:val="315619EE"/>
    <w:rsid w:val="315C449C"/>
    <w:rsid w:val="31804124"/>
    <w:rsid w:val="31A733A7"/>
    <w:rsid w:val="31B82709"/>
    <w:rsid w:val="31D05482"/>
    <w:rsid w:val="3227588C"/>
    <w:rsid w:val="32400B34"/>
    <w:rsid w:val="324500FA"/>
    <w:rsid w:val="32836B94"/>
    <w:rsid w:val="329E6876"/>
    <w:rsid w:val="32AD579D"/>
    <w:rsid w:val="32D62404"/>
    <w:rsid w:val="32FB6C6E"/>
    <w:rsid w:val="33016EEC"/>
    <w:rsid w:val="333015F2"/>
    <w:rsid w:val="33492641"/>
    <w:rsid w:val="334B6320"/>
    <w:rsid w:val="338F3803"/>
    <w:rsid w:val="33A81CC0"/>
    <w:rsid w:val="33D934D4"/>
    <w:rsid w:val="33FE2F6A"/>
    <w:rsid w:val="340E07E5"/>
    <w:rsid w:val="34235BF7"/>
    <w:rsid w:val="345B15C3"/>
    <w:rsid w:val="34657465"/>
    <w:rsid w:val="346F72AE"/>
    <w:rsid w:val="34B851D8"/>
    <w:rsid w:val="350150D9"/>
    <w:rsid w:val="3530432C"/>
    <w:rsid w:val="35657234"/>
    <w:rsid w:val="358C5FA8"/>
    <w:rsid w:val="35AB58D4"/>
    <w:rsid w:val="35C15DF1"/>
    <w:rsid w:val="35F512F9"/>
    <w:rsid w:val="36074A7F"/>
    <w:rsid w:val="36240A39"/>
    <w:rsid w:val="36655624"/>
    <w:rsid w:val="36923549"/>
    <w:rsid w:val="36B75FBF"/>
    <w:rsid w:val="36BD0C45"/>
    <w:rsid w:val="372F1B4E"/>
    <w:rsid w:val="377C0980"/>
    <w:rsid w:val="37E00298"/>
    <w:rsid w:val="38252D7A"/>
    <w:rsid w:val="383A319F"/>
    <w:rsid w:val="385E093C"/>
    <w:rsid w:val="38A547BD"/>
    <w:rsid w:val="38B302F9"/>
    <w:rsid w:val="38B80856"/>
    <w:rsid w:val="38CB41FB"/>
    <w:rsid w:val="38F12CD3"/>
    <w:rsid w:val="38F94775"/>
    <w:rsid w:val="38FB618B"/>
    <w:rsid w:val="392971ED"/>
    <w:rsid w:val="39325651"/>
    <w:rsid w:val="39733157"/>
    <w:rsid w:val="398443D3"/>
    <w:rsid w:val="399653FF"/>
    <w:rsid w:val="39C63BCB"/>
    <w:rsid w:val="39E3001E"/>
    <w:rsid w:val="3A563FC1"/>
    <w:rsid w:val="3A6D2477"/>
    <w:rsid w:val="3A872856"/>
    <w:rsid w:val="3AA36ADA"/>
    <w:rsid w:val="3AA40DF1"/>
    <w:rsid w:val="3AB05BCC"/>
    <w:rsid w:val="3B3763D1"/>
    <w:rsid w:val="3B782EE9"/>
    <w:rsid w:val="3B8B60F4"/>
    <w:rsid w:val="3C2F6E1E"/>
    <w:rsid w:val="3C487B0C"/>
    <w:rsid w:val="3C4F64BA"/>
    <w:rsid w:val="3C914FE5"/>
    <w:rsid w:val="3CCA5C42"/>
    <w:rsid w:val="3CDA245A"/>
    <w:rsid w:val="3D172AAF"/>
    <w:rsid w:val="3D1E06B7"/>
    <w:rsid w:val="3D273ECA"/>
    <w:rsid w:val="3D5947CB"/>
    <w:rsid w:val="3DD80C3F"/>
    <w:rsid w:val="3DEA5919"/>
    <w:rsid w:val="3DF064DB"/>
    <w:rsid w:val="3E0F245F"/>
    <w:rsid w:val="3E446FEA"/>
    <w:rsid w:val="3EB42C08"/>
    <w:rsid w:val="3EDA0523"/>
    <w:rsid w:val="3F130CAC"/>
    <w:rsid w:val="3F744BB0"/>
    <w:rsid w:val="3FAF634B"/>
    <w:rsid w:val="3FB21E51"/>
    <w:rsid w:val="3FD37E62"/>
    <w:rsid w:val="40041B5B"/>
    <w:rsid w:val="40224945"/>
    <w:rsid w:val="403A3A3D"/>
    <w:rsid w:val="407A6407"/>
    <w:rsid w:val="407D64BA"/>
    <w:rsid w:val="40AB77B0"/>
    <w:rsid w:val="40BD26E3"/>
    <w:rsid w:val="40FA2C15"/>
    <w:rsid w:val="410C5900"/>
    <w:rsid w:val="411B1760"/>
    <w:rsid w:val="412D70FE"/>
    <w:rsid w:val="413B7A6D"/>
    <w:rsid w:val="4172051C"/>
    <w:rsid w:val="418D2FE1"/>
    <w:rsid w:val="41A72997"/>
    <w:rsid w:val="41BB0853"/>
    <w:rsid w:val="4200449D"/>
    <w:rsid w:val="420512D9"/>
    <w:rsid w:val="422E5823"/>
    <w:rsid w:val="423328C1"/>
    <w:rsid w:val="423A3BCC"/>
    <w:rsid w:val="424E57D2"/>
    <w:rsid w:val="42B26C49"/>
    <w:rsid w:val="42BE40F3"/>
    <w:rsid w:val="42C37786"/>
    <w:rsid w:val="42CF2B62"/>
    <w:rsid w:val="42DA32B5"/>
    <w:rsid w:val="42F0172A"/>
    <w:rsid w:val="42F3583F"/>
    <w:rsid w:val="433A6FE6"/>
    <w:rsid w:val="43480868"/>
    <w:rsid w:val="4350713C"/>
    <w:rsid w:val="436653E0"/>
    <w:rsid w:val="43700021"/>
    <w:rsid w:val="43A64F86"/>
    <w:rsid w:val="43AB6A2E"/>
    <w:rsid w:val="43B42E41"/>
    <w:rsid w:val="43C4431A"/>
    <w:rsid w:val="43F860E9"/>
    <w:rsid w:val="43F90B71"/>
    <w:rsid w:val="44572075"/>
    <w:rsid w:val="44920AF4"/>
    <w:rsid w:val="44AD0D0A"/>
    <w:rsid w:val="44B951CC"/>
    <w:rsid w:val="44CD14E0"/>
    <w:rsid w:val="44F20B0B"/>
    <w:rsid w:val="450F3336"/>
    <w:rsid w:val="452E5F4C"/>
    <w:rsid w:val="45612018"/>
    <w:rsid w:val="458946E9"/>
    <w:rsid w:val="45A46C77"/>
    <w:rsid w:val="45A47C0E"/>
    <w:rsid w:val="462271B2"/>
    <w:rsid w:val="46577FD6"/>
    <w:rsid w:val="465A620E"/>
    <w:rsid w:val="46D955A7"/>
    <w:rsid w:val="47063508"/>
    <w:rsid w:val="47133957"/>
    <w:rsid w:val="479E1646"/>
    <w:rsid w:val="47A07E0C"/>
    <w:rsid w:val="47DD5BC5"/>
    <w:rsid w:val="4800000C"/>
    <w:rsid w:val="48271E99"/>
    <w:rsid w:val="484713ED"/>
    <w:rsid w:val="4870272E"/>
    <w:rsid w:val="48715372"/>
    <w:rsid w:val="48DB67D2"/>
    <w:rsid w:val="49546B71"/>
    <w:rsid w:val="497559C7"/>
    <w:rsid w:val="49944B81"/>
    <w:rsid w:val="49DC7715"/>
    <w:rsid w:val="4A023139"/>
    <w:rsid w:val="4A225B13"/>
    <w:rsid w:val="4A7B576F"/>
    <w:rsid w:val="4A9A5DB6"/>
    <w:rsid w:val="4ADE5968"/>
    <w:rsid w:val="4AF561A9"/>
    <w:rsid w:val="4B245A16"/>
    <w:rsid w:val="4B503D6A"/>
    <w:rsid w:val="4B7C3D31"/>
    <w:rsid w:val="4C3020C8"/>
    <w:rsid w:val="4C44630F"/>
    <w:rsid w:val="4C4A0649"/>
    <w:rsid w:val="4C656F6B"/>
    <w:rsid w:val="4C7E5ECA"/>
    <w:rsid w:val="4C876AA5"/>
    <w:rsid w:val="4C9E188D"/>
    <w:rsid w:val="4CB75740"/>
    <w:rsid w:val="4CBD5B50"/>
    <w:rsid w:val="4D0E00FB"/>
    <w:rsid w:val="4D176606"/>
    <w:rsid w:val="4D4E28D6"/>
    <w:rsid w:val="4D7F06DF"/>
    <w:rsid w:val="4DE3129A"/>
    <w:rsid w:val="4DEC4FB0"/>
    <w:rsid w:val="4E075D8A"/>
    <w:rsid w:val="4E201419"/>
    <w:rsid w:val="4E2C47F5"/>
    <w:rsid w:val="4E337688"/>
    <w:rsid w:val="4EC00FAD"/>
    <w:rsid w:val="4EF47204"/>
    <w:rsid w:val="4F062C0C"/>
    <w:rsid w:val="4F1C0F1D"/>
    <w:rsid w:val="4F2B19CB"/>
    <w:rsid w:val="4F36608E"/>
    <w:rsid w:val="4F4F77F0"/>
    <w:rsid w:val="4F735CA2"/>
    <w:rsid w:val="4F924590"/>
    <w:rsid w:val="4F9843DC"/>
    <w:rsid w:val="4FC62A8C"/>
    <w:rsid w:val="4FE20F0D"/>
    <w:rsid w:val="4FE51552"/>
    <w:rsid w:val="50054A4A"/>
    <w:rsid w:val="500B3F35"/>
    <w:rsid w:val="50504C4B"/>
    <w:rsid w:val="50697A27"/>
    <w:rsid w:val="50826C87"/>
    <w:rsid w:val="509C6E7C"/>
    <w:rsid w:val="511171A5"/>
    <w:rsid w:val="51515414"/>
    <w:rsid w:val="5162104E"/>
    <w:rsid w:val="51C82DA2"/>
    <w:rsid w:val="52204193"/>
    <w:rsid w:val="52773995"/>
    <w:rsid w:val="52AB1590"/>
    <w:rsid w:val="52DE46FC"/>
    <w:rsid w:val="534D00EE"/>
    <w:rsid w:val="53514E1F"/>
    <w:rsid w:val="53743C1B"/>
    <w:rsid w:val="53A039CC"/>
    <w:rsid w:val="53A1505A"/>
    <w:rsid w:val="53C07883"/>
    <w:rsid w:val="54063E08"/>
    <w:rsid w:val="543437E8"/>
    <w:rsid w:val="54747D6F"/>
    <w:rsid w:val="54A80430"/>
    <w:rsid w:val="54AF0B66"/>
    <w:rsid w:val="54E76F8B"/>
    <w:rsid w:val="54ED50CA"/>
    <w:rsid w:val="54F73313"/>
    <w:rsid w:val="54F80955"/>
    <w:rsid w:val="55472BF2"/>
    <w:rsid w:val="555170A7"/>
    <w:rsid w:val="55705377"/>
    <w:rsid w:val="5587536D"/>
    <w:rsid w:val="559B174B"/>
    <w:rsid w:val="55C777EF"/>
    <w:rsid w:val="55CE0CF4"/>
    <w:rsid w:val="55DF4019"/>
    <w:rsid w:val="55E3523C"/>
    <w:rsid w:val="55EF3B73"/>
    <w:rsid w:val="56694C24"/>
    <w:rsid w:val="566A6D41"/>
    <w:rsid w:val="56A45695"/>
    <w:rsid w:val="56B22A9C"/>
    <w:rsid w:val="56BE2B73"/>
    <w:rsid w:val="57015571"/>
    <w:rsid w:val="5743522A"/>
    <w:rsid w:val="577F527D"/>
    <w:rsid w:val="57B72A76"/>
    <w:rsid w:val="57C3426C"/>
    <w:rsid w:val="57CE1F93"/>
    <w:rsid w:val="57E603FA"/>
    <w:rsid w:val="57E87D1D"/>
    <w:rsid w:val="586A0296"/>
    <w:rsid w:val="588743D1"/>
    <w:rsid w:val="5887701A"/>
    <w:rsid w:val="58D1771E"/>
    <w:rsid w:val="59017C3F"/>
    <w:rsid w:val="591A4482"/>
    <w:rsid w:val="598F6E6F"/>
    <w:rsid w:val="5996100A"/>
    <w:rsid w:val="59C0439F"/>
    <w:rsid w:val="5A64198B"/>
    <w:rsid w:val="5ABE2233"/>
    <w:rsid w:val="5ADF657E"/>
    <w:rsid w:val="5AE771D4"/>
    <w:rsid w:val="5BDF5D95"/>
    <w:rsid w:val="5BE52FA3"/>
    <w:rsid w:val="5BED1C69"/>
    <w:rsid w:val="5BF53E57"/>
    <w:rsid w:val="5BFD48C2"/>
    <w:rsid w:val="5BFE7528"/>
    <w:rsid w:val="5C1872E7"/>
    <w:rsid w:val="5C4B6236"/>
    <w:rsid w:val="5C4C12CD"/>
    <w:rsid w:val="5C7605F2"/>
    <w:rsid w:val="5CA84CCA"/>
    <w:rsid w:val="5CE97503"/>
    <w:rsid w:val="5D346CF1"/>
    <w:rsid w:val="5D505D60"/>
    <w:rsid w:val="5DBC2107"/>
    <w:rsid w:val="5DC73F47"/>
    <w:rsid w:val="5DDC5AA4"/>
    <w:rsid w:val="5E2467F1"/>
    <w:rsid w:val="5F1A2B43"/>
    <w:rsid w:val="5F1A4D0E"/>
    <w:rsid w:val="5F7008E1"/>
    <w:rsid w:val="5F88394B"/>
    <w:rsid w:val="5F9C14C8"/>
    <w:rsid w:val="5FA07B9E"/>
    <w:rsid w:val="5FB1052C"/>
    <w:rsid w:val="5FB837BB"/>
    <w:rsid w:val="5FF7504F"/>
    <w:rsid w:val="601E7FBA"/>
    <w:rsid w:val="609204D2"/>
    <w:rsid w:val="60C2565D"/>
    <w:rsid w:val="60CC405A"/>
    <w:rsid w:val="61270134"/>
    <w:rsid w:val="61AB75CF"/>
    <w:rsid w:val="61C21B51"/>
    <w:rsid w:val="61E215D8"/>
    <w:rsid w:val="620444BD"/>
    <w:rsid w:val="621B3775"/>
    <w:rsid w:val="622F287E"/>
    <w:rsid w:val="62364782"/>
    <w:rsid w:val="62450670"/>
    <w:rsid w:val="62B165D4"/>
    <w:rsid w:val="63036580"/>
    <w:rsid w:val="630745E3"/>
    <w:rsid w:val="63276945"/>
    <w:rsid w:val="6394356A"/>
    <w:rsid w:val="63BE7D56"/>
    <w:rsid w:val="63C61B2C"/>
    <w:rsid w:val="63CB14AD"/>
    <w:rsid w:val="63D40BE9"/>
    <w:rsid w:val="64102431"/>
    <w:rsid w:val="644F162D"/>
    <w:rsid w:val="647B2F36"/>
    <w:rsid w:val="647C3F08"/>
    <w:rsid w:val="64A5243A"/>
    <w:rsid w:val="64C2128C"/>
    <w:rsid w:val="64D214F7"/>
    <w:rsid w:val="64F531DE"/>
    <w:rsid w:val="650D3396"/>
    <w:rsid w:val="651651A6"/>
    <w:rsid w:val="65373578"/>
    <w:rsid w:val="65850382"/>
    <w:rsid w:val="6601446A"/>
    <w:rsid w:val="66083B12"/>
    <w:rsid w:val="661F0E5C"/>
    <w:rsid w:val="663107E5"/>
    <w:rsid w:val="671F124A"/>
    <w:rsid w:val="67446DCC"/>
    <w:rsid w:val="67470438"/>
    <w:rsid w:val="677A33C6"/>
    <w:rsid w:val="67C54E42"/>
    <w:rsid w:val="67D765A6"/>
    <w:rsid w:val="68010AAD"/>
    <w:rsid w:val="680B60A4"/>
    <w:rsid w:val="681F6961"/>
    <w:rsid w:val="683010FE"/>
    <w:rsid w:val="683B4BB8"/>
    <w:rsid w:val="68610A2F"/>
    <w:rsid w:val="68805514"/>
    <w:rsid w:val="68B93A8F"/>
    <w:rsid w:val="69316E2F"/>
    <w:rsid w:val="694E2071"/>
    <w:rsid w:val="69766163"/>
    <w:rsid w:val="697A3B33"/>
    <w:rsid w:val="69B8275B"/>
    <w:rsid w:val="69D44760"/>
    <w:rsid w:val="6A520EC7"/>
    <w:rsid w:val="6A931E60"/>
    <w:rsid w:val="6A955CF9"/>
    <w:rsid w:val="6AEF34F2"/>
    <w:rsid w:val="6AF87E20"/>
    <w:rsid w:val="6B322639"/>
    <w:rsid w:val="6B454EC0"/>
    <w:rsid w:val="6B605519"/>
    <w:rsid w:val="6B947BF6"/>
    <w:rsid w:val="6B9645A8"/>
    <w:rsid w:val="6C636C38"/>
    <w:rsid w:val="6C6D4F11"/>
    <w:rsid w:val="6CD35C2D"/>
    <w:rsid w:val="6CE83243"/>
    <w:rsid w:val="6D16468E"/>
    <w:rsid w:val="6D72229E"/>
    <w:rsid w:val="6D7A3AC6"/>
    <w:rsid w:val="6DA06D26"/>
    <w:rsid w:val="6DAC56CB"/>
    <w:rsid w:val="6DB34098"/>
    <w:rsid w:val="6DB545B6"/>
    <w:rsid w:val="6DE02FB4"/>
    <w:rsid w:val="6DE502B3"/>
    <w:rsid w:val="6E514CED"/>
    <w:rsid w:val="6EB563D5"/>
    <w:rsid w:val="6EC0133D"/>
    <w:rsid w:val="6ED92677"/>
    <w:rsid w:val="6F225983"/>
    <w:rsid w:val="6F3B45BF"/>
    <w:rsid w:val="6F9F6AB6"/>
    <w:rsid w:val="6FB53032"/>
    <w:rsid w:val="6FFC5590"/>
    <w:rsid w:val="70335C2F"/>
    <w:rsid w:val="705535C6"/>
    <w:rsid w:val="706D1DD0"/>
    <w:rsid w:val="70856B87"/>
    <w:rsid w:val="70AD205B"/>
    <w:rsid w:val="70D527EE"/>
    <w:rsid w:val="7116698D"/>
    <w:rsid w:val="714E1167"/>
    <w:rsid w:val="715B5300"/>
    <w:rsid w:val="718D5813"/>
    <w:rsid w:val="71A3637F"/>
    <w:rsid w:val="71D27F8A"/>
    <w:rsid w:val="71DF6C67"/>
    <w:rsid w:val="71ED0060"/>
    <w:rsid w:val="720067C1"/>
    <w:rsid w:val="72227D09"/>
    <w:rsid w:val="72331B0C"/>
    <w:rsid w:val="72490D33"/>
    <w:rsid w:val="72553024"/>
    <w:rsid w:val="72FA4E6A"/>
    <w:rsid w:val="72FF44EF"/>
    <w:rsid w:val="7305599B"/>
    <w:rsid w:val="73122968"/>
    <w:rsid w:val="731F5D5E"/>
    <w:rsid w:val="734D27DC"/>
    <w:rsid w:val="73632B65"/>
    <w:rsid w:val="739073D2"/>
    <w:rsid w:val="73A66718"/>
    <w:rsid w:val="73C51AD5"/>
    <w:rsid w:val="73D7347E"/>
    <w:rsid w:val="741E793C"/>
    <w:rsid w:val="745E3944"/>
    <w:rsid w:val="74712425"/>
    <w:rsid w:val="74716880"/>
    <w:rsid w:val="74A62E1E"/>
    <w:rsid w:val="74E53270"/>
    <w:rsid w:val="74F92AF3"/>
    <w:rsid w:val="74FC6F38"/>
    <w:rsid w:val="751524F5"/>
    <w:rsid w:val="753B4B9D"/>
    <w:rsid w:val="756521EE"/>
    <w:rsid w:val="75783B1F"/>
    <w:rsid w:val="758174B0"/>
    <w:rsid w:val="759658DB"/>
    <w:rsid w:val="75A1363B"/>
    <w:rsid w:val="75B16F32"/>
    <w:rsid w:val="75E74A0A"/>
    <w:rsid w:val="76202FBB"/>
    <w:rsid w:val="7635099D"/>
    <w:rsid w:val="76F765B2"/>
    <w:rsid w:val="771C67DE"/>
    <w:rsid w:val="776C6C6C"/>
    <w:rsid w:val="77762421"/>
    <w:rsid w:val="777F49DD"/>
    <w:rsid w:val="77894387"/>
    <w:rsid w:val="77B56B1F"/>
    <w:rsid w:val="77B85703"/>
    <w:rsid w:val="77E15DA0"/>
    <w:rsid w:val="780F09F4"/>
    <w:rsid w:val="78302A5C"/>
    <w:rsid w:val="78322C70"/>
    <w:rsid w:val="78A90480"/>
    <w:rsid w:val="78BE2756"/>
    <w:rsid w:val="78C93754"/>
    <w:rsid w:val="78CF04BF"/>
    <w:rsid w:val="7910040A"/>
    <w:rsid w:val="793D01EE"/>
    <w:rsid w:val="79464C25"/>
    <w:rsid w:val="79602EE3"/>
    <w:rsid w:val="79AA1F6A"/>
    <w:rsid w:val="79ED08FA"/>
    <w:rsid w:val="7A364017"/>
    <w:rsid w:val="7A3725E7"/>
    <w:rsid w:val="7A8265E1"/>
    <w:rsid w:val="7A926B2A"/>
    <w:rsid w:val="7A97500D"/>
    <w:rsid w:val="7B4909FD"/>
    <w:rsid w:val="7B536393"/>
    <w:rsid w:val="7B686D42"/>
    <w:rsid w:val="7B841746"/>
    <w:rsid w:val="7C02545D"/>
    <w:rsid w:val="7C2D5C29"/>
    <w:rsid w:val="7C602C1E"/>
    <w:rsid w:val="7C6C5AC7"/>
    <w:rsid w:val="7C7141CB"/>
    <w:rsid w:val="7C8F6E3F"/>
    <w:rsid w:val="7CC6544B"/>
    <w:rsid w:val="7D0239FF"/>
    <w:rsid w:val="7D2117F9"/>
    <w:rsid w:val="7D25654B"/>
    <w:rsid w:val="7D3D54A4"/>
    <w:rsid w:val="7D5E40CD"/>
    <w:rsid w:val="7D6548CE"/>
    <w:rsid w:val="7D96571D"/>
    <w:rsid w:val="7DCD56F2"/>
    <w:rsid w:val="7E255012"/>
    <w:rsid w:val="7E59305A"/>
    <w:rsid w:val="7E626DF1"/>
    <w:rsid w:val="7E7332E8"/>
    <w:rsid w:val="7E88183C"/>
    <w:rsid w:val="7ED8389B"/>
    <w:rsid w:val="7F001CE7"/>
    <w:rsid w:val="7F2E0CC9"/>
    <w:rsid w:val="7F331E1B"/>
    <w:rsid w:val="7FE47E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EmbedSmartTag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nhideWhenUsed="0" w:uiPriority="0" w:semiHidden="0" w:name="index 1" w:locked="1"/>
    <w:lsdException w:unhideWhenUsed="0" w:uiPriority="0" w:semiHidden="0" w:name="index 2" w:locked="1"/>
    <w:lsdException w:unhideWhenUsed="0" w:uiPriority="0" w:semiHidden="0" w:name="index 3" w:locked="1"/>
    <w:lsdException w:unhideWhenUsed="0" w:uiPriority="0" w:semiHidden="0" w:name="index 4" w:locked="1"/>
    <w:lsdException w:unhideWhenUsed="0" w:uiPriority="0" w:semiHidden="0" w:name="index 5" w:locked="1"/>
    <w:lsdException w:unhideWhenUsed="0" w:uiPriority="0" w:semiHidden="0" w:name="index 6" w:locked="1"/>
    <w:lsdException w:unhideWhenUsed="0" w:uiPriority="0" w:semiHidden="0" w:name="index 7" w:locked="1"/>
    <w:lsdException w:unhideWhenUsed="0" w:uiPriority="0" w:semiHidden="0" w:name="index 8" w:locked="1"/>
    <w:lsdException w:unhideWhenUsed="0" w:uiPriority="0" w:semiHidden="0" w:name="index 9" w:locked="1"/>
    <w:lsdException w:unhideWhenUsed="0" w:uiPriority="0" w:semiHidden="0" w:name="toc 1" w:locked="1"/>
    <w:lsdException w:qFormat="1"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ocked="1"/>
    <w:lsdException w:unhideWhenUsed="0" w:uiPriority="0" w:semiHidden="0" w:name="footnote text" w:locked="1"/>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ocked="1"/>
    <w:lsdException w:qFormat="1" w:uiPriority="0" w:name="caption" w:locked="1"/>
    <w:lsdException w:qFormat="1" w:uiPriority="0" w:semiHidden="0" w:name="table of figures" w:locked="1"/>
    <w:lsdException w:unhideWhenUsed="0" w:uiPriority="0" w:semiHidden="0" w:name="envelope address" w:locked="1"/>
    <w:lsdException w:unhideWhenUsed="0" w:uiPriority="0" w:semiHidden="0" w:name="envelope return" w:locked="1"/>
    <w:lsdException w:unhideWhenUsed="0" w:uiPriority="0" w:semiHidden="0" w:name="footnote reference" w:locked="1"/>
    <w:lsdException w:qFormat="1" w:unhideWhenUsed="0" w:uiPriority="0" w:name="annotation reference"/>
    <w:lsdException w:unhideWhenUsed="0" w:uiPriority="0" w:semiHidden="0" w:name="line number" w:locked="1"/>
    <w:lsdException w:qFormat="1" w:unhideWhenUsed="0" w:uiPriority="0" w:semiHidden="0" w:name="page number" w:locked="1"/>
    <w:lsdException w:unhideWhenUsed="0" w:uiPriority="0" w:semiHidden="0" w:name="endnote reference" w:locked="1"/>
    <w:lsdException w:unhideWhenUsed="0" w:uiPriority="0" w:semiHidden="0" w:name="endnote text" w:locked="1"/>
    <w:lsdException w:unhideWhenUsed="0" w:uiPriority="0" w:semiHidden="0" w:name="table of authorities" w:locked="1"/>
    <w:lsdException w:unhideWhenUsed="0" w:uiPriority="0" w:semiHidden="0" w:name="macro" w:locked="1"/>
    <w:lsdException w:unhideWhenUsed="0" w:uiPriority="0" w:semiHidden="0" w:name="toa heading" w:locked="1"/>
    <w:lsdException w:qFormat="1" w:unhideWhenUsed="0" w:uiPriority="0" w:semiHidden="0" w:name="List" w:locked="1"/>
    <w:lsdException w:unhideWhenUsed="0" w:uiPriority="0" w:semiHidden="0" w:name="List Bullet" w:locked="1"/>
    <w:lsdException w:unhideWhenUsed="0" w:uiPriority="0" w:semiHidden="0" w:name="List Number" w:locked="1"/>
    <w:lsdException w:unhideWhenUsed="0" w:uiPriority="0" w:semiHidden="0" w:name="List 2" w:locked="1"/>
    <w:lsdException w:unhideWhenUsed="0" w:uiPriority="0" w:semiHidden="0" w:name="List 3" w:locked="1"/>
    <w:lsdException w:unhideWhenUsed="0" w:uiPriority="0" w:semiHidden="0" w:name="List 4" w:locked="1"/>
    <w:lsdException w:unhideWhenUsed="0" w:uiPriority="0" w:semiHidden="0" w:name="List 5" w:locked="1"/>
    <w:lsdException w:unhideWhenUsed="0" w:uiPriority="0" w:semiHidden="0" w:name="List Bullet 2" w:locked="1"/>
    <w:lsdException w:unhideWhenUsed="0" w:uiPriority="0" w:semiHidden="0" w:name="List Bullet 3" w:locked="1"/>
    <w:lsdException w:unhideWhenUsed="0" w:uiPriority="0" w:semiHidden="0" w:name="List Bullet 4" w:locked="1"/>
    <w:lsdException w:unhideWhenUsed="0" w:uiPriority="0" w:semiHidden="0" w:name="List Bullet 5" w:locked="1"/>
    <w:lsdException w:unhideWhenUsed="0" w:uiPriority="0" w:semiHidden="0" w:name="List Number 2" w:locked="1"/>
    <w:lsdException w:unhideWhenUsed="0" w:uiPriority="0" w:semiHidden="0" w:name="List Number 3" w:locked="1"/>
    <w:lsdException w:unhideWhenUsed="0" w:uiPriority="0" w:semiHidden="0" w:name="List Number 4" w:locked="1"/>
    <w:lsdException w:unhideWhenUsed="0" w:uiPriority="0" w:semiHidden="0" w:name="List Number 5" w:locked="1"/>
    <w:lsdException w:qFormat="1" w:unhideWhenUsed="0" w:uiPriority="0" w:semiHidden="0" w:name="Title" w:locked="1"/>
    <w:lsdException w:unhideWhenUsed="0" w:uiPriority="0" w:semiHidden="0" w:name="Closing" w:locked="1"/>
    <w:lsdException w:unhideWhenUsed="0" w:uiPriority="0" w:semiHidden="0" w:name="Signature" w:locked="1"/>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ocked="1"/>
    <w:lsdException w:unhideWhenUsed="0" w:uiPriority="0" w:semiHidden="0" w:name="List Continue 2" w:locked="1"/>
    <w:lsdException w:unhideWhenUsed="0" w:uiPriority="0" w:semiHidden="0" w:name="List Continue 3" w:locked="1"/>
    <w:lsdException w:unhideWhenUsed="0" w:uiPriority="0" w:semiHidden="0" w:name="List Continue 4" w:locked="1"/>
    <w:lsdException w:unhideWhenUsed="0" w:uiPriority="0" w:semiHidden="0" w:name="List Continue 5" w:locked="1"/>
    <w:lsdException w:unhideWhenUsed="0" w:uiPriority="0" w:semiHidden="0" w:name="Message Header" w:locked="1"/>
    <w:lsdException w:qFormat="1" w:unhideWhenUsed="0" w:uiPriority="0" w:semiHidden="0" w:name="Subtitle" w:locked="1"/>
    <w:lsdException w:unhideWhenUsed="0" w:uiPriority="0" w:semiHidden="0" w:name="Salutation" w:locked="1"/>
    <w:lsdException w:qFormat="1" w:unhideWhenUsed="0" w:uiPriority="0" w:semiHidden="0" w:name="Date"/>
    <w:lsdException w:qFormat="1" w:unhideWhenUsed="0" w:uiPriority="0" w:semiHidden="0" w:name="Body Text First Indent" w:locked="1"/>
    <w:lsdException w:qFormat="1" w:uiPriority="0" w:semiHidden="0" w:name="Body Text First Indent 2" w:locked="1"/>
    <w:lsdException w:unhideWhenUsed="0" w:uiPriority="0" w:semiHidden="0" w:name="Note Heading" w:locked="1"/>
    <w:lsdException w:qFormat="1" w:uiPriority="99" w:semiHidden="0" w:name="Body Text 2" w:locked="1"/>
    <w:lsdException w:unhideWhenUsed="0" w:uiPriority="0" w:semiHidden="0" w:name="Body Text 3" w:locked="1"/>
    <w:lsdException w:qFormat="1" w:unhideWhenUsed="0" w:uiPriority="0" w:semiHidden="0" w:name="Body Text Indent 2" w:locked="1"/>
    <w:lsdException w:unhideWhenUsed="0" w:uiPriority="0" w:semiHidden="0" w:name="Body Text Indent 3" w:locked="1"/>
    <w:lsdException w:unhideWhenUsed="0" w:uiPriority="0" w:semiHidden="0" w:name="Block Text" w:locked="1"/>
    <w:lsdException w:unhideWhenUsed="0" w:uiPriority="0" w:semiHidden="0" w:name="Hyperlink" w:locked="1"/>
    <w:lsdException w:unhideWhenUsed="0" w:uiPriority="0" w:semiHidden="0" w:name="FollowedHyperlink" w:locked="1"/>
    <w:lsdException w:qFormat="1" w:unhideWhenUsed="0" w:uiPriority="0" w:semiHidden="0" w:name="Strong" w:locked="1"/>
    <w:lsdException w:qFormat="1" w:unhideWhenUsed="0" w:uiPriority="0" w:semiHidden="0" w:name="Emphasis" w:locked="1"/>
    <w:lsdException w:unhideWhenUsed="0" w:uiPriority="0" w:semiHidden="0" w:name="Document Map" w:locked="1"/>
    <w:lsdException w:qFormat="1" w:unhideWhenUsed="0" w:uiPriority="0" w:semiHidden="0" w:name="Plain Text" w:locked="1"/>
    <w:lsdException w:unhideWhenUsed="0" w:uiPriority="0" w:semiHidden="0" w:name="E-mail Signature" w:locked="1"/>
    <w:lsdException w:qFormat="1" w:unhideWhenUsed="0" w:uiPriority="0" w:semiHidden="0" w:name="Normal (Web)"/>
    <w:lsdException w:unhideWhenUsed="0" w:uiPriority="0" w:semiHidden="0" w:name="HTML Acronym" w:locked="1"/>
    <w:lsdException w:unhideWhenUsed="0" w:uiPriority="0" w:semiHidden="0" w:name="HTML Address" w:locked="1"/>
    <w:lsdException w:unhideWhenUsed="0" w:uiPriority="0" w:semiHidden="0" w:name="HTML Cite" w:locked="1"/>
    <w:lsdException w:unhideWhenUsed="0" w:uiPriority="0" w:semiHidden="0" w:name="HTML Code" w:locked="1"/>
    <w:lsdException w:unhideWhenUsed="0" w:uiPriority="0" w:semiHidden="0" w:name="HTML Definition" w:locked="1"/>
    <w:lsdException w:unhideWhenUsed="0" w:uiPriority="0" w:semiHidden="0" w:name="HTML Keyboard" w:locked="1"/>
    <w:lsdException w:unhideWhenUsed="0" w:uiPriority="0" w:semiHidden="0" w:name="HTML Preformatted" w:locked="1"/>
    <w:lsdException w:unhideWhenUsed="0" w:uiPriority="0" w:semiHidden="0" w:name="HTML Sample" w:locked="1"/>
    <w:lsdException w:unhideWhenUsed="0" w:uiPriority="0" w:semiHidden="0" w:name="HTML Typewriter" w:locked="1"/>
    <w:lsdException w:unhideWhenUsed="0" w:uiPriority="0" w:semiHidden="0" w:name="HTML Variable" w:locked="1"/>
    <w:lsdException w:qFormat="1" w:uiPriority="99" w:name="Normal Table"/>
    <w:lsdException w:qFormat="1" w:unhideWhenUsed="0" w:uiPriority="0" w:name="annotation subject"/>
    <w:lsdException w:uiPriority="0" w:name="Table Simple 1" w:locked="1"/>
    <w:lsdException w:uiPriority="0" w:name="Table Simple 2" w:locked="1"/>
    <w:lsdException w:uiPriority="0" w:name="Table Simple 3" w:locked="1"/>
    <w:lsdException w:uiPriority="0" w:name="Table Classic 1" w:locked="1"/>
    <w:lsdException w:uiPriority="0" w:name="Table Classic 2" w:locked="1"/>
    <w:lsdException w:uiPriority="0" w:name="Table Classic 3" w:locked="1"/>
    <w:lsdException w:uiPriority="0" w:name="Table Classic 4" w:locked="1"/>
    <w:lsdException w:uiPriority="0" w:name="Table Colorful 1" w:locked="1"/>
    <w:lsdException w:uiPriority="0" w:name="Table Colorful 2" w:locked="1"/>
    <w:lsdException w:uiPriority="0" w:name="Table Colorful 3" w:locked="1"/>
    <w:lsdException w:uiPriority="0" w:name="Table Columns 1" w:locked="1"/>
    <w:lsdException w:uiPriority="0" w:name="Table Columns 2" w:locked="1"/>
    <w:lsdException w:uiPriority="0" w:name="Table Columns 3" w:locked="1"/>
    <w:lsdException w:uiPriority="0" w:name="Table Columns 4" w:locked="1"/>
    <w:lsdException w:uiPriority="0" w:name="Table Columns 5" w:locked="1"/>
    <w:lsdException w:uiPriority="0" w:name="Table Grid 1" w:locked="1"/>
    <w:lsdException w:uiPriority="0" w:name="Table Grid 2" w:locked="1"/>
    <w:lsdException w:uiPriority="0" w:name="Table Grid 3" w:locked="1"/>
    <w:lsdException w:uiPriority="0" w:name="Table Grid 4" w:locked="1"/>
    <w:lsdException w:uiPriority="0" w:name="Table Grid 5" w:locked="1"/>
    <w:lsdException w:uiPriority="0" w:name="Table Grid 6" w:locked="1"/>
    <w:lsdException w:uiPriority="0" w:name="Table Grid 7" w:locked="1"/>
    <w:lsdException w:uiPriority="0" w:name="Table Grid 8" w:locked="1"/>
    <w:lsdException w:uiPriority="0" w:name="Table List 1" w:locked="1"/>
    <w:lsdException w:uiPriority="0" w:name="Table List 2" w:locked="1"/>
    <w:lsdException w:uiPriority="0" w:name="Table List 3" w:locked="1"/>
    <w:lsdException w:uiPriority="0" w:name="Table List 4" w:locked="1"/>
    <w:lsdException w:uiPriority="0" w:name="Table List 5" w:locked="1"/>
    <w:lsdException w:uiPriority="0" w:name="Table List 6" w:locked="1"/>
    <w:lsdException w:uiPriority="0" w:name="Table List 7" w:locked="1"/>
    <w:lsdException w:uiPriority="0" w:name="Table List 8" w:locked="1"/>
    <w:lsdException w:uiPriority="0" w:name="Table 3D effects 1" w:locked="1"/>
    <w:lsdException w:uiPriority="0" w:name="Table 3D effects 2" w:locked="1"/>
    <w:lsdException w:uiPriority="0" w:name="Table 3D effects 3" w:locked="1"/>
    <w:lsdException w:uiPriority="0" w:name="Table Contemporary" w:locked="1"/>
    <w:lsdException w:uiPriority="0" w:name="Table Elegant" w:locked="1"/>
    <w:lsdException w:uiPriority="0" w:name="Table Professional" w:locked="1"/>
    <w:lsdException w:uiPriority="0" w:name="Table Subtle 1" w:locked="1"/>
    <w:lsdException w:uiPriority="0" w:name="Table Subtle 2" w:locked="1"/>
    <w:lsdException w:uiPriority="0" w:name="Table Web 1" w:locked="1"/>
    <w:lsdException w:uiPriority="0" w:name="Table Web 2" w:locked="1"/>
    <w:lsdException w:uiPriority="0" w:name="Table Web 3" w:locked="1"/>
    <w:lsdException w:qFormat="1" w:unhideWhenUsed="0" w:uiPriority="0" w:name="Balloon Text"/>
    <w:lsdException w:qFormat="1" w:unhideWhenUsed="0" w:uiPriority="0" w:semiHidden="0" w:name="Table Grid"/>
    <w:lsdException w:uiPriority="0" w:name="Table Theme" w:locked="1"/>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locked/>
    <w:uiPriority w:val="99"/>
    <w:pPr>
      <w:keepNext/>
      <w:overflowPunct w:val="0"/>
      <w:snapToGrid w:val="0"/>
      <w:spacing w:before="120" w:after="160" w:line="259" w:lineRule="auto"/>
      <w:ind w:left="432" w:hanging="432"/>
      <w:outlineLvl w:val="0"/>
    </w:pPr>
    <w:rPr>
      <w:rFonts w:eastAsia="黑体"/>
      <w:b/>
      <w:bCs/>
      <w:color w:val="000000"/>
      <w:kern w:val="44"/>
      <w:sz w:val="30"/>
      <w:szCs w:val="30"/>
    </w:rPr>
  </w:style>
  <w:style w:type="paragraph" w:styleId="3">
    <w:name w:val="heading 2"/>
    <w:basedOn w:val="1"/>
    <w:next w:val="1"/>
    <w:semiHidden/>
    <w:unhideWhenUsed/>
    <w:qFormat/>
    <w:locked/>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4">
    <w:name w:val="Normal Indent"/>
    <w:basedOn w:val="1"/>
    <w:next w:val="1"/>
    <w:qFormat/>
    <w:locked/>
    <w:uiPriority w:val="0"/>
    <w:pPr>
      <w:spacing w:line="360" w:lineRule="auto"/>
      <w:ind w:firstLine="200" w:firstLineChars="200"/>
    </w:pPr>
    <w:rPr>
      <w:sz w:val="24"/>
    </w:rPr>
  </w:style>
  <w:style w:type="paragraph" w:styleId="5">
    <w:name w:val="annotation text"/>
    <w:basedOn w:val="1"/>
    <w:link w:val="32"/>
    <w:semiHidden/>
    <w:qFormat/>
    <w:uiPriority w:val="0"/>
    <w:pPr>
      <w:jc w:val="left"/>
    </w:pPr>
    <w:rPr>
      <w:kern w:val="0"/>
      <w:sz w:val="24"/>
      <w:szCs w:val="20"/>
    </w:rPr>
  </w:style>
  <w:style w:type="paragraph" w:styleId="6">
    <w:name w:val="Body Text"/>
    <w:basedOn w:val="1"/>
    <w:next w:val="1"/>
    <w:link w:val="31"/>
    <w:qFormat/>
    <w:uiPriority w:val="0"/>
    <w:pPr>
      <w:widowControl/>
      <w:snapToGrid w:val="0"/>
      <w:spacing w:before="60" w:after="160" w:line="259" w:lineRule="auto"/>
      <w:ind w:right="113"/>
    </w:pPr>
    <w:rPr>
      <w:kern w:val="0"/>
      <w:sz w:val="18"/>
      <w:szCs w:val="20"/>
    </w:rPr>
  </w:style>
  <w:style w:type="paragraph" w:styleId="7">
    <w:name w:val="Body Text Indent"/>
    <w:basedOn w:val="1"/>
    <w:next w:val="8"/>
    <w:link w:val="33"/>
    <w:qFormat/>
    <w:uiPriority w:val="0"/>
    <w:pPr>
      <w:spacing w:after="120"/>
      <w:ind w:left="420" w:leftChars="200"/>
    </w:pPr>
    <w:rPr>
      <w:kern w:val="0"/>
      <w:sz w:val="24"/>
      <w:szCs w:val="20"/>
    </w:rPr>
  </w:style>
  <w:style w:type="paragraph" w:styleId="8">
    <w:name w:val="List"/>
    <w:basedOn w:val="1"/>
    <w:qFormat/>
    <w:locked/>
    <w:uiPriority w:val="0"/>
    <w:pPr>
      <w:ind w:left="200" w:hanging="200" w:hangingChars="200"/>
    </w:pPr>
    <w:rPr>
      <w:szCs w:val="20"/>
    </w:rPr>
  </w:style>
  <w:style w:type="paragraph" w:styleId="9">
    <w:name w:val="Plain Text"/>
    <w:basedOn w:val="1"/>
    <w:next w:val="1"/>
    <w:qFormat/>
    <w:locked/>
    <w:uiPriority w:val="0"/>
    <w:rPr>
      <w:rFonts w:ascii="宋体" w:hAnsi="Courier New"/>
      <w:szCs w:val="21"/>
    </w:rPr>
  </w:style>
  <w:style w:type="paragraph" w:styleId="10">
    <w:name w:val="Date"/>
    <w:basedOn w:val="1"/>
    <w:next w:val="1"/>
    <w:link w:val="34"/>
    <w:qFormat/>
    <w:uiPriority w:val="0"/>
    <w:pPr>
      <w:ind w:left="100" w:leftChars="2500"/>
    </w:pPr>
    <w:rPr>
      <w:kern w:val="0"/>
      <w:sz w:val="24"/>
      <w:szCs w:val="20"/>
    </w:rPr>
  </w:style>
  <w:style w:type="paragraph" w:styleId="11">
    <w:name w:val="Body Text Indent 2"/>
    <w:basedOn w:val="1"/>
    <w:next w:val="12"/>
    <w:qFormat/>
    <w:locked/>
    <w:uiPriority w:val="0"/>
    <w:pPr>
      <w:spacing w:line="360" w:lineRule="auto"/>
      <w:ind w:firstLine="480"/>
    </w:pPr>
    <w:rPr>
      <w:rFonts w:ascii="仿宋_GB2312" w:eastAsia="仿宋_GB2312"/>
      <w:sz w:val="28"/>
    </w:rPr>
  </w:style>
  <w:style w:type="paragraph" w:customStyle="1" w:styleId="12">
    <w:name w:val="简单回函地址"/>
    <w:basedOn w:val="1"/>
    <w:next w:val="13"/>
    <w:qFormat/>
    <w:uiPriority w:val="0"/>
    <w:rPr>
      <w:szCs w:val="20"/>
    </w:rPr>
  </w:style>
  <w:style w:type="paragraph" w:customStyle="1" w:styleId="13">
    <w:name w:val="正文2"/>
    <w:qFormat/>
    <w:uiPriority w:val="0"/>
    <w:pPr>
      <w:widowControl w:val="0"/>
      <w:adjustRightInd w:val="0"/>
      <w:spacing w:line="360" w:lineRule="atLeast"/>
      <w:textAlignment w:val="baseline"/>
    </w:pPr>
    <w:rPr>
      <w:rFonts w:ascii="宋体" w:hAnsi="Times New Roman" w:eastAsia="宋体" w:cs="Times New Roman"/>
      <w:sz w:val="24"/>
      <w:lang w:val="en-US" w:eastAsia="zh-CN" w:bidi="ar-SA"/>
    </w:rPr>
  </w:style>
  <w:style w:type="paragraph" w:styleId="14">
    <w:name w:val="Balloon Text"/>
    <w:basedOn w:val="1"/>
    <w:link w:val="35"/>
    <w:semiHidden/>
    <w:qFormat/>
    <w:uiPriority w:val="0"/>
    <w:rPr>
      <w:kern w:val="0"/>
      <w:sz w:val="18"/>
      <w:szCs w:val="20"/>
    </w:rPr>
  </w:style>
  <w:style w:type="paragraph" w:styleId="15">
    <w:name w:val="footer"/>
    <w:basedOn w:val="1"/>
    <w:link w:val="36"/>
    <w:qFormat/>
    <w:uiPriority w:val="99"/>
    <w:pPr>
      <w:tabs>
        <w:tab w:val="center" w:pos="4153"/>
        <w:tab w:val="right" w:pos="8306"/>
      </w:tabs>
      <w:snapToGrid w:val="0"/>
      <w:jc w:val="left"/>
    </w:pPr>
    <w:rPr>
      <w:kern w:val="0"/>
      <w:sz w:val="18"/>
      <w:szCs w:val="20"/>
    </w:rPr>
  </w:style>
  <w:style w:type="paragraph" w:styleId="16">
    <w:name w:val="header"/>
    <w:basedOn w:val="1"/>
    <w:link w:val="37"/>
    <w:qFormat/>
    <w:uiPriority w:val="0"/>
    <w:pPr>
      <w:pBdr>
        <w:bottom w:val="single" w:color="auto" w:sz="6" w:space="1"/>
      </w:pBdr>
      <w:tabs>
        <w:tab w:val="center" w:pos="4153"/>
        <w:tab w:val="right" w:pos="8306"/>
      </w:tabs>
      <w:snapToGrid w:val="0"/>
      <w:jc w:val="center"/>
    </w:pPr>
    <w:rPr>
      <w:kern w:val="0"/>
      <w:sz w:val="18"/>
      <w:szCs w:val="20"/>
    </w:rPr>
  </w:style>
  <w:style w:type="paragraph" w:styleId="17">
    <w:name w:val="table of figures"/>
    <w:basedOn w:val="1"/>
    <w:next w:val="1"/>
    <w:unhideWhenUsed/>
    <w:qFormat/>
    <w:locked/>
    <w:uiPriority w:val="0"/>
    <w:pPr>
      <w:ind w:left="720" w:hanging="720"/>
      <w:jc w:val="left"/>
    </w:pPr>
    <w:rPr>
      <w:rFonts w:eastAsia="黑体"/>
      <w:smallCaps/>
      <w:sz w:val="20"/>
    </w:rPr>
  </w:style>
  <w:style w:type="paragraph" w:styleId="18">
    <w:name w:val="toc 2"/>
    <w:basedOn w:val="1"/>
    <w:next w:val="1"/>
    <w:qFormat/>
    <w:locked/>
    <w:uiPriority w:val="0"/>
    <w:pPr>
      <w:ind w:left="210"/>
      <w:jc w:val="left"/>
    </w:pPr>
    <w:rPr>
      <w:smallCaps/>
    </w:rPr>
  </w:style>
  <w:style w:type="paragraph" w:styleId="19">
    <w:name w:val="Body Text 2"/>
    <w:basedOn w:val="1"/>
    <w:unhideWhenUsed/>
    <w:qFormat/>
    <w:locked/>
    <w:uiPriority w:val="99"/>
    <w:pPr>
      <w:spacing w:after="120" w:line="480" w:lineRule="auto"/>
    </w:pPr>
  </w:style>
  <w:style w:type="paragraph" w:styleId="20">
    <w:name w:val="Normal (Web)"/>
    <w:basedOn w:val="1"/>
    <w:link w:val="38"/>
    <w:qFormat/>
    <w:uiPriority w:val="0"/>
    <w:pPr>
      <w:widowControl/>
      <w:spacing w:before="100" w:beforeAutospacing="1" w:after="100" w:afterAutospacing="1"/>
      <w:jc w:val="left"/>
    </w:pPr>
    <w:rPr>
      <w:rFonts w:ascii="宋体" w:hAnsi="宋体"/>
      <w:kern w:val="0"/>
      <w:sz w:val="24"/>
      <w:szCs w:val="20"/>
    </w:rPr>
  </w:style>
  <w:style w:type="paragraph" w:styleId="21">
    <w:name w:val="annotation subject"/>
    <w:basedOn w:val="5"/>
    <w:next w:val="5"/>
    <w:link w:val="39"/>
    <w:semiHidden/>
    <w:qFormat/>
    <w:uiPriority w:val="0"/>
    <w:rPr>
      <w:b/>
    </w:rPr>
  </w:style>
  <w:style w:type="paragraph" w:styleId="22">
    <w:name w:val="Body Text First Indent"/>
    <w:basedOn w:val="6"/>
    <w:qFormat/>
    <w:locked/>
    <w:uiPriority w:val="0"/>
    <w:pPr>
      <w:tabs>
        <w:tab w:val="left" w:pos="7740"/>
      </w:tabs>
      <w:spacing w:after="120"/>
      <w:ind w:firstLine="420" w:firstLineChars="100"/>
    </w:pPr>
    <w:rPr>
      <w:rFonts w:ascii="Arial" w:hAnsi="Arial"/>
      <w:sz w:val="21"/>
      <w:szCs w:val="24"/>
    </w:rPr>
  </w:style>
  <w:style w:type="paragraph" w:styleId="23">
    <w:name w:val="Body Text First Indent 2"/>
    <w:basedOn w:val="7"/>
    <w:unhideWhenUsed/>
    <w:qFormat/>
    <w:locked/>
    <w:uiPriority w:val="0"/>
    <w:pPr>
      <w:ind w:firstLine="420" w:firstLineChars="200"/>
    </w:pPr>
  </w:style>
  <w:style w:type="table" w:styleId="25">
    <w:name w:val="Table Grid"/>
    <w:basedOn w:val="24"/>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locked/>
    <w:uiPriority w:val="0"/>
  </w:style>
  <w:style w:type="character" w:styleId="28">
    <w:name w:val="annotation reference"/>
    <w:semiHidden/>
    <w:qFormat/>
    <w:uiPriority w:val="0"/>
    <w:rPr>
      <w:sz w:val="21"/>
    </w:rPr>
  </w:style>
  <w:style w:type="paragraph" w:customStyle="1" w:styleId="29">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 w:type="paragraph" w:customStyle="1" w:styleId="30">
    <w:name w:val="0正文"/>
    <w:unhideWhenUsed/>
    <w:qFormat/>
    <w:uiPriority w:val="0"/>
    <w:pPr>
      <w:widowControl w:val="0"/>
      <w:spacing w:line="360" w:lineRule="auto"/>
      <w:ind w:firstLine="720" w:firstLineChars="200"/>
    </w:pPr>
    <w:rPr>
      <w:rFonts w:ascii="Calibri" w:hAnsi="Calibri" w:eastAsia="宋体" w:cs="Times New Roman"/>
      <w:sz w:val="24"/>
      <w:szCs w:val="22"/>
      <w:lang w:val="en-US" w:eastAsia="zh-CN" w:bidi="ar-SA"/>
    </w:rPr>
  </w:style>
  <w:style w:type="character" w:customStyle="1" w:styleId="31">
    <w:name w:val="正文文本 字符"/>
    <w:link w:val="6"/>
    <w:qFormat/>
    <w:locked/>
    <w:uiPriority w:val="0"/>
    <w:rPr>
      <w:sz w:val="18"/>
    </w:rPr>
  </w:style>
  <w:style w:type="character" w:customStyle="1" w:styleId="32">
    <w:name w:val="批注文字 字符"/>
    <w:link w:val="5"/>
    <w:qFormat/>
    <w:locked/>
    <w:uiPriority w:val="0"/>
    <w:rPr>
      <w:rFonts w:ascii="Times New Roman" w:hAnsi="Times New Roman" w:eastAsia="宋体"/>
      <w:sz w:val="24"/>
    </w:rPr>
  </w:style>
  <w:style w:type="character" w:customStyle="1" w:styleId="33">
    <w:name w:val="正文文本缩进 字符"/>
    <w:link w:val="7"/>
    <w:semiHidden/>
    <w:qFormat/>
    <w:locked/>
    <w:uiPriority w:val="0"/>
    <w:rPr>
      <w:rFonts w:ascii="Times New Roman" w:hAnsi="Times New Roman" w:eastAsia="宋体"/>
      <w:sz w:val="24"/>
    </w:rPr>
  </w:style>
  <w:style w:type="character" w:customStyle="1" w:styleId="34">
    <w:name w:val="日期 字符1"/>
    <w:link w:val="10"/>
    <w:qFormat/>
    <w:locked/>
    <w:uiPriority w:val="0"/>
    <w:rPr>
      <w:rFonts w:ascii="Times New Roman" w:hAnsi="Times New Roman" w:eastAsia="宋体"/>
      <w:sz w:val="24"/>
    </w:rPr>
  </w:style>
  <w:style w:type="character" w:customStyle="1" w:styleId="35">
    <w:name w:val="批注框文本 字符"/>
    <w:link w:val="14"/>
    <w:semiHidden/>
    <w:qFormat/>
    <w:locked/>
    <w:uiPriority w:val="0"/>
    <w:rPr>
      <w:rFonts w:ascii="Times New Roman" w:hAnsi="Times New Roman" w:eastAsia="宋体"/>
      <w:sz w:val="18"/>
    </w:rPr>
  </w:style>
  <w:style w:type="character" w:customStyle="1" w:styleId="36">
    <w:name w:val="页脚 字符1"/>
    <w:link w:val="15"/>
    <w:qFormat/>
    <w:locked/>
    <w:uiPriority w:val="99"/>
    <w:rPr>
      <w:sz w:val="18"/>
    </w:rPr>
  </w:style>
  <w:style w:type="character" w:customStyle="1" w:styleId="37">
    <w:name w:val="页眉 字符"/>
    <w:link w:val="16"/>
    <w:qFormat/>
    <w:locked/>
    <w:uiPriority w:val="0"/>
    <w:rPr>
      <w:sz w:val="18"/>
    </w:rPr>
  </w:style>
  <w:style w:type="character" w:customStyle="1" w:styleId="38">
    <w:name w:val="普通(网站) 字符"/>
    <w:link w:val="20"/>
    <w:qFormat/>
    <w:locked/>
    <w:uiPriority w:val="0"/>
    <w:rPr>
      <w:rFonts w:ascii="宋体" w:hAnsi="宋体" w:eastAsia="宋体"/>
      <w:sz w:val="24"/>
    </w:rPr>
  </w:style>
  <w:style w:type="character" w:customStyle="1" w:styleId="39">
    <w:name w:val="批注主题 字符"/>
    <w:link w:val="21"/>
    <w:semiHidden/>
    <w:qFormat/>
    <w:locked/>
    <w:uiPriority w:val="0"/>
    <w:rPr>
      <w:rFonts w:ascii="Times New Roman" w:hAnsi="Times New Roman" w:eastAsia="宋体"/>
      <w:b/>
      <w:kern w:val="2"/>
      <w:sz w:val="24"/>
    </w:rPr>
  </w:style>
  <w:style w:type="character" w:customStyle="1" w:styleId="40">
    <w:name w:val="正文文本 字符1"/>
    <w:semiHidden/>
    <w:qFormat/>
    <w:uiPriority w:val="0"/>
    <w:rPr>
      <w:rFonts w:ascii="Times New Roman" w:hAnsi="Times New Roman" w:eastAsia="宋体"/>
      <w:sz w:val="24"/>
    </w:rPr>
  </w:style>
  <w:style w:type="character" w:customStyle="1" w:styleId="41">
    <w:name w:val="批注文字 字符1"/>
    <w:semiHidden/>
    <w:qFormat/>
    <w:uiPriority w:val="0"/>
    <w:rPr>
      <w:rFonts w:ascii="Times New Roman" w:hAnsi="Times New Roman" w:eastAsia="宋体"/>
      <w:sz w:val="24"/>
    </w:rPr>
  </w:style>
  <w:style w:type="character" w:customStyle="1" w:styleId="42">
    <w:name w:val="日期 字符"/>
    <w:semiHidden/>
    <w:qFormat/>
    <w:uiPriority w:val="0"/>
    <w:rPr>
      <w:rFonts w:ascii="Times New Roman" w:hAnsi="Times New Roman" w:eastAsia="宋体"/>
      <w:sz w:val="24"/>
    </w:rPr>
  </w:style>
  <w:style w:type="character" w:customStyle="1" w:styleId="43">
    <w:name w:val="表格 Char"/>
    <w:link w:val="44"/>
    <w:qFormat/>
    <w:locked/>
    <w:uiPriority w:val="0"/>
    <w:rPr>
      <w:rFonts w:ascii="宋体"/>
      <w:sz w:val="21"/>
    </w:rPr>
  </w:style>
  <w:style w:type="paragraph" w:customStyle="1" w:styleId="44">
    <w:name w:val="表格"/>
    <w:basedOn w:val="8"/>
    <w:next w:val="1"/>
    <w:link w:val="43"/>
    <w:qFormat/>
    <w:uiPriority w:val="0"/>
    <w:pPr>
      <w:adjustRightInd w:val="0"/>
      <w:snapToGrid w:val="0"/>
      <w:spacing w:beforeLines="10" w:afterLines="10" w:line="259" w:lineRule="auto"/>
      <w:jc w:val="center"/>
    </w:pPr>
    <w:rPr>
      <w:rFonts w:ascii="宋体"/>
      <w:kern w:val="0"/>
      <w:szCs w:val="20"/>
    </w:rPr>
  </w:style>
  <w:style w:type="character" w:customStyle="1" w:styleId="45">
    <w:name w:val="样式 (符号) 宋体 小四 Char"/>
    <w:link w:val="46"/>
    <w:qFormat/>
    <w:uiPriority w:val="0"/>
    <w:rPr>
      <w:rFonts w:hAnsi="宋体" w:eastAsia="Times New Roman"/>
      <w:bCs/>
      <w:kern w:val="0"/>
      <w:sz w:val="24"/>
    </w:rPr>
  </w:style>
  <w:style w:type="paragraph" w:customStyle="1" w:styleId="46">
    <w:name w:val="样式 (符号) 宋体 小四"/>
    <w:basedOn w:val="1"/>
    <w:link w:val="45"/>
    <w:qFormat/>
    <w:uiPriority w:val="0"/>
    <w:pPr>
      <w:spacing w:line="360" w:lineRule="auto"/>
      <w:ind w:firstLine="200" w:firstLineChars="200"/>
    </w:pPr>
    <w:rPr>
      <w:rFonts w:hAnsi="宋体" w:eastAsia="Times New Roman"/>
      <w:bCs/>
      <w:kern w:val="0"/>
      <w:sz w:val="24"/>
    </w:rPr>
  </w:style>
  <w:style w:type="character" w:customStyle="1" w:styleId="47">
    <w:name w:val="页脚 字符"/>
    <w:basedOn w:val="26"/>
    <w:qFormat/>
    <w:uiPriority w:val="99"/>
  </w:style>
  <w:style w:type="character" w:customStyle="1" w:styleId="48">
    <w:name w:val="headline-content2"/>
    <w:basedOn w:val="26"/>
    <w:qFormat/>
    <w:uiPriority w:val="0"/>
  </w:style>
  <w:style w:type="paragraph" w:customStyle="1" w:styleId="49">
    <w:name w:val="CM91"/>
    <w:basedOn w:val="50"/>
    <w:next w:val="50"/>
    <w:unhideWhenUsed/>
    <w:qFormat/>
    <w:uiPriority w:val="99"/>
    <w:pPr>
      <w:spacing w:after="353"/>
    </w:pPr>
  </w:style>
  <w:style w:type="paragraph" w:customStyle="1" w:styleId="50">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51">
    <w:name w:val="报告"/>
    <w:basedOn w:val="1"/>
    <w:qFormat/>
    <w:uiPriority w:val="0"/>
    <w:pPr>
      <w:adjustRightInd w:val="0"/>
      <w:spacing w:line="360" w:lineRule="auto"/>
      <w:ind w:firstLine="505"/>
      <w:jc w:val="left"/>
      <w:textAlignment w:val="baseline"/>
    </w:pPr>
    <w:rPr>
      <w:kern w:val="0"/>
      <w:sz w:val="24"/>
      <w:szCs w:val="20"/>
    </w:rPr>
  </w:style>
  <w:style w:type="paragraph" w:customStyle="1" w:styleId="52">
    <w:name w:val="Normal_44"/>
    <w:qFormat/>
    <w:uiPriority w:val="0"/>
    <w:pPr>
      <w:spacing w:before="120" w:after="240"/>
      <w:jc w:val="both"/>
    </w:pPr>
    <w:rPr>
      <w:rFonts w:ascii="Calibri" w:hAnsi="Calibri" w:eastAsia="Calibri" w:cs="Times New Roman"/>
      <w:sz w:val="22"/>
      <w:szCs w:val="22"/>
      <w:lang w:val="ru-RU" w:eastAsia="en-US" w:bidi="ar-SA"/>
    </w:rPr>
  </w:style>
  <w:style w:type="paragraph" w:customStyle="1" w:styleId="53">
    <w:name w:val="正文_1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54">
    <w:name w:val="1、表名"/>
    <w:basedOn w:val="1"/>
    <w:qFormat/>
    <w:uiPriority w:val="0"/>
    <w:pPr>
      <w:autoSpaceDE w:val="0"/>
      <w:autoSpaceDN w:val="0"/>
      <w:textAlignment w:val="baseline"/>
    </w:pPr>
    <w:rPr>
      <w:b/>
      <w:kern w:val="0"/>
    </w:rPr>
  </w:style>
  <w:style w:type="paragraph" w:customStyle="1" w:styleId="55">
    <w:name w:val="CM46"/>
    <w:basedOn w:val="50"/>
    <w:next w:val="50"/>
    <w:unhideWhenUsed/>
    <w:qFormat/>
    <w:uiPriority w:val="99"/>
  </w:style>
  <w:style w:type="paragraph" w:customStyle="1" w:styleId="56">
    <w:name w:val="列表段落1"/>
    <w:basedOn w:val="1"/>
    <w:qFormat/>
    <w:uiPriority w:val="0"/>
    <w:pPr>
      <w:ind w:firstLine="420" w:firstLineChars="200"/>
    </w:pPr>
    <w:rPr>
      <w:szCs w:val="21"/>
    </w:rPr>
  </w:style>
  <w:style w:type="paragraph" w:customStyle="1" w:styleId="57">
    <w:name w:val="中文报告书样式"/>
    <w:basedOn w:val="1"/>
    <w:qFormat/>
    <w:uiPriority w:val="0"/>
    <w:pPr>
      <w:adjustRightInd w:val="0"/>
      <w:spacing w:line="480" w:lineRule="atLeast"/>
      <w:ind w:firstLine="482"/>
      <w:textAlignment w:val="baseline"/>
    </w:pPr>
    <w:rPr>
      <w:kern w:val="24"/>
      <w:sz w:val="24"/>
      <w:szCs w:val="20"/>
    </w:rPr>
  </w:style>
  <w:style w:type="paragraph" w:customStyle="1" w:styleId="58">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59">
    <w:name w:val="++++++++正文"/>
    <w:basedOn w:val="1"/>
    <w:unhideWhenUsed/>
    <w:qFormat/>
    <w:uiPriority w:val="0"/>
    <w:pPr>
      <w:autoSpaceDE w:val="0"/>
      <w:autoSpaceDN w:val="0"/>
      <w:adjustRightInd w:val="0"/>
      <w:spacing w:line="360" w:lineRule="auto"/>
      <w:ind w:firstLine="200" w:firstLineChars="200"/>
    </w:pPr>
    <w:rPr>
      <w:rFonts w:hint="eastAsia"/>
      <w:sz w:val="24"/>
    </w:rPr>
  </w:style>
  <w:style w:type="paragraph" w:customStyle="1" w:styleId="60">
    <w:name w:val="CM12"/>
    <w:basedOn w:val="50"/>
    <w:next w:val="50"/>
    <w:unhideWhenUsed/>
    <w:qFormat/>
    <w:uiPriority w:val="99"/>
    <w:pPr>
      <w:spacing w:line="468" w:lineRule="atLeast"/>
    </w:pPr>
  </w:style>
  <w:style w:type="paragraph" w:customStyle="1" w:styleId="61">
    <w:name w:val="报告表正文"/>
    <w:basedOn w:val="1"/>
    <w:qFormat/>
    <w:uiPriority w:val="0"/>
    <w:pPr>
      <w:adjustRightInd w:val="0"/>
      <w:spacing w:line="312" w:lineRule="auto"/>
      <w:ind w:left="113" w:right="113" w:firstLine="482"/>
      <w:jc w:val="left"/>
      <w:textAlignment w:val="baseline"/>
    </w:pPr>
    <w:rPr>
      <w:kern w:val="0"/>
      <w:sz w:val="24"/>
      <w:szCs w:val="20"/>
    </w:rPr>
  </w:style>
  <w:style w:type="paragraph" w:customStyle="1" w:styleId="62">
    <w:name w:val="样式4"/>
    <w:basedOn w:val="1"/>
    <w:next w:val="1"/>
    <w:qFormat/>
    <w:uiPriority w:val="0"/>
    <w:pPr>
      <w:wordWrap w:val="0"/>
      <w:spacing w:line="360" w:lineRule="auto"/>
      <w:ind w:firstLine="560" w:firstLineChars="200"/>
      <w:jc w:val="left"/>
    </w:pPr>
    <w:rPr>
      <w:kern w:val="0"/>
    </w:rPr>
  </w:style>
  <w:style w:type="paragraph" w:customStyle="1" w:styleId="63">
    <w:name w:val="国表文"/>
    <w:basedOn w:val="1"/>
    <w:qFormat/>
    <w:uiPriority w:val="0"/>
    <w:pPr>
      <w:jc w:val="center"/>
    </w:pPr>
    <w:rPr>
      <w:szCs w:val="21"/>
    </w:rPr>
  </w:style>
  <w:style w:type="paragraph" w:customStyle="1" w:styleId="64">
    <w:name w:val="CM9"/>
    <w:basedOn w:val="50"/>
    <w:next w:val="50"/>
    <w:unhideWhenUsed/>
    <w:qFormat/>
    <w:uiPriority w:val="99"/>
    <w:pPr>
      <w:spacing w:line="468" w:lineRule="atLeast"/>
    </w:pPr>
  </w:style>
  <w:style w:type="paragraph" w:customStyle="1" w:styleId="65">
    <w:name w:val="z-窗体顶端1"/>
    <w:basedOn w:val="1"/>
    <w:next w:val="1"/>
    <w:unhideWhenUsed/>
    <w:qFormat/>
    <w:uiPriority w:val="99"/>
    <w:pPr>
      <w:pBdr>
        <w:bottom w:val="single" w:color="auto" w:sz="6" w:space="1"/>
      </w:pBdr>
      <w:jc w:val="center"/>
    </w:pPr>
    <w:rPr>
      <w:rFonts w:ascii="Arial" w:hAnsi="Arial" w:cs="Arial"/>
      <w:vanish/>
      <w:sz w:val="16"/>
      <w:szCs w:val="16"/>
    </w:rPr>
  </w:style>
  <w:style w:type="paragraph" w:styleId="66">
    <w:name w:val="No Spacing"/>
    <w:basedOn w:val="1"/>
    <w:qFormat/>
    <w:uiPriority w:val="0"/>
    <w:pPr>
      <w:snapToGrid w:val="0"/>
      <w:spacing w:line="340" w:lineRule="exact"/>
      <w:jc w:val="center"/>
    </w:pPr>
    <w:rPr>
      <w:szCs w:val="21"/>
      <w:lang w:val="zh-CN"/>
    </w:rPr>
  </w:style>
  <w:style w:type="paragraph" w:customStyle="1" w:styleId="67">
    <w:name w:val="普通(网站)2"/>
    <w:basedOn w:val="1"/>
    <w:qFormat/>
    <w:uiPriority w:val="0"/>
    <w:pPr>
      <w:widowControl/>
      <w:spacing w:before="100" w:beforeAutospacing="1" w:after="100" w:afterAutospacing="1"/>
      <w:jc w:val="left"/>
    </w:pPr>
    <w:rPr>
      <w:rFonts w:ascii="宋体" w:hAnsi="宋体"/>
      <w:sz w:val="24"/>
      <w:szCs w:val="20"/>
    </w:rPr>
  </w:style>
  <w:style w:type="paragraph" w:customStyle="1" w:styleId="68">
    <w:name w:val="CM18"/>
    <w:basedOn w:val="50"/>
    <w:next w:val="50"/>
    <w:unhideWhenUsed/>
    <w:qFormat/>
    <w:uiPriority w:val="99"/>
    <w:pPr>
      <w:spacing w:line="468" w:lineRule="atLeast"/>
    </w:pPr>
  </w:style>
  <w:style w:type="paragraph" w:customStyle="1" w:styleId="69">
    <w:name w:val="文"/>
    <w:basedOn w:val="1"/>
    <w:qFormat/>
    <w:uiPriority w:val="0"/>
    <w:pPr>
      <w:spacing w:line="360" w:lineRule="auto"/>
      <w:ind w:firstLine="200" w:firstLineChars="200"/>
      <w:jc w:val="left"/>
    </w:pPr>
    <w:rPr>
      <w:sz w:val="24"/>
    </w:rPr>
  </w:style>
  <w:style w:type="paragraph" w:customStyle="1" w:styleId="70">
    <w:name w:val="正文文本 21"/>
    <w:basedOn w:val="1"/>
    <w:qFormat/>
    <w:uiPriority w:val="0"/>
    <w:pPr>
      <w:jc w:val="center"/>
    </w:pPr>
    <w:rPr>
      <w:sz w:val="24"/>
    </w:rPr>
  </w:style>
  <w:style w:type="paragraph" w:customStyle="1" w:styleId="71">
    <w:name w:val="CM54"/>
    <w:basedOn w:val="50"/>
    <w:next w:val="50"/>
    <w:unhideWhenUsed/>
    <w:qFormat/>
    <w:uiPriority w:val="99"/>
    <w:pPr>
      <w:spacing w:line="471" w:lineRule="atLeast"/>
    </w:pPr>
  </w:style>
  <w:style w:type="paragraph" w:customStyle="1" w:styleId="72">
    <w:name w:val="样式 (符号) 宋体 小四 行距: 1.5 倍行距"/>
    <w:basedOn w:val="1"/>
    <w:qFormat/>
    <w:uiPriority w:val="0"/>
    <w:pPr>
      <w:spacing w:line="360" w:lineRule="auto"/>
      <w:ind w:firstLine="480" w:firstLineChars="200"/>
    </w:pPr>
    <w:rPr>
      <w:rFonts w:ascii="Calibri" w:hAnsi="宋体" w:cs="宋体"/>
      <w:sz w:val="24"/>
    </w:rPr>
  </w:style>
  <w:style w:type="paragraph" w:customStyle="1" w:styleId="73">
    <w:name w:val="表头"/>
    <w:basedOn w:val="1"/>
    <w:next w:val="1"/>
    <w:qFormat/>
    <w:uiPriority w:val="0"/>
    <w:pPr>
      <w:jc w:val="center"/>
    </w:pPr>
    <w:rPr>
      <w:b/>
      <w:szCs w:val="21"/>
    </w:rPr>
  </w:style>
  <w:style w:type="paragraph" w:customStyle="1" w:styleId="74">
    <w:name w:val="CM48"/>
    <w:basedOn w:val="50"/>
    <w:next w:val="50"/>
    <w:unhideWhenUsed/>
    <w:qFormat/>
    <w:uiPriority w:val="99"/>
  </w:style>
  <w:style w:type="paragraph" w:customStyle="1" w:styleId="75">
    <w:name w:val="Table Paragraph"/>
    <w:basedOn w:val="1"/>
    <w:qFormat/>
    <w:uiPriority w:val="1"/>
  </w:style>
  <w:style w:type="paragraph" w:customStyle="1" w:styleId="76">
    <w:name w:val="CM6"/>
    <w:basedOn w:val="50"/>
    <w:next w:val="50"/>
    <w:unhideWhenUsed/>
    <w:qFormat/>
    <w:uiPriority w:val="99"/>
    <w:pPr>
      <w:spacing w:line="468" w:lineRule="atLeast"/>
    </w:pPr>
  </w:style>
  <w:style w:type="paragraph" w:customStyle="1" w:styleId="77">
    <w:name w:val="CM5"/>
    <w:basedOn w:val="50"/>
    <w:next w:val="50"/>
    <w:unhideWhenUsed/>
    <w:qFormat/>
    <w:uiPriority w:val="99"/>
    <w:pPr>
      <w:spacing w:line="466" w:lineRule="atLeast"/>
    </w:pPr>
  </w:style>
  <w:style w:type="paragraph" w:customStyle="1" w:styleId="78">
    <w:name w:val="CM31"/>
    <w:basedOn w:val="50"/>
    <w:next w:val="50"/>
    <w:unhideWhenUsed/>
    <w:qFormat/>
    <w:uiPriority w:val="99"/>
  </w:style>
  <w:style w:type="paragraph" w:customStyle="1" w:styleId="79">
    <w:name w:val="样式 加粗 黑色 居中 行距: 1.5 倍行距"/>
    <w:basedOn w:val="1"/>
    <w:qFormat/>
    <w:uiPriority w:val="0"/>
    <w:pPr>
      <w:spacing w:line="360" w:lineRule="auto"/>
      <w:jc w:val="center"/>
    </w:pPr>
    <w:rPr>
      <w:rFonts w:ascii="Calibri" w:hAnsi="Calibri" w:cs="宋体"/>
      <w:b/>
      <w:bCs/>
      <w:color w:val="000000"/>
      <w:sz w:val="22"/>
      <w:szCs w:val="20"/>
    </w:rPr>
  </w:style>
  <w:style w:type="paragraph" w:customStyle="1" w:styleId="80">
    <w:name w:val="CM81"/>
    <w:basedOn w:val="50"/>
    <w:next w:val="50"/>
    <w:unhideWhenUsed/>
    <w:qFormat/>
    <w:uiPriority w:val="99"/>
    <w:pPr>
      <w:spacing w:after="203"/>
    </w:pPr>
  </w:style>
  <w:style w:type="paragraph" w:customStyle="1" w:styleId="81">
    <w:name w:val="CM11"/>
    <w:basedOn w:val="50"/>
    <w:next w:val="50"/>
    <w:unhideWhenUsed/>
    <w:qFormat/>
    <w:uiPriority w:val="99"/>
    <w:pPr>
      <w:spacing w:line="468" w:lineRule="atLeast"/>
    </w:pPr>
  </w:style>
  <w:style w:type="paragraph" w:customStyle="1" w:styleId="82">
    <w:name w:val="格表"/>
    <w:basedOn w:val="1"/>
    <w:qFormat/>
    <w:uiPriority w:val="0"/>
    <w:pPr>
      <w:jc w:val="center"/>
    </w:pPr>
    <w:rPr>
      <w:bCs/>
      <w:szCs w:val="21"/>
    </w:rPr>
  </w:style>
  <w:style w:type="paragraph" w:customStyle="1" w:styleId="83">
    <w:name w:val="_Style 67"/>
    <w:basedOn w:val="1"/>
    <w:next w:val="65"/>
    <w:qFormat/>
    <w:uiPriority w:val="0"/>
    <w:pPr>
      <w:snapToGrid w:val="0"/>
      <w:spacing w:line="340" w:lineRule="exact"/>
      <w:jc w:val="center"/>
    </w:pPr>
    <w:rPr>
      <w:rFonts w:ascii="Calibri" w:hAnsi="Calibri"/>
      <w:snapToGrid w:val="0"/>
      <w:szCs w:val="21"/>
      <w:lang w:val="zh-CN"/>
    </w:rPr>
  </w:style>
  <w:style w:type="paragraph" w:customStyle="1" w:styleId="84">
    <w:name w:val="小四表文左齐"/>
    <w:basedOn w:val="1"/>
    <w:qFormat/>
    <w:uiPriority w:val="0"/>
    <w:pPr>
      <w:jc w:val="center"/>
    </w:pPr>
    <w:rPr>
      <w:rFonts w:ascii="宋体" w:hAnsi="宋体"/>
      <w:szCs w:val="21"/>
    </w:rPr>
  </w:style>
  <w:style w:type="paragraph" w:customStyle="1" w:styleId="85">
    <w:name w:val="图表文字"/>
    <w:basedOn w:val="1"/>
    <w:next w:val="1"/>
    <w:qFormat/>
    <w:uiPriority w:val="0"/>
    <w:pPr>
      <w:adjustRightInd w:val="0"/>
      <w:snapToGrid w:val="0"/>
      <w:jc w:val="center"/>
    </w:pPr>
    <w:rPr>
      <w:sz w:val="18"/>
    </w:rPr>
  </w:style>
  <w:style w:type="character" w:customStyle="1" w:styleId="86">
    <w:name w:val="font41"/>
    <w:basedOn w:val="26"/>
    <w:qFormat/>
    <w:uiPriority w:val="0"/>
    <w:rPr>
      <w:rFonts w:hint="default" w:ascii="Times New Roman" w:hAnsi="Times New Roman" w:cs="Times New Roman"/>
      <w:b/>
      <w:bCs/>
      <w:color w:val="000000"/>
      <w:sz w:val="18"/>
      <w:szCs w:val="18"/>
      <w:u w:val="none"/>
    </w:rPr>
  </w:style>
  <w:style w:type="paragraph" w:customStyle="1" w:styleId="87">
    <w:name w:val="edri-正文"/>
    <w:basedOn w:val="1"/>
    <w:qFormat/>
    <w:uiPriority w:val="0"/>
    <w:pPr>
      <w:spacing w:before="156" w:beforeLines="50" w:line="300" w:lineRule="auto"/>
      <w:ind w:left="899" w:leftChars="428"/>
    </w:pPr>
    <w:rPr>
      <w:snapToGrid w:val="0"/>
      <w:sz w:val="24"/>
    </w:rPr>
  </w:style>
  <w:style w:type="paragraph" w:customStyle="1" w:styleId="88">
    <w:name w:val="Normal_0"/>
    <w:qFormat/>
    <w:uiPriority w:val="0"/>
    <w:pPr>
      <w:widowControl w:val="0"/>
      <w:spacing w:line="360" w:lineRule="auto"/>
      <w:ind w:firstLine="200" w:firstLineChars="200"/>
      <w:jc w:val="both"/>
    </w:pPr>
    <w:rPr>
      <w:rFonts w:ascii="Times New Roman" w:hAnsi="Times New Roman" w:eastAsia="仿宋" w:cs="Times New Roman"/>
      <w:kern w:val="2"/>
      <w:sz w:val="28"/>
      <w:szCs w:val="21"/>
      <w:lang w:val="en-US" w:eastAsia="zh-CN" w:bidi="ar-SA"/>
    </w:rPr>
  </w:style>
  <w:style w:type="paragraph" w:customStyle="1" w:styleId="89">
    <w:name w:val="1、表内字"/>
    <w:basedOn w:val="1"/>
    <w:qFormat/>
    <w:uiPriority w:val="0"/>
    <w:pPr>
      <w:adjustRightInd w:val="0"/>
      <w:snapToGrid w:val="0"/>
      <w:jc w:val="center"/>
    </w:pPr>
    <w:rPr>
      <w:szCs w:val="21"/>
    </w:rPr>
  </w:style>
  <w:style w:type="table" w:customStyle="1" w:styleId="90">
    <w:name w:val="Table Normal"/>
    <w:semiHidden/>
    <w:unhideWhenUsed/>
    <w:qFormat/>
    <w:uiPriority w:val="0"/>
    <w:tblPr>
      <w:tblCellMar>
        <w:top w:w="0" w:type="dxa"/>
        <w:left w:w="0" w:type="dxa"/>
        <w:bottom w:w="0" w:type="dxa"/>
        <w:right w:w="0" w:type="dxa"/>
      </w:tblCellMar>
    </w:tblPr>
  </w:style>
  <w:style w:type="paragraph" w:customStyle="1" w:styleId="91">
    <w:name w:val="正文 缩进"/>
    <w:basedOn w:val="1"/>
    <w:qFormat/>
    <w:uiPriority w:val="0"/>
    <w:pPr>
      <w:ind w:firstLine="420" w:firstLineChars="200"/>
    </w:pPr>
  </w:style>
  <w:style w:type="character" w:customStyle="1" w:styleId="92">
    <w:name w:val="font61"/>
    <w:basedOn w:val="26"/>
    <w:qFormat/>
    <w:uiPriority w:val="0"/>
    <w:rPr>
      <w:rFonts w:hint="eastAsia" w:ascii="宋体" w:hAnsi="宋体" w:eastAsia="宋体" w:cs="宋体"/>
      <w:color w:val="000000"/>
      <w:sz w:val="20"/>
      <w:szCs w:val="20"/>
      <w:u w:val="none"/>
    </w:rPr>
  </w:style>
  <w:style w:type="paragraph" w:customStyle="1" w:styleId="93">
    <w:name w:val="WPSOffice手动目录 1"/>
    <w:qFormat/>
    <w:uiPriority w:val="0"/>
    <w:rPr>
      <w:rFonts w:ascii="Times New Roman" w:hAnsi="Times New Roman" w:eastAsia="宋体" w:cs="Times New Roman"/>
      <w:lang w:val="en-US" w:eastAsia="zh-CN" w:bidi="ar-SA"/>
    </w:rPr>
  </w:style>
  <w:style w:type="paragraph" w:customStyle="1" w:styleId="94">
    <w:name w:val="表格1111"/>
    <w:basedOn w:val="1"/>
    <w:qFormat/>
    <w:uiPriority w:val="0"/>
    <w:pPr>
      <w:autoSpaceDE w:val="0"/>
      <w:autoSpaceDN w:val="0"/>
      <w:adjustRightInd w:val="0"/>
      <w:snapToGrid w:val="0"/>
      <w:spacing w:line="320" w:lineRule="exact"/>
      <w:jc w:val="center"/>
    </w:pPr>
    <w:rPr>
      <w:rFonts w:hint="eastAsia" w:ascii="Times New Roman" w:hAnsi="Times New Roman"/>
      <w:kern w:val="0"/>
      <w:sz w:val="18"/>
      <w:szCs w:val="21"/>
    </w:rPr>
  </w:style>
  <w:style w:type="paragraph" w:customStyle="1" w:styleId="95">
    <w:name w:val="表格内"/>
    <w:basedOn w:val="1"/>
    <w:qFormat/>
    <w:uiPriority w:val="0"/>
    <w:pPr>
      <w:adjustRightInd w:val="0"/>
      <w:snapToGrid w:val="0"/>
      <w:spacing w:line="360" w:lineRule="exact"/>
      <w:jc w:val="center"/>
    </w:pPr>
    <w:rPr>
      <w:rFonts w:eastAsia="Times New Roman"/>
      <w:snapToGrid w:val="0"/>
      <w:kern w:val="0"/>
      <w:sz w:val="21"/>
      <w:szCs w:val="21"/>
      <w:lang w:val="zh-CN" w:eastAsia="zh-CN"/>
    </w:rPr>
  </w:style>
  <w:style w:type="paragraph" w:customStyle="1" w:styleId="96">
    <w:name w:val="MEL表字-书"/>
    <w:basedOn w:val="1"/>
    <w:qFormat/>
    <w:uiPriority w:val="0"/>
    <w:pPr>
      <w:spacing w:line="300" w:lineRule="exact"/>
      <w:jc w:val="center"/>
    </w:pPr>
    <w:rPr>
      <w:rFonts w:ascii="宋体" w:hAnsi="宋体" w:cs="宋体"/>
      <w:szCs w:val="21"/>
    </w:rPr>
  </w:style>
  <w:style w:type="paragraph" w:customStyle="1" w:styleId="97">
    <w:name w:val="表格文字"/>
    <w:qFormat/>
    <w:uiPriority w:val="0"/>
    <w:pPr>
      <w:keepLines/>
      <w:spacing w:beforeLines="0" w:afterLines="0" w:line="240" w:lineRule="auto"/>
      <w:jc w:val="center"/>
      <w:outlineLvl w:val="2"/>
    </w:pPr>
    <w:rPr>
      <w:rFonts w:hint="eastAsia" w:ascii="Times New Roman" w:hAnsi="Times New Roman" w:eastAsia="宋体" w:cs="Times New Roman"/>
      <w:sz w:val="21"/>
    </w:rPr>
  </w:style>
  <w:style w:type="paragraph" w:customStyle="1" w:styleId="98">
    <w:name w:val="正文 A"/>
    <w:qFormat/>
    <w:uiPriority w:val="0"/>
    <w:pPr>
      <w:widowControl w:val="0"/>
      <w:spacing w:line="360" w:lineRule="auto"/>
      <w:ind w:firstLine="562"/>
      <w:jc w:val="both"/>
    </w:pPr>
    <w:rPr>
      <w:rFonts w:ascii="Times New Roman Bold" w:hAnsi="Times New Roman Bold" w:eastAsia="ヒラギノ角ゴ Pro W3" w:cs="Times New Roman"/>
      <w:color w:val="000000"/>
      <w:kern w:val="2"/>
      <w:sz w:val="28"/>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wmf"/><Relationship Id="rId17" Type="http://schemas.openxmlformats.org/officeDocument/2006/relationships/oleObject" Target="embeddings/oleObject2.bin"/><Relationship Id="rId16" Type="http://schemas.openxmlformats.org/officeDocument/2006/relationships/image" Target="media/image5.wmf"/><Relationship Id="rId15" Type="http://schemas.openxmlformats.org/officeDocument/2006/relationships/oleObject" Target="embeddings/oleObject1.bin"/><Relationship Id="rId14" Type="http://schemas.openxmlformats.org/officeDocument/2006/relationships/image" Target="media/image4.png"/><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49</Pages>
  <Words>29334</Words>
  <Characters>32918</Characters>
  <Lines>1</Lines>
  <Paragraphs>1</Paragraphs>
  <TotalTime>131</TotalTime>
  <ScaleCrop>false</ScaleCrop>
  <LinksUpToDate>false</LinksUpToDate>
  <CharactersWithSpaces>33364</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2020-12-24T01:29:00Z</dcterms:created>
  <dc:creator>lhj</dc:creator>
  <cp:lastModifiedBy>meiqinga</cp:lastModifiedBy>
  <cp:lastPrinted>2023-04-27T06:33:00Z</cp:lastPrinted>
  <dcterms:modified xsi:type="dcterms:W3CDTF">2023-12-05T08:09:51Z</dcterms:modified>
  <dc:title>附件2</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528664EB5AC249FB8B9846A1249EDA8B_13</vt:lpwstr>
  </property>
</Properties>
</file>