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4"/>
          <w:szCs w:val="44"/>
        </w:rPr>
      </w:pPr>
      <w:r>
        <w:rPr>
          <w:rFonts w:hint="eastAsia" w:ascii="楷体_GB2312" w:eastAsia="楷体_GB2312"/>
          <w:bCs/>
          <w:sz w:val="44"/>
          <w:szCs w:val="44"/>
        </w:rPr>
        <w:t>（污染影响类）</w:t>
      </w:r>
    </w:p>
    <w:p>
      <w:pPr>
        <w:adjustRightInd w:val="0"/>
        <w:snapToGrid w:val="0"/>
        <w:spacing w:before="192" w:beforeLines="80"/>
        <w:jc w:val="center"/>
        <w:rPr>
          <w:rFonts w:ascii="楷体_GB2312" w:eastAsia="楷体_GB2312"/>
          <w:bCs/>
          <w:sz w:val="32"/>
          <w:szCs w:val="32"/>
        </w:rPr>
      </w:pPr>
      <w:r>
        <w:rPr>
          <w:rFonts w:hint="eastAsia" w:ascii="楷体_GB2312" w:eastAsia="楷体_GB2312"/>
          <w:bCs/>
          <w:color w:val="0000FF"/>
          <w:sz w:val="32"/>
          <w:szCs w:val="32"/>
        </w:rPr>
        <w:t>（</w:t>
      </w:r>
      <w:r>
        <w:rPr>
          <w:rFonts w:hint="eastAsia" w:ascii="楷体_GB2312" w:eastAsia="楷体_GB2312"/>
          <w:bCs/>
          <w:color w:val="0000FF"/>
          <w:sz w:val="32"/>
          <w:szCs w:val="32"/>
          <w:lang w:eastAsia="zh-CN"/>
        </w:rPr>
        <w:t>报批稿</w:t>
      </w:r>
      <w:r>
        <w:rPr>
          <w:rFonts w:hint="eastAsia" w:ascii="楷体_GB2312" w:eastAsia="楷体_GB2312"/>
          <w:bCs/>
          <w:color w:val="0000FF"/>
          <w:sz w:val="32"/>
          <w:szCs w:val="32"/>
        </w:rPr>
        <w:t>）</w:t>
      </w:r>
    </w:p>
    <w:p>
      <w:pPr>
        <w:jc w:val="center"/>
        <w:rPr>
          <w:rFonts w:eastAsia="仿宋"/>
          <w:sz w:val="52"/>
          <w:szCs w:val="52"/>
        </w:rPr>
      </w:pPr>
    </w:p>
    <w:p>
      <w:pPr>
        <w:ind w:firstLine="1040"/>
        <w:rPr>
          <w:rFonts w:eastAsia="仿宋"/>
          <w:sz w:val="44"/>
          <w:szCs w:val="44"/>
        </w:rPr>
      </w:pPr>
    </w:p>
    <w:p>
      <w:pPr>
        <w:pStyle w:val="60"/>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2452" w:leftChars="400" w:hanging="1612" w:hangingChars="504"/>
        <w:rPr>
          <w:rFonts w:ascii="仿宋_GB2312" w:eastAsia="仿宋_GB2312"/>
          <w:sz w:val="32"/>
          <w:szCs w:val="32"/>
          <w:u w:val="single"/>
        </w:rPr>
      </w:pPr>
      <w:r>
        <w:rPr>
          <w:rFonts w:hint="eastAsia" w:ascii="仿宋_GB2312" w:eastAsia="仿宋_GB2312"/>
          <w:sz w:val="32"/>
          <w:szCs w:val="32"/>
        </w:rPr>
        <w:t>项目名称：</w:t>
      </w:r>
      <w:r>
        <w:rPr>
          <w:rFonts w:hint="eastAsia" w:ascii="仿宋_GB2312" w:eastAsia="仿宋_GB2312"/>
          <w:sz w:val="32"/>
          <w:szCs w:val="32"/>
          <w:u w:val="single"/>
        </w:rPr>
        <w:t>新疆溢联农业有限责任公司塑料果蔬框生产</w:t>
      </w:r>
    </w:p>
    <w:p>
      <w:pPr>
        <w:adjustRightInd w:val="0"/>
        <w:snapToGrid w:val="0"/>
        <w:spacing w:line="288" w:lineRule="auto"/>
        <w:ind w:left="2436" w:leftChars="1160"/>
        <w:rPr>
          <w:rFonts w:ascii="仿宋_GB2312" w:eastAsia="仿宋_GB2312"/>
          <w:sz w:val="32"/>
          <w:szCs w:val="32"/>
          <w:u w:val="single"/>
        </w:rPr>
      </w:pPr>
      <w:r>
        <w:rPr>
          <w:rFonts w:hint="eastAsia" w:ascii="仿宋_GB2312" w:eastAsia="仿宋_GB2312"/>
          <w:sz w:val="32"/>
          <w:szCs w:val="32"/>
          <w:u w:val="single"/>
        </w:rPr>
        <w:t xml:space="preserve">项目                                  </w:t>
      </w:r>
    </w:p>
    <w:p>
      <w:pPr>
        <w:adjustRightInd w:val="0"/>
        <w:snapToGrid w:val="0"/>
        <w:spacing w:line="288" w:lineRule="auto"/>
        <w:ind w:left="2875" w:leftChars="400" w:hanging="2035" w:hangingChars="636"/>
        <w:jc w:val="left"/>
        <w:rPr>
          <w:rFonts w:ascii="仿宋_GB2312" w:eastAsia="仿宋_GB2312"/>
          <w:sz w:val="32"/>
          <w:szCs w:val="32"/>
          <w:u w:val="single"/>
        </w:rPr>
      </w:pPr>
      <w:r>
        <w:rPr>
          <w:rFonts w:hint="eastAsia" w:ascii="仿宋_GB2312" w:eastAsia="仿宋_GB2312"/>
          <w:sz w:val="32"/>
          <w:szCs w:val="32"/>
        </w:rPr>
        <w:t>建设单位：</w:t>
      </w:r>
      <w:r>
        <w:rPr>
          <w:rFonts w:hint="eastAsia" w:ascii="仿宋_GB2312" w:eastAsia="仿宋_GB2312"/>
          <w:sz w:val="32"/>
          <w:szCs w:val="32"/>
          <w:u w:val="single"/>
        </w:rPr>
        <w:t xml:space="preserve">新疆溢联农业有限责任公司              </w:t>
      </w:r>
    </w:p>
    <w:p>
      <w:pPr>
        <w:adjustRightInd w:val="0"/>
        <w:snapToGrid w:val="0"/>
        <w:spacing w:line="288" w:lineRule="auto"/>
        <w:ind w:left="2875" w:leftChars="400" w:hanging="2035" w:hangingChars="636"/>
        <w:rPr>
          <w:rFonts w:ascii="仿宋_GB2312" w:eastAsia="仿宋_GB2312"/>
          <w:sz w:val="36"/>
          <w:szCs w:val="36"/>
          <w:u w:val="single"/>
        </w:rPr>
      </w:pPr>
      <w:r>
        <w:rPr>
          <w:rFonts w:hint="eastAsia" w:ascii="仿宋_GB2312" w:eastAsia="仿宋_GB2312"/>
          <w:sz w:val="32"/>
          <w:szCs w:val="32"/>
        </w:rPr>
        <w:t>编制日期：</w:t>
      </w:r>
      <w:r>
        <w:rPr>
          <w:rFonts w:hint="eastAsia" w:ascii="仿宋_GB2312" w:eastAsia="仿宋_GB2312"/>
          <w:sz w:val="32"/>
          <w:szCs w:val="32"/>
          <w:u w:val="single"/>
        </w:rPr>
        <w:t xml:space="preserve">       2023年1</w:t>
      </w:r>
      <w:r>
        <w:rPr>
          <w:rFonts w:hint="eastAsia" w:ascii="仿宋_GB2312" w:eastAsia="仿宋_GB2312"/>
          <w:sz w:val="32"/>
          <w:szCs w:val="32"/>
          <w:u w:val="single"/>
          <w:lang w:val="en-US" w:eastAsia="zh-CN"/>
        </w:rPr>
        <w:t>1</w:t>
      </w:r>
      <w:r>
        <w:rPr>
          <w:rFonts w:hint="eastAsia" w:ascii="仿宋_GB2312" w:eastAsia="仿宋_GB2312"/>
          <w:sz w:val="32"/>
          <w:szCs w:val="32"/>
          <w:u w:val="single"/>
        </w:rPr>
        <w:t>月</w:t>
      </w:r>
      <w:r>
        <w:rPr>
          <w:rFonts w:ascii="仿宋_GB2312" w:eastAsia="仿宋_GB2312"/>
          <w:sz w:val="32"/>
          <w:szCs w:val="32"/>
          <w:u w:val="single"/>
        </w:rPr>
        <w:t xml:space="preserve">           </w:t>
      </w:r>
      <w:r>
        <w:rPr>
          <w:rFonts w:hint="eastAsia" w:ascii="仿宋_GB2312" w:eastAsia="仿宋_GB2312"/>
          <w:sz w:val="32"/>
          <w:szCs w:val="32"/>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pStyle w:val="60"/>
        <w:rPr>
          <w:rFonts w:ascii="仿宋_GB2312" w:eastAsia="仿宋_GB2312"/>
          <w:color w:val="auto"/>
          <w:sz w:val="36"/>
          <w:szCs w:val="36"/>
        </w:rPr>
      </w:pPr>
    </w:p>
    <w:p>
      <w:pPr>
        <w:pStyle w:val="18"/>
        <w:ind w:left="420" w:hanging="420"/>
      </w:pPr>
    </w:p>
    <w:p>
      <w:pPr>
        <w:pStyle w:val="18"/>
        <w:ind w:left="420" w:hanging="420"/>
      </w:pPr>
    </w:p>
    <w:p>
      <w:pPr>
        <w:pStyle w:val="60"/>
      </w:pPr>
    </w:p>
    <w:p>
      <w:pPr>
        <w:adjustRightInd w:val="0"/>
        <w:snapToGrid w:val="0"/>
        <w:spacing w:line="288" w:lineRule="auto"/>
        <w:ind w:firstLine="1040"/>
        <w:rPr>
          <w:rFonts w:ascii="仿宋_GB2312" w:eastAsia="仿宋_GB2312"/>
          <w:sz w:val="36"/>
          <w:szCs w:val="36"/>
        </w:rPr>
      </w:pPr>
    </w:p>
    <w:bookmarkEnd w:id="0"/>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pStyle w:val="60"/>
        <w:rPr>
          <w:rFonts w:ascii="楷体_GB2312" w:eastAsia="楷体_GB2312"/>
          <w:color w:val="auto"/>
          <w:sz w:val="36"/>
          <w:szCs w:val="36"/>
        </w:rPr>
      </w:pPr>
    </w:p>
    <w:p>
      <w:pPr>
        <w:pStyle w:val="21"/>
        <w:jc w:val="center"/>
        <w:outlineLvl w:val="0"/>
        <w:rPr>
          <w:rFonts w:hint="eastAsia" w:ascii="Times New Roman" w:hAnsi="黑体" w:eastAsia="黑体"/>
          <w:snapToGrid w:val="0"/>
          <w:sz w:val="30"/>
          <w:szCs w:val="30"/>
        </w:rPr>
      </w:pPr>
    </w:p>
    <w:p>
      <w:pPr>
        <w:pStyle w:val="21"/>
        <w:jc w:val="center"/>
        <w:outlineLvl w:val="0"/>
        <w:rPr>
          <w:rFonts w:ascii="Times New Roman" w:hAnsi="黑体" w:eastAsia="黑体"/>
          <w:snapToGrid w:val="0"/>
          <w:sz w:val="30"/>
          <w:szCs w:val="30"/>
        </w:rPr>
      </w:pPr>
    </w:p>
    <w:p>
      <w:pPr>
        <w:pStyle w:val="21"/>
        <w:jc w:val="center"/>
        <w:outlineLvl w:val="0"/>
        <w:rPr>
          <w:rFonts w:ascii="Times New Roman" w:hAnsi="黑体" w:eastAsia="黑体"/>
          <w:snapToGrid w:val="0"/>
          <w:sz w:val="30"/>
          <w:szCs w:val="30"/>
        </w:rPr>
      </w:pPr>
    </w:p>
    <w:p>
      <w:pPr>
        <w:pStyle w:val="21"/>
        <w:jc w:val="center"/>
        <w:outlineLvl w:val="0"/>
        <w:rPr>
          <w:rFonts w:ascii="Times New Roman" w:hAnsi="黑体" w:eastAsia="黑体"/>
          <w:snapToGrid w:val="0"/>
          <w:sz w:val="30"/>
          <w:szCs w:val="30"/>
        </w:rPr>
      </w:pPr>
      <w:r>
        <w:rPr>
          <w:rFonts w:hint="eastAsia" w:eastAsiaTheme="minorEastAsia"/>
          <w:lang w:eastAsia="zh-CN"/>
        </w:rPr>
        <w:drawing>
          <wp:inline distT="0" distB="0" distL="114300" distR="114300">
            <wp:extent cx="5266690" cy="7587615"/>
            <wp:effectExtent l="0" t="0" r="6350" b="1905"/>
            <wp:docPr id="1" name="图片 1" descr="ebaec59aec76c4697b20fc9736f3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baec59aec76c4697b20fc9736f36e6"/>
                    <pic:cNvPicPr>
                      <a:picLocks noChangeAspect="1"/>
                    </pic:cNvPicPr>
                  </pic:nvPicPr>
                  <pic:blipFill>
                    <a:blip r:embed="rId6"/>
                    <a:stretch>
                      <a:fillRect/>
                    </a:stretch>
                  </pic:blipFill>
                  <pic:spPr>
                    <a:xfrm>
                      <a:off x="0" y="0"/>
                      <a:ext cx="5266690" cy="7587615"/>
                    </a:xfrm>
                    <a:prstGeom prst="rect">
                      <a:avLst/>
                    </a:prstGeom>
                  </pic:spPr>
                </pic:pic>
              </a:graphicData>
            </a:graphic>
          </wp:inline>
        </w:drawing>
      </w:r>
    </w:p>
    <w:tbl>
      <w:tblPr>
        <w:tblStyle w:val="26"/>
        <w:tblW w:w="91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6"/>
        <w:gridCol w:w="45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76" w:type="dxa"/>
            <w:vAlign w:val="center"/>
          </w:tcPr>
          <w:p>
            <w:pPr>
              <w:pStyle w:val="126"/>
              <w:spacing w:before="60" w:after="60"/>
              <w:jc w:val="center"/>
              <w:rPr>
                <w:b/>
                <w:bCs/>
              </w:rPr>
            </w:pPr>
            <w:r>
              <w:rPr>
                <w:rFonts w:hint="eastAsia"/>
                <w:b/>
                <w:bCs/>
              </w:rPr>
              <w:drawing>
                <wp:inline distT="0" distB="0" distL="114300" distR="114300">
                  <wp:extent cx="2765425" cy="2073910"/>
                  <wp:effectExtent l="0" t="0" r="8255" b="13970"/>
                  <wp:docPr id="8" name="图片 8" descr="厂区东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厂区东侧"/>
                          <pic:cNvPicPr>
                            <a:picLocks noChangeAspect="1"/>
                          </pic:cNvPicPr>
                        </pic:nvPicPr>
                        <pic:blipFill>
                          <a:blip r:embed="rId7"/>
                          <a:stretch>
                            <a:fillRect/>
                          </a:stretch>
                        </pic:blipFill>
                        <pic:spPr>
                          <a:xfrm>
                            <a:off x="0" y="0"/>
                            <a:ext cx="2765425" cy="2073910"/>
                          </a:xfrm>
                          <a:prstGeom prst="rect">
                            <a:avLst/>
                          </a:prstGeom>
                        </pic:spPr>
                      </pic:pic>
                    </a:graphicData>
                  </a:graphic>
                </wp:inline>
              </w:drawing>
            </w:r>
          </w:p>
        </w:tc>
        <w:tc>
          <w:tcPr>
            <w:tcW w:w="4555" w:type="dxa"/>
            <w:vAlign w:val="center"/>
          </w:tcPr>
          <w:p>
            <w:pPr>
              <w:pStyle w:val="126"/>
              <w:spacing w:before="60" w:after="60"/>
              <w:jc w:val="center"/>
              <w:rPr>
                <w:b/>
                <w:bCs/>
              </w:rPr>
            </w:pPr>
            <w:r>
              <w:rPr>
                <w:rFonts w:hint="eastAsia"/>
                <w:b/>
                <w:bCs/>
              </w:rPr>
              <w:drawing>
                <wp:inline distT="0" distB="0" distL="114300" distR="114300">
                  <wp:extent cx="2743200" cy="2058035"/>
                  <wp:effectExtent l="0" t="0" r="0" b="14605"/>
                  <wp:docPr id="9" name="图片 9" descr="厂房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厂房南侧"/>
                          <pic:cNvPicPr>
                            <a:picLocks noChangeAspect="1"/>
                          </pic:cNvPicPr>
                        </pic:nvPicPr>
                        <pic:blipFill>
                          <a:blip r:embed="rId8"/>
                          <a:stretch>
                            <a:fillRect/>
                          </a:stretch>
                        </pic:blipFill>
                        <pic:spPr>
                          <a:xfrm>
                            <a:off x="0" y="0"/>
                            <a:ext cx="2743200" cy="20580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76" w:type="dxa"/>
            <w:vAlign w:val="center"/>
          </w:tcPr>
          <w:p>
            <w:pPr>
              <w:pStyle w:val="126"/>
              <w:spacing w:before="60" w:after="60"/>
              <w:jc w:val="center"/>
              <w:rPr>
                <w:b/>
                <w:bCs/>
              </w:rPr>
            </w:pPr>
            <w:r>
              <w:rPr>
                <w:rFonts w:hint="eastAsia"/>
                <w:b/>
                <w:bCs/>
              </w:rPr>
              <w:t>厂区东侧闲置厂房</w:t>
            </w:r>
          </w:p>
        </w:tc>
        <w:tc>
          <w:tcPr>
            <w:tcW w:w="4555" w:type="dxa"/>
            <w:vAlign w:val="center"/>
          </w:tcPr>
          <w:p>
            <w:pPr>
              <w:pStyle w:val="126"/>
              <w:spacing w:before="60" w:after="60"/>
              <w:jc w:val="center"/>
              <w:rPr>
                <w:b/>
                <w:bCs/>
              </w:rPr>
            </w:pPr>
            <w:r>
              <w:rPr>
                <w:rFonts w:hint="eastAsia"/>
                <w:b/>
                <w:bCs/>
              </w:rPr>
              <w:t>厂区南侧闲置厂房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76" w:type="dxa"/>
            <w:vAlign w:val="center"/>
          </w:tcPr>
          <w:p>
            <w:pPr>
              <w:pStyle w:val="126"/>
              <w:spacing w:before="60" w:after="60"/>
              <w:jc w:val="center"/>
              <w:rPr>
                <w:b/>
                <w:bCs/>
              </w:rPr>
            </w:pPr>
            <w:r>
              <w:rPr>
                <w:rFonts w:hint="eastAsia"/>
                <w:b/>
                <w:bCs/>
              </w:rPr>
              <w:drawing>
                <wp:inline distT="0" distB="0" distL="114300" distR="114300">
                  <wp:extent cx="2755900" cy="2067560"/>
                  <wp:effectExtent l="0" t="0" r="2540" b="5080"/>
                  <wp:docPr id="10" name="图片 10" descr="厂区西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厂区西侧"/>
                          <pic:cNvPicPr>
                            <a:picLocks noChangeAspect="1"/>
                          </pic:cNvPicPr>
                        </pic:nvPicPr>
                        <pic:blipFill>
                          <a:blip r:embed="rId9"/>
                          <a:stretch>
                            <a:fillRect/>
                          </a:stretch>
                        </pic:blipFill>
                        <pic:spPr>
                          <a:xfrm>
                            <a:off x="0" y="0"/>
                            <a:ext cx="2755900" cy="2067560"/>
                          </a:xfrm>
                          <a:prstGeom prst="rect">
                            <a:avLst/>
                          </a:prstGeom>
                        </pic:spPr>
                      </pic:pic>
                    </a:graphicData>
                  </a:graphic>
                </wp:inline>
              </w:drawing>
            </w:r>
          </w:p>
        </w:tc>
        <w:tc>
          <w:tcPr>
            <w:tcW w:w="4555" w:type="dxa"/>
            <w:vAlign w:val="center"/>
          </w:tcPr>
          <w:p>
            <w:pPr>
              <w:pStyle w:val="126"/>
              <w:spacing w:before="60" w:after="60"/>
              <w:jc w:val="center"/>
              <w:rPr>
                <w:b/>
                <w:bCs/>
              </w:rPr>
            </w:pPr>
            <w:r>
              <w:rPr>
                <w:rFonts w:hint="eastAsia"/>
                <w:b/>
                <w:bCs/>
              </w:rPr>
              <w:drawing>
                <wp:inline distT="0" distB="0" distL="114300" distR="114300">
                  <wp:extent cx="2745105" cy="2059305"/>
                  <wp:effectExtent l="0" t="0" r="13335" b="13335"/>
                  <wp:docPr id="11" name="图片 11" descr="厂房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厂房北侧"/>
                          <pic:cNvPicPr>
                            <a:picLocks noChangeAspect="1"/>
                          </pic:cNvPicPr>
                        </pic:nvPicPr>
                        <pic:blipFill>
                          <a:blip r:embed="rId10"/>
                          <a:stretch>
                            <a:fillRect/>
                          </a:stretch>
                        </pic:blipFill>
                        <pic:spPr>
                          <a:xfrm>
                            <a:off x="0" y="0"/>
                            <a:ext cx="2745105" cy="20593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76" w:type="dxa"/>
            <w:vAlign w:val="center"/>
          </w:tcPr>
          <w:p>
            <w:pPr>
              <w:pStyle w:val="126"/>
              <w:spacing w:before="60" w:after="60"/>
              <w:jc w:val="center"/>
              <w:rPr>
                <w:b/>
                <w:bCs/>
              </w:rPr>
            </w:pPr>
            <w:r>
              <w:rPr>
                <w:rFonts w:hint="eastAsia"/>
                <w:b/>
                <w:bCs/>
              </w:rPr>
              <w:t>厂区西侧葡萄地</w:t>
            </w:r>
          </w:p>
        </w:tc>
        <w:tc>
          <w:tcPr>
            <w:tcW w:w="4555" w:type="dxa"/>
            <w:vAlign w:val="center"/>
          </w:tcPr>
          <w:p>
            <w:pPr>
              <w:pStyle w:val="126"/>
              <w:spacing w:before="60" w:after="60"/>
              <w:jc w:val="center"/>
              <w:rPr>
                <w:b/>
                <w:bCs/>
              </w:rPr>
            </w:pPr>
            <w:r>
              <w:rPr>
                <w:rFonts w:hint="eastAsia"/>
                <w:b/>
                <w:bCs/>
              </w:rPr>
              <w:t>厂区北侧闲置厂房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76" w:type="dxa"/>
            <w:vAlign w:val="center"/>
          </w:tcPr>
          <w:p>
            <w:pPr>
              <w:pStyle w:val="126"/>
              <w:spacing w:before="60" w:after="60"/>
              <w:jc w:val="center"/>
              <w:rPr>
                <w:b/>
                <w:bCs/>
              </w:rPr>
            </w:pPr>
            <w:r>
              <w:rPr>
                <w:rFonts w:hint="eastAsia"/>
                <w:b/>
                <w:bCs/>
              </w:rPr>
              <w:drawing>
                <wp:inline distT="0" distB="0" distL="114300" distR="114300">
                  <wp:extent cx="2760980" cy="2070735"/>
                  <wp:effectExtent l="0" t="0" r="12700" b="1905"/>
                  <wp:docPr id="12" name="图片 12" descr="厂房东侧办公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厂房东侧办公区"/>
                          <pic:cNvPicPr>
                            <a:picLocks noChangeAspect="1"/>
                          </pic:cNvPicPr>
                        </pic:nvPicPr>
                        <pic:blipFill>
                          <a:blip r:embed="rId11"/>
                          <a:stretch>
                            <a:fillRect/>
                          </a:stretch>
                        </pic:blipFill>
                        <pic:spPr>
                          <a:xfrm>
                            <a:off x="0" y="0"/>
                            <a:ext cx="2760980" cy="2070735"/>
                          </a:xfrm>
                          <a:prstGeom prst="rect">
                            <a:avLst/>
                          </a:prstGeom>
                        </pic:spPr>
                      </pic:pic>
                    </a:graphicData>
                  </a:graphic>
                </wp:inline>
              </w:drawing>
            </w:r>
          </w:p>
        </w:tc>
        <w:tc>
          <w:tcPr>
            <w:tcW w:w="4555" w:type="dxa"/>
            <w:vAlign w:val="center"/>
          </w:tcPr>
          <w:p>
            <w:pPr>
              <w:pStyle w:val="126"/>
              <w:spacing w:before="60" w:after="60"/>
              <w:jc w:val="center"/>
              <w:rPr>
                <w:b/>
                <w:bCs/>
              </w:rPr>
            </w:pPr>
            <w:r>
              <w:rPr>
                <w:rFonts w:hint="eastAsia"/>
                <w:b/>
                <w:bCs/>
              </w:rPr>
              <w:drawing>
                <wp:inline distT="0" distB="0" distL="114300" distR="114300">
                  <wp:extent cx="2735580" cy="2051685"/>
                  <wp:effectExtent l="0" t="0" r="7620" b="5715"/>
                  <wp:docPr id="13" name="图片 13" descr="厂房内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厂房内部1"/>
                          <pic:cNvPicPr>
                            <a:picLocks noChangeAspect="1"/>
                          </pic:cNvPicPr>
                        </pic:nvPicPr>
                        <pic:blipFill>
                          <a:blip r:embed="rId12"/>
                          <a:stretch>
                            <a:fillRect/>
                          </a:stretch>
                        </pic:blipFill>
                        <pic:spPr>
                          <a:xfrm>
                            <a:off x="0" y="0"/>
                            <a:ext cx="2735580" cy="20516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76" w:type="dxa"/>
            <w:vAlign w:val="center"/>
          </w:tcPr>
          <w:p>
            <w:pPr>
              <w:pStyle w:val="126"/>
              <w:spacing w:before="60" w:after="60"/>
              <w:jc w:val="center"/>
              <w:rPr>
                <w:b/>
                <w:bCs/>
              </w:rPr>
            </w:pPr>
            <w:r>
              <w:rPr>
                <w:rFonts w:hint="eastAsia"/>
                <w:b/>
                <w:bCs/>
              </w:rPr>
              <w:t>办公室</w:t>
            </w:r>
          </w:p>
        </w:tc>
        <w:tc>
          <w:tcPr>
            <w:tcW w:w="4555" w:type="dxa"/>
            <w:vAlign w:val="center"/>
          </w:tcPr>
          <w:p>
            <w:pPr>
              <w:pStyle w:val="126"/>
              <w:spacing w:before="60" w:after="60"/>
              <w:jc w:val="center"/>
              <w:rPr>
                <w:b/>
                <w:bCs/>
              </w:rPr>
            </w:pPr>
            <w:r>
              <w:rPr>
                <w:rFonts w:hint="eastAsia"/>
                <w:b/>
                <w:bCs/>
              </w:rPr>
              <w:t>厂房内部</w:t>
            </w:r>
          </w:p>
        </w:tc>
      </w:tr>
    </w:tbl>
    <w:p>
      <w:pPr>
        <w:jc w:val="center"/>
        <w:rPr>
          <w:rFonts w:hAnsi="黑体" w:eastAsia="黑体"/>
          <w:snapToGrid w:val="0"/>
          <w:sz w:val="30"/>
          <w:szCs w:val="30"/>
        </w:rPr>
      </w:pPr>
      <w:r>
        <w:rPr>
          <w:rFonts w:hint="eastAsia"/>
          <w:b/>
          <w:bCs/>
          <w:sz w:val="32"/>
          <w:szCs w:val="32"/>
        </w:rPr>
        <w:t>现场踏勘图</w:t>
      </w:r>
    </w:p>
    <w:p>
      <w:pPr>
        <w:pStyle w:val="21"/>
        <w:jc w:val="center"/>
        <w:outlineLvl w:val="0"/>
        <w:rPr>
          <w:rFonts w:ascii="Times New Roman" w:hAnsi="黑体" w:eastAsia="黑体"/>
          <w:snapToGrid w:val="0"/>
          <w:sz w:val="30"/>
          <w:szCs w:val="30"/>
        </w:rPr>
      </w:pPr>
    </w:p>
    <w:p>
      <w:pPr>
        <w:pStyle w:val="21"/>
        <w:jc w:val="center"/>
        <w:outlineLvl w:val="0"/>
        <w:rPr>
          <w:rFonts w:ascii="Times New Roman" w:hAnsi="Times New Roman" w:eastAsia="黑体"/>
          <w:snapToGrid w:val="0"/>
          <w:sz w:val="30"/>
          <w:szCs w:val="30"/>
        </w:rPr>
      </w:pPr>
      <w:r>
        <w:rPr>
          <w:rFonts w:ascii="Times New Roman" w:hAnsi="黑体" w:eastAsia="黑体"/>
          <w:snapToGrid w:val="0"/>
          <w:sz w:val="30"/>
          <w:szCs w:val="30"/>
        </w:rPr>
        <w:t>一、建设项目基本情况</w:t>
      </w:r>
    </w:p>
    <w:tbl>
      <w:tblPr>
        <w:tblStyle w:val="25"/>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6"/>
        <w:gridCol w:w="2268"/>
        <w:gridCol w:w="1701"/>
        <w:gridCol w:w="30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497" w:hRule="atLeast"/>
          <w:jc w:val="center"/>
        </w:trPr>
        <w:tc>
          <w:tcPr>
            <w:tcW w:w="185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建设项目名称</w:t>
            </w:r>
          </w:p>
        </w:tc>
        <w:tc>
          <w:tcPr>
            <w:tcW w:w="7014" w:type="dxa"/>
            <w:gridSpan w:val="3"/>
            <w:vAlign w:val="center"/>
          </w:tcPr>
          <w:p>
            <w:pPr>
              <w:adjustRightInd w:val="0"/>
              <w:snapToGrid w:val="0"/>
              <w:jc w:val="center"/>
              <w:rPr>
                <w:rFonts w:ascii="宋体" w:hAnsi="宋体" w:cs="宋体"/>
                <w:sz w:val="24"/>
              </w:rPr>
            </w:pPr>
            <w:r>
              <w:rPr>
                <w:rFonts w:hint="eastAsia" w:ascii="宋体" w:hAnsi="宋体" w:cs="宋体"/>
                <w:sz w:val="24"/>
              </w:rPr>
              <w:t>新疆溢联农业有限责任公司塑料果蔬框生产项目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项目代码</w:t>
            </w:r>
          </w:p>
        </w:tc>
        <w:tc>
          <w:tcPr>
            <w:tcW w:w="7014" w:type="dxa"/>
            <w:gridSpan w:val="3"/>
            <w:vAlign w:val="center"/>
          </w:tcPr>
          <w:p>
            <w:pPr>
              <w:adjustRightInd w:val="0"/>
              <w:snapToGrid w:val="0"/>
              <w:jc w:val="center"/>
              <w:rPr>
                <w:rFonts w:ascii="宋体" w:hAnsi="宋体" w:cs="宋体"/>
                <w:sz w:val="24"/>
              </w:rPr>
            </w:pPr>
            <w:r>
              <w:rPr>
                <w:rFonts w:hint="eastAsia" w:ascii="宋体" w:hAnsi="宋体" w:cs="宋体"/>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建设单位联系人</w:t>
            </w:r>
          </w:p>
        </w:tc>
        <w:tc>
          <w:tcPr>
            <w:tcW w:w="2268" w:type="dxa"/>
            <w:vAlign w:val="center"/>
          </w:tcPr>
          <w:p>
            <w:pPr>
              <w:adjustRightInd w:val="0"/>
              <w:snapToGrid w:val="0"/>
              <w:jc w:val="center"/>
              <w:rPr>
                <w:rFonts w:ascii="宋体" w:hAnsi="宋体" w:cs="宋体"/>
                <w:sz w:val="24"/>
              </w:rPr>
            </w:pPr>
            <w:r>
              <w:rPr>
                <w:rFonts w:hint="eastAsia" w:ascii="宋体" w:hAnsi="宋体" w:cs="宋体"/>
                <w:sz w:val="24"/>
              </w:rPr>
              <w:t xml:space="preserve">吴春宇  </w:t>
            </w:r>
          </w:p>
        </w:tc>
        <w:tc>
          <w:tcPr>
            <w:tcW w:w="1701" w:type="dxa"/>
            <w:vAlign w:val="center"/>
          </w:tcPr>
          <w:p>
            <w:pPr>
              <w:adjustRightInd w:val="0"/>
              <w:snapToGrid w:val="0"/>
              <w:jc w:val="center"/>
              <w:rPr>
                <w:rFonts w:ascii="宋体" w:hAnsi="宋体" w:cs="宋体"/>
                <w:sz w:val="24"/>
              </w:rPr>
            </w:pPr>
            <w:r>
              <w:rPr>
                <w:rFonts w:hint="eastAsia" w:ascii="宋体" w:hAnsi="宋体" w:cs="宋体"/>
                <w:sz w:val="24"/>
              </w:rPr>
              <w:t>联系方式</w:t>
            </w:r>
          </w:p>
        </w:tc>
        <w:tc>
          <w:tcPr>
            <w:tcW w:w="3045" w:type="dxa"/>
            <w:vAlign w:val="center"/>
          </w:tcPr>
          <w:p>
            <w:pPr>
              <w:adjustRightInd w:val="0"/>
              <w:snapToGrid w:val="0"/>
              <w:jc w:val="center"/>
              <w:rPr>
                <w:rFonts w:ascii="宋体" w:hAnsi="宋体" w:cs="宋体"/>
                <w:sz w:val="24"/>
              </w:rPr>
            </w:pPr>
            <w:r>
              <w:rPr>
                <w:rFonts w:hint="eastAsia" w:ascii="宋体" w:hAnsi="宋体" w:cs="宋体"/>
                <w:sz w:val="24"/>
              </w:rPr>
              <w:t>132</w:t>
            </w:r>
            <w:r>
              <w:rPr>
                <w:rFonts w:hint="eastAsia" w:ascii="宋体" w:hAnsi="宋体" w:cs="宋体"/>
                <w:sz w:val="24"/>
                <w:lang w:val="en-US" w:eastAsia="zh-CN"/>
              </w:rPr>
              <w:t>****</w:t>
            </w:r>
            <w:bookmarkStart w:id="5" w:name="_GoBack"/>
            <w:bookmarkEnd w:id="5"/>
            <w:r>
              <w:rPr>
                <w:rFonts w:hint="eastAsia" w:ascii="宋体" w:hAnsi="宋体" w:cs="宋体"/>
                <w:sz w:val="24"/>
              </w:rPr>
              <w:t>6627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建设地点</w:t>
            </w:r>
          </w:p>
        </w:tc>
        <w:tc>
          <w:tcPr>
            <w:tcW w:w="7014" w:type="dxa"/>
            <w:gridSpan w:val="3"/>
            <w:vAlign w:val="center"/>
          </w:tcPr>
          <w:p>
            <w:pPr>
              <w:ind w:firstLine="480" w:firstLineChars="200"/>
              <w:jc w:val="left"/>
              <w:rPr>
                <w:rFonts w:ascii="宋体" w:hAnsi="宋体" w:cs="宋体"/>
                <w:sz w:val="24"/>
              </w:rPr>
            </w:pPr>
            <w:r>
              <w:rPr>
                <w:rFonts w:hint="eastAsia" w:ascii="宋体" w:hAnsi="宋体" w:cs="宋体"/>
                <w:sz w:val="24"/>
              </w:rPr>
              <w:t>新疆昌吉回族自治州昌吉市三工镇下营盘村五组老砖厂院内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地理坐标</w:t>
            </w:r>
          </w:p>
        </w:tc>
        <w:tc>
          <w:tcPr>
            <w:tcW w:w="7014" w:type="dxa"/>
            <w:gridSpan w:val="3"/>
            <w:vAlign w:val="center"/>
          </w:tcPr>
          <w:p>
            <w:pPr>
              <w:jc w:val="center"/>
              <w:rPr>
                <w:rFonts w:ascii="宋体" w:hAnsi="宋体" w:cs="宋体"/>
                <w:sz w:val="24"/>
              </w:rPr>
            </w:pPr>
            <w:r>
              <w:rPr>
                <w:rFonts w:hint="eastAsia" w:ascii="宋体" w:hAnsi="宋体" w:cs="宋体"/>
                <w:sz w:val="24"/>
              </w:rPr>
              <w:t>N43°55′40.215″，E87°13′38.135″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856" w:type="dxa"/>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国民经济</w:t>
            </w:r>
          </w:p>
          <w:p>
            <w:pPr>
              <w:adjustRightInd w:val="0"/>
              <w:snapToGrid w:val="0"/>
              <w:jc w:val="center"/>
              <w:rPr>
                <w:rFonts w:ascii="宋体" w:hAnsi="宋体" w:cs="宋体"/>
                <w:sz w:val="24"/>
              </w:rPr>
            </w:pPr>
            <w:r>
              <w:rPr>
                <w:rFonts w:hint="eastAsia" w:ascii="宋体" w:hAnsi="宋体" w:cs="宋体"/>
                <w:sz w:val="24"/>
              </w:rPr>
              <w:t>行业类别</w:t>
            </w:r>
          </w:p>
        </w:tc>
        <w:tc>
          <w:tcPr>
            <w:tcW w:w="2268" w:type="dxa"/>
            <w:vAlign w:val="center"/>
          </w:tcPr>
          <w:p>
            <w:pPr>
              <w:adjustRightInd w:val="0"/>
              <w:snapToGrid w:val="0"/>
              <w:jc w:val="center"/>
              <w:rPr>
                <w:rFonts w:ascii="宋体" w:hAnsi="宋体" w:cs="宋体"/>
                <w:sz w:val="24"/>
              </w:rPr>
            </w:pPr>
            <w:r>
              <w:rPr>
                <w:rFonts w:hint="eastAsia" w:ascii="宋体" w:hAnsi="宋体" w:cs="宋体"/>
                <w:sz w:val="24"/>
              </w:rPr>
              <w:t>塑料包装箱及容器制造（C2926）</w:t>
            </w:r>
          </w:p>
        </w:tc>
        <w:tc>
          <w:tcPr>
            <w:tcW w:w="1701" w:type="dxa"/>
            <w:vAlign w:val="center"/>
          </w:tcPr>
          <w:p>
            <w:pPr>
              <w:adjustRightInd w:val="0"/>
              <w:snapToGrid w:val="0"/>
              <w:jc w:val="center"/>
              <w:rPr>
                <w:rFonts w:ascii="宋体" w:hAnsi="宋体" w:cs="宋体"/>
                <w:sz w:val="24"/>
              </w:rPr>
            </w:pPr>
            <w:bookmarkStart w:id="1" w:name="_Hlk49843745"/>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行业类别</w:t>
            </w:r>
            <w:bookmarkEnd w:id="1"/>
          </w:p>
        </w:tc>
        <w:tc>
          <w:tcPr>
            <w:tcW w:w="3045" w:type="dxa"/>
            <w:vAlign w:val="center"/>
          </w:tcPr>
          <w:p>
            <w:pPr>
              <w:adjustRightInd w:val="0"/>
              <w:snapToGrid w:val="0"/>
              <w:rPr>
                <w:rFonts w:ascii="宋体" w:hAnsi="宋体" w:cs="宋体"/>
                <w:sz w:val="24"/>
              </w:rPr>
            </w:pPr>
            <w:r>
              <w:rPr>
                <w:rFonts w:hint="eastAsia" w:ascii="宋体" w:hAnsi="宋体" w:cs="宋体"/>
                <w:sz w:val="24"/>
              </w:rPr>
              <w:t>二十六、橡胶和塑料制品业29-53-塑料制品业292-其他（年用非溶剂型低VOCs含量涂料10吨以下的除外）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建设性质</w:t>
            </w:r>
          </w:p>
        </w:tc>
        <w:tc>
          <w:tcPr>
            <w:tcW w:w="2268" w:type="dxa"/>
            <w:vAlign w:val="center"/>
          </w:tcPr>
          <w:p>
            <w:pPr>
              <w:jc w:val="left"/>
              <w:rPr>
                <w:sz w:val="24"/>
              </w:rPr>
            </w:pPr>
            <w:r>
              <w:rPr>
                <w:rFonts w:hint="eastAsia" w:hAnsi="MS Mincho"/>
                <w:sz w:val="24"/>
              </w:rPr>
              <w:t>☑</w:t>
            </w:r>
            <w:r>
              <w:rPr>
                <w:sz w:val="24"/>
              </w:rPr>
              <w:t>新建</w:t>
            </w:r>
          </w:p>
          <w:p>
            <w:pPr>
              <w:jc w:val="left"/>
              <w:rPr>
                <w:sz w:val="24"/>
              </w:rPr>
            </w:pPr>
            <w:r>
              <w:rPr>
                <w:sz w:val="24"/>
              </w:rPr>
              <w:sym w:font="Wingdings 2" w:char="00A3"/>
            </w:r>
            <w:r>
              <w:rPr>
                <w:sz w:val="24"/>
              </w:rPr>
              <w:t>改建</w:t>
            </w:r>
          </w:p>
          <w:p>
            <w:pPr>
              <w:jc w:val="left"/>
              <w:rPr>
                <w:sz w:val="24"/>
              </w:rPr>
            </w:pPr>
            <w:r>
              <w:rPr>
                <w:sz w:val="24"/>
              </w:rPr>
              <w:sym w:font="Wingdings 2" w:char="00A3"/>
            </w:r>
            <w:r>
              <w:rPr>
                <w:sz w:val="24"/>
              </w:rPr>
              <w:t>扩建</w:t>
            </w:r>
          </w:p>
          <w:p>
            <w:pPr>
              <w:jc w:val="left"/>
              <w:rPr>
                <w:sz w:val="24"/>
              </w:rPr>
            </w:pPr>
            <w:r>
              <w:rPr>
                <w:sz w:val="24"/>
              </w:rPr>
              <w:sym w:font="Wingdings 2" w:char="00A3"/>
            </w:r>
            <w:r>
              <w:rPr>
                <w:sz w:val="24"/>
              </w:rPr>
              <w:t>技术改造</w:t>
            </w:r>
          </w:p>
        </w:tc>
        <w:tc>
          <w:tcPr>
            <w:tcW w:w="1701"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3045" w:type="dxa"/>
            <w:vAlign w:val="center"/>
          </w:tcPr>
          <w:p>
            <w:pPr>
              <w:jc w:val="left"/>
              <w:rPr>
                <w:sz w:val="24"/>
              </w:rPr>
            </w:pPr>
            <w:r>
              <w:rPr>
                <w:rFonts w:hAnsi="MS Mincho" w:eastAsia="MS Mincho"/>
                <w:sz w:val="24"/>
              </w:rPr>
              <w:t>☑</w:t>
            </w:r>
            <w:r>
              <w:rPr>
                <w:sz w:val="24"/>
              </w:rPr>
              <w:t xml:space="preserve">首次申报项目 </w:t>
            </w:r>
          </w:p>
          <w:p>
            <w:pPr>
              <w:jc w:val="left"/>
              <w:rPr>
                <w:sz w:val="24"/>
              </w:rPr>
            </w:pPr>
            <w:r>
              <w:rPr>
                <w:sz w:val="24"/>
              </w:rPr>
              <w:sym w:font="Wingdings 2" w:char="00A3"/>
            </w:r>
            <w:r>
              <w:rPr>
                <w:sz w:val="24"/>
              </w:rPr>
              <w:t>不予批准后再次申报项目</w:t>
            </w:r>
          </w:p>
          <w:p>
            <w:pPr>
              <w:jc w:val="left"/>
              <w:rPr>
                <w:sz w:val="24"/>
              </w:rPr>
            </w:pPr>
            <w:r>
              <w:rPr>
                <w:sz w:val="24"/>
              </w:rPr>
              <w:sym w:font="Wingdings 2" w:char="00A3"/>
            </w:r>
            <w:r>
              <w:rPr>
                <w:sz w:val="24"/>
              </w:rPr>
              <w:t>超五年重新审核项目</w:t>
            </w:r>
          </w:p>
          <w:p>
            <w:pPr>
              <w:jc w:val="left"/>
              <w:rPr>
                <w:sz w:val="24"/>
              </w:rPr>
            </w:pPr>
            <w:r>
              <w:rPr>
                <w:sz w:val="24"/>
              </w:rPr>
              <w:sym w:font="Wingdings 2" w:char="00A3"/>
            </w: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2268" w:type="dxa"/>
            <w:vAlign w:val="center"/>
          </w:tcPr>
          <w:p>
            <w:pPr>
              <w:adjustRightInd w:val="0"/>
              <w:snapToGrid w:val="0"/>
              <w:jc w:val="center"/>
              <w:rPr>
                <w:sz w:val="24"/>
              </w:rPr>
            </w:pPr>
            <w:r>
              <w:rPr>
                <w:rFonts w:hint="eastAsia"/>
                <w:sz w:val="24"/>
              </w:rPr>
              <w:t>无</w:t>
            </w:r>
          </w:p>
        </w:tc>
        <w:tc>
          <w:tcPr>
            <w:tcW w:w="1701"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3045" w:type="dxa"/>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总投资（万元）</w:t>
            </w:r>
          </w:p>
        </w:tc>
        <w:tc>
          <w:tcPr>
            <w:tcW w:w="2268" w:type="dxa"/>
            <w:vAlign w:val="center"/>
          </w:tcPr>
          <w:p>
            <w:pPr>
              <w:adjustRightInd w:val="0"/>
              <w:snapToGrid w:val="0"/>
              <w:jc w:val="center"/>
              <w:rPr>
                <w:sz w:val="24"/>
              </w:rPr>
            </w:pPr>
            <w:r>
              <w:rPr>
                <w:rFonts w:hint="eastAsia"/>
                <w:sz w:val="24"/>
              </w:rPr>
              <w:t>300</w:t>
            </w:r>
          </w:p>
        </w:tc>
        <w:tc>
          <w:tcPr>
            <w:tcW w:w="1701" w:type="dxa"/>
            <w:tcMar>
              <w:top w:w="16" w:type="dxa"/>
              <w:left w:w="16" w:type="dxa"/>
              <w:right w:w="16" w:type="dxa"/>
            </w:tcMar>
            <w:vAlign w:val="center"/>
          </w:tcPr>
          <w:p>
            <w:pPr>
              <w:adjustRightInd w:val="0"/>
              <w:snapToGrid w:val="0"/>
              <w:jc w:val="center"/>
              <w:rPr>
                <w:sz w:val="24"/>
              </w:rPr>
            </w:pPr>
            <w:r>
              <w:rPr>
                <w:sz w:val="24"/>
              </w:rPr>
              <w:t>环保投资（万元）</w:t>
            </w:r>
          </w:p>
        </w:tc>
        <w:tc>
          <w:tcPr>
            <w:tcW w:w="3045" w:type="dxa"/>
            <w:vAlign w:val="center"/>
          </w:tcPr>
          <w:p>
            <w:pPr>
              <w:adjustRightInd w:val="0"/>
              <w:snapToGrid w:val="0"/>
              <w:jc w:val="center"/>
              <w:rPr>
                <w:sz w:val="24"/>
              </w:rPr>
            </w:pPr>
            <w:r>
              <w:rPr>
                <w:rFonts w:hint="eastAsia"/>
                <w:sz w:val="24"/>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环保投资占比（%）</w:t>
            </w:r>
          </w:p>
        </w:tc>
        <w:tc>
          <w:tcPr>
            <w:tcW w:w="2268" w:type="dxa"/>
            <w:vAlign w:val="center"/>
          </w:tcPr>
          <w:p>
            <w:pPr>
              <w:adjustRightInd w:val="0"/>
              <w:snapToGrid w:val="0"/>
              <w:jc w:val="center"/>
              <w:rPr>
                <w:sz w:val="24"/>
              </w:rPr>
            </w:pPr>
            <w:r>
              <w:rPr>
                <w:rFonts w:hint="eastAsia"/>
                <w:sz w:val="24"/>
              </w:rPr>
              <w:t>7.33</w:t>
            </w:r>
          </w:p>
        </w:tc>
        <w:tc>
          <w:tcPr>
            <w:tcW w:w="1701" w:type="dxa"/>
            <w:tcMar>
              <w:top w:w="16" w:type="dxa"/>
              <w:left w:w="16" w:type="dxa"/>
              <w:right w:w="16" w:type="dxa"/>
            </w:tcMar>
            <w:vAlign w:val="center"/>
          </w:tcPr>
          <w:p>
            <w:pPr>
              <w:adjustRightInd w:val="0"/>
              <w:snapToGrid w:val="0"/>
              <w:jc w:val="center"/>
              <w:rPr>
                <w:sz w:val="24"/>
              </w:rPr>
            </w:pPr>
            <w:r>
              <w:rPr>
                <w:sz w:val="24"/>
              </w:rPr>
              <w:t>施工工期</w:t>
            </w:r>
          </w:p>
        </w:tc>
        <w:tc>
          <w:tcPr>
            <w:tcW w:w="3045" w:type="dxa"/>
            <w:vAlign w:val="center"/>
          </w:tcPr>
          <w:p>
            <w:pPr>
              <w:adjustRightInd w:val="0"/>
              <w:snapToGrid w:val="0"/>
              <w:jc w:val="center"/>
              <w:rPr>
                <w:sz w:val="24"/>
              </w:rPr>
            </w:pPr>
            <w:r>
              <w:rPr>
                <w:rFonts w:hint="eastAsia"/>
                <w:sz w:val="24"/>
              </w:rPr>
              <w:t>10天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56" w:type="dxa"/>
            <w:tcMar>
              <w:top w:w="16" w:type="dxa"/>
              <w:left w:w="16" w:type="dxa"/>
              <w:right w:w="16" w:type="dxa"/>
            </w:tcMar>
            <w:vAlign w:val="center"/>
          </w:tcPr>
          <w:p>
            <w:pPr>
              <w:adjustRightInd w:val="0"/>
              <w:snapToGrid w:val="0"/>
              <w:jc w:val="center"/>
              <w:rPr>
                <w:sz w:val="24"/>
              </w:rPr>
            </w:pPr>
            <w:r>
              <w:rPr>
                <w:sz w:val="24"/>
              </w:rPr>
              <w:t>是否开工建设</w:t>
            </w:r>
          </w:p>
        </w:tc>
        <w:tc>
          <w:tcPr>
            <w:tcW w:w="2268" w:type="dxa"/>
            <w:vAlign w:val="center"/>
          </w:tcPr>
          <w:p>
            <w:pPr>
              <w:adjustRightInd w:val="0"/>
              <w:snapToGrid w:val="0"/>
              <w:rPr>
                <w:sz w:val="24"/>
              </w:rPr>
            </w:pPr>
            <w:r>
              <w:rPr>
                <w:rFonts w:hAnsi="MS Mincho" w:eastAsia="MS Mincho"/>
                <w:sz w:val="24"/>
              </w:rPr>
              <w:t>☑</w:t>
            </w:r>
            <w:r>
              <w:rPr>
                <w:sz w:val="24"/>
              </w:rPr>
              <w:t>否</w:t>
            </w:r>
          </w:p>
          <w:p>
            <w:pPr>
              <w:adjustRightInd w:val="0"/>
              <w:snapToGrid w:val="0"/>
              <w:rPr>
                <w:sz w:val="24"/>
              </w:rPr>
            </w:pPr>
            <w:r>
              <w:rPr>
                <w:sz w:val="24"/>
              </w:rPr>
              <w:sym w:font="Wingdings 2" w:char="00A3"/>
            </w:r>
            <w:r>
              <w:rPr>
                <w:sz w:val="24"/>
              </w:rPr>
              <w:t>是</w:t>
            </w:r>
          </w:p>
        </w:tc>
        <w:tc>
          <w:tcPr>
            <w:tcW w:w="1701" w:type="dxa"/>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3045" w:type="dxa"/>
            <w:vAlign w:val="center"/>
          </w:tcPr>
          <w:p>
            <w:pPr>
              <w:adjustRightInd w:val="0"/>
              <w:snapToGrid w:val="0"/>
              <w:jc w:val="center"/>
              <w:rPr>
                <w:sz w:val="24"/>
              </w:rPr>
            </w:pPr>
            <w:r>
              <w:rPr>
                <w:rFonts w:hint="eastAsia"/>
                <w:sz w:val="24"/>
              </w:rPr>
              <w:t>4000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jc w:val="center"/>
        </w:trPr>
        <w:tc>
          <w:tcPr>
            <w:tcW w:w="1856" w:type="dxa"/>
            <w:vAlign w:val="center"/>
          </w:tcPr>
          <w:p>
            <w:pPr>
              <w:autoSpaceDE w:val="0"/>
              <w:autoSpaceDN w:val="0"/>
              <w:adjustRightInd w:val="0"/>
              <w:snapToGrid w:val="0"/>
              <w:jc w:val="center"/>
              <w:rPr>
                <w:kern w:val="0"/>
                <w:sz w:val="24"/>
              </w:rPr>
            </w:pPr>
            <w:r>
              <w:rPr>
                <w:kern w:val="0"/>
                <w:sz w:val="24"/>
              </w:rPr>
              <w:t>专项评价设置情况</w:t>
            </w:r>
          </w:p>
        </w:tc>
        <w:tc>
          <w:tcPr>
            <w:tcW w:w="7014"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56" w:type="dxa"/>
            <w:vAlign w:val="center"/>
          </w:tcPr>
          <w:p>
            <w:pPr>
              <w:autoSpaceDE w:val="0"/>
              <w:autoSpaceDN w:val="0"/>
              <w:adjustRightInd w:val="0"/>
              <w:snapToGrid w:val="0"/>
              <w:jc w:val="center"/>
              <w:rPr>
                <w:kern w:val="0"/>
                <w:sz w:val="24"/>
              </w:rPr>
            </w:pPr>
            <w:r>
              <w:rPr>
                <w:sz w:val="24"/>
              </w:rPr>
              <w:t>规划情况</w:t>
            </w:r>
          </w:p>
        </w:tc>
        <w:tc>
          <w:tcPr>
            <w:tcW w:w="7014"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56" w:type="dxa"/>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7014"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856" w:type="dxa"/>
            <w:vAlign w:val="center"/>
          </w:tcPr>
          <w:p>
            <w:pPr>
              <w:autoSpaceDE w:val="0"/>
              <w:autoSpaceDN w:val="0"/>
              <w:adjustRightInd w:val="0"/>
              <w:snapToGrid w:val="0"/>
              <w:jc w:val="center"/>
              <w:rPr>
                <w:kern w:val="0"/>
                <w:sz w:val="24"/>
              </w:rPr>
            </w:pPr>
            <w:r>
              <w:rPr>
                <w:kern w:val="0"/>
                <w:sz w:val="24"/>
              </w:rPr>
              <w:t>规划及规划环境影响评价符合性分析</w:t>
            </w:r>
          </w:p>
        </w:tc>
        <w:tc>
          <w:tcPr>
            <w:tcW w:w="7014" w:type="dxa"/>
            <w:gridSpan w:val="3"/>
            <w:vAlign w:val="center"/>
          </w:tcPr>
          <w:p>
            <w:pPr>
              <w:autoSpaceDE w:val="0"/>
              <w:autoSpaceDN w:val="0"/>
              <w:adjustRightInd w:val="0"/>
              <w:snapToGrid w:val="0"/>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56" w:type="dxa"/>
            <w:vAlign w:val="center"/>
          </w:tcPr>
          <w:p>
            <w:pPr>
              <w:autoSpaceDE w:val="0"/>
              <w:autoSpaceDN w:val="0"/>
              <w:adjustRightInd w:val="0"/>
              <w:snapToGrid w:val="0"/>
              <w:jc w:val="center"/>
              <w:rPr>
                <w:kern w:val="0"/>
                <w:sz w:val="24"/>
              </w:rPr>
            </w:pPr>
            <w:r>
              <w:rPr>
                <w:kern w:val="0"/>
                <w:sz w:val="24"/>
              </w:rPr>
              <w:t>其他符合性分析</w:t>
            </w:r>
          </w:p>
        </w:tc>
        <w:tc>
          <w:tcPr>
            <w:tcW w:w="7014" w:type="dxa"/>
            <w:gridSpan w:val="3"/>
            <w:vAlign w:val="center"/>
          </w:tcPr>
          <w:p>
            <w:pPr>
              <w:pStyle w:val="51"/>
              <w:ind w:firstLine="480"/>
            </w:pPr>
            <w:r>
              <w:t>1、《产业结构调整指导目录（2019年本）》</w:t>
            </w:r>
            <w:r>
              <w:rPr>
                <w:rFonts w:hint="eastAsia"/>
              </w:rPr>
              <w:t>（2021年修订）</w:t>
            </w:r>
            <w:r>
              <w:t>相符性</w:t>
            </w:r>
          </w:p>
          <w:p>
            <w:pPr>
              <w:pStyle w:val="51"/>
              <w:ind w:firstLine="480"/>
            </w:pPr>
            <w:r>
              <w:t>根据国家发展和改革委员会发布的《产业结构调整指导日录（2019年本）》</w:t>
            </w:r>
            <w:r>
              <w:rPr>
                <w:rFonts w:hint="eastAsia"/>
              </w:rPr>
              <w:t>，</w:t>
            </w:r>
            <w:r>
              <w:t>本</w:t>
            </w:r>
            <w:r>
              <w:rPr>
                <w:rFonts w:hint="eastAsia"/>
              </w:rPr>
              <w:t>项目不</w:t>
            </w:r>
            <w:r>
              <w:t>属于</w:t>
            </w:r>
            <w:r>
              <w:rPr>
                <w:rFonts w:hint="eastAsia"/>
              </w:rPr>
              <w:t>鼓励</w:t>
            </w:r>
            <w:r>
              <w:t>类</w:t>
            </w:r>
            <w:r>
              <w:rPr>
                <w:rFonts w:hint="eastAsia"/>
              </w:rPr>
              <w:t>、限制类和淘汰类</w:t>
            </w:r>
            <w:r>
              <w:t>项目，</w:t>
            </w:r>
            <w:r>
              <w:rPr>
                <w:rFonts w:hint="eastAsia"/>
              </w:rPr>
              <w:t>属于允许类，</w:t>
            </w:r>
            <w:r>
              <w:t>符合国家的产业政策。</w:t>
            </w:r>
          </w:p>
          <w:p>
            <w:pPr>
              <w:pStyle w:val="53"/>
              <w:spacing w:line="480" w:lineRule="exact"/>
            </w:pPr>
            <w:r>
              <w:t>2、选址环境可行性分析</w:t>
            </w:r>
          </w:p>
          <w:p>
            <w:pPr>
              <w:pStyle w:val="53"/>
              <w:spacing w:line="480" w:lineRule="exact"/>
              <w:rPr>
                <w:rFonts w:hint="eastAsia"/>
              </w:rPr>
            </w:pPr>
            <w:r>
              <w:rPr>
                <w:rFonts w:hint="eastAsia"/>
              </w:rPr>
              <w:t>本项目为新建项目，项目位于昌吉回族自治州昌吉市三工镇下营盘村五组老砖厂院内。项目地理位置见图1，项目区东侧、南侧、北侧均为未生产厂房，西侧为葡萄地。根据《自治区重点行业准入条件（通则）》，禁止在自然保护区、世界自然遗产地、风景名胜区、森林公园、地质公园、重要湿地、饮用水水源保护区等重点保护区域内及其它法律法规禁止的区域进行污染环境的任何开发活动。</w:t>
            </w:r>
            <w:r>
              <w:rPr>
                <w:rFonts w:hint="eastAsia"/>
                <w:lang w:eastAsia="zh-CN"/>
              </w:rPr>
              <w:t>该项目为工业项目，根据企业向三工镇人民政府申请，项目符合三工镇规划，项目区不在</w:t>
            </w:r>
            <w:r>
              <w:rPr>
                <w:rFonts w:hint="eastAsia"/>
              </w:rPr>
              <w:t>自然保护区、世界自然遗产地、风景名胜区、森林公园、地质公园、重要湿地、饮用水水源保护区</w:t>
            </w:r>
            <w:r>
              <w:rPr>
                <w:rFonts w:hint="eastAsia"/>
                <w:lang w:eastAsia="zh-CN"/>
              </w:rPr>
              <w:t>。</w:t>
            </w:r>
            <w:r>
              <w:rPr>
                <w:rFonts w:hint="eastAsia"/>
              </w:rPr>
              <w:t>项目运营期塑料果蔬筐生产产生的有机废气经集气罩收集后通过二级活性炭吸附装置处理后由15m高排气筒达标排放，对周边大气环境的影响较小；项目生活污水排入城镇污水管网后进入昌吉市污水处理厂处理；运营期间机械设备产生的噪声经过加强设备维护，厂房隔声等措施治理后对项目区外环境影响较小；项目运营期产生的各类固体废物及生活垃圾均能得到有效的处理处置，不会产生二次污染。因此本项目选址基本合理可行。</w:t>
            </w:r>
          </w:p>
          <w:p>
            <w:pPr>
              <w:pStyle w:val="53"/>
              <w:spacing w:line="480" w:lineRule="exact"/>
            </w:pPr>
            <w:r>
              <w:t>3、“三线一单”符合性分析</w:t>
            </w:r>
          </w:p>
          <w:p>
            <w:pPr>
              <w:pStyle w:val="53"/>
              <w:spacing w:line="480" w:lineRule="exact"/>
            </w:pPr>
            <w:r>
              <w:rPr>
                <w:rFonts w:hint="eastAsia"/>
              </w:rPr>
              <w:t>2021年2月22日新疆维吾尔自治区人民政府办公厅发布了关于印发《新疆维吾尔自治区“三线一单”生态环境分区管控方案》的通知，“为贯彻落实《中共中央、国务院关于全面加强生态环境保护坚决打好污染防治攻坚战的意见》和《自治区党委、自治区人民政府关于全面加强生态环境保护坚决打好污染防治攻坚战实施方案》，按照生态环境部统一部署，自治区组织编制了‘生态保护红线、环境质量底线、资源利用上线和生态环境准入清单’现就实施‘三线一单’生态环境分区管控制定本方案。”结合《昌吉回族自治州“三线一单”生态环境分区管控方案》，现就本项目“三线一单”符合性进行分析。</w:t>
            </w:r>
          </w:p>
          <w:p>
            <w:pPr>
              <w:pStyle w:val="53"/>
              <w:spacing w:line="480" w:lineRule="exact"/>
            </w:pPr>
            <w:r>
              <w:rPr>
                <w:rFonts w:hint="eastAsia"/>
              </w:rPr>
              <w:t>（1） 生态保护红线符合性分析</w:t>
            </w:r>
          </w:p>
          <w:p>
            <w:pPr>
              <w:pStyle w:val="53"/>
              <w:spacing w:line="480" w:lineRule="exact"/>
            </w:pPr>
            <w:r>
              <w:t>本项目</w:t>
            </w:r>
            <w:r>
              <w:rPr>
                <w:rFonts w:hint="eastAsia"/>
              </w:rPr>
              <w:t>位于昌吉回族自治州昌吉市三工镇下营盘村五组老砖厂院内</w:t>
            </w:r>
            <w:r>
              <w:t>。项目区东</w:t>
            </w:r>
            <w:r>
              <w:rPr>
                <w:rFonts w:hint="eastAsia"/>
              </w:rPr>
              <w:t>侧、南</w:t>
            </w:r>
            <w:r>
              <w:t>侧</w:t>
            </w:r>
            <w:r>
              <w:rPr>
                <w:rFonts w:hint="eastAsia"/>
              </w:rPr>
              <w:t>、北侧均为未生产厂房，西侧为葡萄地</w:t>
            </w:r>
            <w:r>
              <w:t>。</w:t>
            </w:r>
            <w:r>
              <w:rPr>
                <w:rFonts w:hint="eastAsia"/>
              </w:rPr>
              <w:t>为一般管控单元（见图2），占地非生态红线区域内，本项目选址区域不涉及自然保护区、森林公园、风景名胜区、世界文化自然遗产、地质公园等，符合生态保护红线要求。</w:t>
            </w:r>
          </w:p>
          <w:p>
            <w:pPr>
              <w:pStyle w:val="53"/>
              <w:spacing w:line="480" w:lineRule="exact"/>
            </w:pPr>
            <w:r>
              <w:rPr>
                <w:rFonts w:hint="eastAsia"/>
              </w:rPr>
              <w:t>（2）环境质量底线符合性分析</w:t>
            </w:r>
          </w:p>
          <w:p>
            <w:pPr>
              <w:pStyle w:val="53"/>
              <w:spacing w:line="480" w:lineRule="exact"/>
            </w:pPr>
            <w:r>
              <w:rPr>
                <w:rFonts w:hint="eastAsia"/>
              </w:rPr>
              <w:t>本项目废气、噪声采取措施后可达标排放，项目污染物排放量较小，对区域环境质量影响很小，能够符合环境质量底线要求。</w:t>
            </w:r>
          </w:p>
          <w:p>
            <w:pPr>
              <w:pStyle w:val="53"/>
              <w:spacing w:line="480" w:lineRule="exact"/>
            </w:pPr>
            <w:r>
              <w:rPr>
                <w:rFonts w:hint="eastAsia"/>
              </w:rPr>
              <w:t>（3）资源利用上线符合性分析</w:t>
            </w:r>
          </w:p>
          <w:p>
            <w:pPr>
              <w:pStyle w:val="53"/>
              <w:spacing w:line="480" w:lineRule="exact"/>
            </w:pPr>
            <w:r>
              <w:rPr>
                <w:rFonts w:hint="eastAsia"/>
              </w:rPr>
              <w:t>本</w:t>
            </w:r>
            <w:r>
              <w:t>项目</w:t>
            </w:r>
            <w:r>
              <w:rPr>
                <w:rFonts w:hint="eastAsia"/>
              </w:rPr>
              <w:t>为塑料制品业，原料从市场采购</w:t>
            </w:r>
            <w:r>
              <w:t>，运营过程中消耗一定的电量、水资源，项目资源消耗量相对区域资源总量较小，符合资源利用上</w:t>
            </w:r>
            <w:r>
              <w:rPr>
                <w:rFonts w:hint="eastAsia"/>
              </w:rPr>
              <w:t>线</w:t>
            </w:r>
            <w:r>
              <w:t>要求。</w:t>
            </w:r>
          </w:p>
          <w:p>
            <w:pPr>
              <w:pStyle w:val="53"/>
              <w:spacing w:line="480" w:lineRule="exact"/>
            </w:pPr>
            <w:r>
              <w:rPr>
                <w:rFonts w:hint="eastAsia"/>
              </w:rPr>
              <w:t>（4）生态环境准入清单符合性分析</w:t>
            </w:r>
          </w:p>
          <w:p>
            <w:pPr>
              <w:pStyle w:val="53"/>
              <w:spacing w:line="480" w:lineRule="exact"/>
            </w:pPr>
            <w:r>
              <w:t>根据《昌吉回族自治州“三线一单”生态环境分区管控方案及生态环境准入清单》</w:t>
            </w:r>
            <w:r>
              <w:rPr>
                <w:rFonts w:hint="eastAsia"/>
              </w:rPr>
              <w:t>，</w:t>
            </w:r>
            <w:r>
              <w:t>本项目位于</w:t>
            </w:r>
            <w:r>
              <w:rPr>
                <w:rFonts w:hint="eastAsia"/>
              </w:rPr>
              <w:t>昌吉市</w:t>
            </w:r>
            <w:r>
              <w:t>一般管控单元且满足一般管控单元空间布局约束、污染物排放管控、环境风险防控以及资源利用效率各项要求</w:t>
            </w:r>
            <w:r>
              <w:rPr>
                <w:rFonts w:hint="eastAsia"/>
              </w:rPr>
              <w:t>。</w:t>
            </w:r>
            <w:r>
              <w:t>综上所述，项目符合“三线一单”相关要求。</w:t>
            </w:r>
          </w:p>
          <w:p>
            <w:pPr>
              <w:jc w:val="center"/>
            </w:pPr>
            <w:r>
              <w:rPr>
                <w:rFonts w:hint="eastAsia"/>
              </w:rPr>
              <w:t>表1-1项目与“昌吉回族自治州“三线一单”生态环境分区管控方案及生态环境准入清单”符合性分析一览表</w:t>
            </w:r>
          </w:p>
          <w:tbl>
            <w:tblPr>
              <w:tblStyle w:val="25"/>
              <w:tblW w:w="86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9"/>
              <w:gridCol w:w="640"/>
              <w:gridCol w:w="374"/>
              <w:gridCol w:w="3450"/>
              <w:gridCol w:w="2899"/>
              <w:gridCol w:w="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Align w:val="center"/>
                </w:tcPr>
                <w:p>
                  <w:r>
                    <w:rPr>
                      <w:rFonts w:hint="eastAsia"/>
                    </w:rPr>
                    <w:t>管控单元名称</w:t>
                  </w:r>
                </w:p>
              </w:tc>
              <w:tc>
                <w:tcPr>
                  <w:tcW w:w="4464" w:type="dxa"/>
                  <w:gridSpan w:val="3"/>
                  <w:vAlign w:val="center"/>
                </w:tcPr>
                <w:p>
                  <w:pPr>
                    <w:jc w:val="center"/>
                  </w:pPr>
                  <w:r>
                    <w:rPr>
                      <w:rFonts w:hint="eastAsia"/>
                    </w:rPr>
                    <w:t>管控要求</w:t>
                  </w:r>
                </w:p>
              </w:tc>
              <w:tc>
                <w:tcPr>
                  <w:tcW w:w="2899" w:type="dxa"/>
                  <w:vAlign w:val="center"/>
                </w:tcPr>
                <w:p>
                  <w:pPr>
                    <w:jc w:val="center"/>
                  </w:pPr>
                  <w:r>
                    <w:rPr>
                      <w:rFonts w:hint="eastAsia"/>
                    </w:rPr>
                    <w:t>项目情况</w:t>
                  </w:r>
                </w:p>
              </w:tc>
              <w:tc>
                <w:tcPr>
                  <w:tcW w:w="372" w:type="dxa"/>
                  <w:vAlign w:val="center"/>
                </w:tcPr>
                <w:p>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restart"/>
                  <w:vAlign w:val="center"/>
                </w:tcPr>
                <w:p>
                  <w:r>
                    <w:rPr>
                      <w:rFonts w:hint="eastAsia"/>
                    </w:rPr>
                    <w:t>昌吉市一般管控单元</w:t>
                  </w:r>
                </w:p>
              </w:tc>
              <w:tc>
                <w:tcPr>
                  <w:tcW w:w="640" w:type="dxa"/>
                  <w:vMerge w:val="restart"/>
                  <w:vAlign w:val="center"/>
                </w:tcPr>
                <w:p>
                  <w:r>
                    <w:rPr>
                      <w:rFonts w:hint="eastAsia"/>
                    </w:rPr>
                    <w:t>空间布局约束</w:t>
                  </w:r>
                </w:p>
              </w:tc>
              <w:tc>
                <w:tcPr>
                  <w:tcW w:w="3824" w:type="dxa"/>
                  <w:gridSpan w:val="2"/>
                  <w:vAlign w:val="center"/>
                </w:tcPr>
                <w:p>
                  <w:r>
                    <w:rPr>
                      <w:rFonts w:hint="eastAsia"/>
                    </w:rPr>
                    <w:t>1、执行自治区总体准入要求中关于一般环境管控单元的准入要求（表2-4 A7.1）</w:t>
                  </w:r>
                </w:p>
              </w:tc>
              <w:tc>
                <w:tcPr>
                  <w:tcW w:w="2899" w:type="dxa"/>
                  <w:vAlign w:val="center"/>
                </w:tcPr>
                <w:p>
                  <w:r>
                    <w:rPr>
                      <w:rFonts w:hint="eastAsia"/>
                    </w:rPr>
                    <w:t>具体见以下内容</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restart"/>
                  <w:vAlign w:val="center"/>
                </w:tcPr>
                <w:p>
                  <w:r>
                    <w:rPr>
                      <w:rFonts w:hint="eastAsia"/>
                    </w:rPr>
                    <w:t>禁止开发建设活动的要求</w:t>
                  </w:r>
                </w:p>
              </w:tc>
              <w:tc>
                <w:tcPr>
                  <w:tcW w:w="3450" w:type="dxa"/>
                  <w:vAlign w:val="center"/>
                </w:tcPr>
                <w:p>
                  <w:r>
                    <w:rPr>
                      <w:rFonts w:hint="eastAsia"/>
                    </w:rPr>
                    <w:t>1、木垒县、奇台县、吉木萨尔县城市建成区原则上不再新建每小时35蒸吨以下的燃煤锅炉。</w:t>
                  </w:r>
                </w:p>
                <w:p>
                  <w:r>
                    <w:rPr>
                      <w:rFonts w:hint="eastAsia"/>
                    </w:rPr>
                    <w:t>2、“乌-昌-石”区域各县级及以上城市建成区以及国家级、自治区级工业园区禁止新建每小时65蒸吨以下燃煤锅炉；其他区域原则上不再新建每小时10蒸吨及以下的燃煤锅炉。</w:t>
                  </w:r>
                </w:p>
                <w:p>
                  <w:r>
                    <w:rPr>
                      <w:rFonts w:hint="eastAsia"/>
                    </w:rPr>
                    <w:t>3、禁止在“乌-昌-石”区域内4县市2园区新增燃煤机组装机规模。</w:t>
                  </w:r>
                </w:p>
                <w:p>
                  <w:r>
                    <w:rPr>
                      <w:rFonts w:hint="eastAsia"/>
                    </w:rPr>
                    <w:t>4、化肥行业固定床间歇式煤气化炉禁止掺烧高硫石油焦。</w:t>
                  </w:r>
                </w:p>
                <w:p>
                  <w:r>
                    <w:rPr>
                      <w:rFonts w:hint="eastAsia"/>
                    </w:rPr>
                    <w:t>5、禁止销售低于国六标准的车用汽柴油。</w:t>
                  </w:r>
                </w:p>
                <w:p>
                  <w:r>
                    <w:rPr>
                      <w:rFonts w:hint="eastAsia"/>
                    </w:rPr>
                    <w:t>6、禁止销售和使用不合格油品和车用尿素行为。</w:t>
                  </w:r>
                </w:p>
                <w:p>
                  <w:r>
                    <w:rPr>
                      <w:rFonts w:hint="eastAsia"/>
                    </w:rPr>
                    <w:t>7、禁止以化工原料名义出售调和油组分。</w:t>
                  </w:r>
                </w:p>
                <w:p>
                  <w:r>
                    <w:rPr>
                      <w:rFonts w:hint="eastAsia"/>
                    </w:rPr>
                    <w:t>8、禁止以化工原料勾兑调和油。</w:t>
                  </w:r>
                </w:p>
                <w:p>
                  <w:r>
                    <w:rPr>
                      <w:rFonts w:hint="eastAsia"/>
                    </w:rPr>
                    <w:t>9、严禁运输企业储存使用非标油。</w:t>
                  </w:r>
                </w:p>
              </w:tc>
              <w:tc>
                <w:tcPr>
                  <w:tcW w:w="2899" w:type="dxa"/>
                  <w:vAlign w:val="center"/>
                </w:tcPr>
                <w:p>
                  <w:r>
                    <w:rPr>
                      <w:rFonts w:hint="eastAsia"/>
                    </w:rPr>
                    <w:t>本项目为塑料制品项目，不涉及涉及锅炉内容</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1、禁止新建未纳入《石化产业规划布局方案》的炼化项目。</w:t>
                  </w:r>
                </w:p>
              </w:tc>
              <w:tc>
                <w:tcPr>
                  <w:tcW w:w="2899" w:type="dxa"/>
                  <w:vAlign w:val="center"/>
                </w:tcPr>
                <w:p>
                  <w:r>
                    <w:rPr>
                      <w:rFonts w:hint="eastAsia"/>
                    </w:rPr>
                    <w:t>本项目为塑料制品项目，不涉及涉及炼化项目</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369"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1、水质不能稳定达标的区域，禁止建设新增相应不达标污染物指标排放量的工业项目。</w:t>
                  </w:r>
                </w:p>
                <w:p>
                  <w:r>
                    <w:rPr>
                      <w:rFonts w:hint="eastAsia"/>
                    </w:rPr>
                    <w:t>2、禁止不符合环境管理要求的污泥进入耕地。</w:t>
                  </w:r>
                </w:p>
                <w:p>
                  <w:r>
                    <w:rPr>
                      <w:rFonts w:hint="eastAsia"/>
                    </w:rPr>
                    <w:t>3、禁止生产、销售不符合节水标准的产品、设备。</w:t>
                  </w:r>
                </w:p>
                <w:p>
                  <w:r>
                    <w:rPr>
                      <w:rFonts w:hint="eastAsia"/>
                    </w:rPr>
                    <w:t>4、禁止无证排污和不按许可证规定排污。</w:t>
                  </w:r>
                </w:p>
                <w:p>
                  <w:r>
                    <w:rPr>
                      <w:rFonts w:hint="eastAsia"/>
                    </w:rPr>
                    <w:t>5、禁止侵占自然湿地等水源涵养空间，已侵占的要限期予以恢复。</w:t>
                  </w:r>
                </w:p>
                <w:p>
                  <w:pPr>
                    <w:pStyle w:val="5"/>
                  </w:pPr>
                </w:p>
                <w:p/>
                <w:p>
                  <w:pPr>
                    <w:pStyle w:val="5"/>
                  </w:pPr>
                </w:p>
                <w:p/>
                <w:p>
                  <w:pPr>
                    <w:pStyle w:val="5"/>
                  </w:pPr>
                </w:p>
                <w:p/>
              </w:tc>
              <w:tc>
                <w:tcPr>
                  <w:tcW w:w="2899" w:type="dxa"/>
                  <w:vAlign w:val="center"/>
                </w:tcPr>
                <w:p>
                  <w:r>
                    <w:rPr>
                      <w:rFonts w:hint="eastAsia"/>
                    </w:rPr>
                    <w:t>本项目为塑料制品项目，没没有有侵占自然湿地等水源涵</w:t>
                  </w:r>
                </w:p>
                <w:p>
                  <w:r>
                    <w:rPr>
                      <w:rFonts w:hint="eastAsia"/>
                    </w:rPr>
                    <w:t>养空间</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1、对严格管控类耕地要严格管制用途，依法将其划定为农产品禁止生产区域，禁止种植食用农产品。</w:t>
                  </w:r>
                </w:p>
                <w:p>
                  <w:r>
                    <w:rPr>
                      <w:rFonts w:hint="eastAsia"/>
                    </w:rPr>
                    <w:t>2、禁止在居民区、学校、医疗和养老机构等周边新建土壤环境重点监管行业企业。</w:t>
                  </w:r>
                </w:p>
                <w:p>
                  <w:r>
                    <w:rPr>
                      <w:rFonts w:hint="eastAsia"/>
                    </w:rPr>
                    <w:t>3、将重度污染的牧草地纳入禁牧休牧实施范围。</w:t>
                  </w:r>
                </w:p>
                <w:p>
                  <w:r>
                    <w:rPr>
                      <w:rFonts w:hint="eastAsia"/>
                    </w:rPr>
                    <w:t>4、禁止工矿企业在废水、废气和废渣处置过程中将污染物向土壤环境转移。</w:t>
                  </w:r>
                </w:p>
                <w:p>
                  <w:r>
                    <w:rPr>
                      <w:rFonts w:hint="eastAsia"/>
                    </w:rPr>
                    <w:t>5、除法律规定的重点建设项目选址确实无法避让外，其他任何建设不得占用基本农田。</w:t>
                  </w:r>
                </w:p>
                <w:p>
                  <w:r>
                    <w:rPr>
                      <w:rFonts w:hint="eastAsia"/>
                    </w:rPr>
                    <w:t>6、执行重金属行业准入条件，禁止新建落后产能或产能严重过剩行业的建设项目。</w:t>
                  </w:r>
                </w:p>
                <w:p>
                  <w:r>
                    <w:rPr>
                      <w:rFonts w:hint="eastAsia"/>
                    </w:rPr>
                    <w:t>7、禁止使用高毒、高残留农药。</w:t>
                  </w:r>
                </w:p>
                <w:p>
                  <w:r>
                    <w:rPr>
                      <w:rFonts w:hint="eastAsia"/>
                    </w:rPr>
                    <w:t>8、严禁将城镇生活垃圾、污泥、工业废物直接用作肥料。</w:t>
                  </w:r>
                </w:p>
              </w:tc>
              <w:tc>
                <w:tcPr>
                  <w:tcW w:w="2899" w:type="dxa"/>
                  <w:vAlign w:val="center"/>
                </w:tcPr>
                <w:p>
                  <w:r>
                    <w:rPr>
                      <w:rFonts w:hint="eastAsia"/>
                    </w:rPr>
                    <w:t>本项目附近无学校、医疗和养老养老机构等敏感区。不属于</w:t>
                  </w:r>
                </w:p>
                <w:p>
                  <w:r>
                    <w:rPr>
                      <w:rFonts w:hint="eastAsia"/>
                    </w:rPr>
                    <w:t>新建落后产能或产能严重过剩过剩行业的建设项目。</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1、禁止审批和建设未达到国家环保标准、能耗标准、行业准入要求的耗煤项目。</w:t>
                  </w:r>
                </w:p>
                <w:p>
                  <w:r>
                    <w:rPr>
                      <w:rFonts w:hint="eastAsia"/>
                    </w:rPr>
                    <w:t>2、未完成年度煤炭消费总量控制和削减目标的县市禁止审批和建设新增耗煤项目。</w:t>
                  </w:r>
                </w:p>
                <w:p>
                  <w:r>
                    <w:rPr>
                      <w:rFonts w:hint="eastAsia"/>
                    </w:rPr>
                    <w:t>3、严禁“三高”项目进入昌吉，“乌-昌-石”环境同防同治区域内不再布局建设煤化工、电解铝、燃煤纯发电机组、金属硅、碳化硅、聚氯乙烯（电石法）、焦炭（含半焦）等行业的新增产能项目。</w:t>
                  </w:r>
                </w:p>
              </w:tc>
              <w:tc>
                <w:tcPr>
                  <w:tcW w:w="2899" w:type="dxa"/>
                  <w:vAlign w:val="center"/>
                </w:tcPr>
                <w:p>
                  <w:r>
                    <w:rPr>
                      <w:rFonts w:hint="eastAsia"/>
                    </w:rPr>
                    <w:t>本项目为塑料制品项目，不属于属于“三高”项目行业内容。</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restart"/>
                  <w:vAlign w:val="center"/>
                </w:tcPr>
                <w:p>
                  <w:r>
                    <w:rPr>
                      <w:rFonts w:hint="eastAsia"/>
                    </w:rPr>
                    <w:t>限制开发建设活动的要求</w:t>
                  </w:r>
                </w:p>
              </w:tc>
              <w:tc>
                <w:tcPr>
                  <w:tcW w:w="3450" w:type="dxa"/>
                  <w:vAlign w:val="center"/>
                </w:tcPr>
                <w:p>
                  <w:r>
                    <w:rPr>
                      <w:rFonts w:hint="eastAsia"/>
                    </w:rPr>
                    <w:t>1、严格管控新建燃煤锅炉准入，新建燃煤锅炉实行县级申报、州级审批。</w:t>
                  </w:r>
                </w:p>
                <w:p>
                  <w:r>
                    <w:rPr>
                      <w:rFonts w:hint="eastAsia"/>
                    </w:rPr>
                    <w:t>2、严格管控高排放非道路移动机械。</w:t>
                  </w:r>
                </w:p>
              </w:tc>
              <w:tc>
                <w:tcPr>
                  <w:tcW w:w="2899" w:type="dxa"/>
                  <w:vAlign w:val="center"/>
                </w:tcPr>
                <w:p>
                  <w:r>
                    <w:rPr>
                      <w:rFonts w:hint="eastAsia"/>
                    </w:rPr>
                    <w:t>本项目不涉及锅炉及高</w:t>
                  </w:r>
                </w:p>
                <w:p>
                  <w:r>
                    <w:rPr>
                      <w:rFonts w:hint="eastAsia"/>
                    </w:rPr>
                    <w:t>排放非道路机械</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pPr>
                    <w:numPr>
                      <w:ilvl w:val="0"/>
                      <w:numId w:val="1"/>
                    </w:numPr>
                  </w:pPr>
                  <w:r>
                    <w:rPr>
                      <w:rFonts w:hint="eastAsia"/>
                    </w:rPr>
                    <w:t>昌吉市、阜康市、呼图壁县、玛纳斯县、昌吉国家农业园区和国家高新技术开发区及O3浓度超标县市要严格限制石化、化工、包装印刷、工业涂装等高VOCs排放建设项目。</w:t>
                  </w:r>
                </w:p>
                <w:p>
                  <w:pPr>
                    <w:pStyle w:val="5"/>
                  </w:pPr>
                </w:p>
              </w:tc>
              <w:tc>
                <w:tcPr>
                  <w:tcW w:w="2899" w:type="dxa"/>
                  <w:vAlign w:val="center"/>
                </w:tcPr>
                <w:p>
                  <w:r>
                    <w:rPr>
                      <w:rFonts w:hint="eastAsia"/>
                    </w:rPr>
                    <w:t>本项目为及塑料制品项目，不属不属于石化、化工、</w:t>
                  </w:r>
                </w:p>
                <w:p>
                  <w:r>
                    <w:rPr>
                      <w:rFonts w:hint="eastAsia"/>
                    </w:rPr>
                    <w:t>印刷、工业涂装等高VOCs排放建设项目。</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1、新建项目一律不得违规占用水域。</w:t>
                  </w:r>
                </w:p>
                <w:p>
                  <w:r>
                    <w:rPr>
                      <w:rFonts w:hint="eastAsia"/>
                    </w:rPr>
                    <w:t>2、保障河流生态流量，严格控制在主要流域内新建水电项目。</w:t>
                  </w:r>
                </w:p>
                <w:p>
                  <w:r>
                    <w:rPr>
                      <w:rFonts w:hint="eastAsia"/>
                    </w:rPr>
                    <w:t>3、不符合河流最小生态流量要求的水电站限制运行。</w:t>
                  </w:r>
                </w:p>
                <w:p>
                  <w:r>
                    <w:rPr>
                      <w:rFonts w:hint="eastAsia"/>
                    </w:rPr>
                    <w:t>4、工业集聚区未按照规定建成污水集中处理设施并安装自动在线监控装置的，暂停审批和核准其增加水污染物排放的建设项目。</w:t>
                  </w:r>
                </w:p>
              </w:tc>
              <w:tc>
                <w:tcPr>
                  <w:tcW w:w="2899" w:type="dxa"/>
                  <w:vAlign w:val="center"/>
                </w:tcPr>
                <w:p>
                  <w:r>
                    <w:rPr>
                      <w:rFonts w:hint="eastAsia"/>
                    </w:rPr>
                    <w:t>本项目不占水域，与地表水无直无直接联系</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1、严格控制高耗水、高污染行业发展。</w:t>
                  </w:r>
                </w:p>
              </w:tc>
              <w:tc>
                <w:tcPr>
                  <w:tcW w:w="2899" w:type="dxa"/>
                  <w:vAlign w:val="center"/>
                </w:tcPr>
                <w:p>
                  <w:r>
                    <w:rPr>
                      <w:rFonts w:hint="eastAsia"/>
                    </w:rPr>
                    <w:t>项目不属于高耗水项目</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39"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1、严格控制林地、草地、园地的农药使用量。</w:t>
                  </w:r>
                </w:p>
                <w:p>
                  <w:r>
                    <w:rPr>
                      <w:rFonts w:hint="eastAsia"/>
                    </w:rPr>
                    <w:t>2、严格规范兽药、饲料添加剂的生产和使用，防止过量使用，促进源头减量。</w:t>
                  </w:r>
                </w:p>
                <w:p>
                  <w:r>
                    <w:rPr>
                      <w:rFonts w:hint="eastAsia"/>
                    </w:rPr>
                    <w:t>3、严格控制在优先保护类耕地集中区域新建有色金属冶炼、石油加工、化工、焦化、电镀、制革等土壤环境监管重点行业项目。</w:t>
                  </w:r>
                </w:p>
              </w:tc>
              <w:tc>
                <w:tcPr>
                  <w:tcW w:w="2899" w:type="dxa"/>
                  <w:vAlign w:val="center"/>
                </w:tcPr>
                <w:p>
                  <w:r>
                    <w:rPr>
                      <w:rFonts w:hint="eastAsia"/>
                    </w:rPr>
                    <w:t>本项目为塑料制品项目，不属于属于土壤环境监管重点</w:t>
                  </w:r>
                </w:p>
                <w:p>
                  <w:r>
                    <w:rPr>
                      <w:rFonts w:hint="eastAsia"/>
                    </w:rPr>
                    <w:t>行业项目</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1、严格执行《企业投资项目核准和备案管理办法》（国家发展改革委2017年第2号令），严格控制新建、改建、扩建耗煤项目审批、核准、备案。</w:t>
                  </w:r>
                </w:p>
                <w:p>
                  <w:r>
                    <w:rPr>
                      <w:rFonts w:hint="eastAsia"/>
                    </w:rPr>
                    <w:t>2、严格实施节能审查制度，新增固定资产投资项目用能设备要达到一级能效标准。严格新上耗煤项目环评审批，新建耗煤项目清洁生产水平必须达到国内先进水平。</w:t>
                  </w:r>
                </w:p>
                <w:p>
                  <w:r>
                    <w:rPr>
                      <w:rFonts w:hint="eastAsia"/>
                    </w:rPr>
                    <w:t>3、“乌-昌-石”区域内涉及燃料煤的新（改、扩）建电力行业实行燃料煤减量20%替代，非电行业实施减量30%替代。对未完成上一年度煤炭消费控制目标的县市、园区，实行耗煤项目区域限批，对未完成上一年度煤炭削减目标的县市、园区实行耗煤项目区域禁批。</w:t>
                  </w:r>
                </w:p>
              </w:tc>
              <w:tc>
                <w:tcPr>
                  <w:tcW w:w="2899" w:type="dxa"/>
                  <w:vAlign w:val="center"/>
                </w:tcPr>
                <w:p>
                  <w:r>
                    <w:rPr>
                      <w:rFonts w:hint="eastAsia"/>
                    </w:rPr>
                    <w:t>本项目不涉及燃煤内容</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restart"/>
                  <w:vAlign w:val="center"/>
                </w:tcPr>
                <w:p>
                  <w:r>
                    <w:rPr>
                      <w:rFonts w:hint="eastAsia"/>
                    </w:rPr>
                    <w:t>污染物排放管控</w:t>
                  </w:r>
                </w:p>
              </w:tc>
              <w:tc>
                <w:tcPr>
                  <w:tcW w:w="3824" w:type="dxa"/>
                  <w:gridSpan w:val="2"/>
                  <w:vAlign w:val="center"/>
                </w:tcPr>
                <w:p>
                  <w:pPr>
                    <w:numPr>
                      <w:ilvl w:val="0"/>
                      <w:numId w:val="2"/>
                    </w:numPr>
                  </w:pPr>
                  <w:r>
                    <w:rPr>
                      <w:rFonts w:hint="eastAsia"/>
                    </w:rPr>
                    <w:t>执行自治区总体准入要求中关于一般环境管控单元的准入要求（表2-4 A7.2）。</w:t>
                  </w:r>
                </w:p>
                <w:p>
                  <w:pPr>
                    <w:pStyle w:val="5"/>
                  </w:pPr>
                </w:p>
              </w:tc>
              <w:tc>
                <w:tcPr>
                  <w:tcW w:w="2899" w:type="dxa"/>
                  <w:vAlign w:val="center"/>
                </w:tcP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restart"/>
                  <w:vAlign w:val="center"/>
                </w:tcPr>
                <w:p>
                  <w:r>
                    <w:rPr>
                      <w:rFonts w:hint="eastAsia"/>
                    </w:rPr>
                    <w:t>允许排放量要求</w:t>
                  </w:r>
                </w:p>
              </w:tc>
              <w:tc>
                <w:tcPr>
                  <w:tcW w:w="3450" w:type="dxa"/>
                  <w:vAlign w:val="center"/>
                </w:tcPr>
                <w:p>
                  <w:r>
                    <w:rPr>
                      <w:rFonts w:hint="eastAsia"/>
                    </w:rPr>
                    <w:t>1、“乌-昌-石”区域内4县市2园区区域所有新（改、扩）建设项目应执行最严格的大气污染物排放标准；PM2.5年平均浓度不达标县市（园区），禁止新（改、扩）建未落实SO2、NOx、烟粉尘、挥发性有机物（VOCs）等四项大气污染物总量指标昌吉州区域内倍量替代的项目。上述区域所有新（改、扩）建设项目应执行相应大气污染物特别排放限值。</w:t>
                  </w:r>
                </w:p>
                <w:p>
                  <w:r>
                    <w:rPr>
                      <w:rFonts w:hint="eastAsia"/>
                    </w:rPr>
                    <w:t>2、“乌-昌-石”区域内4县市2园区二氧化硫、氮氧化物、颗粒物、挥发性有机物（VOCs），全面执行大气污染物特别排放限值。</w:t>
                  </w:r>
                </w:p>
              </w:tc>
              <w:tc>
                <w:tcPr>
                  <w:tcW w:w="2899" w:type="dxa"/>
                  <w:vAlign w:val="center"/>
                </w:tcPr>
                <w:p>
                  <w:pPr>
                    <w:jc w:val="left"/>
                  </w:pPr>
                  <w:r>
                    <w:rPr>
                      <w:rFonts w:hint="eastAsia"/>
                    </w:rPr>
                    <w:t>本项目非甲烷总烃实施倍量替替代消减。本项目执行</w:t>
                  </w:r>
                  <w:r>
                    <w:rPr>
                      <w:rFonts w:hint="eastAsia"/>
                      <w:lang w:val="zh-CN"/>
                    </w:rPr>
                    <w:t>《</w:t>
                  </w:r>
                  <w:r>
                    <w:rPr>
                      <w:rFonts w:hint="eastAsia"/>
                    </w:rPr>
                    <w:t>合成树成树脂工业污染物排放</w:t>
                  </w:r>
                </w:p>
                <w:p>
                  <w:pPr>
                    <w:jc w:val="left"/>
                  </w:pPr>
                  <w:r>
                    <w:rPr>
                      <w:rFonts w:hint="eastAsia"/>
                    </w:rPr>
                    <w:t>标准</w:t>
                  </w:r>
                  <w:r>
                    <w:rPr>
                      <w:rFonts w:hint="eastAsia"/>
                      <w:lang w:val="zh-CN"/>
                    </w:rPr>
                    <w:t>》</w:t>
                  </w:r>
                  <w:r>
                    <w:rPr>
                      <w:rFonts w:hint="eastAsia"/>
                    </w:rPr>
                    <w:t>（GB31572-201</w:t>
                  </w:r>
                  <w:r>
                    <w:rPr>
                      <w:rFonts w:hint="eastAsia"/>
                      <w:lang w:val="zh-CN"/>
                    </w:rPr>
                    <w:t>5</w:t>
                  </w:r>
                  <w:r>
                    <w:rPr>
                      <w:rFonts w:hint="eastAsia"/>
                    </w:rPr>
                    <w:t>）</w:t>
                  </w:r>
                </w:p>
                <w:p>
                  <w:pPr>
                    <w:jc w:val="left"/>
                  </w:pPr>
                  <w:r>
                    <w:rPr>
                      <w:rFonts w:hint="eastAsia"/>
                      <w:lang w:val="zh-CN"/>
                    </w:rPr>
                    <w:t>中</w:t>
                  </w:r>
                  <w:r>
                    <w:rPr>
                      <w:rFonts w:hint="eastAsia"/>
                    </w:rPr>
                    <w:t>表5大气污染物特别</w:t>
                  </w:r>
                </w:p>
                <w:p>
                  <w:pPr>
                    <w:jc w:val="left"/>
                  </w:pPr>
                  <w:r>
                    <w:rPr>
                      <w:rFonts w:hint="eastAsia"/>
                    </w:rPr>
                    <w:t>排放限值</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1、VOCs排放实行区域内倍量削减替代。</w:t>
                  </w:r>
                </w:p>
                <w:p>
                  <w:r>
                    <w:rPr>
                      <w:rFonts w:hint="eastAsia"/>
                    </w:rPr>
                    <w:t>2、新、改、扩建涉VOCs排放项目，应从源头加强控制，使用低（无）VOCs含量的原辅材料，加强废气收集，安装高效治理设施。</w:t>
                  </w:r>
                </w:p>
                <w:p>
                  <w:r>
                    <w:rPr>
                      <w:rFonts w:hint="eastAsia"/>
                    </w:rPr>
                    <w:t>3、在确保安全前提下，非正常工况排放的有机废气严禁直接排放，有火炬系统的，送入火炬系统处理，禁止熄灭火炬长明灯；无火炬系统的，应采用冷凝、吸收、吸附等处理措施，达标排放。</w:t>
                  </w:r>
                </w:p>
              </w:tc>
              <w:tc>
                <w:tcPr>
                  <w:tcW w:w="2899" w:type="dxa"/>
                  <w:vAlign w:val="center"/>
                </w:tcPr>
                <w:p>
                  <w:r>
                    <w:rPr>
                      <w:rFonts w:hint="eastAsia"/>
                    </w:rPr>
                    <w:t>本项目非甲烷总烃实施倍量替代消减。</w:t>
                  </w:r>
                </w:p>
              </w:tc>
              <w:tc>
                <w:tcPr>
                  <w:tcW w:w="372" w:type="dxa"/>
                  <w:vAlign w:val="center"/>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869" w:type="dxa"/>
                  <w:vMerge w:val="continue"/>
                  <w:vAlign w:val="center"/>
                </w:tcPr>
                <w:p/>
              </w:tc>
              <w:tc>
                <w:tcPr>
                  <w:tcW w:w="640" w:type="dxa"/>
                  <w:vMerge w:val="continue"/>
                  <w:vAlign w:val="center"/>
                </w:tcPr>
                <w:p/>
              </w:tc>
              <w:tc>
                <w:tcPr>
                  <w:tcW w:w="374" w:type="dxa"/>
                  <w:vMerge w:val="continue"/>
                  <w:vAlign w:val="center"/>
                </w:tcPr>
                <w:p/>
              </w:tc>
              <w:tc>
                <w:tcPr>
                  <w:tcW w:w="3450" w:type="dxa"/>
                  <w:vAlign w:val="center"/>
                </w:tcPr>
                <w:p>
                  <w:r>
                    <w:rPr>
                      <w:rFonts w:hint="eastAsia"/>
                    </w:rPr>
                    <w:t>1、新建、改建、扩建化纤、煤化工、有色金属、造纸等重点行业的建设项目实行主要污染物排放等量或减量置换。</w:t>
                  </w:r>
                </w:p>
                <w:p>
                  <w:r>
                    <w:rPr>
                      <w:rFonts w:hint="eastAsia"/>
                    </w:rPr>
                    <w:t>2、新改扩建城镇污水处理设施要执行一级A排放标准。</w:t>
                  </w:r>
                </w:p>
                <w:p>
                  <w:r>
                    <w:rPr>
                      <w:rFonts w:hint="eastAsia"/>
                    </w:rPr>
                    <w:t>3、严格控制污染物新增排放量，对超过重点污染物排放总量控制指标的地区，暂停审批新增重点水污染物排放总量的项目。</w:t>
                  </w:r>
                </w:p>
                <w:p>
                  <w:r>
                    <w:rPr>
                      <w:rFonts w:hint="eastAsia"/>
                    </w:rPr>
                    <w:t>4、工业集聚区内工业废水必须经预处理达到集中处理要求，方可进入污水集中处理设施。工业集聚区应按照规定建成污水集中处理设施并安装自动在线监控装置。</w:t>
                  </w:r>
                </w:p>
              </w:tc>
              <w:tc>
                <w:tcPr>
                  <w:tcW w:w="2899" w:type="dxa"/>
                  <w:vAlign w:val="center"/>
                </w:tcPr>
                <w:p>
                  <w:r>
                    <w:rPr>
                      <w:rFonts w:hint="eastAsia"/>
                    </w:rPr>
                    <w:t>本项目污染物实施倍量</w:t>
                  </w:r>
                </w:p>
                <w:p>
                  <w:r>
                    <w:rPr>
                      <w:rFonts w:hint="eastAsia"/>
                    </w:rPr>
                    <w:t>替代消减。</w:t>
                  </w:r>
                </w:p>
              </w:tc>
              <w:tc>
                <w:tcPr>
                  <w:tcW w:w="372" w:type="dxa"/>
                  <w:vAlign w:val="center"/>
                </w:tcPr>
                <w:p>
                  <w:r>
                    <w:rPr>
                      <w:rFonts w:hint="eastAsia"/>
                    </w:rPr>
                    <w:t>符合</w:t>
                  </w:r>
                </w:p>
              </w:tc>
            </w:tr>
          </w:tbl>
          <w:p>
            <w:pPr>
              <w:pStyle w:val="53"/>
              <w:spacing w:line="480" w:lineRule="exact"/>
              <w:ind w:firstLine="0" w:firstLineChars="0"/>
            </w:pPr>
            <w:r>
              <w:rPr>
                <w:rFonts w:hint="eastAsia"/>
              </w:rPr>
              <w:t>4、与《2020年挥发性有机物治理攻坚方案》(环大气[2020]33号)符合性分析</w:t>
            </w:r>
          </w:p>
          <w:p>
            <w:pPr>
              <w:pStyle w:val="53"/>
              <w:spacing w:line="480" w:lineRule="exact"/>
            </w:pPr>
            <w:r>
              <w:rPr>
                <w:rFonts w:hint="eastAsia"/>
              </w:rPr>
              <w:t>本项目生产设备均位于车间内部，各个产气设施上方分别安装集气罩收集有机废气，符合文件中“二、全面落实标准要求，强化无组织排放控制中生产和使用环节应采用密闭设备，或在密闭空间中操作并有效收集废气，或进行局部气体收集”的要求。</w:t>
            </w:r>
          </w:p>
          <w:p>
            <w:pPr>
              <w:pStyle w:val="53"/>
              <w:spacing w:line="480" w:lineRule="exact"/>
            </w:pPr>
            <w:r>
              <w:rPr>
                <w:rFonts w:hint="eastAsia"/>
              </w:rPr>
              <w:t>表1-2</w:t>
            </w:r>
            <w:r>
              <w:tab/>
            </w:r>
            <w:r>
              <w:rPr>
                <w:rFonts w:hint="eastAsia"/>
              </w:rPr>
              <w:t>本项目与《2020年挥发性有机物治理攻坚方案》(环大气[2020]33号)的</w:t>
            </w:r>
            <w:r>
              <w:t>符合性分析</w:t>
            </w:r>
            <w:r>
              <w:rPr>
                <w:rFonts w:hint="eastAsia"/>
              </w:rPr>
              <w:t>详见表1-2</w:t>
            </w:r>
          </w:p>
          <w:tbl>
            <w:tblPr>
              <w:tblStyle w:val="25"/>
              <w:tblW w:w="6791" w:type="dxa"/>
              <w:jc w:val="center"/>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572"/>
              <w:gridCol w:w="3144"/>
              <w:gridCol w:w="2332"/>
              <w:gridCol w:w="74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572" w:type="dxa"/>
                  <w:tcBorders>
                    <w:top w:val="single" w:color="auto" w:sz="12" w:space="0"/>
                    <w:left w:val="nil"/>
                    <w:bottom w:val="single" w:color="auto" w:sz="6" w:space="0"/>
                    <w:tl2br w:val="nil"/>
                    <w:tr2bl w:val="nil"/>
                  </w:tcBorders>
                  <w:vAlign w:val="center"/>
                </w:tcPr>
                <w:p>
                  <w:pPr>
                    <w:jc w:val="center"/>
                  </w:pPr>
                  <w:r>
                    <w:rPr>
                      <w:rFonts w:hint="eastAsia"/>
                    </w:rPr>
                    <w:t>序号</w:t>
                  </w:r>
                </w:p>
              </w:tc>
              <w:tc>
                <w:tcPr>
                  <w:tcW w:w="3144" w:type="dxa"/>
                  <w:tcBorders>
                    <w:top w:val="single" w:color="auto" w:sz="12" w:space="0"/>
                    <w:bottom w:val="single" w:color="auto" w:sz="6" w:space="0"/>
                    <w:tl2br w:val="nil"/>
                    <w:tr2bl w:val="nil"/>
                  </w:tcBorders>
                  <w:vAlign w:val="center"/>
                </w:tcPr>
                <w:p>
                  <w:pPr>
                    <w:jc w:val="center"/>
                  </w:pPr>
                  <w:r>
                    <w:t>要求</w:t>
                  </w:r>
                </w:p>
              </w:tc>
              <w:tc>
                <w:tcPr>
                  <w:tcW w:w="2332" w:type="dxa"/>
                  <w:tcBorders>
                    <w:top w:val="single" w:color="auto" w:sz="12" w:space="0"/>
                    <w:bottom w:val="single" w:color="auto" w:sz="6" w:space="0"/>
                    <w:tl2br w:val="nil"/>
                    <w:tr2bl w:val="nil"/>
                  </w:tcBorders>
                  <w:vAlign w:val="center"/>
                </w:tcPr>
                <w:p>
                  <w:pPr>
                    <w:jc w:val="center"/>
                  </w:pPr>
                  <w:r>
                    <w:t>本项目情况</w:t>
                  </w:r>
                </w:p>
              </w:tc>
              <w:tc>
                <w:tcPr>
                  <w:tcW w:w="743" w:type="dxa"/>
                  <w:tcBorders>
                    <w:top w:val="single" w:color="auto" w:sz="12" w:space="0"/>
                    <w:bottom w:val="single" w:color="auto" w:sz="6" w:space="0"/>
                    <w:right w:val="nil"/>
                    <w:tl2br w:val="nil"/>
                    <w:tr2bl w:val="nil"/>
                  </w:tcBorders>
                  <w:vAlign w:val="center"/>
                </w:tcPr>
                <w:p>
                  <w:pPr>
                    <w:jc w:val="center"/>
                  </w:pPr>
                  <w:r>
                    <w:t>符合性</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572" w:type="dxa"/>
                  <w:tcBorders>
                    <w:top w:val="single" w:color="auto" w:sz="6" w:space="0"/>
                    <w:left w:val="nil"/>
                    <w:bottom w:val="single" w:color="auto" w:sz="6" w:space="0"/>
                    <w:tl2br w:val="nil"/>
                    <w:tr2bl w:val="nil"/>
                  </w:tcBorders>
                  <w:vAlign w:val="center"/>
                </w:tcPr>
                <w:p>
                  <w:pPr>
                    <w:jc w:val="center"/>
                  </w:pPr>
                  <w:r>
                    <w:rPr>
                      <w:rFonts w:hint="eastAsia"/>
                    </w:rPr>
                    <w:t>1</w:t>
                  </w:r>
                </w:p>
              </w:tc>
              <w:tc>
                <w:tcPr>
                  <w:tcW w:w="3144" w:type="dxa"/>
                  <w:tcBorders>
                    <w:top w:val="single" w:color="auto" w:sz="6" w:space="0"/>
                    <w:bottom w:val="single" w:color="auto" w:sz="6" w:space="0"/>
                    <w:tl2br w:val="nil"/>
                    <w:tr2bl w:val="nil"/>
                  </w:tcBorders>
                  <w:vAlign w:val="center"/>
                </w:tcPr>
                <w:p>
                  <w:pPr>
                    <w:keepNext/>
                    <w:keepLines/>
                    <w:widowControl/>
                    <w:jc w:val="left"/>
                    <w:outlineLvl w:val="3"/>
                  </w:pPr>
                  <w:r>
                    <w:rPr>
                      <w:rFonts w:hint="eastAsia"/>
                    </w:rPr>
                    <w:t>2020年7月1日起，全面执行《挥发性有机物无组织排放控制标准》，重点区域应落实无组织排放特别控制要求。</w:t>
                  </w:r>
                </w:p>
              </w:tc>
              <w:tc>
                <w:tcPr>
                  <w:tcW w:w="2332" w:type="dxa"/>
                  <w:tcBorders>
                    <w:top w:val="single" w:color="auto" w:sz="6" w:space="0"/>
                    <w:bottom w:val="single" w:color="auto" w:sz="6" w:space="0"/>
                    <w:tl2br w:val="nil"/>
                    <w:tr2bl w:val="nil"/>
                  </w:tcBorders>
                  <w:vAlign w:val="center"/>
                </w:tcPr>
                <w:p>
                  <w:pPr>
                    <w:jc w:val="center"/>
                  </w:pPr>
                  <w:r>
                    <w:rPr>
                      <w:rFonts w:hint="eastAsia"/>
                    </w:rPr>
                    <w:t>本项目厂区</w:t>
                  </w:r>
                  <w:r>
                    <w:t>内无组织</w:t>
                  </w:r>
                  <w:r>
                    <w:rPr>
                      <w:rFonts w:hint="eastAsia"/>
                    </w:rPr>
                    <w:t>非甲烷总烃执行《挥发性有机物无组织排放控制标准》中</w:t>
                  </w:r>
                  <w:r>
                    <w:t>附录A.1特别排放限值</w:t>
                  </w:r>
                </w:p>
              </w:tc>
              <w:tc>
                <w:tcPr>
                  <w:tcW w:w="743" w:type="dxa"/>
                  <w:tcBorders>
                    <w:top w:val="single" w:color="auto" w:sz="6" w:space="0"/>
                    <w:bottom w:val="single" w:color="auto" w:sz="6" w:space="0"/>
                    <w:right w:val="nil"/>
                    <w:tl2br w:val="nil"/>
                    <w:tr2bl w:val="nil"/>
                  </w:tcBorders>
                  <w:vAlign w:val="center"/>
                </w:tcPr>
                <w:p>
                  <w:pPr>
                    <w:jc w:val="center"/>
                  </w:pPr>
                  <w:r>
                    <w:t>符合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572" w:type="dxa"/>
                  <w:tcBorders>
                    <w:top w:val="single" w:color="auto" w:sz="6" w:space="0"/>
                    <w:left w:val="nil"/>
                    <w:bottom w:val="single" w:color="auto" w:sz="6" w:space="0"/>
                    <w:tl2br w:val="nil"/>
                    <w:tr2bl w:val="nil"/>
                  </w:tcBorders>
                  <w:vAlign w:val="center"/>
                </w:tcPr>
                <w:p>
                  <w:pPr>
                    <w:jc w:val="center"/>
                  </w:pPr>
                  <w:r>
                    <w:rPr>
                      <w:rFonts w:hint="eastAsia"/>
                    </w:rPr>
                    <w:t>2</w:t>
                  </w:r>
                </w:p>
              </w:tc>
              <w:tc>
                <w:tcPr>
                  <w:tcW w:w="3144" w:type="dxa"/>
                  <w:tcBorders>
                    <w:top w:val="single" w:color="auto" w:sz="6" w:space="0"/>
                    <w:bottom w:val="single" w:color="auto" w:sz="6" w:space="0"/>
                    <w:tl2br w:val="nil"/>
                    <w:tr2bl w:val="nil"/>
                  </w:tcBorders>
                  <w:vAlign w:val="center"/>
                </w:tcPr>
                <w:p>
                  <w:pPr>
                    <w:keepNext/>
                    <w:keepLines/>
                    <w:widowControl/>
                    <w:jc w:val="left"/>
                    <w:outlineLvl w:val="3"/>
                  </w:pPr>
                  <w:r>
                    <w:t>生产和使用环节应采用密闭设备，或在密闭空间中操作并有效收集废气，或进行局部气体收集</w:t>
                  </w:r>
                </w:p>
              </w:tc>
              <w:tc>
                <w:tcPr>
                  <w:tcW w:w="2332" w:type="dxa"/>
                  <w:tcBorders>
                    <w:top w:val="single" w:color="auto" w:sz="6" w:space="0"/>
                    <w:bottom w:val="single" w:color="auto" w:sz="6" w:space="0"/>
                    <w:tl2br w:val="nil"/>
                    <w:tr2bl w:val="nil"/>
                  </w:tcBorders>
                  <w:vAlign w:val="center"/>
                </w:tcPr>
                <w:p>
                  <w:pPr>
                    <w:jc w:val="center"/>
                  </w:pPr>
                  <w:r>
                    <w:t>本项目生产设备均位于</w:t>
                  </w:r>
                  <w:r>
                    <w:rPr>
                      <w:rFonts w:hint="eastAsia"/>
                    </w:rPr>
                    <w:t>生产</w:t>
                  </w:r>
                  <w:r>
                    <w:t>车间内，各个产气设施上方分别安装集气罩收集有机废气</w:t>
                  </w:r>
                </w:p>
              </w:tc>
              <w:tc>
                <w:tcPr>
                  <w:tcW w:w="743" w:type="dxa"/>
                  <w:tcBorders>
                    <w:top w:val="single" w:color="auto" w:sz="6" w:space="0"/>
                    <w:bottom w:val="single" w:color="auto" w:sz="6" w:space="0"/>
                    <w:right w:val="nil"/>
                    <w:tl2br w:val="nil"/>
                    <w:tr2bl w:val="nil"/>
                  </w:tcBorders>
                  <w:vAlign w:val="center"/>
                </w:tcPr>
                <w:p>
                  <w:pPr>
                    <w:jc w:val="center"/>
                  </w:pPr>
                  <w:r>
                    <w:rPr>
                      <w:rFonts w:hint="eastAsia"/>
                    </w:rPr>
                    <w:t>符合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572" w:type="dxa"/>
                  <w:tcBorders>
                    <w:top w:val="single" w:color="auto" w:sz="6" w:space="0"/>
                    <w:left w:val="nil"/>
                    <w:bottom w:val="single" w:color="auto" w:sz="6" w:space="0"/>
                    <w:tl2br w:val="nil"/>
                    <w:tr2bl w:val="nil"/>
                  </w:tcBorders>
                  <w:vAlign w:val="center"/>
                </w:tcPr>
                <w:p>
                  <w:pPr>
                    <w:jc w:val="center"/>
                  </w:pPr>
                  <w:r>
                    <w:t>3</w:t>
                  </w:r>
                </w:p>
              </w:tc>
              <w:tc>
                <w:tcPr>
                  <w:tcW w:w="3144" w:type="dxa"/>
                  <w:tcBorders>
                    <w:top w:val="single" w:color="auto" w:sz="6" w:space="0"/>
                    <w:bottom w:val="single" w:color="auto" w:sz="6" w:space="0"/>
                    <w:tl2br w:val="nil"/>
                    <w:tr2bl w:val="nil"/>
                  </w:tcBorders>
                  <w:vAlign w:val="center"/>
                </w:tcPr>
                <w:p>
                  <w:pPr>
                    <w:jc w:val="left"/>
                  </w:pPr>
                  <w:r>
                    <w:rPr>
                      <w:rFonts w:hint="eastAsia"/>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w:t>
                  </w:r>
                </w:p>
              </w:tc>
              <w:tc>
                <w:tcPr>
                  <w:tcW w:w="2332" w:type="dxa"/>
                  <w:tcBorders>
                    <w:top w:val="single" w:color="auto" w:sz="6" w:space="0"/>
                    <w:bottom w:val="single" w:color="auto" w:sz="6" w:space="0"/>
                    <w:tl2br w:val="nil"/>
                    <w:tr2bl w:val="nil"/>
                  </w:tcBorders>
                  <w:vAlign w:val="center"/>
                </w:tcPr>
                <w:p>
                  <w:pPr>
                    <w:jc w:val="center"/>
                  </w:pPr>
                  <w:r>
                    <w:rPr>
                      <w:rFonts w:hint="eastAsia"/>
                    </w:rPr>
                    <w:t>本项目</w:t>
                  </w:r>
                  <w:r>
                    <w:t>原料均采用袋装储存，</w:t>
                  </w:r>
                  <w:r>
                    <w:rPr>
                      <w:rFonts w:hint="eastAsia"/>
                    </w:rPr>
                    <w:t>项目加热熔融产生</w:t>
                  </w:r>
                  <w:r>
                    <w:t xml:space="preserve">的有机废气采用集气罩收集 </w:t>
                  </w:r>
                </w:p>
              </w:tc>
              <w:tc>
                <w:tcPr>
                  <w:tcW w:w="743" w:type="dxa"/>
                  <w:tcBorders>
                    <w:top w:val="single" w:color="auto" w:sz="6" w:space="0"/>
                    <w:bottom w:val="single" w:color="auto" w:sz="6" w:space="0"/>
                    <w:right w:val="nil"/>
                    <w:tl2br w:val="nil"/>
                    <w:tr2bl w:val="nil"/>
                  </w:tcBorders>
                  <w:vAlign w:val="center"/>
                </w:tcPr>
                <w:p>
                  <w:pPr>
                    <w:jc w:val="center"/>
                  </w:pPr>
                  <w:r>
                    <w:t>符合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572" w:type="dxa"/>
                  <w:tcBorders>
                    <w:top w:val="single" w:color="auto" w:sz="6" w:space="0"/>
                    <w:left w:val="nil"/>
                    <w:bottom w:val="single" w:color="auto" w:sz="6" w:space="0"/>
                    <w:tl2br w:val="nil"/>
                    <w:tr2bl w:val="nil"/>
                  </w:tcBorders>
                  <w:vAlign w:val="center"/>
                </w:tcPr>
                <w:p>
                  <w:pPr>
                    <w:jc w:val="center"/>
                  </w:pPr>
                  <w:r>
                    <w:t>4</w:t>
                  </w:r>
                </w:p>
              </w:tc>
              <w:tc>
                <w:tcPr>
                  <w:tcW w:w="3144" w:type="dxa"/>
                  <w:tcBorders>
                    <w:top w:val="single" w:color="auto" w:sz="6" w:space="0"/>
                    <w:bottom w:val="single" w:color="auto" w:sz="6" w:space="0"/>
                    <w:tl2br w:val="nil"/>
                    <w:tr2bl w:val="nil"/>
                  </w:tcBorders>
                  <w:vAlign w:val="center"/>
                </w:tcPr>
                <w:p>
                  <w:pPr>
                    <w:jc w:val="left"/>
                  </w:pPr>
                  <w:r>
                    <w:rPr>
                      <w:rFonts w:hint="eastAsia"/>
                    </w:rPr>
                    <w:t>对于采用局部集气罩的，应根据废气排放特点合理选择收集点位，距集气罩开口面最远处的VOCs无组织排放位置，控制风速不低于0.3米/秒</w:t>
                  </w:r>
                </w:p>
              </w:tc>
              <w:tc>
                <w:tcPr>
                  <w:tcW w:w="2332" w:type="dxa"/>
                  <w:tcBorders>
                    <w:top w:val="single" w:color="auto" w:sz="6" w:space="0"/>
                    <w:bottom w:val="single" w:color="auto" w:sz="6" w:space="0"/>
                    <w:tl2br w:val="nil"/>
                    <w:tr2bl w:val="nil"/>
                  </w:tcBorders>
                  <w:vAlign w:val="center"/>
                </w:tcPr>
                <w:p>
                  <w:pPr>
                    <w:jc w:val="center"/>
                  </w:pPr>
                  <w:r>
                    <w:rPr>
                      <w:rFonts w:hint="eastAsia"/>
                    </w:rPr>
                    <w:t>本次</w:t>
                  </w:r>
                  <w:r>
                    <w:t>环评</w:t>
                  </w:r>
                  <w:r>
                    <w:rPr>
                      <w:rFonts w:hint="eastAsia"/>
                    </w:rPr>
                    <w:t>要求距集气罩开口面最远处的VOCs无组织排放位置，控制风速均不低于0.3米/秒</w:t>
                  </w:r>
                </w:p>
              </w:tc>
              <w:tc>
                <w:tcPr>
                  <w:tcW w:w="743" w:type="dxa"/>
                  <w:tcBorders>
                    <w:top w:val="single" w:color="auto" w:sz="6" w:space="0"/>
                    <w:bottom w:val="single" w:color="auto" w:sz="6" w:space="0"/>
                    <w:right w:val="nil"/>
                    <w:tl2br w:val="nil"/>
                    <w:tr2bl w:val="nil"/>
                  </w:tcBorders>
                  <w:vAlign w:val="center"/>
                </w:tcPr>
                <w:p>
                  <w:pPr>
                    <w:jc w:val="center"/>
                  </w:pPr>
                  <w:r>
                    <w:rPr>
                      <w:rFonts w:hint="eastAsia"/>
                    </w:rPr>
                    <w:t>符合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572" w:type="dxa"/>
                  <w:tcBorders>
                    <w:top w:val="single" w:color="auto" w:sz="6" w:space="0"/>
                    <w:left w:val="nil"/>
                    <w:bottom w:val="single" w:color="auto" w:sz="6" w:space="0"/>
                    <w:tl2br w:val="nil"/>
                    <w:tr2bl w:val="nil"/>
                  </w:tcBorders>
                  <w:vAlign w:val="center"/>
                </w:tcPr>
                <w:p>
                  <w:pPr>
                    <w:jc w:val="center"/>
                  </w:pPr>
                  <w:r>
                    <w:rPr>
                      <w:rFonts w:hint="eastAsia"/>
                    </w:rPr>
                    <w:t>5</w:t>
                  </w:r>
                </w:p>
              </w:tc>
              <w:tc>
                <w:tcPr>
                  <w:tcW w:w="3144" w:type="dxa"/>
                  <w:tcBorders>
                    <w:top w:val="single" w:color="auto" w:sz="6" w:space="0"/>
                    <w:bottom w:val="single" w:color="auto" w:sz="6" w:space="0"/>
                    <w:tl2br w:val="nil"/>
                    <w:tr2bl w:val="nil"/>
                  </w:tcBorders>
                  <w:vAlign w:val="center"/>
                </w:tcPr>
                <w:p>
                  <w:r>
                    <w:rPr>
                      <w:rFonts w:hint="eastAsia"/>
                    </w:rPr>
                    <w:t>采用活性炭吸附技术的，应选择碘值不低于800mg/g的活性炭，并按设计要求足量添加、及时更换</w:t>
                  </w:r>
                </w:p>
              </w:tc>
              <w:tc>
                <w:tcPr>
                  <w:tcW w:w="2332" w:type="dxa"/>
                  <w:tcBorders>
                    <w:top w:val="single" w:color="auto" w:sz="6" w:space="0"/>
                    <w:bottom w:val="single" w:color="auto" w:sz="6" w:space="0"/>
                    <w:tl2br w:val="nil"/>
                    <w:tr2bl w:val="nil"/>
                  </w:tcBorders>
                  <w:vAlign w:val="center"/>
                </w:tcPr>
                <w:p>
                  <w:r>
                    <w:rPr>
                      <w:rFonts w:hint="eastAsia"/>
                    </w:rPr>
                    <w:t>本项目选用大于碘值800mg/g的活性炭，并及时更换</w:t>
                  </w:r>
                </w:p>
              </w:tc>
              <w:tc>
                <w:tcPr>
                  <w:tcW w:w="743" w:type="dxa"/>
                  <w:tcBorders>
                    <w:top w:val="single" w:color="auto" w:sz="6" w:space="0"/>
                    <w:bottom w:val="single" w:color="auto" w:sz="6" w:space="0"/>
                    <w:right w:val="nil"/>
                    <w:tl2br w:val="nil"/>
                    <w:tr2bl w:val="nil"/>
                  </w:tcBorders>
                  <w:vAlign w:val="center"/>
                </w:tcPr>
                <w:p>
                  <w:pPr>
                    <w:jc w:val="center"/>
                  </w:pPr>
                  <w:r>
                    <w:rPr>
                      <w:rFonts w:hint="eastAsia"/>
                    </w:rPr>
                    <w:t>符合</w:t>
                  </w:r>
                </w:p>
              </w:tc>
            </w:tr>
          </w:tbl>
          <w:p>
            <w:pPr>
              <w:pStyle w:val="53"/>
              <w:spacing w:line="480" w:lineRule="exact"/>
            </w:pPr>
            <w:r>
              <w:rPr>
                <w:rFonts w:hint="eastAsia"/>
              </w:rPr>
              <w:t>5、与《关于进一步加强塑料污染治理的意见》（发改环资[2020]80号）符合性分析</w:t>
            </w:r>
          </w:p>
          <w:p>
            <w:pPr>
              <w:pStyle w:val="53"/>
              <w:spacing w:line="480" w:lineRule="exact"/>
            </w:pPr>
            <w:r>
              <w:rPr>
                <w:rFonts w:hint="eastAsia"/>
              </w:rPr>
              <w:t>根据《关于进一步加强塑料污染治理的意见》要求：二、禁止、限制部分塑料制品的生产、销售和使用：（四）禁止生产、销售的塑料制品。禁止生产和销售厚度小于0.025毫米的超薄塑料购物袋、厚度小于0.01毫米的聚乙烯农用地膜。禁止以医疗废物为原料制造塑料制品。全面禁止废塑料进口。三、推广应用替代产品和模式：（八）增加绿色产品供给。塑料制品生产企业要严格执行有关法律法规，生产符合相关标准的塑料制品，不得违规添加对人体、环境的化学添加剂。推行绿色设计，提升塑料制品的安全性和回收利用性能。积极采用新型绿色环保功能材料，增加使用符合质量控制标准和用途管制要求的再生塑料，加强可循环、易回收、可降解替代材料和产品研发，降低应用成本，有效增加绿色产品供给。</w:t>
            </w:r>
          </w:p>
          <w:p>
            <w:pPr>
              <w:pStyle w:val="53"/>
              <w:spacing w:line="480" w:lineRule="exact"/>
            </w:pPr>
            <w:r>
              <w:rPr>
                <w:rFonts w:hint="eastAsia"/>
              </w:rPr>
              <w:t>本项目购买聚丙烯颗粒新料生产塑料果蔬筐，</w:t>
            </w:r>
            <w:r>
              <w:t>不回收废旧</w:t>
            </w:r>
            <w:r>
              <w:rPr>
                <w:rFonts w:hint="eastAsia"/>
              </w:rPr>
              <w:t>塑料果蔬筐。项目采用原料均为新料，不含医疗废物及进口废塑料。本项目生产的产品均符合相关产品质量标准要求，生产过程中不添加对人体、环境有害的添加剂。因此本项目的建设符合《关于进一步加强塑料污染治理的意见》（发改环资[2020]80号）要求。</w:t>
            </w:r>
          </w:p>
          <w:p>
            <w:pPr>
              <w:pStyle w:val="53"/>
              <w:spacing w:line="480" w:lineRule="exact"/>
            </w:pPr>
            <w:r>
              <w:rPr>
                <w:rFonts w:hint="eastAsia"/>
              </w:rPr>
              <w:t>6、与《关于加强乌鲁木齐、昌吉、石河子、五家渠区域环境同防同治的意见》（新政发[2016]140号）的符合性分析</w:t>
            </w:r>
          </w:p>
          <w:p>
            <w:pPr>
              <w:pStyle w:val="53"/>
              <w:spacing w:line="480" w:lineRule="exact"/>
            </w:pPr>
            <w:r>
              <w:rPr>
                <w:rFonts w:hint="eastAsia"/>
              </w:rPr>
              <w:t>根据《关于加强乌鲁木齐、昌吉、石河子、五家渠区域环境同防同治的意见》（新政发[2016]140号）中“严格控制污染物排放标准”，本项目废气排放执行</w:t>
            </w:r>
            <w:r>
              <w:t>《</w:t>
            </w:r>
            <w:r>
              <w:rPr>
                <w:rFonts w:hint="eastAsia"/>
              </w:rPr>
              <w:t>合成树脂工业污染物排放标准</w:t>
            </w:r>
            <w:r>
              <w:t>》（GB</w:t>
            </w:r>
            <w:r>
              <w:rPr>
                <w:rFonts w:hint="eastAsia"/>
              </w:rPr>
              <w:t>31572</w:t>
            </w:r>
            <w:r>
              <w:t>-</w:t>
            </w:r>
            <w:r>
              <w:rPr>
                <w:rFonts w:hint="eastAsia"/>
              </w:rPr>
              <w:t>2015</w:t>
            </w:r>
            <w:r>
              <w:t>）</w:t>
            </w:r>
            <w:r>
              <w:rPr>
                <w:rFonts w:hint="eastAsia"/>
              </w:rPr>
              <w:t>中相应标准，符合文件要求。</w:t>
            </w:r>
          </w:p>
          <w:p>
            <w:pPr>
              <w:spacing w:line="360" w:lineRule="auto"/>
              <w:ind w:firstLine="482"/>
              <w:rPr>
                <w:rFonts w:hint="eastAsia" w:ascii="宋体" w:hAnsi="宋体" w:eastAsia="宋体" w:cs="宋体"/>
                <w:b w:val="0"/>
                <w:bCs w:val="0"/>
                <w:color w:val="1909E7"/>
                <w:sz w:val="24"/>
                <w:szCs w:val="24"/>
              </w:rPr>
            </w:pPr>
            <w:r>
              <w:rPr>
                <w:rFonts w:hint="eastAsia" w:ascii="宋体" w:hAnsi="宋体" w:eastAsia="宋体" w:cs="宋体"/>
                <w:b w:val="0"/>
                <w:bCs w:val="0"/>
                <w:color w:val="1909E7"/>
                <w:sz w:val="24"/>
                <w:szCs w:val="24"/>
              </w:rPr>
              <w:t>7、项目与《乌-昌-石区域大气环境整治2023-2025年行动方案》的符合性分析。</w:t>
            </w:r>
          </w:p>
          <w:p>
            <w:pPr>
              <w:spacing w:line="360" w:lineRule="auto"/>
              <w:ind w:firstLine="482"/>
              <w:rPr>
                <w:rFonts w:hint="eastAsia" w:ascii="宋体" w:hAnsi="宋体" w:eastAsia="宋体" w:cs="宋体"/>
                <w:b w:val="0"/>
                <w:bCs w:val="0"/>
                <w:color w:val="1909E7"/>
                <w:sz w:val="24"/>
                <w:szCs w:val="24"/>
              </w:rPr>
            </w:pPr>
            <w:r>
              <w:rPr>
                <w:rFonts w:hint="eastAsia" w:ascii="宋体" w:hAnsi="宋体" w:eastAsia="宋体" w:cs="宋体"/>
                <w:b w:val="0"/>
                <w:bCs w:val="0"/>
                <w:color w:val="1909E7"/>
                <w:sz w:val="24"/>
                <w:szCs w:val="24"/>
              </w:rPr>
              <w:t>优化调整产业结构和布局。坚决遏制高耗能、高排放、低水平项目盲目发展。严格落实国家产业规划、产业政策、“三线一单”、规划环评以及产能置换、煤炭消费减量替代、区域污染物消减等要求，坚决叫停不符合要求的高耗能、高排放、低水平项目。严把高耗能高排放项目准入关口，严格落实污染物排放区域削减要求。依法依规淘汰落后产能和化解过剩产能。严禁新增钢铁、煤电、电解铝、炭素、硅冶炼、水泥熟料、平板玻璃（压延玻璃除外）、煤化工、焦化产能，严控新增炼油产能。</w:t>
            </w:r>
          </w:p>
          <w:p>
            <w:pPr>
              <w:pStyle w:val="24"/>
              <w:spacing w:line="360" w:lineRule="auto"/>
              <w:ind w:left="0" w:leftChars="0" w:firstLine="480"/>
              <w:rPr>
                <w:rFonts w:hint="eastAsia" w:ascii="宋体" w:hAnsi="宋体" w:eastAsia="宋体" w:cs="宋体"/>
                <w:b w:val="0"/>
                <w:bCs w:val="0"/>
                <w:color w:val="1909E7"/>
                <w:sz w:val="24"/>
                <w:szCs w:val="24"/>
              </w:rPr>
            </w:pPr>
            <w:r>
              <w:rPr>
                <w:rFonts w:hint="eastAsia" w:ascii="宋体" w:hAnsi="宋体" w:eastAsia="宋体" w:cs="宋体"/>
                <w:b w:val="0"/>
                <w:bCs w:val="0"/>
                <w:color w:val="1909E7"/>
                <w:sz w:val="24"/>
                <w:szCs w:val="24"/>
              </w:rPr>
              <w:t>符合性分析：本项目为塑料果蔬筐生产项目，不属于高耗能、高排放、低水平项目，也不属于钢铁、煤电、电解铝、炭素、硅冶炼、水泥熟料、平板玻璃（压延玻璃除外）、煤化工、焦化产能，新增炼油产能。落实了污染物倍量削减的区域削减要求。</w:t>
            </w:r>
          </w:p>
          <w:p>
            <w:pPr>
              <w:spacing w:line="360" w:lineRule="auto"/>
              <w:ind w:firstLine="482"/>
              <w:rPr>
                <w:rFonts w:hint="eastAsia" w:ascii="宋体" w:hAnsi="宋体" w:eastAsia="宋体" w:cs="宋体"/>
                <w:b w:val="0"/>
                <w:bCs w:val="0"/>
                <w:color w:val="1909E7"/>
                <w:sz w:val="24"/>
                <w:szCs w:val="24"/>
              </w:rPr>
            </w:pPr>
            <w:r>
              <w:rPr>
                <w:rFonts w:hint="eastAsia" w:ascii="宋体" w:hAnsi="宋体" w:eastAsia="宋体" w:cs="宋体"/>
                <w:b w:val="0"/>
                <w:bCs w:val="0"/>
                <w:color w:val="1909E7"/>
                <w:sz w:val="24"/>
                <w:szCs w:val="24"/>
              </w:rPr>
              <w:t>推进挥发性有机物综合治理。组织开展涉挥发性有机物（VOCs）企业“一厂一策”精细管控，完成现有VOCs废气收集、治理设施运行率、去除率核查。加强工业企业含VOCs物料储存、转移和输送、设备与管线组件泄漏、敞开液面逸散以及工艺过程等无组织排放收集处理，确保达标排放。强化石化、化工、工业涂装、包装印刷、油品“储运销”等重点行业VOCs治理，提高末端处理设施效率。</w:t>
            </w:r>
          </w:p>
          <w:p>
            <w:pPr>
              <w:pStyle w:val="24"/>
              <w:spacing w:line="360" w:lineRule="auto"/>
              <w:ind w:left="0" w:leftChars="0" w:firstLine="480"/>
              <w:rPr>
                <w:rFonts w:hint="eastAsia" w:ascii="宋体" w:hAnsi="宋体" w:eastAsia="宋体" w:cs="宋体"/>
                <w:b w:val="0"/>
                <w:bCs w:val="0"/>
                <w:color w:val="1909E7"/>
                <w:sz w:val="24"/>
                <w:szCs w:val="24"/>
                <w:lang w:val="en-US" w:eastAsia="zh-CN"/>
              </w:rPr>
            </w:pPr>
            <w:r>
              <w:rPr>
                <w:rFonts w:hint="eastAsia" w:ascii="宋体" w:hAnsi="宋体" w:eastAsia="宋体" w:cs="宋体"/>
                <w:b w:val="0"/>
                <w:bCs w:val="0"/>
                <w:color w:val="1909E7"/>
                <w:sz w:val="24"/>
                <w:szCs w:val="24"/>
              </w:rPr>
              <w:t>符合性分析：项目为塑料果蔬筐加工项目，涉及VOCs排放，提高末端处理设施效率，采取集气罩收集加二级活性炭处理</w:t>
            </w:r>
            <w:r>
              <w:rPr>
                <w:rFonts w:hint="eastAsia" w:ascii="宋体" w:hAnsi="宋体" w:eastAsia="宋体" w:cs="宋体"/>
                <w:b w:val="0"/>
                <w:bCs w:val="0"/>
                <w:color w:val="1909E7"/>
                <w:sz w:val="24"/>
                <w:szCs w:val="24"/>
                <w:lang w:eastAsia="zh-CN"/>
              </w:rPr>
              <w:t>。</w:t>
            </w:r>
            <w:r>
              <w:rPr>
                <w:rFonts w:hint="eastAsia" w:ascii="宋体" w:hAnsi="宋体" w:eastAsia="宋体" w:cs="宋体"/>
                <w:b w:val="0"/>
                <w:bCs w:val="0"/>
                <w:color w:val="1909E7"/>
                <w:sz w:val="24"/>
                <w:szCs w:val="24"/>
                <w:lang w:val="en-US" w:eastAsia="zh-CN"/>
              </w:rPr>
              <w:t xml:space="preserve">  </w:t>
            </w:r>
          </w:p>
          <w:p>
            <w:pPr>
              <w:spacing w:line="360" w:lineRule="auto"/>
              <w:ind w:firstLine="482"/>
              <w:rPr>
                <w:rFonts w:hint="eastAsia" w:ascii="宋体" w:hAnsi="宋体" w:eastAsia="宋体" w:cs="宋体"/>
                <w:b w:val="0"/>
                <w:bCs w:val="0"/>
                <w:color w:val="1909E7"/>
                <w:kern w:val="2"/>
                <w:sz w:val="24"/>
                <w:szCs w:val="24"/>
                <w:lang w:val="en-US" w:eastAsia="zh-CN" w:bidi="ar-SA"/>
              </w:rPr>
            </w:pPr>
            <w:r>
              <w:rPr>
                <w:rFonts w:hint="eastAsia" w:ascii="宋体" w:hAnsi="宋体" w:eastAsia="宋体" w:cs="宋体"/>
                <w:b w:val="0"/>
                <w:bCs w:val="0"/>
                <w:color w:val="1909E7"/>
                <w:kern w:val="2"/>
                <w:sz w:val="24"/>
                <w:szCs w:val="24"/>
                <w:lang w:val="en-US" w:eastAsia="zh-CN" w:bidi="ar-SA"/>
              </w:rPr>
              <w:t>8、项目与《挥发性有机物（VOCs）污染防治技术政策》《关于加快解决当前挥发性有机物治理突出问题的通知》符合性分析。</w:t>
            </w:r>
          </w:p>
          <w:p>
            <w:pPr>
              <w:pStyle w:val="9"/>
              <w:spacing w:line="360" w:lineRule="auto"/>
              <w:ind w:firstLine="480" w:firstLineChars="200"/>
              <w:rPr>
                <w:rFonts w:hint="eastAsia" w:ascii="宋体" w:hAnsi="宋体" w:eastAsia="宋体" w:cs="宋体"/>
                <w:b w:val="0"/>
                <w:bCs w:val="0"/>
                <w:color w:val="1909E7"/>
                <w:kern w:val="2"/>
                <w:sz w:val="24"/>
                <w:szCs w:val="24"/>
                <w:lang w:val="en-US" w:eastAsia="zh-CN" w:bidi="ar-SA"/>
              </w:rPr>
            </w:pPr>
            <w:r>
              <w:rPr>
                <w:rFonts w:hint="eastAsia" w:ascii="宋体" w:hAnsi="宋体" w:eastAsia="宋体" w:cs="宋体"/>
                <w:b w:val="0"/>
                <w:bCs w:val="0"/>
                <w:color w:val="1909E7"/>
                <w:kern w:val="2"/>
                <w:sz w:val="24"/>
                <w:szCs w:val="24"/>
                <w:lang w:val="en-US" w:eastAsia="zh-CN" w:bidi="ar-SA"/>
              </w:rPr>
              <w:t>《挥发性有机物（VOCs）污染防治技术政策》要求对于含低浓度VOCs的废气，有回收价值时可采用吸附技术、吸收技术对有机溶剂回收后达标排放；不宜回收时，可采用吸附浓缩燃烧技术、生物技术、吸收技术、等离子体技术或紫外光高级氧化技术等净化后达标排放。</w:t>
            </w:r>
          </w:p>
          <w:p>
            <w:pPr>
              <w:pStyle w:val="30"/>
              <w:spacing w:line="360" w:lineRule="auto"/>
              <w:ind w:firstLine="480" w:firstLineChars="200"/>
              <w:rPr>
                <w:rFonts w:hint="eastAsia" w:ascii="宋体" w:hAnsi="宋体" w:eastAsia="宋体" w:cs="宋体"/>
                <w:b w:val="0"/>
                <w:bCs w:val="0"/>
                <w:color w:val="1909E7"/>
                <w:kern w:val="2"/>
                <w:sz w:val="24"/>
                <w:szCs w:val="24"/>
                <w:lang w:val="en-US" w:eastAsia="zh-CN" w:bidi="ar-SA"/>
              </w:rPr>
            </w:pPr>
            <w:r>
              <w:rPr>
                <w:rFonts w:hint="eastAsia" w:ascii="宋体" w:hAnsi="宋体" w:eastAsia="宋体" w:cs="宋体"/>
                <w:b w:val="0"/>
                <w:bCs w:val="0"/>
                <w:color w:val="1909E7"/>
                <w:sz w:val="24"/>
                <w:szCs w:val="24"/>
                <w:lang w:eastAsia="zh-CN"/>
              </w:rPr>
              <w:t>符合性分析：本</w:t>
            </w:r>
            <w:r>
              <w:rPr>
                <w:rFonts w:hint="eastAsia" w:ascii="宋体" w:hAnsi="宋体" w:eastAsia="宋体" w:cs="宋体"/>
                <w:b w:val="0"/>
                <w:bCs w:val="0"/>
                <w:color w:val="1909E7"/>
                <w:sz w:val="24"/>
                <w:szCs w:val="24"/>
              </w:rPr>
              <w:t>项目为塑料果蔬筐加工项目，采取集气罩收集加二级活性炭处理</w:t>
            </w:r>
            <w:r>
              <w:rPr>
                <w:rFonts w:hint="eastAsia" w:ascii="宋体" w:hAnsi="宋体" w:eastAsia="宋体" w:cs="宋体"/>
                <w:b w:val="0"/>
                <w:bCs w:val="0"/>
                <w:color w:val="1909E7"/>
                <w:sz w:val="24"/>
                <w:szCs w:val="24"/>
                <w:lang w:eastAsia="zh-CN"/>
              </w:rPr>
              <w:t>。符合</w:t>
            </w:r>
            <w:r>
              <w:rPr>
                <w:rFonts w:hint="eastAsia" w:ascii="宋体" w:hAnsi="宋体" w:eastAsia="宋体" w:cs="宋体"/>
                <w:b w:val="0"/>
                <w:bCs w:val="0"/>
                <w:color w:val="1909E7"/>
                <w:kern w:val="2"/>
                <w:sz w:val="24"/>
                <w:szCs w:val="24"/>
                <w:lang w:val="en-US" w:eastAsia="zh-CN" w:bidi="ar-SA"/>
              </w:rPr>
              <w:t>《挥发性有机物（VOCs）污染防治技术政策》要求。</w:t>
            </w:r>
          </w:p>
          <w:p>
            <w:pPr>
              <w:pStyle w:val="30"/>
              <w:spacing w:line="360" w:lineRule="auto"/>
              <w:ind w:firstLine="480" w:firstLineChars="200"/>
              <w:rPr>
                <w:rFonts w:hint="eastAsia" w:ascii="宋体" w:hAnsi="宋体" w:eastAsia="宋体" w:cs="宋体"/>
                <w:b w:val="0"/>
                <w:bCs w:val="0"/>
                <w:color w:val="1909E7"/>
                <w:sz w:val="24"/>
                <w:szCs w:val="24"/>
                <w:lang w:eastAsia="zh-CN"/>
              </w:rPr>
            </w:pPr>
            <w:r>
              <w:rPr>
                <w:rFonts w:hint="eastAsia" w:ascii="宋体" w:hAnsi="宋体" w:eastAsia="宋体" w:cs="宋体"/>
                <w:b w:val="0"/>
                <w:bCs w:val="0"/>
                <w:color w:val="1909E7"/>
                <w:sz w:val="24"/>
                <w:szCs w:val="24"/>
                <w:lang w:val="en-US" w:eastAsia="zh-CN"/>
              </w:rPr>
              <w:t>《关于加快解决当前挥发性有机物治理突出问题的通知》要求采用活性炭吸附</w:t>
            </w:r>
            <w:r>
              <w:rPr>
                <w:rFonts w:hint="eastAsia" w:ascii="宋体" w:hAnsi="宋体" w:eastAsia="宋体" w:cs="宋体"/>
                <w:b w:val="0"/>
                <w:bCs w:val="0"/>
                <w:color w:val="1909E7"/>
                <w:sz w:val="24"/>
                <w:szCs w:val="24"/>
                <w:lang w:eastAsia="zh-CN"/>
              </w:rPr>
              <w:t>活性炭采碘值不宜低于800mg/g；距集气罩开口面最远处的VOCs无组织排放位置，控制风速均不低于0.3米/秒。</w:t>
            </w:r>
          </w:p>
          <w:p>
            <w:pPr>
              <w:pStyle w:val="30"/>
              <w:spacing w:line="360" w:lineRule="auto"/>
              <w:ind w:firstLine="480" w:firstLineChars="200"/>
              <w:rPr>
                <w:rFonts w:hint="eastAsia" w:ascii="宋体" w:hAnsi="宋体" w:eastAsia="宋体" w:cs="宋体"/>
                <w:b w:val="0"/>
                <w:bCs w:val="0"/>
                <w:color w:val="1909E7"/>
                <w:sz w:val="24"/>
                <w:szCs w:val="24"/>
                <w:lang w:eastAsia="zh-CN"/>
              </w:rPr>
            </w:pPr>
            <w:r>
              <w:rPr>
                <w:rFonts w:hint="eastAsia" w:ascii="宋体" w:hAnsi="宋体" w:eastAsia="宋体" w:cs="宋体"/>
                <w:b w:val="0"/>
                <w:bCs w:val="0"/>
                <w:color w:val="1909E7"/>
                <w:sz w:val="24"/>
                <w:szCs w:val="24"/>
                <w:lang w:eastAsia="zh-CN"/>
              </w:rPr>
              <w:t>符合性分析：本项目采用</w:t>
            </w:r>
            <w:r>
              <w:rPr>
                <w:rFonts w:hint="eastAsia" w:ascii="宋体" w:hAnsi="宋体" w:eastAsia="宋体" w:cs="宋体"/>
                <w:b w:val="0"/>
                <w:bCs w:val="0"/>
                <w:color w:val="1909E7"/>
                <w:sz w:val="24"/>
                <w:szCs w:val="24"/>
              </w:rPr>
              <w:t>集气罩+二级活性炭吸附+15m高排气筒，</w:t>
            </w:r>
            <w:r>
              <w:rPr>
                <w:rFonts w:hint="eastAsia" w:ascii="宋体" w:hAnsi="宋体" w:eastAsia="宋体" w:cs="宋体"/>
                <w:b w:val="0"/>
                <w:bCs w:val="0"/>
                <w:color w:val="1909E7"/>
                <w:sz w:val="24"/>
                <w:szCs w:val="24"/>
                <w:lang w:eastAsia="zh-CN"/>
              </w:rPr>
              <w:t>风机</w:t>
            </w:r>
            <w:r>
              <w:rPr>
                <w:rFonts w:hint="eastAsia" w:ascii="宋体" w:hAnsi="宋体" w:eastAsia="宋体" w:cs="宋体"/>
                <w:b w:val="0"/>
                <w:bCs w:val="0"/>
                <w:color w:val="1909E7"/>
                <w:sz w:val="24"/>
                <w:szCs w:val="24"/>
              </w:rPr>
              <w:t>风量为15000m</w:t>
            </w:r>
            <w:r>
              <w:rPr>
                <w:rFonts w:hint="eastAsia" w:ascii="宋体" w:hAnsi="宋体" w:eastAsia="宋体" w:cs="宋体"/>
                <w:b w:val="0"/>
                <w:bCs w:val="0"/>
                <w:color w:val="1909E7"/>
                <w:sz w:val="24"/>
                <w:szCs w:val="24"/>
                <w:vertAlign w:val="superscript"/>
              </w:rPr>
              <w:t>3</w:t>
            </w:r>
            <w:r>
              <w:rPr>
                <w:rFonts w:hint="eastAsia" w:ascii="宋体" w:hAnsi="宋体" w:eastAsia="宋体" w:cs="宋体"/>
                <w:b w:val="0"/>
                <w:bCs w:val="0"/>
                <w:color w:val="1909E7"/>
                <w:sz w:val="24"/>
                <w:szCs w:val="24"/>
              </w:rPr>
              <w:t>/h，活性炭采碘值不宜低于800mg/g；距集气罩开口面最远处的VOCs无组织排放位置，控制风速均不低于0.3米/秒</w:t>
            </w:r>
            <w:r>
              <w:rPr>
                <w:rFonts w:hint="eastAsia" w:ascii="宋体" w:hAnsi="宋体" w:eastAsia="宋体" w:cs="宋体"/>
                <w:b w:val="0"/>
                <w:bCs w:val="0"/>
                <w:color w:val="1909E7"/>
                <w:sz w:val="24"/>
                <w:szCs w:val="24"/>
                <w:lang w:eastAsia="zh-CN"/>
              </w:rPr>
              <w:t>。</w:t>
            </w:r>
          </w:p>
          <w:p>
            <w:pPr>
              <w:pStyle w:val="9"/>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1909E7"/>
                <w:sz w:val="24"/>
                <w:szCs w:val="32"/>
                <w:lang w:val="en-US" w:eastAsia="zh-CN"/>
              </w:rPr>
            </w:pPr>
            <w:r>
              <w:rPr>
                <w:rFonts w:hint="eastAsia" w:ascii="宋体" w:hAnsi="宋体" w:eastAsia="宋体" w:cs="宋体"/>
                <w:b w:val="0"/>
                <w:bCs w:val="0"/>
                <w:color w:val="1909E7"/>
                <w:sz w:val="24"/>
                <w:szCs w:val="24"/>
                <w:lang w:val="en-US" w:eastAsia="zh-CN"/>
              </w:rPr>
              <w:t>9、</w:t>
            </w:r>
            <w:r>
              <w:rPr>
                <w:rFonts w:hint="eastAsia" w:ascii="宋体" w:hAnsi="宋体" w:eastAsia="宋体" w:cs="宋体"/>
                <w:b w:val="0"/>
                <w:bCs w:val="0"/>
                <w:color w:val="1909E7"/>
                <w:sz w:val="24"/>
                <w:szCs w:val="32"/>
                <w:lang w:val="en-US" w:eastAsia="zh-CN"/>
              </w:rPr>
              <w:t>与《新疆生态环境保护“十四五”规划》的符合性</w:t>
            </w:r>
          </w:p>
          <w:p>
            <w:pPr>
              <w:pStyle w:val="9"/>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宋体" w:hAnsi="宋体" w:eastAsia="宋体" w:cs="宋体"/>
                <w:b w:val="0"/>
                <w:bCs w:val="0"/>
                <w:color w:val="1909E7"/>
                <w:kern w:val="2"/>
                <w:sz w:val="24"/>
                <w:szCs w:val="24"/>
                <w:lang w:val="en-US" w:eastAsia="zh-CN" w:bidi="ar-SA"/>
              </w:rPr>
            </w:pPr>
            <w:r>
              <w:rPr>
                <w:rFonts w:hint="eastAsia" w:ascii="宋体" w:hAnsi="宋体" w:eastAsia="宋体" w:cs="宋体"/>
                <w:b w:val="0"/>
                <w:bCs w:val="0"/>
                <w:color w:val="1909E7"/>
                <w:kern w:val="2"/>
                <w:sz w:val="24"/>
                <w:szCs w:val="24"/>
                <w:lang w:val="en-US" w:eastAsia="zh-CN" w:bidi="ar-SA"/>
              </w:rPr>
              <w:t>文件要求：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p>
            <w:pPr>
              <w:pStyle w:val="54"/>
              <w:keepNext w:val="0"/>
              <w:keepLines w:val="0"/>
              <w:pageBreakBefore w:val="0"/>
              <w:widowControl w:val="0"/>
              <w:tabs>
                <w:tab w:val="left" w:pos="458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1909E7"/>
                <w:sz w:val="24"/>
                <w:szCs w:val="24"/>
                <w:lang w:eastAsia="zh-CN"/>
              </w:rPr>
            </w:pPr>
            <w:r>
              <w:rPr>
                <w:rFonts w:hint="eastAsia" w:ascii="宋体" w:hAnsi="宋体" w:eastAsia="宋体" w:cs="宋体"/>
                <w:b w:val="0"/>
                <w:bCs w:val="0"/>
                <w:color w:val="1909E7"/>
                <w:sz w:val="24"/>
                <w:szCs w:val="24"/>
                <w:lang w:eastAsia="zh-CN"/>
              </w:rPr>
              <w:t>符合性分析：</w:t>
            </w:r>
            <w:r>
              <w:rPr>
                <w:rFonts w:hint="eastAsia" w:ascii="宋体" w:hAnsi="宋体" w:eastAsia="宋体" w:cs="宋体"/>
                <w:b w:val="0"/>
                <w:bCs w:val="0"/>
                <w:color w:val="1909E7"/>
                <w:sz w:val="24"/>
                <w:szCs w:val="24"/>
              </w:rPr>
              <w:t>项目为塑料果蔬筐加工项目，涉及VOCs排放，</w:t>
            </w:r>
            <w:r>
              <w:rPr>
                <w:rFonts w:hint="eastAsia" w:ascii="宋体" w:hAnsi="宋体" w:eastAsia="宋体" w:cs="宋体"/>
                <w:b w:val="0"/>
                <w:bCs w:val="0"/>
                <w:color w:val="1909E7"/>
                <w:sz w:val="24"/>
                <w:szCs w:val="24"/>
                <w:lang w:eastAsia="zh-CN"/>
              </w:rPr>
              <w:t>项目采取</w:t>
            </w:r>
            <w:r>
              <w:rPr>
                <w:rFonts w:hint="eastAsia" w:ascii="宋体" w:hAnsi="宋体" w:eastAsia="宋体" w:cs="宋体"/>
                <w:b w:val="0"/>
                <w:bCs w:val="0"/>
                <w:color w:val="1909E7"/>
                <w:sz w:val="24"/>
                <w:szCs w:val="24"/>
              </w:rPr>
              <w:t>提高末端处理设施效率，采取集气罩收集加二级活性炭处理</w:t>
            </w:r>
            <w:r>
              <w:rPr>
                <w:rFonts w:hint="eastAsia" w:ascii="宋体" w:hAnsi="宋体" w:eastAsia="宋体" w:cs="宋体"/>
                <w:b w:val="0"/>
                <w:bCs w:val="0"/>
                <w:color w:val="1909E7"/>
                <w:sz w:val="24"/>
                <w:szCs w:val="24"/>
                <w:lang w:eastAsia="zh-CN"/>
              </w:rPr>
              <w:t>，非甲烷总烃倍量替代。</w:t>
            </w:r>
          </w:p>
          <w:p>
            <w:pPr>
              <w:pStyle w:val="54"/>
              <w:keepNext w:val="0"/>
              <w:keepLines w:val="0"/>
              <w:pageBreakBefore w:val="0"/>
              <w:widowControl w:val="0"/>
              <w:tabs>
                <w:tab w:val="left" w:pos="4584"/>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1909E7"/>
                <w:lang w:val="en-US" w:eastAsia="zh-CN"/>
              </w:rPr>
            </w:pPr>
            <w:r>
              <w:rPr>
                <w:rFonts w:hint="eastAsia" w:ascii="宋体" w:hAnsi="宋体" w:eastAsia="宋体" w:cs="宋体"/>
                <w:b w:val="0"/>
                <w:bCs w:val="0"/>
                <w:color w:val="1909E7"/>
                <w:lang w:val="en-US" w:eastAsia="zh-CN"/>
              </w:rPr>
              <w:t>10、与</w:t>
            </w:r>
            <w:r>
              <w:rPr>
                <w:rFonts w:hint="eastAsia" w:ascii="宋体" w:hAnsi="宋体" w:eastAsia="宋体" w:cs="宋体"/>
                <w:b w:val="0"/>
                <w:bCs w:val="0"/>
                <w:color w:val="1909E7"/>
              </w:rPr>
              <w:t>《</w:t>
            </w:r>
            <w:r>
              <w:rPr>
                <w:rFonts w:hint="eastAsia" w:ascii="宋体" w:hAnsi="宋体" w:eastAsia="宋体" w:cs="宋体"/>
                <w:b w:val="0"/>
                <w:bCs w:val="0"/>
                <w:color w:val="1909E7"/>
                <w:lang w:val="en-US" w:eastAsia="zh-CN"/>
              </w:rPr>
              <w:t>昌吉回族自治州生态环境保护与建设“十四五”规划</w:t>
            </w:r>
            <w:r>
              <w:rPr>
                <w:rFonts w:hint="eastAsia" w:ascii="宋体" w:hAnsi="宋体" w:eastAsia="宋体" w:cs="宋体"/>
                <w:b w:val="0"/>
                <w:bCs w:val="0"/>
                <w:color w:val="1909E7"/>
              </w:rPr>
              <w:t>》</w:t>
            </w:r>
            <w:r>
              <w:rPr>
                <w:rFonts w:hint="eastAsia" w:ascii="宋体" w:hAnsi="宋体" w:eastAsia="宋体" w:cs="宋体"/>
                <w:b w:val="0"/>
                <w:bCs w:val="0"/>
                <w:color w:val="1909E7"/>
                <w:lang w:val="en-US" w:eastAsia="zh-CN"/>
              </w:rPr>
              <w:t>符合性分析</w:t>
            </w:r>
          </w:p>
          <w:p>
            <w:pPr>
              <w:spacing w:line="360" w:lineRule="auto"/>
              <w:ind w:firstLine="480" w:firstLineChars="200"/>
              <w:rPr>
                <w:rFonts w:hint="eastAsia" w:ascii="宋体" w:hAnsi="宋体" w:eastAsia="宋体" w:cs="宋体"/>
                <w:b w:val="0"/>
                <w:bCs w:val="0"/>
                <w:color w:val="1909E7"/>
                <w:kern w:val="2"/>
                <w:sz w:val="24"/>
                <w:szCs w:val="24"/>
                <w:lang w:val="en-US" w:eastAsia="zh-CN" w:bidi="ar-SA"/>
              </w:rPr>
            </w:pPr>
            <w:r>
              <w:rPr>
                <w:rFonts w:hint="eastAsia" w:ascii="宋体" w:hAnsi="宋体" w:eastAsia="宋体" w:cs="宋体"/>
                <w:b w:val="0"/>
                <w:bCs w:val="0"/>
                <w:color w:val="1909E7"/>
                <w:kern w:val="2"/>
                <w:sz w:val="24"/>
                <w:szCs w:val="24"/>
                <w:lang w:val="en-US" w:eastAsia="zh-CN" w:bidi="ar-SA"/>
              </w:rPr>
              <w:t>文件要求：推进重点行业污染治理升级改造。各县市、园区电解铝、焦化、碳素等重点行业及“乌-昌-石”区域所有行业均实施特别排放限值。2023 年年底前，“乌-昌-石”区域完成钢铁、铸造等行业的超低排放改造工作，至 2025 年，其他区域全部完成钢铁、铸造等行业的超低排放运行。推进铸造、砖瓦、陶瓷、玻璃、石灰、矿物棉、独立轧钢、有色金属再生、炭素、化工、煤炭洗选、包装印刷、家具、人造板、橡胶制品、塑料制品等企业升级改造。实施工业企业物料封闭化管理专项整治，使全州各县市（园区）贮存煤炭、煤矸石、煤渣、水泥、石灰、石膏、砂土等易产生扬尘的物料全部实现密闭、密封储存，企业无组织排放等扬尘污染得到有效控制。持续推进工业源全面达标排放。</w:t>
            </w:r>
          </w:p>
          <w:p>
            <w:pPr>
              <w:spacing w:line="360" w:lineRule="auto"/>
              <w:ind w:firstLine="480" w:firstLineChars="200"/>
              <w:rPr>
                <w:rFonts w:hint="eastAsia" w:ascii="宋体" w:hAnsi="宋体" w:eastAsia="宋体" w:cs="宋体"/>
                <w:b w:val="0"/>
                <w:bCs w:val="0"/>
                <w:color w:val="1909E7"/>
                <w:kern w:val="2"/>
                <w:sz w:val="24"/>
                <w:szCs w:val="24"/>
                <w:lang w:val="en-US" w:eastAsia="zh-CN" w:bidi="ar-SA"/>
              </w:rPr>
            </w:pPr>
            <w:r>
              <w:rPr>
                <w:rFonts w:hint="eastAsia" w:ascii="宋体" w:hAnsi="宋体" w:eastAsia="宋体" w:cs="宋体"/>
                <w:b w:val="0"/>
                <w:bCs w:val="0"/>
                <w:color w:val="1909E7"/>
                <w:sz w:val="24"/>
                <w:szCs w:val="24"/>
                <w:lang w:eastAsia="zh-CN"/>
              </w:rPr>
              <w:t>符合性分析：本</w:t>
            </w:r>
            <w:r>
              <w:rPr>
                <w:rFonts w:hint="eastAsia" w:ascii="宋体" w:hAnsi="宋体" w:eastAsia="宋体" w:cs="宋体"/>
                <w:b w:val="0"/>
                <w:bCs w:val="0"/>
                <w:color w:val="1909E7"/>
                <w:sz w:val="24"/>
                <w:szCs w:val="24"/>
              </w:rPr>
              <w:t>项目为塑料果蔬筐加工项目，采取集气罩收集加二级活性炭处理</w:t>
            </w:r>
            <w:r>
              <w:rPr>
                <w:rFonts w:hint="eastAsia" w:ascii="宋体" w:hAnsi="宋体" w:eastAsia="宋体" w:cs="宋体"/>
                <w:b w:val="0"/>
                <w:bCs w:val="0"/>
                <w:color w:val="1909E7"/>
                <w:sz w:val="24"/>
                <w:szCs w:val="24"/>
                <w:lang w:eastAsia="zh-CN"/>
              </w:rPr>
              <w:t>。</w:t>
            </w:r>
            <w:r>
              <w:rPr>
                <w:rFonts w:hint="eastAsia" w:ascii="宋体" w:hAnsi="宋体" w:eastAsia="宋体" w:cs="宋体"/>
                <w:b w:val="0"/>
                <w:bCs w:val="0"/>
                <w:color w:val="1909E7"/>
                <w:kern w:val="2"/>
                <w:sz w:val="24"/>
                <w:szCs w:val="24"/>
                <w:lang w:val="en-US" w:eastAsia="zh-CN" w:bidi="ar-SA"/>
              </w:rPr>
              <w:t>不属于钢铁、铸造等重点行业，产生的废气达标排放。项目排放的污染物均达到国家最新污染物排放标准，污染物排放量较少，物料全部在密闭厂房，企业无组织排放等扬尘污染得到有效控制。</w:t>
            </w:r>
          </w:p>
          <w:p>
            <w:pPr>
              <w:pStyle w:val="2"/>
              <w:rPr>
                <w:rFonts w:hint="eastAsia"/>
                <w:lang w:val="en-US"/>
              </w:rPr>
            </w:pPr>
          </w:p>
          <w:p>
            <w:pPr>
              <w:pStyle w:val="30"/>
              <w:spacing w:line="360" w:lineRule="auto"/>
              <w:ind w:firstLine="420" w:firstLineChars="200"/>
              <w:rPr>
                <w:rFonts w:hint="eastAsia" w:ascii="宋体" w:hAnsi="宋体" w:cs="宋体"/>
                <w:szCs w:val="21"/>
                <w:lang w:val="en-US" w:eastAsia="zh-CN"/>
              </w:rPr>
            </w:pPr>
          </w:p>
          <w:p>
            <w:pPr>
              <w:pStyle w:val="9"/>
              <w:rPr>
                <w:rFonts w:hint="default"/>
                <w:lang w:val="en-US" w:eastAsia="zh-CN"/>
              </w:rPr>
            </w:pPr>
          </w:p>
        </w:tc>
      </w:tr>
    </w:tbl>
    <w:p>
      <w:pPr>
        <w:spacing w:line="360" w:lineRule="auto"/>
        <w:outlineLvl w:val="0"/>
        <w:rPr>
          <w:rFonts w:eastAsia="黑体"/>
          <w:sz w:val="30"/>
        </w:rPr>
        <w:sectPr>
          <w:footerReference r:id="rId3" w:type="default"/>
          <w:pgSz w:w="11906" w:h="16838"/>
          <w:pgMar w:top="1701" w:right="1531" w:bottom="1701" w:left="1531" w:header="851" w:footer="1077" w:gutter="0"/>
          <w:cols w:space="720" w:num="1"/>
          <w:docGrid w:linePitch="312" w:charSpace="0"/>
        </w:sectPr>
      </w:pPr>
    </w:p>
    <w:p>
      <w:pPr>
        <w:pStyle w:val="21"/>
        <w:jc w:val="center"/>
        <w:outlineLvl w:val="0"/>
        <w:rPr>
          <w:rFonts w:ascii="Times New Roman" w:hAnsi="Times New Roman" w:eastAsia="黑体"/>
          <w:snapToGrid w:val="0"/>
          <w:sz w:val="30"/>
          <w:szCs w:val="30"/>
        </w:rPr>
      </w:pPr>
      <w:r>
        <w:rPr>
          <w:rFonts w:ascii="Times New Roman" w:hAnsi="黑体" w:eastAsia="黑体"/>
          <w:snapToGrid w:val="0"/>
          <w:sz w:val="30"/>
          <w:szCs w:val="30"/>
        </w:rPr>
        <w:t>二、建设项目工程分析</w:t>
      </w:r>
    </w:p>
    <w:tbl>
      <w:tblPr>
        <w:tblStyle w:val="25"/>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2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92" w:hRule="atLeast"/>
          <w:jc w:val="center"/>
        </w:trPr>
        <w:tc>
          <w:tcPr>
            <w:tcW w:w="817" w:type="dxa"/>
            <w:vAlign w:val="center"/>
          </w:tcPr>
          <w:p>
            <w:pPr>
              <w:pStyle w:val="21"/>
              <w:adjustRightInd w:val="0"/>
              <w:snapToGrid w:val="0"/>
              <w:spacing w:before="0" w:beforeAutospacing="0" w:after="0" w:afterAutospacing="0"/>
              <w:jc w:val="center"/>
              <w:rPr>
                <w:rFonts w:ascii="Times New Roman" w:hAnsi="Times New Roman"/>
                <w:sz w:val="21"/>
                <w:szCs w:val="21"/>
              </w:rPr>
            </w:pPr>
            <w:r>
              <w:rPr>
                <w:rFonts w:ascii="Times New Roman"/>
                <w:szCs w:val="21"/>
              </w:rPr>
              <w:t>建设内容</w:t>
            </w:r>
          </w:p>
        </w:tc>
        <w:tc>
          <w:tcPr>
            <w:tcW w:w="8243" w:type="dxa"/>
          </w:tcPr>
          <w:p>
            <w:pPr>
              <w:adjustRightInd w:val="0"/>
              <w:snapToGrid w:val="0"/>
              <w:spacing w:line="480" w:lineRule="exact"/>
              <w:ind w:firstLine="480" w:firstLineChars="200"/>
              <w:rPr>
                <w:sz w:val="24"/>
              </w:rPr>
            </w:pPr>
            <w:r>
              <w:rPr>
                <w:rFonts w:hint="eastAsia"/>
                <w:sz w:val="24"/>
              </w:rPr>
              <w:t>1、</w:t>
            </w:r>
            <w:r>
              <w:rPr>
                <w:sz w:val="24"/>
              </w:rPr>
              <w:t>项目建设内容</w:t>
            </w:r>
          </w:p>
          <w:p>
            <w:pPr>
              <w:adjustRightInd w:val="0"/>
              <w:snapToGrid w:val="0"/>
              <w:spacing w:line="480" w:lineRule="exact"/>
              <w:ind w:firstLine="480" w:firstLineChars="200"/>
              <w:rPr>
                <w:sz w:val="24"/>
              </w:rPr>
            </w:pPr>
            <w:r>
              <w:rPr>
                <w:rFonts w:hint="eastAsia"/>
                <w:bCs/>
                <w:sz w:val="24"/>
              </w:rPr>
              <w:t>根据现场调查，项目位于昌吉回族自治州昌吉市三工镇下营盘村五组老砖厂院内。项目区东侧、南侧、北侧均为未生产厂房，西侧为葡萄地。</w:t>
            </w:r>
            <w:r>
              <w:rPr>
                <w:sz w:val="24"/>
              </w:rPr>
              <w:t>项目主要建设内容</w:t>
            </w:r>
            <w:r>
              <w:rPr>
                <w:rFonts w:hint="eastAsia"/>
                <w:sz w:val="24"/>
              </w:rPr>
              <w:t>为塑料果蔬筐生产车间、办公用房等，项目建成后年产150万个塑料果蔬筐，项目建设内容</w:t>
            </w:r>
            <w:r>
              <w:rPr>
                <w:sz w:val="24"/>
              </w:rPr>
              <w:t>见表2-</w:t>
            </w:r>
            <w:r>
              <w:rPr>
                <w:rFonts w:hint="eastAsia"/>
                <w:sz w:val="24"/>
              </w:rPr>
              <w:t>1</w:t>
            </w:r>
            <w:r>
              <w:rPr>
                <w:sz w:val="24"/>
              </w:rPr>
              <w:t>。</w:t>
            </w:r>
          </w:p>
          <w:p>
            <w:pPr>
              <w:pStyle w:val="54"/>
              <w:spacing w:line="240" w:lineRule="auto"/>
              <w:ind w:firstLine="420"/>
              <w:rPr>
                <w:rFonts w:hAnsi="Times New Roman" w:eastAsia="黑体"/>
                <w:b w:val="0"/>
                <w:bCs w:val="0"/>
                <w:color w:val="auto"/>
                <w:sz w:val="21"/>
                <w:szCs w:val="21"/>
              </w:rPr>
            </w:pPr>
            <w:r>
              <w:rPr>
                <w:rFonts w:hAnsi="Times New Roman" w:eastAsia="黑体"/>
                <w:b w:val="0"/>
                <w:bCs w:val="0"/>
                <w:color w:val="auto"/>
                <w:sz w:val="21"/>
                <w:szCs w:val="21"/>
              </w:rPr>
              <w:t>表2-</w:t>
            </w:r>
            <w:r>
              <w:rPr>
                <w:rFonts w:hint="eastAsia" w:hAnsi="Times New Roman" w:eastAsia="黑体"/>
                <w:b w:val="0"/>
                <w:bCs w:val="0"/>
                <w:color w:val="auto"/>
                <w:sz w:val="21"/>
                <w:szCs w:val="21"/>
              </w:rPr>
              <w:t>1</w:t>
            </w:r>
            <w:r>
              <w:rPr>
                <w:rFonts w:hAnsi="Times New Roman" w:eastAsia="黑体"/>
                <w:b w:val="0"/>
                <w:bCs w:val="0"/>
                <w:color w:val="auto"/>
                <w:sz w:val="21"/>
                <w:szCs w:val="21"/>
              </w:rPr>
              <w:t xml:space="preserve">                  项目建设内容组成一览表</w:t>
            </w:r>
          </w:p>
          <w:tbl>
            <w:tblPr>
              <w:tblStyle w:val="25"/>
              <w:tblW w:w="802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38"/>
              <w:gridCol w:w="1127"/>
              <w:gridCol w:w="5009"/>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9" w:hRule="atLeast"/>
                <w:jc w:val="center"/>
              </w:trPr>
              <w:tc>
                <w:tcPr>
                  <w:tcW w:w="1164" w:type="dxa"/>
                  <w:gridSpan w:val="2"/>
                  <w:vAlign w:val="center"/>
                </w:tcPr>
                <w:p>
                  <w:pPr>
                    <w:widowControl/>
                    <w:jc w:val="center"/>
                    <w:rPr>
                      <w:kern w:val="0"/>
                      <w:szCs w:val="21"/>
                    </w:rPr>
                  </w:pPr>
                  <w:r>
                    <w:rPr>
                      <w:rFonts w:hAnsi="宋体"/>
                      <w:kern w:val="0"/>
                      <w:szCs w:val="21"/>
                    </w:rPr>
                    <w:t>项目组成</w:t>
                  </w:r>
                </w:p>
              </w:tc>
              <w:tc>
                <w:tcPr>
                  <w:tcW w:w="6136" w:type="dxa"/>
                  <w:gridSpan w:val="2"/>
                  <w:tcBorders>
                    <w:right w:val="single" w:color="auto" w:sz="8" w:space="0"/>
                  </w:tcBorders>
                  <w:vAlign w:val="center"/>
                </w:tcPr>
                <w:p>
                  <w:pPr>
                    <w:widowControl/>
                    <w:jc w:val="center"/>
                    <w:rPr>
                      <w:kern w:val="0"/>
                      <w:szCs w:val="21"/>
                    </w:rPr>
                  </w:pPr>
                  <w:r>
                    <w:rPr>
                      <w:rFonts w:hAnsi="宋体"/>
                      <w:kern w:val="0"/>
                      <w:szCs w:val="21"/>
                    </w:rPr>
                    <w:t>工程内容及规模</w:t>
                  </w:r>
                </w:p>
              </w:tc>
              <w:tc>
                <w:tcPr>
                  <w:tcW w:w="725" w:type="dxa"/>
                  <w:vAlign w:val="center"/>
                </w:tcPr>
                <w:p>
                  <w:pPr>
                    <w:widowControl/>
                    <w:jc w:val="center"/>
                    <w:rPr>
                      <w:kern w:val="0"/>
                      <w:szCs w:val="21"/>
                    </w:rPr>
                  </w:pPr>
                  <w:r>
                    <w:rPr>
                      <w:rFonts w:hAnsi="宋体"/>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426" w:type="dxa"/>
                  <w:vMerge w:val="restart"/>
                  <w:vAlign w:val="center"/>
                </w:tcPr>
                <w:p>
                  <w:pPr>
                    <w:widowControl/>
                    <w:jc w:val="center"/>
                    <w:rPr>
                      <w:kern w:val="0"/>
                      <w:szCs w:val="21"/>
                    </w:rPr>
                  </w:pPr>
                  <w:r>
                    <w:rPr>
                      <w:rFonts w:hAnsi="宋体"/>
                      <w:kern w:val="0"/>
                      <w:szCs w:val="21"/>
                    </w:rPr>
                    <w:t>主体工程</w:t>
                  </w:r>
                </w:p>
              </w:tc>
              <w:tc>
                <w:tcPr>
                  <w:tcW w:w="738" w:type="dxa"/>
                  <w:vAlign w:val="center"/>
                </w:tcPr>
                <w:p>
                  <w:pPr>
                    <w:widowControl/>
                    <w:jc w:val="center"/>
                    <w:rPr>
                      <w:kern w:val="0"/>
                      <w:szCs w:val="21"/>
                    </w:rPr>
                  </w:pPr>
                  <w:r>
                    <w:rPr>
                      <w:rFonts w:hint="eastAsia"/>
                      <w:kern w:val="0"/>
                      <w:szCs w:val="21"/>
                    </w:rPr>
                    <w:t>塑料果蔬筐生产车间</w:t>
                  </w:r>
                </w:p>
              </w:tc>
              <w:tc>
                <w:tcPr>
                  <w:tcW w:w="6136" w:type="dxa"/>
                  <w:gridSpan w:val="2"/>
                  <w:tcBorders>
                    <w:right w:val="single" w:color="auto" w:sz="4" w:space="0"/>
                  </w:tcBorders>
                  <w:vAlign w:val="center"/>
                </w:tcPr>
                <w:p>
                  <w:pPr>
                    <w:widowControl/>
                    <w:jc w:val="center"/>
                    <w:rPr>
                      <w:kern w:val="0"/>
                      <w:szCs w:val="21"/>
                    </w:rPr>
                  </w:pPr>
                  <w:r>
                    <w:rPr>
                      <w:rFonts w:hint="eastAsia"/>
                      <w:kern w:val="0"/>
                      <w:szCs w:val="21"/>
                    </w:rPr>
                    <w:t>利用厂区现有厂房，占地面积2000m</w:t>
                  </w:r>
                  <w:r>
                    <w:rPr>
                      <w:rFonts w:hint="eastAsia"/>
                      <w:kern w:val="0"/>
                      <w:szCs w:val="21"/>
                      <w:vertAlign w:val="superscript"/>
                    </w:rPr>
                    <w:t>2</w:t>
                  </w:r>
                  <w:r>
                    <w:rPr>
                      <w:rFonts w:hint="eastAsia"/>
                      <w:kern w:val="0"/>
                      <w:szCs w:val="21"/>
                    </w:rPr>
                    <w:t>，内设15条塑料果蔬筐生产线</w:t>
                  </w:r>
                </w:p>
              </w:tc>
              <w:tc>
                <w:tcPr>
                  <w:tcW w:w="725" w:type="dxa"/>
                  <w:vAlign w:val="center"/>
                </w:tcPr>
                <w:p>
                  <w:pPr>
                    <w:widowControl/>
                    <w:jc w:val="center"/>
                    <w:rPr>
                      <w:kern w:val="0"/>
                      <w:szCs w:val="21"/>
                    </w:rPr>
                  </w:pPr>
                  <w:r>
                    <w:rPr>
                      <w:rFonts w:hint="eastAsia"/>
                      <w:kern w:val="0"/>
                      <w:szCs w:val="21"/>
                    </w:rPr>
                    <w:t>利用现有厂房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426" w:type="dxa"/>
                  <w:vMerge w:val="continue"/>
                  <w:vAlign w:val="center"/>
                </w:tcPr>
                <w:p>
                  <w:pPr>
                    <w:widowControl/>
                    <w:jc w:val="center"/>
                    <w:rPr>
                      <w:kern w:val="0"/>
                      <w:szCs w:val="21"/>
                    </w:rPr>
                  </w:pPr>
                </w:p>
              </w:tc>
              <w:tc>
                <w:tcPr>
                  <w:tcW w:w="738" w:type="dxa"/>
                  <w:vAlign w:val="center"/>
                </w:tcPr>
                <w:p>
                  <w:pPr>
                    <w:widowControl/>
                    <w:jc w:val="center"/>
                    <w:rPr>
                      <w:kern w:val="0"/>
                      <w:szCs w:val="21"/>
                    </w:rPr>
                  </w:pPr>
                  <w:r>
                    <w:rPr>
                      <w:rFonts w:hAnsi="宋体"/>
                      <w:kern w:val="0"/>
                      <w:szCs w:val="21"/>
                    </w:rPr>
                    <w:t>办公</w:t>
                  </w:r>
                  <w:r>
                    <w:rPr>
                      <w:rFonts w:hint="eastAsia" w:hAnsi="宋体"/>
                      <w:kern w:val="0"/>
                      <w:szCs w:val="21"/>
                    </w:rPr>
                    <w:t>生活</w:t>
                  </w:r>
                  <w:r>
                    <w:rPr>
                      <w:rFonts w:hAnsi="宋体"/>
                      <w:kern w:val="0"/>
                      <w:szCs w:val="21"/>
                    </w:rPr>
                    <w:t>区</w:t>
                  </w:r>
                </w:p>
              </w:tc>
              <w:tc>
                <w:tcPr>
                  <w:tcW w:w="6136" w:type="dxa"/>
                  <w:gridSpan w:val="2"/>
                  <w:tcBorders>
                    <w:right w:val="single" w:color="auto" w:sz="4" w:space="0"/>
                  </w:tcBorders>
                  <w:vAlign w:val="center"/>
                </w:tcPr>
                <w:p>
                  <w:pPr>
                    <w:widowControl/>
                    <w:jc w:val="center"/>
                    <w:rPr>
                      <w:kern w:val="0"/>
                      <w:szCs w:val="21"/>
                    </w:rPr>
                  </w:pPr>
                  <w:r>
                    <w:rPr>
                      <w:rFonts w:hint="eastAsia" w:hAnsi="宋体"/>
                      <w:kern w:val="0"/>
                      <w:szCs w:val="21"/>
                    </w:rPr>
                    <w:t>办公区建筑面积为112m</w:t>
                  </w:r>
                  <w:r>
                    <w:rPr>
                      <w:rFonts w:hint="eastAsia" w:hAnsi="宋体"/>
                      <w:kern w:val="0"/>
                      <w:szCs w:val="21"/>
                      <w:vertAlign w:val="superscript"/>
                    </w:rPr>
                    <w:t>2</w:t>
                  </w:r>
                </w:p>
              </w:tc>
              <w:tc>
                <w:tcPr>
                  <w:tcW w:w="725" w:type="dxa"/>
                  <w:vAlign w:val="center"/>
                </w:tcPr>
                <w:p>
                  <w:pPr>
                    <w:widowControl/>
                    <w:jc w:val="center"/>
                    <w:rPr>
                      <w:kern w:val="0"/>
                      <w:szCs w:val="21"/>
                    </w:rPr>
                  </w:pPr>
                  <w:r>
                    <w:rPr>
                      <w:rFonts w:hint="eastAsia"/>
                      <w:kern w:val="0"/>
                      <w:szCs w:val="21"/>
                    </w:rPr>
                    <w:t>现有办公用房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26" w:type="dxa"/>
                  <w:vMerge w:val="restart"/>
                  <w:vAlign w:val="center"/>
                </w:tcPr>
                <w:p>
                  <w:pPr>
                    <w:widowControl/>
                    <w:jc w:val="center"/>
                    <w:rPr>
                      <w:kern w:val="0"/>
                      <w:szCs w:val="21"/>
                    </w:rPr>
                  </w:pPr>
                  <w:r>
                    <w:rPr>
                      <w:rFonts w:hAnsi="宋体"/>
                      <w:kern w:val="0"/>
                      <w:szCs w:val="21"/>
                    </w:rPr>
                    <w:t>公用工程</w:t>
                  </w:r>
                </w:p>
              </w:tc>
              <w:tc>
                <w:tcPr>
                  <w:tcW w:w="738" w:type="dxa"/>
                  <w:vAlign w:val="center"/>
                </w:tcPr>
                <w:p>
                  <w:pPr>
                    <w:widowControl/>
                    <w:jc w:val="center"/>
                    <w:rPr>
                      <w:kern w:val="0"/>
                      <w:szCs w:val="21"/>
                    </w:rPr>
                  </w:pPr>
                  <w:r>
                    <w:rPr>
                      <w:rFonts w:hAnsi="宋体"/>
                      <w:kern w:val="0"/>
                      <w:szCs w:val="21"/>
                    </w:rPr>
                    <w:t>给水</w:t>
                  </w:r>
                </w:p>
              </w:tc>
              <w:tc>
                <w:tcPr>
                  <w:tcW w:w="6136" w:type="dxa"/>
                  <w:gridSpan w:val="2"/>
                  <w:tcBorders>
                    <w:right w:val="single" w:color="auto" w:sz="4" w:space="0"/>
                  </w:tcBorders>
                  <w:vAlign w:val="center"/>
                </w:tcPr>
                <w:p>
                  <w:pPr>
                    <w:widowControl/>
                    <w:jc w:val="center"/>
                    <w:rPr>
                      <w:rFonts w:hAnsi="宋体"/>
                      <w:kern w:val="0"/>
                      <w:szCs w:val="21"/>
                    </w:rPr>
                  </w:pPr>
                  <w:r>
                    <w:rPr>
                      <w:rFonts w:hint="eastAsia" w:hAnsi="宋体"/>
                      <w:kern w:val="0"/>
                      <w:szCs w:val="21"/>
                    </w:rPr>
                    <w:t>三工</w:t>
                  </w:r>
                  <w:r>
                    <w:rPr>
                      <w:rFonts w:hint="eastAsia" w:hAnsi="宋体"/>
                      <w:kern w:val="0"/>
                      <w:szCs w:val="21"/>
                      <w:lang w:eastAsia="zh-CN"/>
                    </w:rPr>
                    <w:t>镇</w:t>
                  </w:r>
                  <w:r>
                    <w:rPr>
                      <w:rFonts w:hint="eastAsia" w:hAnsi="宋体"/>
                      <w:kern w:val="0"/>
                      <w:szCs w:val="21"/>
                    </w:rPr>
                    <w:t>供水管网，满足项目所需</w:t>
                  </w:r>
                </w:p>
              </w:tc>
              <w:tc>
                <w:tcPr>
                  <w:tcW w:w="725" w:type="dxa"/>
                  <w:vAlign w:val="center"/>
                </w:tcPr>
                <w:p>
                  <w:pPr>
                    <w:widowControl/>
                    <w:jc w:val="center"/>
                    <w:rPr>
                      <w:kern w:val="0"/>
                      <w:szCs w:val="21"/>
                    </w:rPr>
                  </w:pPr>
                  <w:r>
                    <w:rPr>
                      <w:rFonts w:hint="eastAsia"/>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26" w:type="dxa"/>
                  <w:vMerge w:val="continue"/>
                  <w:vAlign w:val="center"/>
                </w:tcPr>
                <w:p>
                  <w:pPr>
                    <w:widowControl/>
                    <w:jc w:val="center"/>
                  </w:pPr>
                </w:p>
              </w:tc>
              <w:tc>
                <w:tcPr>
                  <w:tcW w:w="738" w:type="dxa"/>
                  <w:vMerge w:val="restart"/>
                  <w:vAlign w:val="center"/>
                </w:tcPr>
                <w:p>
                  <w:pPr>
                    <w:jc w:val="center"/>
                  </w:pPr>
                  <w:r>
                    <w:rPr>
                      <w:rFonts w:hint="eastAsia"/>
                    </w:rPr>
                    <w:t>排水</w:t>
                  </w:r>
                </w:p>
              </w:tc>
              <w:tc>
                <w:tcPr>
                  <w:tcW w:w="6136" w:type="dxa"/>
                  <w:gridSpan w:val="2"/>
                  <w:tcBorders>
                    <w:right w:val="single" w:color="auto" w:sz="4" w:space="0"/>
                  </w:tcBorders>
                  <w:vAlign w:val="center"/>
                </w:tcPr>
                <w:p>
                  <w:pPr>
                    <w:widowControl/>
                    <w:jc w:val="center"/>
                    <w:rPr>
                      <w:kern w:val="0"/>
                      <w:szCs w:val="21"/>
                    </w:rPr>
                  </w:pPr>
                  <w:r>
                    <w:rPr>
                      <w:rFonts w:hint="eastAsia"/>
                      <w:kern w:val="0"/>
                      <w:szCs w:val="21"/>
                    </w:rPr>
                    <w:t>生产用水冷却水池循环利用，不外排</w:t>
                  </w:r>
                </w:p>
              </w:tc>
              <w:tc>
                <w:tcPr>
                  <w:tcW w:w="725" w:type="dxa"/>
                  <w:vAlign w:val="center"/>
                </w:tcPr>
                <w:p>
                  <w:pPr>
                    <w:widowControl/>
                    <w:jc w:val="center"/>
                    <w:rPr>
                      <w:kern w:val="0"/>
                      <w:szCs w:val="21"/>
                    </w:rPr>
                  </w:pPr>
                  <w:r>
                    <w:rPr>
                      <w:rFonts w:hint="eastAsia"/>
                      <w:ker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426" w:type="dxa"/>
                  <w:vMerge w:val="continue"/>
                  <w:vAlign w:val="center"/>
                </w:tcPr>
                <w:p>
                  <w:pPr>
                    <w:widowControl/>
                    <w:jc w:val="center"/>
                  </w:pPr>
                </w:p>
              </w:tc>
              <w:tc>
                <w:tcPr>
                  <w:tcW w:w="738" w:type="dxa"/>
                  <w:vMerge w:val="continue"/>
                  <w:vAlign w:val="center"/>
                </w:tcPr>
                <w:p>
                  <w:pPr>
                    <w:widowControl/>
                    <w:jc w:val="center"/>
                  </w:pPr>
                </w:p>
              </w:tc>
              <w:tc>
                <w:tcPr>
                  <w:tcW w:w="6136" w:type="dxa"/>
                  <w:gridSpan w:val="2"/>
                  <w:tcBorders>
                    <w:right w:val="single" w:color="auto" w:sz="4" w:space="0"/>
                  </w:tcBorders>
                  <w:vAlign w:val="center"/>
                </w:tcPr>
                <w:p>
                  <w:pPr>
                    <w:widowControl/>
                    <w:jc w:val="center"/>
                    <w:rPr>
                      <w:kern w:val="0"/>
                      <w:szCs w:val="21"/>
                    </w:rPr>
                  </w:pPr>
                  <w:r>
                    <w:rPr>
                      <w:rFonts w:hint="eastAsia"/>
                      <w:bCs/>
                      <w:kern w:val="0"/>
                      <w:szCs w:val="21"/>
                    </w:rPr>
                    <w:t>生活污水排入下水管网进昌吉市污水处理厂处理</w:t>
                  </w:r>
                </w:p>
              </w:tc>
              <w:tc>
                <w:tcPr>
                  <w:tcW w:w="725" w:type="dxa"/>
                  <w:vAlign w:val="center"/>
                </w:tcPr>
                <w:p>
                  <w:pPr>
                    <w:widowControl/>
                    <w:jc w:val="center"/>
                    <w:rPr>
                      <w:kern w:val="0"/>
                      <w:szCs w:val="21"/>
                    </w:rPr>
                  </w:pPr>
                  <w:r>
                    <w:rPr>
                      <w:rFonts w:hint="eastAsia"/>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26" w:type="dxa"/>
                  <w:vMerge w:val="continue"/>
                  <w:vAlign w:val="center"/>
                </w:tcPr>
                <w:p>
                  <w:pPr>
                    <w:widowControl/>
                    <w:jc w:val="center"/>
                    <w:rPr>
                      <w:kern w:val="0"/>
                      <w:szCs w:val="21"/>
                    </w:rPr>
                  </w:pPr>
                </w:p>
              </w:tc>
              <w:tc>
                <w:tcPr>
                  <w:tcW w:w="738" w:type="dxa"/>
                  <w:vAlign w:val="center"/>
                </w:tcPr>
                <w:p>
                  <w:pPr>
                    <w:widowControl/>
                    <w:jc w:val="center"/>
                    <w:rPr>
                      <w:kern w:val="0"/>
                      <w:szCs w:val="21"/>
                    </w:rPr>
                  </w:pPr>
                  <w:r>
                    <w:rPr>
                      <w:rFonts w:hAnsi="宋体"/>
                      <w:kern w:val="0"/>
                      <w:szCs w:val="21"/>
                    </w:rPr>
                    <w:t>供电</w:t>
                  </w:r>
                </w:p>
              </w:tc>
              <w:tc>
                <w:tcPr>
                  <w:tcW w:w="6136" w:type="dxa"/>
                  <w:gridSpan w:val="2"/>
                  <w:tcBorders>
                    <w:right w:val="single" w:color="auto" w:sz="4" w:space="0"/>
                  </w:tcBorders>
                  <w:vAlign w:val="center"/>
                </w:tcPr>
                <w:p>
                  <w:pPr>
                    <w:widowControl/>
                    <w:jc w:val="center"/>
                    <w:rPr>
                      <w:kern w:val="0"/>
                      <w:szCs w:val="21"/>
                    </w:rPr>
                  </w:pPr>
                  <w:r>
                    <w:rPr>
                      <w:rFonts w:hint="eastAsia" w:hAnsi="宋体"/>
                      <w:kern w:val="0"/>
                      <w:szCs w:val="21"/>
                    </w:rPr>
                    <w:t>由三工</w:t>
                  </w:r>
                  <w:r>
                    <w:rPr>
                      <w:rFonts w:hint="eastAsia" w:hAnsi="宋体"/>
                      <w:kern w:val="0"/>
                      <w:szCs w:val="21"/>
                      <w:lang w:eastAsia="zh-CN"/>
                    </w:rPr>
                    <w:t>镇供电</w:t>
                  </w:r>
                  <w:r>
                    <w:rPr>
                      <w:rFonts w:hint="eastAsia" w:hAnsi="宋体"/>
                      <w:kern w:val="0"/>
                      <w:szCs w:val="21"/>
                    </w:rPr>
                    <w:t>电网供给</w:t>
                  </w:r>
                </w:p>
              </w:tc>
              <w:tc>
                <w:tcPr>
                  <w:tcW w:w="725" w:type="dxa"/>
                  <w:vAlign w:val="center"/>
                </w:tcPr>
                <w:p>
                  <w:pPr>
                    <w:widowControl/>
                    <w:jc w:val="center"/>
                    <w:rPr>
                      <w:kern w:val="0"/>
                      <w:szCs w:val="21"/>
                    </w:rPr>
                  </w:pPr>
                  <w:r>
                    <w:rPr>
                      <w:rFonts w:hint="eastAsia"/>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26" w:type="dxa"/>
                  <w:vMerge w:val="continue"/>
                  <w:vAlign w:val="center"/>
                </w:tcPr>
                <w:p>
                  <w:pPr>
                    <w:widowControl/>
                    <w:jc w:val="center"/>
                    <w:rPr>
                      <w:kern w:val="0"/>
                      <w:szCs w:val="21"/>
                    </w:rPr>
                  </w:pPr>
                </w:p>
              </w:tc>
              <w:tc>
                <w:tcPr>
                  <w:tcW w:w="738" w:type="dxa"/>
                  <w:vAlign w:val="center"/>
                </w:tcPr>
                <w:p>
                  <w:pPr>
                    <w:widowControl/>
                    <w:jc w:val="center"/>
                    <w:rPr>
                      <w:kern w:val="0"/>
                      <w:szCs w:val="21"/>
                    </w:rPr>
                  </w:pPr>
                  <w:r>
                    <w:rPr>
                      <w:rFonts w:hAnsi="宋体"/>
                      <w:kern w:val="0"/>
                      <w:szCs w:val="21"/>
                    </w:rPr>
                    <w:t>供热</w:t>
                  </w:r>
                </w:p>
              </w:tc>
              <w:tc>
                <w:tcPr>
                  <w:tcW w:w="6136" w:type="dxa"/>
                  <w:gridSpan w:val="2"/>
                  <w:tcBorders>
                    <w:right w:val="single" w:color="auto" w:sz="4" w:space="0"/>
                  </w:tcBorders>
                  <w:vAlign w:val="center"/>
                </w:tcPr>
                <w:p>
                  <w:pPr>
                    <w:widowControl/>
                    <w:jc w:val="center"/>
                    <w:rPr>
                      <w:kern w:val="0"/>
                      <w:szCs w:val="21"/>
                    </w:rPr>
                  </w:pPr>
                  <w:r>
                    <w:rPr>
                      <w:rFonts w:hint="eastAsia" w:hAnsi="宋体"/>
                      <w:kern w:val="0"/>
                      <w:szCs w:val="21"/>
                    </w:rPr>
                    <w:t>冬季不生产</w:t>
                  </w:r>
                </w:p>
              </w:tc>
              <w:tc>
                <w:tcPr>
                  <w:tcW w:w="725" w:type="dxa"/>
                  <w:vAlign w:val="center"/>
                </w:tcPr>
                <w:p>
                  <w:pPr>
                    <w:widowControl/>
                    <w:jc w:val="center"/>
                    <w:rPr>
                      <w:kern w:val="0"/>
                      <w:szCs w:val="21"/>
                    </w:rPr>
                  </w:pPr>
                  <w:r>
                    <w:rPr>
                      <w:rFonts w:hint="eastAsia"/>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26" w:type="dxa"/>
                  <w:vMerge w:val="restart"/>
                  <w:vAlign w:val="center"/>
                </w:tcPr>
                <w:p>
                  <w:pPr>
                    <w:widowControl/>
                    <w:jc w:val="center"/>
                    <w:rPr>
                      <w:kern w:val="0"/>
                      <w:szCs w:val="21"/>
                    </w:rPr>
                  </w:pPr>
                  <w:r>
                    <w:rPr>
                      <w:rFonts w:hAnsi="宋体"/>
                      <w:kern w:val="0"/>
                      <w:szCs w:val="21"/>
                    </w:rPr>
                    <w:t>环保工程</w:t>
                  </w:r>
                </w:p>
              </w:tc>
              <w:tc>
                <w:tcPr>
                  <w:tcW w:w="738" w:type="dxa"/>
                  <w:vAlign w:val="center"/>
                </w:tcPr>
                <w:p>
                  <w:pPr>
                    <w:widowControl/>
                    <w:jc w:val="center"/>
                    <w:rPr>
                      <w:kern w:val="0"/>
                      <w:szCs w:val="21"/>
                    </w:rPr>
                  </w:pPr>
                  <w:r>
                    <w:rPr>
                      <w:rFonts w:hAnsi="宋体"/>
                      <w:kern w:val="0"/>
                      <w:szCs w:val="21"/>
                    </w:rPr>
                    <w:t>废气</w:t>
                  </w:r>
                </w:p>
              </w:tc>
              <w:tc>
                <w:tcPr>
                  <w:tcW w:w="6136" w:type="dxa"/>
                  <w:gridSpan w:val="2"/>
                  <w:tcBorders>
                    <w:right w:val="single" w:color="auto" w:sz="4" w:space="0"/>
                  </w:tcBorders>
                  <w:vAlign w:val="center"/>
                </w:tcPr>
                <w:p>
                  <w:pPr>
                    <w:widowControl/>
                    <w:jc w:val="center"/>
                    <w:rPr>
                      <w:kern w:val="0"/>
                      <w:szCs w:val="21"/>
                    </w:rPr>
                  </w:pPr>
                  <w:r>
                    <w:rPr>
                      <w:rFonts w:hint="eastAsia"/>
                      <w:kern w:val="0"/>
                      <w:szCs w:val="21"/>
                    </w:rPr>
                    <w:t>塑料果蔬筐生产工序废气通过集气罩收集后经二级活性炭吸附装置处理后由15m高排气筒排放</w:t>
                  </w:r>
                </w:p>
              </w:tc>
              <w:tc>
                <w:tcPr>
                  <w:tcW w:w="725" w:type="dxa"/>
                  <w:vAlign w:val="center"/>
                </w:tcPr>
                <w:p>
                  <w:pPr>
                    <w:widowControl/>
                    <w:jc w:val="center"/>
                    <w:rPr>
                      <w:kern w:val="0"/>
                      <w:szCs w:val="21"/>
                    </w:rPr>
                  </w:pPr>
                  <w:r>
                    <w:rPr>
                      <w:rFonts w:hint="eastAsia"/>
                      <w:ker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26" w:type="dxa"/>
                  <w:vMerge w:val="continue"/>
                  <w:vAlign w:val="center"/>
                </w:tcPr>
                <w:p>
                  <w:pPr>
                    <w:widowControl/>
                    <w:jc w:val="center"/>
                    <w:rPr>
                      <w:kern w:val="0"/>
                      <w:szCs w:val="21"/>
                    </w:rPr>
                  </w:pPr>
                </w:p>
              </w:tc>
              <w:tc>
                <w:tcPr>
                  <w:tcW w:w="738" w:type="dxa"/>
                  <w:vMerge w:val="restart"/>
                  <w:vAlign w:val="center"/>
                </w:tcPr>
                <w:p>
                  <w:pPr>
                    <w:widowControl/>
                    <w:jc w:val="center"/>
                    <w:rPr>
                      <w:kern w:val="0"/>
                      <w:szCs w:val="21"/>
                    </w:rPr>
                  </w:pPr>
                  <w:r>
                    <w:rPr>
                      <w:rFonts w:hAnsi="宋体"/>
                      <w:kern w:val="0"/>
                      <w:szCs w:val="21"/>
                    </w:rPr>
                    <w:t>废水</w:t>
                  </w:r>
                </w:p>
              </w:tc>
              <w:tc>
                <w:tcPr>
                  <w:tcW w:w="1127" w:type="dxa"/>
                  <w:vAlign w:val="center"/>
                </w:tcPr>
                <w:p>
                  <w:pPr>
                    <w:widowControl/>
                    <w:jc w:val="center"/>
                    <w:rPr>
                      <w:kern w:val="0"/>
                      <w:szCs w:val="21"/>
                    </w:rPr>
                  </w:pPr>
                  <w:r>
                    <w:rPr>
                      <w:rFonts w:hint="eastAsia"/>
                      <w:kern w:val="0"/>
                      <w:szCs w:val="21"/>
                    </w:rPr>
                    <w:t>生产用水</w:t>
                  </w:r>
                </w:p>
              </w:tc>
              <w:tc>
                <w:tcPr>
                  <w:tcW w:w="5009" w:type="dxa"/>
                  <w:tcBorders>
                    <w:right w:val="single" w:color="auto" w:sz="4" w:space="0"/>
                  </w:tcBorders>
                  <w:vAlign w:val="center"/>
                </w:tcPr>
                <w:p>
                  <w:pPr>
                    <w:widowControl/>
                    <w:jc w:val="center"/>
                    <w:rPr>
                      <w:kern w:val="0"/>
                      <w:szCs w:val="21"/>
                    </w:rPr>
                  </w:pPr>
                  <w:r>
                    <w:rPr>
                      <w:rFonts w:hint="eastAsia"/>
                      <w:kern w:val="0"/>
                      <w:szCs w:val="21"/>
                    </w:rPr>
                    <w:t>项目生产用水经冷却水池循环使用不外排</w:t>
                  </w:r>
                </w:p>
              </w:tc>
              <w:tc>
                <w:tcPr>
                  <w:tcW w:w="725" w:type="dxa"/>
                  <w:vAlign w:val="center"/>
                </w:tcPr>
                <w:p>
                  <w:pPr>
                    <w:widowControl/>
                    <w:jc w:val="center"/>
                    <w:rPr>
                      <w:kern w:val="0"/>
                      <w:szCs w:val="21"/>
                    </w:rPr>
                  </w:pPr>
                  <w:r>
                    <w:rPr>
                      <w:rFonts w:hint="eastAsia"/>
                      <w:ker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26" w:type="dxa"/>
                  <w:vMerge w:val="continue"/>
                  <w:vAlign w:val="center"/>
                </w:tcPr>
                <w:p>
                  <w:pPr>
                    <w:widowControl/>
                    <w:jc w:val="center"/>
                    <w:rPr>
                      <w:kern w:val="0"/>
                      <w:szCs w:val="21"/>
                    </w:rPr>
                  </w:pPr>
                </w:p>
              </w:tc>
              <w:tc>
                <w:tcPr>
                  <w:tcW w:w="738" w:type="dxa"/>
                  <w:vMerge w:val="continue"/>
                  <w:vAlign w:val="center"/>
                </w:tcPr>
                <w:p>
                  <w:pPr>
                    <w:widowControl/>
                    <w:jc w:val="center"/>
                    <w:rPr>
                      <w:rFonts w:hAnsi="宋体"/>
                      <w:kern w:val="0"/>
                      <w:szCs w:val="21"/>
                    </w:rPr>
                  </w:pPr>
                </w:p>
              </w:tc>
              <w:tc>
                <w:tcPr>
                  <w:tcW w:w="1127" w:type="dxa"/>
                  <w:vAlign w:val="center"/>
                </w:tcPr>
                <w:p>
                  <w:pPr>
                    <w:widowControl/>
                    <w:jc w:val="center"/>
                    <w:rPr>
                      <w:kern w:val="0"/>
                      <w:szCs w:val="21"/>
                    </w:rPr>
                  </w:pPr>
                  <w:r>
                    <w:rPr>
                      <w:rFonts w:hint="eastAsia"/>
                      <w:kern w:val="0"/>
                      <w:szCs w:val="21"/>
                    </w:rPr>
                    <w:t>生活污水</w:t>
                  </w:r>
                </w:p>
              </w:tc>
              <w:tc>
                <w:tcPr>
                  <w:tcW w:w="5009" w:type="dxa"/>
                  <w:tcBorders>
                    <w:right w:val="single" w:color="auto" w:sz="4" w:space="0"/>
                  </w:tcBorders>
                  <w:vAlign w:val="center"/>
                </w:tcPr>
                <w:p>
                  <w:pPr>
                    <w:widowControl/>
                    <w:jc w:val="center"/>
                    <w:rPr>
                      <w:kern w:val="0"/>
                      <w:szCs w:val="21"/>
                    </w:rPr>
                  </w:pPr>
                  <w:r>
                    <w:rPr>
                      <w:rFonts w:hint="eastAsia"/>
                      <w:bCs/>
                      <w:kern w:val="0"/>
                      <w:szCs w:val="21"/>
                    </w:rPr>
                    <w:t>生活污水排入下水管网进昌吉市污水处理厂处理</w:t>
                  </w:r>
                </w:p>
              </w:tc>
              <w:tc>
                <w:tcPr>
                  <w:tcW w:w="725" w:type="dxa"/>
                  <w:vAlign w:val="center"/>
                </w:tcPr>
                <w:p>
                  <w:pPr>
                    <w:widowControl/>
                    <w:jc w:val="center"/>
                    <w:rPr>
                      <w:kern w:val="0"/>
                      <w:szCs w:val="21"/>
                    </w:rPr>
                  </w:pPr>
                  <w:r>
                    <w:rPr>
                      <w:rFonts w:hint="eastAsia"/>
                      <w:kern w:val="0"/>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26" w:type="dxa"/>
                  <w:vMerge w:val="continue"/>
                  <w:vAlign w:val="center"/>
                </w:tcPr>
                <w:p>
                  <w:pPr>
                    <w:widowControl/>
                    <w:jc w:val="center"/>
                    <w:rPr>
                      <w:kern w:val="0"/>
                      <w:szCs w:val="21"/>
                    </w:rPr>
                  </w:pPr>
                </w:p>
              </w:tc>
              <w:tc>
                <w:tcPr>
                  <w:tcW w:w="738" w:type="dxa"/>
                  <w:vAlign w:val="center"/>
                </w:tcPr>
                <w:p>
                  <w:pPr>
                    <w:widowControl/>
                    <w:jc w:val="center"/>
                    <w:rPr>
                      <w:kern w:val="0"/>
                      <w:szCs w:val="21"/>
                    </w:rPr>
                  </w:pPr>
                  <w:r>
                    <w:rPr>
                      <w:rFonts w:hAnsi="宋体"/>
                      <w:kern w:val="0"/>
                      <w:szCs w:val="21"/>
                    </w:rPr>
                    <w:t>噪声</w:t>
                  </w:r>
                </w:p>
              </w:tc>
              <w:tc>
                <w:tcPr>
                  <w:tcW w:w="6136" w:type="dxa"/>
                  <w:gridSpan w:val="2"/>
                  <w:tcBorders>
                    <w:right w:val="single" w:color="auto" w:sz="4" w:space="0"/>
                  </w:tcBorders>
                  <w:vAlign w:val="center"/>
                </w:tcPr>
                <w:p>
                  <w:pPr>
                    <w:widowControl/>
                    <w:jc w:val="center"/>
                    <w:rPr>
                      <w:kern w:val="0"/>
                      <w:szCs w:val="21"/>
                    </w:rPr>
                  </w:pPr>
                  <w:r>
                    <w:rPr>
                      <w:rFonts w:hint="eastAsia" w:hAnsi="宋体"/>
                      <w:kern w:val="0"/>
                      <w:szCs w:val="21"/>
                    </w:rPr>
                    <w:t>高噪声设备加装减震垫等</w:t>
                  </w:r>
                </w:p>
              </w:tc>
              <w:tc>
                <w:tcPr>
                  <w:tcW w:w="725" w:type="dxa"/>
                  <w:vAlign w:val="center"/>
                </w:tcPr>
                <w:p>
                  <w:pPr>
                    <w:widowControl/>
                    <w:jc w:val="center"/>
                    <w:rPr>
                      <w:kern w:val="0"/>
                      <w:szCs w:val="21"/>
                    </w:rPr>
                  </w:pPr>
                  <w:r>
                    <w:rPr>
                      <w:rFonts w:hint="eastAsia"/>
                      <w:ker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426" w:type="dxa"/>
                  <w:vMerge w:val="continue"/>
                  <w:vAlign w:val="center"/>
                </w:tcPr>
                <w:p>
                  <w:pPr>
                    <w:widowControl/>
                    <w:jc w:val="center"/>
                    <w:rPr>
                      <w:kern w:val="0"/>
                      <w:szCs w:val="21"/>
                    </w:rPr>
                  </w:pPr>
                </w:p>
              </w:tc>
              <w:tc>
                <w:tcPr>
                  <w:tcW w:w="738" w:type="dxa"/>
                  <w:vMerge w:val="restart"/>
                  <w:vAlign w:val="center"/>
                </w:tcPr>
                <w:p>
                  <w:pPr>
                    <w:widowControl/>
                    <w:jc w:val="center"/>
                    <w:rPr>
                      <w:kern w:val="0"/>
                      <w:szCs w:val="21"/>
                    </w:rPr>
                  </w:pPr>
                  <w:r>
                    <w:rPr>
                      <w:rFonts w:hAnsi="宋体"/>
                      <w:kern w:val="0"/>
                      <w:szCs w:val="21"/>
                    </w:rPr>
                    <w:t>固体废物</w:t>
                  </w:r>
                </w:p>
              </w:tc>
              <w:tc>
                <w:tcPr>
                  <w:tcW w:w="1127" w:type="dxa"/>
                  <w:vAlign w:val="center"/>
                </w:tcPr>
                <w:p>
                  <w:pPr>
                    <w:widowControl/>
                    <w:jc w:val="center"/>
                    <w:rPr>
                      <w:kern w:val="0"/>
                      <w:szCs w:val="21"/>
                    </w:rPr>
                  </w:pPr>
                  <w:r>
                    <w:rPr>
                      <w:rFonts w:hint="eastAsia"/>
                      <w:kern w:val="0"/>
                      <w:szCs w:val="21"/>
                    </w:rPr>
                    <w:t>生活垃圾</w:t>
                  </w:r>
                </w:p>
              </w:tc>
              <w:tc>
                <w:tcPr>
                  <w:tcW w:w="5009" w:type="dxa"/>
                  <w:tcBorders>
                    <w:right w:val="single" w:color="auto" w:sz="4" w:space="0"/>
                  </w:tcBorders>
                  <w:vAlign w:val="center"/>
                </w:tcPr>
                <w:p>
                  <w:pPr>
                    <w:widowControl/>
                    <w:jc w:val="center"/>
                    <w:rPr>
                      <w:kern w:val="0"/>
                      <w:szCs w:val="21"/>
                    </w:rPr>
                  </w:pPr>
                  <w:r>
                    <w:rPr>
                      <w:rFonts w:hint="eastAsia"/>
                      <w:kern w:val="0"/>
                      <w:szCs w:val="21"/>
                    </w:rPr>
                    <w:t>经收集后由环卫部门清运处置</w:t>
                  </w:r>
                </w:p>
              </w:tc>
              <w:tc>
                <w:tcPr>
                  <w:tcW w:w="725" w:type="dxa"/>
                  <w:vAlign w:val="center"/>
                </w:tcPr>
                <w:p>
                  <w:pPr>
                    <w:widowControl/>
                    <w:jc w:val="center"/>
                    <w:rPr>
                      <w:kern w:val="0"/>
                      <w:szCs w:val="21"/>
                    </w:rPr>
                  </w:pPr>
                  <w:r>
                    <w:rPr>
                      <w:rFonts w:hint="eastAsia"/>
                      <w:kern w:val="0"/>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26" w:type="dxa"/>
                  <w:vMerge w:val="continue"/>
                  <w:vAlign w:val="center"/>
                </w:tcPr>
                <w:p>
                  <w:pPr>
                    <w:widowControl/>
                    <w:jc w:val="center"/>
                    <w:rPr>
                      <w:kern w:val="0"/>
                      <w:szCs w:val="21"/>
                    </w:rPr>
                  </w:pPr>
                </w:p>
              </w:tc>
              <w:tc>
                <w:tcPr>
                  <w:tcW w:w="738" w:type="dxa"/>
                  <w:vMerge w:val="continue"/>
                  <w:vAlign w:val="center"/>
                </w:tcPr>
                <w:p>
                  <w:pPr>
                    <w:widowControl/>
                    <w:jc w:val="center"/>
                    <w:rPr>
                      <w:rFonts w:hAnsi="宋体"/>
                      <w:kern w:val="0"/>
                      <w:szCs w:val="21"/>
                    </w:rPr>
                  </w:pPr>
                </w:p>
              </w:tc>
              <w:tc>
                <w:tcPr>
                  <w:tcW w:w="1127" w:type="dxa"/>
                  <w:vAlign w:val="center"/>
                </w:tcPr>
                <w:p>
                  <w:pPr>
                    <w:widowControl/>
                    <w:jc w:val="center"/>
                    <w:rPr>
                      <w:kern w:val="0"/>
                      <w:szCs w:val="21"/>
                    </w:rPr>
                  </w:pPr>
                  <w:r>
                    <w:rPr>
                      <w:rFonts w:hint="eastAsia"/>
                      <w:kern w:val="0"/>
                      <w:szCs w:val="21"/>
                    </w:rPr>
                    <w:t>不合格品</w:t>
                  </w:r>
                </w:p>
              </w:tc>
              <w:tc>
                <w:tcPr>
                  <w:tcW w:w="5009" w:type="dxa"/>
                  <w:tcBorders>
                    <w:right w:val="single" w:color="auto" w:sz="4" w:space="0"/>
                  </w:tcBorders>
                  <w:vAlign w:val="center"/>
                </w:tcPr>
                <w:p>
                  <w:pPr>
                    <w:widowControl/>
                    <w:jc w:val="center"/>
                    <w:rPr>
                      <w:kern w:val="0"/>
                      <w:szCs w:val="21"/>
                    </w:rPr>
                  </w:pPr>
                  <w:r>
                    <w:rPr>
                      <w:rFonts w:hint="eastAsia"/>
                      <w:kern w:val="0"/>
                      <w:szCs w:val="21"/>
                    </w:rPr>
                    <w:t>收集后经破碎后回用于生产</w:t>
                  </w:r>
                </w:p>
              </w:tc>
              <w:tc>
                <w:tcPr>
                  <w:tcW w:w="725" w:type="dxa"/>
                  <w:vAlign w:val="center"/>
                </w:tcPr>
                <w:p>
                  <w:pPr>
                    <w:widowControl/>
                    <w:jc w:val="center"/>
                    <w:rPr>
                      <w:kern w:val="0"/>
                      <w:szCs w:val="21"/>
                    </w:rPr>
                  </w:pPr>
                  <w:r>
                    <w:rPr>
                      <w:rFonts w:hint="eastAsia"/>
                      <w:kern w:val="0"/>
                      <w:szCs w:val="21"/>
                    </w:rPr>
                    <w:t>/</w:t>
                  </w:r>
                </w:p>
              </w:tc>
            </w:tr>
          </w:tbl>
          <w:p>
            <w:pPr>
              <w:adjustRightInd w:val="0"/>
              <w:snapToGrid w:val="0"/>
              <w:spacing w:line="480" w:lineRule="exact"/>
              <w:ind w:firstLine="480" w:firstLineChars="200"/>
              <w:rPr>
                <w:sz w:val="24"/>
              </w:rPr>
            </w:pPr>
            <w:r>
              <w:rPr>
                <w:rFonts w:hint="eastAsia"/>
                <w:sz w:val="24"/>
              </w:rPr>
              <w:t>2、</w:t>
            </w:r>
            <w:r>
              <w:rPr>
                <w:sz w:val="24"/>
              </w:rPr>
              <w:t>项目主要原辅材料及能源消耗</w:t>
            </w:r>
          </w:p>
          <w:p>
            <w:pPr>
              <w:adjustRightInd w:val="0"/>
              <w:snapToGrid w:val="0"/>
              <w:spacing w:line="480" w:lineRule="exact"/>
              <w:ind w:firstLine="480" w:firstLineChars="200"/>
              <w:rPr>
                <w:rFonts w:hint="eastAsia" w:eastAsia="宋体"/>
                <w:bCs/>
                <w:sz w:val="24"/>
                <w:lang w:eastAsia="zh-CN"/>
              </w:rPr>
            </w:pPr>
            <w:r>
              <w:rPr>
                <w:bCs/>
                <w:sz w:val="24"/>
              </w:rPr>
              <w:t>本项目原辅材料名称、年消耗量见表2-</w:t>
            </w:r>
            <w:r>
              <w:rPr>
                <w:rFonts w:hint="eastAsia"/>
                <w:bCs/>
                <w:sz w:val="24"/>
              </w:rPr>
              <w:t>2</w:t>
            </w:r>
            <w:r>
              <w:rPr>
                <w:bCs/>
                <w:sz w:val="24"/>
              </w:rPr>
              <w:t>。</w:t>
            </w:r>
            <w:r>
              <w:rPr>
                <w:rFonts w:hint="eastAsia"/>
                <w:bCs/>
                <w:sz w:val="24"/>
                <w:lang w:eastAsia="zh-CN"/>
              </w:rPr>
              <w:t>原辅料堆存于生产车间。</w:t>
            </w:r>
          </w:p>
          <w:p>
            <w:pPr>
              <w:pStyle w:val="54"/>
              <w:spacing w:line="240" w:lineRule="auto"/>
              <w:ind w:firstLine="420"/>
              <w:rPr>
                <w:rFonts w:hAnsi="Times New Roman" w:eastAsia="黑体"/>
                <w:b w:val="0"/>
                <w:bCs w:val="0"/>
                <w:color w:val="000000" w:themeColor="text1"/>
                <w:sz w:val="21"/>
                <w:szCs w:val="21"/>
              </w:rPr>
            </w:pPr>
            <w:r>
              <w:rPr>
                <w:rFonts w:hAnsi="Times New Roman" w:eastAsia="黑体"/>
                <w:b w:val="0"/>
                <w:bCs w:val="0"/>
                <w:color w:val="000000" w:themeColor="text1"/>
                <w:sz w:val="21"/>
                <w:szCs w:val="21"/>
              </w:rPr>
              <w:t>表2-</w:t>
            </w:r>
            <w:r>
              <w:rPr>
                <w:rFonts w:hint="eastAsia" w:hAnsi="Times New Roman" w:eastAsia="黑体"/>
                <w:b w:val="0"/>
                <w:bCs w:val="0"/>
                <w:color w:val="000000" w:themeColor="text1"/>
                <w:sz w:val="21"/>
                <w:szCs w:val="21"/>
              </w:rPr>
              <w:t>2</w:t>
            </w:r>
            <w:r>
              <w:rPr>
                <w:rFonts w:hAnsi="Times New Roman" w:eastAsia="黑体"/>
                <w:b w:val="0"/>
                <w:bCs w:val="0"/>
                <w:color w:val="000000" w:themeColor="text1"/>
                <w:sz w:val="21"/>
                <w:szCs w:val="21"/>
              </w:rPr>
              <w:t xml:space="preserve">                 项目主要原辅材料消耗一览表</w:t>
            </w:r>
          </w:p>
          <w:tbl>
            <w:tblPr>
              <w:tblStyle w:val="25"/>
              <w:tblW w:w="802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7"/>
              <w:gridCol w:w="1877"/>
              <w:gridCol w:w="1877"/>
              <w:gridCol w:w="1877"/>
              <w:gridCol w:w="17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657" w:type="dxa"/>
                  <w:tcBorders>
                    <w:top w:val="single" w:color="000000" w:sz="12" w:space="0"/>
                    <w:left w:val="nil"/>
                    <w:bottom w:val="single" w:color="000000" w:sz="4" w:space="0"/>
                    <w:right w:val="single" w:color="000000" w:sz="4" w:space="0"/>
                  </w:tcBorders>
                  <w:vAlign w:val="center"/>
                </w:tcPr>
                <w:p>
                  <w:pPr>
                    <w:widowControl/>
                    <w:jc w:val="center"/>
                    <w:rPr>
                      <w:color w:val="000000" w:themeColor="text1"/>
                      <w:kern w:val="0"/>
                      <w:szCs w:val="21"/>
                    </w:rPr>
                  </w:pPr>
                  <w:r>
                    <w:rPr>
                      <w:color w:val="000000" w:themeColor="text1"/>
                      <w:kern w:val="0"/>
                      <w:szCs w:val="21"/>
                    </w:rPr>
                    <w:t>序号</w:t>
                  </w:r>
                </w:p>
              </w:tc>
              <w:tc>
                <w:tcPr>
                  <w:tcW w:w="1877" w:type="dxa"/>
                  <w:tcBorders>
                    <w:top w:val="single" w:color="000000" w:sz="12"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rPr>
                  </w:pPr>
                  <w:r>
                    <w:rPr>
                      <w:color w:val="000000" w:themeColor="text1"/>
                      <w:kern w:val="0"/>
                      <w:szCs w:val="21"/>
                    </w:rPr>
                    <w:t>名称</w:t>
                  </w:r>
                </w:p>
              </w:tc>
              <w:tc>
                <w:tcPr>
                  <w:tcW w:w="1877" w:type="dxa"/>
                  <w:tcBorders>
                    <w:top w:val="single" w:color="000000" w:sz="12"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rPr>
                  </w:pPr>
                  <w:r>
                    <w:rPr>
                      <w:rFonts w:hint="eastAsia"/>
                      <w:color w:val="000000" w:themeColor="text1"/>
                      <w:kern w:val="0"/>
                      <w:szCs w:val="21"/>
                    </w:rPr>
                    <w:t>单位</w:t>
                  </w:r>
                </w:p>
              </w:tc>
              <w:tc>
                <w:tcPr>
                  <w:tcW w:w="1877" w:type="dxa"/>
                  <w:tcBorders>
                    <w:top w:val="single" w:color="000000" w:sz="12"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rPr>
                  </w:pPr>
                  <w:r>
                    <w:rPr>
                      <w:color w:val="000000" w:themeColor="text1"/>
                      <w:kern w:val="0"/>
                      <w:szCs w:val="21"/>
                    </w:rPr>
                    <w:t>年耗量</w:t>
                  </w:r>
                </w:p>
              </w:tc>
              <w:tc>
                <w:tcPr>
                  <w:tcW w:w="1739" w:type="dxa"/>
                  <w:tcBorders>
                    <w:top w:val="single" w:color="000000" w:sz="12" w:space="0"/>
                    <w:left w:val="single" w:color="000000" w:sz="4" w:space="0"/>
                    <w:bottom w:val="single" w:color="000000" w:sz="4" w:space="0"/>
                    <w:right w:val="nil"/>
                  </w:tcBorders>
                  <w:vAlign w:val="center"/>
                </w:tcPr>
                <w:p>
                  <w:pPr>
                    <w:widowControl/>
                    <w:jc w:val="center"/>
                    <w:rPr>
                      <w:color w:val="000000" w:themeColor="text1"/>
                      <w:kern w:val="0"/>
                      <w:szCs w:val="21"/>
                    </w:rPr>
                  </w:pPr>
                  <w:r>
                    <w:rPr>
                      <w:color w:val="000000" w:themeColor="text1"/>
                      <w:kern w:val="0"/>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657" w:type="dxa"/>
                  <w:tcBorders>
                    <w:top w:val="single" w:color="000000" w:sz="4" w:space="0"/>
                    <w:left w:val="nil"/>
                    <w:bottom w:val="single" w:color="000000" w:sz="4" w:space="0"/>
                    <w:right w:val="single" w:color="000000" w:sz="4" w:space="0"/>
                  </w:tcBorders>
                  <w:vAlign w:val="center"/>
                </w:tcPr>
                <w:p>
                  <w:pPr>
                    <w:widowControl/>
                    <w:jc w:val="center"/>
                    <w:rPr>
                      <w:color w:val="000000" w:themeColor="text1"/>
                      <w:kern w:val="0"/>
                      <w:szCs w:val="21"/>
                    </w:rPr>
                  </w:pPr>
                  <w:r>
                    <w:rPr>
                      <w:color w:val="000000" w:themeColor="text1"/>
                      <w:kern w:val="0"/>
                      <w:szCs w:val="21"/>
                    </w:rPr>
                    <w:t>1</w:t>
                  </w:r>
                </w:p>
              </w:tc>
              <w:tc>
                <w:tcPr>
                  <w:tcW w:w="1877"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lang w:bidi="en-US"/>
                    </w:rPr>
                  </w:pPr>
                  <w:r>
                    <w:rPr>
                      <w:rFonts w:hint="eastAsia"/>
                      <w:color w:val="000000" w:themeColor="text1"/>
                      <w:kern w:val="0"/>
                      <w:szCs w:val="21"/>
                      <w:lang w:bidi="en-US"/>
                    </w:rPr>
                    <w:t>聚丙烯颗粒料</w:t>
                  </w:r>
                </w:p>
              </w:tc>
              <w:tc>
                <w:tcPr>
                  <w:tcW w:w="1877"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rPr>
                  </w:pPr>
                  <w:r>
                    <w:rPr>
                      <w:rFonts w:hint="eastAsia"/>
                      <w:color w:val="000000" w:themeColor="text1"/>
                      <w:kern w:val="0"/>
                      <w:szCs w:val="21"/>
                    </w:rPr>
                    <w:t>t/a</w:t>
                  </w:r>
                </w:p>
              </w:tc>
              <w:tc>
                <w:tcPr>
                  <w:tcW w:w="18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eastAsia="宋体"/>
                      <w:color w:val="000000" w:themeColor="text1"/>
                      <w:kern w:val="0"/>
                      <w:szCs w:val="21"/>
                      <w:lang w:val="en-US" w:eastAsia="zh-CN"/>
                    </w:rPr>
                  </w:pPr>
                  <w:r>
                    <w:rPr>
                      <w:rFonts w:hint="eastAsia"/>
                      <w:color w:val="000000" w:themeColor="text1"/>
                      <w:kern w:val="0"/>
                      <w:szCs w:val="21"/>
                    </w:rPr>
                    <w:t>6</w:t>
                  </w:r>
                  <w:r>
                    <w:rPr>
                      <w:rFonts w:hint="eastAsia"/>
                      <w:color w:val="000000" w:themeColor="text1"/>
                      <w:kern w:val="0"/>
                      <w:szCs w:val="21"/>
                      <w:lang w:val="en-US" w:eastAsia="zh-CN"/>
                    </w:rPr>
                    <w:t>75</w:t>
                  </w:r>
                </w:p>
              </w:tc>
              <w:tc>
                <w:tcPr>
                  <w:tcW w:w="1739" w:type="dxa"/>
                  <w:tcBorders>
                    <w:top w:val="single" w:color="000000" w:sz="4" w:space="0"/>
                    <w:left w:val="single" w:color="000000" w:sz="4" w:space="0"/>
                    <w:bottom w:val="single" w:color="000000" w:sz="4" w:space="0"/>
                    <w:right w:val="nil"/>
                  </w:tcBorders>
                  <w:vAlign w:val="center"/>
                </w:tcPr>
                <w:p>
                  <w:pPr>
                    <w:widowControl/>
                    <w:jc w:val="center"/>
                    <w:rPr>
                      <w:color w:val="000000" w:themeColor="text1"/>
                      <w:kern w:val="0"/>
                      <w:szCs w:val="21"/>
                    </w:rPr>
                  </w:pPr>
                  <w:r>
                    <w:rPr>
                      <w:rFonts w:hint="eastAsia"/>
                      <w:color w:val="000000" w:themeColor="text1"/>
                      <w:kern w:val="0"/>
                      <w:szCs w:val="21"/>
                    </w:rPr>
                    <w:t>市场采购，以袋装形式储存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657" w:type="dxa"/>
                  <w:tcBorders>
                    <w:top w:val="single" w:color="000000" w:sz="4" w:space="0"/>
                    <w:left w:val="nil"/>
                    <w:bottom w:val="single" w:color="000000" w:sz="4" w:space="0"/>
                    <w:right w:val="single" w:color="000000" w:sz="4" w:space="0"/>
                  </w:tcBorders>
                  <w:vAlign w:val="center"/>
                </w:tcPr>
                <w:p>
                  <w:pPr>
                    <w:widowControl/>
                    <w:jc w:val="center"/>
                    <w:rPr>
                      <w:color w:val="000000" w:themeColor="text1"/>
                      <w:kern w:val="0"/>
                      <w:szCs w:val="21"/>
                    </w:rPr>
                  </w:pPr>
                  <w:r>
                    <w:rPr>
                      <w:rFonts w:hint="eastAsia"/>
                      <w:color w:val="000000" w:themeColor="text1"/>
                      <w:kern w:val="0"/>
                      <w:szCs w:val="21"/>
                    </w:rPr>
                    <w:t>2</w:t>
                  </w:r>
                </w:p>
              </w:tc>
              <w:tc>
                <w:tcPr>
                  <w:tcW w:w="1877"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lang w:bidi="en-US"/>
                    </w:rPr>
                  </w:pPr>
                  <w:r>
                    <w:rPr>
                      <w:rFonts w:hint="eastAsia"/>
                      <w:color w:val="000000" w:themeColor="text1"/>
                      <w:kern w:val="0"/>
                      <w:szCs w:val="21"/>
                      <w:lang w:bidi="en-US"/>
                    </w:rPr>
                    <w:t>色母料</w:t>
                  </w:r>
                </w:p>
              </w:tc>
              <w:tc>
                <w:tcPr>
                  <w:tcW w:w="1877"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rPr>
                  </w:pPr>
                  <w:r>
                    <w:rPr>
                      <w:rFonts w:hint="eastAsia"/>
                      <w:color w:val="000000" w:themeColor="text1"/>
                      <w:kern w:val="0"/>
                      <w:szCs w:val="21"/>
                    </w:rPr>
                    <w:t>t/a</w:t>
                  </w:r>
                </w:p>
              </w:tc>
              <w:tc>
                <w:tcPr>
                  <w:tcW w:w="18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eastAsia="宋体"/>
                      <w:color w:val="000000" w:themeColor="text1"/>
                      <w:kern w:val="0"/>
                      <w:szCs w:val="21"/>
                      <w:lang w:val="en-US" w:eastAsia="zh-CN"/>
                    </w:rPr>
                  </w:pPr>
                  <w:r>
                    <w:rPr>
                      <w:rFonts w:hint="eastAsia"/>
                      <w:color w:val="000000" w:themeColor="text1"/>
                      <w:kern w:val="0"/>
                      <w:szCs w:val="21"/>
                    </w:rPr>
                    <w:t>12</w:t>
                  </w:r>
                  <w:r>
                    <w:rPr>
                      <w:rFonts w:hint="eastAsia"/>
                      <w:color w:val="000000" w:themeColor="text1"/>
                      <w:kern w:val="0"/>
                      <w:szCs w:val="21"/>
                      <w:lang w:val="en-US" w:eastAsia="zh-CN"/>
                    </w:rPr>
                    <w:t>2.84</w:t>
                  </w:r>
                </w:p>
              </w:tc>
              <w:tc>
                <w:tcPr>
                  <w:tcW w:w="1739" w:type="dxa"/>
                  <w:tcBorders>
                    <w:top w:val="single" w:color="000000" w:sz="4" w:space="0"/>
                    <w:left w:val="single" w:color="000000" w:sz="4" w:space="0"/>
                    <w:bottom w:val="single" w:color="000000" w:sz="4" w:space="0"/>
                    <w:right w:val="nil"/>
                  </w:tcBorders>
                  <w:vAlign w:val="center"/>
                </w:tcPr>
                <w:p>
                  <w:pPr>
                    <w:widowControl/>
                    <w:jc w:val="center"/>
                    <w:rPr>
                      <w:color w:val="000000" w:themeColor="text1"/>
                      <w:kern w:val="0"/>
                      <w:szCs w:val="21"/>
                    </w:rPr>
                  </w:pPr>
                  <w:r>
                    <w:rPr>
                      <w:rFonts w:hint="eastAsia"/>
                      <w:color w:val="000000" w:themeColor="text1"/>
                      <w:kern w:val="0"/>
                      <w:szCs w:val="21"/>
                    </w:rPr>
                    <w:t>市场采购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657" w:type="dxa"/>
                  <w:tcBorders>
                    <w:top w:val="single" w:color="000000" w:sz="4" w:space="0"/>
                    <w:left w:val="nil"/>
                    <w:bottom w:val="single" w:color="000000" w:sz="4" w:space="0"/>
                    <w:right w:val="single" w:color="000000" w:sz="4" w:space="0"/>
                  </w:tcBorders>
                  <w:vAlign w:val="center"/>
                </w:tcPr>
                <w:p>
                  <w:pPr>
                    <w:widowControl/>
                    <w:jc w:val="center"/>
                    <w:rPr>
                      <w:color w:val="000000" w:themeColor="text1"/>
                      <w:kern w:val="0"/>
                      <w:szCs w:val="21"/>
                    </w:rPr>
                  </w:pPr>
                  <w:r>
                    <w:rPr>
                      <w:rFonts w:hint="eastAsia"/>
                      <w:color w:val="000000" w:themeColor="text1"/>
                      <w:kern w:val="0"/>
                      <w:szCs w:val="21"/>
                    </w:rPr>
                    <w:t>3</w:t>
                  </w:r>
                </w:p>
              </w:tc>
              <w:tc>
                <w:tcPr>
                  <w:tcW w:w="1877"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lang w:bidi="en-US"/>
                    </w:rPr>
                  </w:pPr>
                  <w:r>
                    <w:rPr>
                      <w:color w:val="000000" w:themeColor="text1"/>
                      <w:kern w:val="0"/>
                      <w:szCs w:val="21"/>
                      <w:lang w:bidi="en-US"/>
                    </w:rPr>
                    <w:t>水</w:t>
                  </w:r>
                </w:p>
              </w:tc>
              <w:tc>
                <w:tcPr>
                  <w:tcW w:w="1877"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color w:val="000000" w:themeColor="text1"/>
                      <w:szCs w:val="21"/>
                    </w:rPr>
                  </w:pPr>
                  <w:r>
                    <w:rPr>
                      <w:rFonts w:hint="eastAsia"/>
                      <w:bCs/>
                      <w:color w:val="000000" w:themeColor="text1"/>
                      <w:szCs w:val="21"/>
                    </w:rPr>
                    <w:t>m</w:t>
                  </w:r>
                  <w:r>
                    <w:rPr>
                      <w:rFonts w:hint="eastAsia"/>
                      <w:bCs/>
                      <w:color w:val="000000" w:themeColor="text1"/>
                      <w:szCs w:val="21"/>
                      <w:vertAlign w:val="superscript"/>
                    </w:rPr>
                    <w:t>3</w:t>
                  </w:r>
                  <w:r>
                    <w:rPr>
                      <w:rFonts w:hint="eastAsia"/>
                      <w:bCs/>
                      <w:color w:val="000000" w:themeColor="text1"/>
                      <w:szCs w:val="21"/>
                    </w:rPr>
                    <w:t>/a</w:t>
                  </w:r>
                </w:p>
              </w:tc>
              <w:tc>
                <w:tcPr>
                  <w:tcW w:w="1877"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color w:val="000000" w:themeColor="text1"/>
                      <w:szCs w:val="21"/>
                    </w:rPr>
                  </w:pPr>
                  <w:r>
                    <w:rPr>
                      <w:rFonts w:hint="eastAsia"/>
                      <w:bCs/>
                      <w:color w:val="000000" w:themeColor="text1"/>
                      <w:szCs w:val="21"/>
                    </w:rPr>
                    <w:t>624</w:t>
                  </w:r>
                </w:p>
              </w:tc>
              <w:tc>
                <w:tcPr>
                  <w:tcW w:w="1739" w:type="dxa"/>
                  <w:tcBorders>
                    <w:top w:val="single" w:color="000000" w:sz="4" w:space="0"/>
                    <w:left w:val="single" w:color="000000" w:sz="4" w:space="0"/>
                    <w:bottom w:val="single" w:color="000000" w:sz="4" w:space="0"/>
                    <w:right w:val="nil"/>
                  </w:tcBorders>
                  <w:vAlign w:val="center"/>
                </w:tcPr>
                <w:p>
                  <w:pPr>
                    <w:adjustRightInd w:val="0"/>
                    <w:snapToGrid w:val="0"/>
                    <w:jc w:val="center"/>
                    <w:rPr>
                      <w:bCs/>
                      <w:color w:val="000000" w:themeColor="text1"/>
                      <w:szCs w:val="21"/>
                    </w:rPr>
                  </w:pPr>
                  <w:r>
                    <w:rPr>
                      <w:rFonts w:hint="eastAsia" w:hAnsi="宋体"/>
                      <w:bCs/>
                      <w:color w:val="000000" w:themeColor="text1"/>
                      <w:szCs w:val="21"/>
                    </w:rPr>
                    <w:t>三工镇供水管网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657" w:type="dxa"/>
                  <w:tcBorders>
                    <w:top w:val="single" w:color="000000" w:sz="4" w:space="0"/>
                    <w:left w:val="nil"/>
                    <w:bottom w:val="single" w:color="000000" w:sz="12" w:space="0"/>
                    <w:right w:val="single" w:color="000000" w:sz="4" w:space="0"/>
                  </w:tcBorders>
                  <w:vAlign w:val="center"/>
                </w:tcPr>
                <w:p>
                  <w:pPr>
                    <w:widowControl/>
                    <w:jc w:val="center"/>
                    <w:rPr>
                      <w:color w:val="000000" w:themeColor="text1"/>
                      <w:kern w:val="0"/>
                      <w:szCs w:val="21"/>
                    </w:rPr>
                  </w:pPr>
                  <w:r>
                    <w:rPr>
                      <w:rFonts w:hint="eastAsia"/>
                      <w:color w:val="000000" w:themeColor="text1"/>
                      <w:kern w:val="0"/>
                      <w:szCs w:val="21"/>
                    </w:rPr>
                    <w:t>4</w:t>
                  </w:r>
                </w:p>
              </w:tc>
              <w:tc>
                <w:tcPr>
                  <w:tcW w:w="1877" w:type="dxa"/>
                  <w:tcBorders>
                    <w:top w:val="single" w:color="000000" w:sz="4" w:space="0"/>
                    <w:left w:val="single" w:color="000000" w:sz="4" w:space="0"/>
                    <w:bottom w:val="single" w:color="000000" w:sz="12" w:space="0"/>
                    <w:right w:val="single" w:color="000000" w:sz="4" w:space="0"/>
                  </w:tcBorders>
                  <w:vAlign w:val="center"/>
                </w:tcPr>
                <w:p>
                  <w:pPr>
                    <w:widowControl/>
                    <w:jc w:val="center"/>
                    <w:rPr>
                      <w:color w:val="000000" w:themeColor="text1"/>
                      <w:kern w:val="0"/>
                      <w:szCs w:val="21"/>
                      <w:lang w:bidi="en-US"/>
                    </w:rPr>
                  </w:pPr>
                  <w:r>
                    <w:rPr>
                      <w:rFonts w:hint="eastAsia"/>
                      <w:color w:val="000000" w:themeColor="text1"/>
                      <w:kern w:val="0"/>
                      <w:szCs w:val="21"/>
                      <w:lang w:bidi="en-US"/>
                    </w:rPr>
                    <w:t>电</w:t>
                  </w:r>
                </w:p>
              </w:tc>
              <w:tc>
                <w:tcPr>
                  <w:tcW w:w="1877" w:type="dxa"/>
                  <w:tcBorders>
                    <w:top w:val="single" w:color="000000" w:sz="4" w:space="0"/>
                    <w:left w:val="single" w:color="000000" w:sz="4" w:space="0"/>
                    <w:bottom w:val="single" w:color="000000" w:sz="12" w:space="0"/>
                    <w:right w:val="single" w:color="000000" w:sz="4" w:space="0"/>
                  </w:tcBorders>
                  <w:vAlign w:val="center"/>
                </w:tcPr>
                <w:p>
                  <w:pPr>
                    <w:widowControl/>
                    <w:jc w:val="center"/>
                    <w:rPr>
                      <w:color w:val="000000" w:themeColor="text1"/>
                      <w:kern w:val="0"/>
                      <w:szCs w:val="21"/>
                    </w:rPr>
                  </w:pPr>
                  <w:r>
                    <w:rPr>
                      <w:bCs/>
                      <w:color w:val="000000" w:themeColor="text1"/>
                      <w:szCs w:val="21"/>
                    </w:rPr>
                    <w:t>Kw·h/a</w:t>
                  </w:r>
                </w:p>
              </w:tc>
              <w:tc>
                <w:tcPr>
                  <w:tcW w:w="1877" w:type="dxa"/>
                  <w:tcBorders>
                    <w:top w:val="single" w:color="000000" w:sz="4" w:space="0"/>
                    <w:left w:val="single" w:color="000000" w:sz="4" w:space="0"/>
                    <w:bottom w:val="single" w:color="000000" w:sz="12" w:space="0"/>
                    <w:right w:val="single" w:color="000000" w:sz="4" w:space="0"/>
                  </w:tcBorders>
                  <w:vAlign w:val="center"/>
                </w:tcPr>
                <w:p>
                  <w:pPr>
                    <w:widowControl/>
                    <w:jc w:val="center"/>
                    <w:rPr>
                      <w:color w:val="000000" w:themeColor="text1"/>
                      <w:kern w:val="0"/>
                      <w:szCs w:val="21"/>
                    </w:rPr>
                  </w:pPr>
                  <w:r>
                    <w:rPr>
                      <w:rFonts w:hint="eastAsia"/>
                      <w:color w:val="000000" w:themeColor="text1"/>
                      <w:kern w:val="0"/>
                      <w:szCs w:val="21"/>
                    </w:rPr>
                    <w:t>50000</w:t>
                  </w:r>
                </w:p>
              </w:tc>
              <w:tc>
                <w:tcPr>
                  <w:tcW w:w="1739" w:type="dxa"/>
                  <w:tcBorders>
                    <w:top w:val="single" w:color="000000" w:sz="4" w:space="0"/>
                    <w:left w:val="single" w:color="000000" w:sz="4" w:space="0"/>
                    <w:bottom w:val="single" w:color="000000" w:sz="12" w:space="0"/>
                    <w:right w:val="nil"/>
                  </w:tcBorders>
                  <w:vAlign w:val="center"/>
                </w:tcPr>
                <w:p>
                  <w:pPr>
                    <w:widowControl/>
                    <w:jc w:val="center"/>
                    <w:rPr>
                      <w:color w:val="000000" w:themeColor="text1"/>
                      <w:kern w:val="0"/>
                      <w:szCs w:val="21"/>
                    </w:rPr>
                  </w:pPr>
                  <w:r>
                    <w:rPr>
                      <w:bCs/>
                      <w:color w:val="000000" w:themeColor="text1"/>
                      <w:kern w:val="0"/>
                      <w:szCs w:val="21"/>
                    </w:rPr>
                    <w:t>由</w:t>
                  </w:r>
                  <w:r>
                    <w:rPr>
                      <w:rFonts w:hint="eastAsia"/>
                      <w:bCs/>
                      <w:color w:val="000000" w:themeColor="text1"/>
                      <w:kern w:val="0"/>
                      <w:szCs w:val="21"/>
                    </w:rPr>
                    <w:t>三工镇</w:t>
                  </w:r>
                  <w:r>
                    <w:rPr>
                      <w:bCs/>
                      <w:color w:val="000000" w:themeColor="text1"/>
                      <w:kern w:val="0"/>
                      <w:szCs w:val="21"/>
                    </w:rPr>
                    <w:t>供电网提供</w:t>
                  </w:r>
                </w:p>
              </w:tc>
            </w:tr>
          </w:tbl>
          <w:p>
            <w:pPr>
              <w:adjustRightInd w:val="0"/>
              <w:snapToGrid w:val="0"/>
              <w:spacing w:line="480" w:lineRule="exact"/>
              <w:ind w:firstLine="480" w:firstLineChars="200"/>
              <w:rPr>
                <w:color w:val="000000" w:themeColor="text1"/>
                <w:sz w:val="24"/>
              </w:rPr>
            </w:pPr>
            <w:r>
              <w:rPr>
                <w:rFonts w:hint="eastAsia"/>
                <w:color w:val="000000" w:themeColor="text1"/>
                <w:sz w:val="24"/>
              </w:rPr>
              <w:t>3、</w:t>
            </w:r>
            <w:r>
              <w:rPr>
                <w:color w:val="000000" w:themeColor="text1"/>
                <w:sz w:val="24"/>
              </w:rPr>
              <w:t>产品方案</w:t>
            </w:r>
          </w:p>
          <w:p>
            <w:pPr>
              <w:adjustRightInd w:val="0"/>
              <w:snapToGrid w:val="0"/>
              <w:spacing w:line="480" w:lineRule="exact"/>
              <w:ind w:firstLine="480" w:firstLineChars="200"/>
              <w:rPr>
                <w:bCs/>
                <w:color w:val="000000" w:themeColor="text1"/>
                <w:sz w:val="24"/>
              </w:rPr>
            </w:pPr>
            <w:r>
              <w:rPr>
                <w:bCs/>
                <w:color w:val="000000" w:themeColor="text1"/>
                <w:sz w:val="24"/>
              </w:rPr>
              <w:t>项目产品方案见表2-</w:t>
            </w:r>
            <w:r>
              <w:rPr>
                <w:rFonts w:hint="eastAsia"/>
                <w:bCs/>
                <w:color w:val="000000" w:themeColor="text1"/>
                <w:sz w:val="24"/>
              </w:rPr>
              <w:t>3</w:t>
            </w:r>
            <w:r>
              <w:rPr>
                <w:bCs/>
                <w:color w:val="000000" w:themeColor="text1"/>
                <w:sz w:val="24"/>
              </w:rPr>
              <w:t>。</w:t>
            </w:r>
          </w:p>
          <w:p>
            <w:pPr>
              <w:pStyle w:val="54"/>
              <w:spacing w:line="240" w:lineRule="auto"/>
              <w:ind w:firstLine="420"/>
              <w:rPr>
                <w:rFonts w:hAnsi="Times New Roman" w:eastAsia="黑体"/>
                <w:b w:val="0"/>
                <w:bCs w:val="0"/>
                <w:color w:val="000000" w:themeColor="text1"/>
                <w:sz w:val="21"/>
                <w:szCs w:val="21"/>
              </w:rPr>
            </w:pPr>
            <w:r>
              <w:rPr>
                <w:rFonts w:hAnsi="Times New Roman" w:eastAsia="黑体"/>
                <w:b w:val="0"/>
                <w:bCs w:val="0"/>
                <w:color w:val="000000" w:themeColor="text1"/>
                <w:sz w:val="21"/>
                <w:szCs w:val="21"/>
              </w:rPr>
              <w:t>表2-</w:t>
            </w:r>
            <w:r>
              <w:rPr>
                <w:rFonts w:hint="eastAsia" w:hAnsi="Times New Roman" w:eastAsia="黑体"/>
                <w:b w:val="0"/>
                <w:bCs w:val="0"/>
                <w:color w:val="000000" w:themeColor="text1"/>
                <w:sz w:val="21"/>
                <w:szCs w:val="21"/>
              </w:rPr>
              <w:t>3</w:t>
            </w:r>
            <w:r>
              <w:rPr>
                <w:rFonts w:hAnsi="Times New Roman" w:eastAsia="黑体"/>
                <w:b w:val="0"/>
                <w:bCs w:val="0"/>
                <w:color w:val="000000" w:themeColor="text1"/>
                <w:sz w:val="21"/>
                <w:szCs w:val="21"/>
              </w:rPr>
              <w:t xml:space="preserve">                  项目产品方案一览表</w:t>
            </w:r>
          </w:p>
          <w:tbl>
            <w:tblPr>
              <w:tblStyle w:val="25"/>
              <w:tblW w:w="802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46"/>
              <w:gridCol w:w="1557"/>
              <w:gridCol w:w="1557"/>
              <w:gridCol w:w="1533"/>
              <w:gridCol w:w="15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34" w:hRule="atLeast"/>
              </w:trPr>
              <w:tc>
                <w:tcPr>
                  <w:tcW w:w="1846" w:type="dxa"/>
                  <w:tcBorders>
                    <w:top w:val="single" w:color="000000" w:sz="12" w:space="0"/>
                    <w:left w:val="nil"/>
                    <w:bottom w:val="single" w:color="000000" w:sz="4" w:space="0"/>
                    <w:right w:val="single" w:color="000000" w:sz="4" w:space="0"/>
                  </w:tcBorders>
                  <w:vAlign w:val="center"/>
                </w:tcPr>
                <w:p>
                  <w:pPr>
                    <w:jc w:val="center"/>
                    <w:rPr>
                      <w:color w:val="000000" w:themeColor="text1"/>
                      <w:szCs w:val="21"/>
                    </w:rPr>
                  </w:pPr>
                  <w:r>
                    <w:rPr>
                      <w:color w:val="000000" w:themeColor="text1"/>
                      <w:szCs w:val="21"/>
                    </w:rPr>
                    <w:t>产品名称</w:t>
                  </w:r>
                </w:p>
              </w:tc>
              <w:tc>
                <w:tcPr>
                  <w:tcW w:w="1557" w:type="dxa"/>
                  <w:tcBorders>
                    <w:top w:val="single" w:color="000000" w:sz="12" w:space="0"/>
                    <w:left w:val="single" w:color="000000" w:sz="4" w:space="0"/>
                    <w:bottom w:val="single" w:color="000000" w:sz="4" w:space="0"/>
                    <w:right w:val="single" w:color="000000" w:sz="4" w:space="0"/>
                  </w:tcBorders>
                  <w:vAlign w:val="center"/>
                </w:tcPr>
                <w:p>
                  <w:pPr>
                    <w:jc w:val="center"/>
                    <w:rPr>
                      <w:color w:val="000000" w:themeColor="text1"/>
                      <w:szCs w:val="21"/>
                    </w:rPr>
                  </w:pPr>
                  <w:r>
                    <w:rPr>
                      <w:rFonts w:hint="eastAsia"/>
                      <w:color w:val="000000" w:themeColor="text1"/>
                      <w:szCs w:val="21"/>
                    </w:rPr>
                    <w:t>产品规格</w:t>
                  </w:r>
                </w:p>
              </w:tc>
              <w:tc>
                <w:tcPr>
                  <w:tcW w:w="1557" w:type="dxa"/>
                  <w:tcBorders>
                    <w:top w:val="single" w:color="000000" w:sz="12" w:space="0"/>
                    <w:left w:val="single" w:color="000000" w:sz="4" w:space="0"/>
                    <w:bottom w:val="single" w:color="000000" w:sz="4" w:space="0"/>
                    <w:right w:val="single" w:color="000000" w:sz="4" w:space="0"/>
                  </w:tcBorders>
                  <w:vAlign w:val="center"/>
                </w:tcPr>
                <w:p>
                  <w:pPr>
                    <w:jc w:val="center"/>
                    <w:rPr>
                      <w:color w:val="000000" w:themeColor="text1"/>
                      <w:szCs w:val="21"/>
                    </w:rPr>
                  </w:pPr>
                  <w:r>
                    <w:rPr>
                      <w:color w:val="000000" w:themeColor="text1"/>
                      <w:szCs w:val="21"/>
                    </w:rPr>
                    <w:t>单位</w:t>
                  </w:r>
                </w:p>
              </w:tc>
              <w:tc>
                <w:tcPr>
                  <w:tcW w:w="1533" w:type="dxa"/>
                  <w:tcBorders>
                    <w:top w:val="single" w:color="000000" w:sz="12" w:space="0"/>
                    <w:left w:val="single" w:color="000000" w:sz="4" w:space="0"/>
                    <w:bottom w:val="single" w:color="000000" w:sz="4" w:space="0"/>
                    <w:right w:val="nil"/>
                  </w:tcBorders>
                  <w:vAlign w:val="center"/>
                </w:tcPr>
                <w:p>
                  <w:pPr>
                    <w:jc w:val="center"/>
                    <w:rPr>
                      <w:color w:val="000000" w:themeColor="text1"/>
                      <w:szCs w:val="21"/>
                    </w:rPr>
                  </w:pPr>
                  <w:r>
                    <w:rPr>
                      <w:rFonts w:hint="eastAsia"/>
                      <w:color w:val="000000" w:themeColor="text1"/>
                      <w:szCs w:val="21"/>
                    </w:rPr>
                    <w:t>数量</w:t>
                  </w:r>
                </w:p>
              </w:tc>
              <w:tc>
                <w:tcPr>
                  <w:tcW w:w="1534" w:type="dxa"/>
                  <w:tcBorders>
                    <w:top w:val="single" w:color="000000" w:sz="12" w:space="0"/>
                    <w:left w:val="single" w:color="000000" w:sz="4" w:space="0"/>
                    <w:bottom w:val="single" w:color="000000" w:sz="4" w:space="0"/>
                    <w:right w:val="nil"/>
                  </w:tcBorders>
                  <w:vAlign w:val="center"/>
                </w:tcPr>
                <w:p>
                  <w:pPr>
                    <w:jc w:val="center"/>
                    <w:rPr>
                      <w:color w:val="000000" w:themeColor="text1"/>
                      <w:szCs w:val="21"/>
                    </w:rPr>
                  </w:pPr>
                  <w:r>
                    <w:rPr>
                      <w:rFonts w:hint="eastAsia"/>
                      <w:color w:val="000000" w:themeColor="text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34" w:hRule="atLeast"/>
              </w:trPr>
              <w:tc>
                <w:tcPr>
                  <w:tcW w:w="1846" w:type="dxa"/>
                  <w:vMerge w:val="restart"/>
                  <w:tcBorders>
                    <w:left w:val="nil"/>
                    <w:right w:val="single" w:color="000000" w:sz="4" w:space="0"/>
                  </w:tcBorders>
                  <w:vAlign w:val="center"/>
                </w:tcPr>
                <w:p>
                  <w:pPr>
                    <w:jc w:val="center"/>
                    <w:rPr>
                      <w:color w:val="000000" w:themeColor="text1"/>
                      <w:szCs w:val="21"/>
                    </w:rPr>
                  </w:pPr>
                  <w:r>
                    <w:rPr>
                      <w:rFonts w:hint="eastAsia"/>
                      <w:color w:val="000000" w:themeColor="text1"/>
                      <w:szCs w:val="21"/>
                    </w:rPr>
                    <w:t>塑料果蔬筐</w:t>
                  </w:r>
                </w:p>
              </w:tc>
              <w:tc>
                <w:tcPr>
                  <w:tcW w:w="1557"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rPr>
                  </w:pPr>
                  <w:r>
                    <w:rPr>
                      <w:rFonts w:hint="eastAsia"/>
                      <w:color w:val="000000" w:themeColor="text1"/>
                      <w:szCs w:val="21"/>
                    </w:rPr>
                    <w:t>7kg</w:t>
                  </w:r>
                </w:p>
              </w:tc>
              <w:tc>
                <w:tcPr>
                  <w:tcW w:w="1557"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rPr>
                  </w:pPr>
                  <w:r>
                    <w:rPr>
                      <w:rFonts w:hint="eastAsia"/>
                      <w:color w:val="000000" w:themeColor="text1"/>
                      <w:szCs w:val="21"/>
                    </w:rPr>
                    <w:t>个</w:t>
                  </w:r>
                </w:p>
              </w:tc>
              <w:tc>
                <w:tcPr>
                  <w:tcW w:w="1533" w:type="dxa"/>
                  <w:tcBorders>
                    <w:top w:val="single" w:color="000000" w:sz="4" w:space="0"/>
                    <w:left w:val="single" w:color="000000" w:sz="4" w:space="0"/>
                    <w:bottom w:val="single" w:color="000000" w:sz="4" w:space="0"/>
                    <w:right w:val="nil"/>
                  </w:tcBorders>
                  <w:vAlign w:val="center"/>
                </w:tcPr>
                <w:p>
                  <w:pPr>
                    <w:jc w:val="center"/>
                    <w:rPr>
                      <w:bCs/>
                      <w:color w:val="000000" w:themeColor="text1"/>
                      <w:szCs w:val="21"/>
                    </w:rPr>
                  </w:pPr>
                  <w:r>
                    <w:rPr>
                      <w:rFonts w:hint="eastAsia"/>
                      <w:bCs/>
                      <w:color w:val="000000" w:themeColor="text1"/>
                      <w:szCs w:val="21"/>
                    </w:rPr>
                    <w:t>100万</w:t>
                  </w:r>
                </w:p>
              </w:tc>
              <w:tc>
                <w:tcPr>
                  <w:tcW w:w="1534" w:type="dxa"/>
                  <w:tcBorders>
                    <w:top w:val="single" w:color="000000" w:sz="4" w:space="0"/>
                    <w:left w:val="single" w:color="000000" w:sz="4" w:space="0"/>
                    <w:bottom w:val="single" w:color="000000" w:sz="4" w:space="0"/>
                    <w:right w:val="nil"/>
                  </w:tcBorders>
                  <w:vAlign w:val="center"/>
                </w:tcPr>
                <w:p>
                  <w:pPr>
                    <w:jc w:val="center"/>
                    <w:rPr>
                      <w:bCs/>
                      <w:color w:val="000000" w:themeColor="text1"/>
                      <w:szCs w:val="21"/>
                    </w:rPr>
                  </w:pPr>
                  <w:r>
                    <w:rPr>
                      <w:rFonts w:hint="eastAsia"/>
                      <w:bCs/>
                      <w:color w:val="000000" w:themeColor="text1"/>
                      <w:szCs w:val="21"/>
                    </w:rPr>
                    <w:t>单个重400g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34" w:hRule="atLeast"/>
              </w:trPr>
              <w:tc>
                <w:tcPr>
                  <w:tcW w:w="1846" w:type="dxa"/>
                  <w:vMerge w:val="continue"/>
                  <w:tcBorders>
                    <w:left w:val="nil"/>
                    <w:bottom w:val="single" w:color="000000" w:sz="12" w:space="0"/>
                    <w:right w:val="single" w:color="000000" w:sz="4" w:space="0"/>
                  </w:tcBorders>
                  <w:vAlign w:val="center"/>
                </w:tcPr>
                <w:p>
                  <w:pPr>
                    <w:jc w:val="center"/>
                    <w:rPr>
                      <w:color w:val="000000" w:themeColor="text1"/>
                      <w:szCs w:val="21"/>
                    </w:rPr>
                  </w:pPr>
                </w:p>
              </w:tc>
              <w:tc>
                <w:tcPr>
                  <w:tcW w:w="1557" w:type="dxa"/>
                  <w:tcBorders>
                    <w:top w:val="single" w:color="000000" w:sz="4" w:space="0"/>
                    <w:left w:val="single" w:color="000000" w:sz="4" w:space="0"/>
                    <w:bottom w:val="single" w:color="000000" w:sz="12" w:space="0"/>
                    <w:right w:val="single" w:color="000000" w:sz="4" w:space="0"/>
                  </w:tcBorders>
                  <w:vAlign w:val="center"/>
                </w:tcPr>
                <w:p>
                  <w:pPr>
                    <w:jc w:val="center"/>
                    <w:rPr>
                      <w:color w:val="000000" w:themeColor="text1"/>
                      <w:szCs w:val="21"/>
                    </w:rPr>
                  </w:pPr>
                  <w:r>
                    <w:rPr>
                      <w:rFonts w:hint="eastAsia"/>
                      <w:color w:val="000000" w:themeColor="text1"/>
                      <w:szCs w:val="21"/>
                    </w:rPr>
                    <w:t>8kg</w:t>
                  </w:r>
                </w:p>
              </w:tc>
              <w:tc>
                <w:tcPr>
                  <w:tcW w:w="1557" w:type="dxa"/>
                  <w:tcBorders>
                    <w:top w:val="single" w:color="000000" w:sz="4" w:space="0"/>
                    <w:left w:val="single" w:color="000000" w:sz="4" w:space="0"/>
                    <w:bottom w:val="single" w:color="000000" w:sz="12" w:space="0"/>
                    <w:right w:val="single" w:color="000000" w:sz="4" w:space="0"/>
                  </w:tcBorders>
                  <w:vAlign w:val="center"/>
                </w:tcPr>
                <w:p>
                  <w:pPr>
                    <w:jc w:val="center"/>
                    <w:rPr>
                      <w:color w:val="000000" w:themeColor="text1"/>
                      <w:szCs w:val="21"/>
                    </w:rPr>
                  </w:pPr>
                  <w:r>
                    <w:rPr>
                      <w:rFonts w:hint="eastAsia"/>
                      <w:color w:val="000000" w:themeColor="text1"/>
                      <w:szCs w:val="21"/>
                    </w:rPr>
                    <w:t>个</w:t>
                  </w:r>
                </w:p>
              </w:tc>
              <w:tc>
                <w:tcPr>
                  <w:tcW w:w="1533" w:type="dxa"/>
                  <w:tcBorders>
                    <w:top w:val="single" w:color="000000" w:sz="4" w:space="0"/>
                    <w:left w:val="single" w:color="000000" w:sz="4" w:space="0"/>
                    <w:bottom w:val="single" w:color="000000" w:sz="12" w:space="0"/>
                    <w:right w:val="nil"/>
                  </w:tcBorders>
                  <w:vAlign w:val="center"/>
                </w:tcPr>
                <w:p>
                  <w:pPr>
                    <w:jc w:val="center"/>
                    <w:rPr>
                      <w:bCs/>
                      <w:color w:val="000000" w:themeColor="text1"/>
                      <w:szCs w:val="21"/>
                    </w:rPr>
                  </w:pPr>
                  <w:r>
                    <w:rPr>
                      <w:rFonts w:hint="eastAsia"/>
                      <w:bCs/>
                      <w:color w:val="000000" w:themeColor="text1"/>
                      <w:szCs w:val="21"/>
                    </w:rPr>
                    <w:t>50万</w:t>
                  </w:r>
                </w:p>
              </w:tc>
              <w:tc>
                <w:tcPr>
                  <w:tcW w:w="1534" w:type="dxa"/>
                  <w:tcBorders>
                    <w:top w:val="single" w:color="000000" w:sz="4" w:space="0"/>
                    <w:left w:val="single" w:color="000000" w:sz="4" w:space="0"/>
                    <w:bottom w:val="single" w:color="000000" w:sz="12" w:space="0"/>
                    <w:right w:val="nil"/>
                  </w:tcBorders>
                  <w:vAlign w:val="center"/>
                </w:tcPr>
                <w:p>
                  <w:pPr>
                    <w:jc w:val="center"/>
                    <w:rPr>
                      <w:bCs/>
                      <w:color w:val="000000" w:themeColor="text1"/>
                      <w:szCs w:val="21"/>
                    </w:rPr>
                  </w:pPr>
                  <w:r>
                    <w:rPr>
                      <w:rFonts w:hint="eastAsia"/>
                      <w:bCs/>
                      <w:color w:val="000000" w:themeColor="text1"/>
                      <w:szCs w:val="21"/>
                    </w:rPr>
                    <w:t>单个重800g</w:t>
                  </w:r>
                </w:p>
              </w:tc>
            </w:tr>
          </w:tbl>
          <w:p>
            <w:pPr>
              <w:adjustRightInd w:val="0"/>
              <w:snapToGrid w:val="0"/>
              <w:spacing w:line="480" w:lineRule="exact"/>
              <w:ind w:firstLine="480" w:firstLineChars="200"/>
              <w:rPr>
                <w:sz w:val="24"/>
              </w:rPr>
            </w:pPr>
            <w:r>
              <w:rPr>
                <w:rFonts w:hint="eastAsia"/>
                <w:sz w:val="24"/>
              </w:rPr>
              <w:t>4、</w:t>
            </w:r>
            <w:r>
              <w:rPr>
                <w:sz w:val="24"/>
              </w:rPr>
              <w:t>主要生产设备</w:t>
            </w:r>
          </w:p>
          <w:p>
            <w:pPr>
              <w:adjustRightInd w:val="0"/>
              <w:snapToGrid w:val="0"/>
              <w:spacing w:line="480" w:lineRule="exact"/>
              <w:ind w:firstLine="480" w:firstLineChars="200"/>
              <w:rPr>
                <w:bCs/>
                <w:sz w:val="24"/>
              </w:rPr>
            </w:pPr>
            <w:r>
              <w:rPr>
                <w:bCs/>
                <w:sz w:val="24"/>
              </w:rPr>
              <w:t>本项目主要生产设备详见表2-</w:t>
            </w:r>
            <w:r>
              <w:rPr>
                <w:rFonts w:hint="eastAsia"/>
                <w:bCs/>
                <w:sz w:val="24"/>
              </w:rPr>
              <w:t>4</w:t>
            </w:r>
            <w:r>
              <w:rPr>
                <w:bCs/>
                <w:sz w:val="24"/>
              </w:rPr>
              <w:t>。</w:t>
            </w:r>
          </w:p>
          <w:p>
            <w:pPr>
              <w:pStyle w:val="54"/>
              <w:spacing w:line="240" w:lineRule="auto"/>
              <w:ind w:firstLine="420"/>
              <w:rPr>
                <w:rFonts w:hAnsi="Times New Roman" w:eastAsia="黑体"/>
                <w:b w:val="0"/>
                <w:bCs w:val="0"/>
                <w:color w:val="auto"/>
                <w:sz w:val="21"/>
                <w:szCs w:val="21"/>
              </w:rPr>
            </w:pPr>
            <w:r>
              <w:rPr>
                <w:rFonts w:hAnsi="Times New Roman" w:eastAsia="黑体"/>
                <w:b w:val="0"/>
                <w:bCs w:val="0"/>
                <w:color w:val="auto"/>
                <w:sz w:val="21"/>
                <w:szCs w:val="21"/>
              </w:rPr>
              <w:t>表2-</w:t>
            </w:r>
            <w:r>
              <w:rPr>
                <w:rFonts w:hint="eastAsia" w:hAnsi="Times New Roman" w:eastAsia="黑体"/>
                <w:b w:val="0"/>
                <w:bCs w:val="0"/>
                <w:color w:val="auto"/>
                <w:sz w:val="21"/>
                <w:szCs w:val="21"/>
              </w:rPr>
              <w:t>4</w:t>
            </w:r>
            <w:r>
              <w:rPr>
                <w:rFonts w:hAnsi="Times New Roman" w:eastAsia="黑体"/>
                <w:b w:val="0"/>
                <w:bCs w:val="0"/>
                <w:color w:val="auto"/>
                <w:sz w:val="21"/>
                <w:szCs w:val="21"/>
              </w:rPr>
              <w:t xml:space="preserve">                        主要生产设备一览表</w:t>
            </w:r>
          </w:p>
          <w:tbl>
            <w:tblPr>
              <w:tblStyle w:val="25"/>
              <w:tblW w:w="802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113" w:type="dxa"/>
              </w:tblCellMar>
            </w:tblPr>
            <w:tblGrid>
              <w:gridCol w:w="1210"/>
              <w:gridCol w:w="1750"/>
              <w:gridCol w:w="2846"/>
              <w:gridCol w:w="1084"/>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113" w:type="dxa"/>
                </w:tblCellMar>
              </w:tblPrEx>
              <w:trPr>
                <w:trHeight w:val="340" w:hRule="atLeast"/>
                <w:jc w:val="center"/>
              </w:trPr>
              <w:tc>
                <w:tcPr>
                  <w:tcW w:w="1210" w:type="dxa"/>
                  <w:vAlign w:val="center"/>
                </w:tcPr>
                <w:p>
                  <w:pPr>
                    <w:adjustRightInd w:val="0"/>
                    <w:snapToGrid w:val="0"/>
                    <w:jc w:val="center"/>
                    <w:rPr>
                      <w:bCs/>
                      <w:szCs w:val="21"/>
                    </w:rPr>
                  </w:pPr>
                  <w:r>
                    <w:rPr>
                      <w:rFonts w:hAnsi="宋体"/>
                      <w:bCs/>
                      <w:szCs w:val="21"/>
                    </w:rPr>
                    <w:t>序号</w:t>
                  </w:r>
                </w:p>
              </w:tc>
              <w:tc>
                <w:tcPr>
                  <w:tcW w:w="1750" w:type="dxa"/>
                  <w:vAlign w:val="center"/>
                </w:tcPr>
                <w:p>
                  <w:pPr>
                    <w:adjustRightInd w:val="0"/>
                    <w:snapToGrid w:val="0"/>
                    <w:jc w:val="center"/>
                    <w:rPr>
                      <w:bCs/>
                      <w:szCs w:val="21"/>
                    </w:rPr>
                  </w:pPr>
                  <w:r>
                    <w:rPr>
                      <w:rFonts w:hAnsi="宋体"/>
                      <w:bCs/>
                      <w:szCs w:val="21"/>
                    </w:rPr>
                    <w:t>设备名称</w:t>
                  </w:r>
                </w:p>
              </w:tc>
              <w:tc>
                <w:tcPr>
                  <w:tcW w:w="2846" w:type="dxa"/>
                  <w:vAlign w:val="center"/>
                </w:tcPr>
                <w:p>
                  <w:pPr>
                    <w:adjustRightInd w:val="0"/>
                    <w:snapToGrid w:val="0"/>
                    <w:jc w:val="center"/>
                    <w:rPr>
                      <w:bCs/>
                      <w:szCs w:val="21"/>
                    </w:rPr>
                  </w:pPr>
                  <w:r>
                    <w:rPr>
                      <w:rFonts w:hAnsi="宋体"/>
                      <w:bCs/>
                      <w:szCs w:val="21"/>
                    </w:rPr>
                    <w:t>规格型号</w:t>
                  </w:r>
                </w:p>
              </w:tc>
              <w:tc>
                <w:tcPr>
                  <w:tcW w:w="1084" w:type="dxa"/>
                  <w:vAlign w:val="center"/>
                </w:tcPr>
                <w:p>
                  <w:pPr>
                    <w:adjustRightInd w:val="0"/>
                    <w:snapToGrid w:val="0"/>
                    <w:jc w:val="center"/>
                    <w:rPr>
                      <w:bCs/>
                      <w:szCs w:val="21"/>
                    </w:rPr>
                  </w:pPr>
                  <w:r>
                    <w:rPr>
                      <w:rFonts w:hAnsi="宋体"/>
                      <w:bCs/>
                      <w:szCs w:val="21"/>
                    </w:rPr>
                    <w:t>单位</w:t>
                  </w:r>
                </w:p>
              </w:tc>
              <w:tc>
                <w:tcPr>
                  <w:tcW w:w="1137" w:type="dxa"/>
                  <w:vAlign w:val="center"/>
                </w:tcPr>
                <w:p>
                  <w:pPr>
                    <w:adjustRightInd w:val="0"/>
                    <w:snapToGrid w:val="0"/>
                    <w:jc w:val="center"/>
                    <w:rPr>
                      <w:bCs/>
                      <w:szCs w:val="21"/>
                    </w:rPr>
                  </w:pPr>
                  <w:r>
                    <w:rPr>
                      <w:rFonts w:hAnsi="宋体"/>
                      <w:bCs/>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113" w:type="dxa"/>
                </w:tblCellMar>
              </w:tblPrEx>
              <w:trPr>
                <w:trHeight w:val="340" w:hRule="atLeast"/>
                <w:jc w:val="center"/>
              </w:trPr>
              <w:tc>
                <w:tcPr>
                  <w:tcW w:w="1210" w:type="dxa"/>
                  <w:vAlign w:val="center"/>
                </w:tcPr>
                <w:p>
                  <w:pPr>
                    <w:adjustRightInd w:val="0"/>
                    <w:snapToGrid w:val="0"/>
                    <w:jc w:val="center"/>
                    <w:rPr>
                      <w:bCs/>
                      <w:szCs w:val="21"/>
                    </w:rPr>
                  </w:pPr>
                  <w:r>
                    <w:rPr>
                      <w:bCs/>
                      <w:szCs w:val="21"/>
                    </w:rPr>
                    <w:t>1</w:t>
                  </w:r>
                </w:p>
              </w:tc>
              <w:tc>
                <w:tcPr>
                  <w:tcW w:w="1750" w:type="dxa"/>
                  <w:vAlign w:val="center"/>
                </w:tcPr>
                <w:p>
                  <w:pPr>
                    <w:adjustRightInd w:val="0"/>
                    <w:snapToGrid w:val="0"/>
                    <w:jc w:val="center"/>
                    <w:rPr>
                      <w:bCs/>
                      <w:szCs w:val="21"/>
                    </w:rPr>
                  </w:pPr>
                  <w:r>
                    <w:rPr>
                      <w:rFonts w:hint="eastAsia"/>
                      <w:bCs/>
                      <w:szCs w:val="21"/>
                    </w:rPr>
                    <w:t>注塑机</w:t>
                  </w:r>
                </w:p>
              </w:tc>
              <w:tc>
                <w:tcPr>
                  <w:tcW w:w="2846" w:type="dxa"/>
                  <w:vAlign w:val="center"/>
                </w:tcPr>
                <w:p>
                  <w:pPr>
                    <w:adjustRightInd w:val="0"/>
                    <w:snapToGrid w:val="0"/>
                    <w:jc w:val="center"/>
                    <w:rPr>
                      <w:bCs/>
                      <w:szCs w:val="21"/>
                    </w:rPr>
                  </w:pPr>
                  <w:r>
                    <w:rPr>
                      <w:rFonts w:hint="eastAsia"/>
                      <w:bCs/>
                      <w:szCs w:val="21"/>
                    </w:rPr>
                    <w:t>HA3600/2250</w:t>
                  </w:r>
                </w:p>
              </w:tc>
              <w:tc>
                <w:tcPr>
                  <w:tcW w:w="1084" w:type="dxa"/>
                  <w:vAlign w:val="center"/>
                </w:tcPr>
                <w:p>
                  <w:pPr>
                    <w:snapToGrid w:val="0"/>
                    <w:jc w:val="center"/>
                    <w:rPr>
                      <w:bCs/>
                      <w:szCs w:val="21"/>
                    </w:rPr>
                  </w:pPr>
                  <w:r>
                    <w:rPr>
                      <w:rFonts w:hint="eastAsia" w:hAnsi="宋体"/>
                      <w:bCs/>
                      <w:szCs w:val="21"/>
                    </w:rPr>
                    <w:t>台</w:t>
                  </w:r>
                </w:p>
              </w:tc>
              <w:tc>
                <w:tcPr>
                  <w:tcW w:w="1137" w:type="dxa"/>
                  <w:vAlign w:val="center"/>
                </w:tcPr>
                <w:p>
                  <w:pPr>
                    <w:snapToGrid w:val="0"/>
                    <w:jc w:val="center"/>
                    <w:rPr>
                      <w:bCs/>
                      <w:szCs w:val="21"/>
                    </w:rPr>
                  </w:pPr>
                  <w:r>
                    <w:rPr>
                      <w:rFonts w:hint="eastAsia"/>
                      <w:bCs/>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113" w:type="dxa"/>
                </w:tblCellMar>
              </w:tblPrEx>
              <w:trPr>
                <w:trHeight w:val="340" w:hRule="atLeast"/>
                <w:jc w:val="center"/>
              </w:trPr>
              <w:tc>
                <w:tcPr>
                  <w:tcW w:w="1210" w:type="dxa"/>
                  <w:vAlign w:val="center"/>
                </w:tcPr>
                <w:p>
                  <w:pPr>
                    <w:adjustRightInd w:val="0"/>
                    <w:snapToGrid w:val="0"/>
                    <w:jc w:val="center"/>
                    <w:rPr>
                      <w:bCs/>
                      <w:szCs w:val="21"/>
                    </w:rPr>
                  </w:pPr>
                  <w:r>
                    <w:rPr>
                      <w:bCs/>
                      <w:szCs w:val="21"/>
                    </w:rPr>
                    <w:t>2</w:t>
                  </w:r>
                </w:p>
              </w:tc>
              <w:tc>
                <w:tcPr>
                  <w:tcW w:w="1750" w:type="dxa"/>
                  <w:vAlign w:val="center"/>
                </w:tcPr>
                <w:p>
                  <w:pPr>
                    <w:adjustRightInd w:val="0"/>
                    <w:snapToGrid w:val="0"/>
                    <w:jc w:val="center"/>
                    <w:rPr>
                      <w:bCs/>
                      <w:szCs w:val="21"/>
                    </w:rPr>
                  </w:pPr>
                  <w:r>
                    <w:rPr>
                      <w:rFonts w:hint="eastAsia"/>
                      <w:bCs/>
                      <w:szCs w:val="21"/>
                    </w:rPr>
                    <w:t>打包机</w:t>
                  </w:r>
                </w:p>
              </w:tc>
              <w:tc>
                <w:tcPr>
                  <w:tcW w:w="2846" w:type="dxa"/>
                  <w:vAlign w:val="center"/>
                </w:tcPr>
                <w:p>
                  <w:pPr>
                    <w:adjustRightInd w:val="0"/>
                    <w:snapToGrid w:val="0"/>
                    <w:jc w:val="center"/>
                    <w:rPr>
                      <w:bCs/>
                      <w:szCs w:val="21"/>
                    </w:rPr>
                  </w:pPr>
                  <w:r>
                    <w:rPr>
                      <w:rFonts w:hint="eastAsia"/>
                      <w:bCs/>
                      <w:szCs w:val="21"/>
                    </w:rPr>
                    <w:t>/</w:t>
                  </w:r>
                </w:p>
              </w:tc>
              <w:tc>
                <w:tcPr>
                  <w:tcW w:w="1084" w:type="dxa"/>
                  <w:vAlign w:val="center"/>
                </w:tcPr>
                <w:p>
                  <w:pPr>
                    <w:snapToGrid w:val="0"/>
                    <w:jc w:val="center"/>
                    <w:rPr>
                      <w:bCs/>
                      <w:szCs w:val="21"/>
                    </w:rPr>
                  </w:pPr>
                  <w:r>
                    <w:rPr>
                      <w:rFonts w:hAnsi="宋体"/>
                      <w:bCs/>
                      <w:szCs w:val="21"/>
                    </w:rPr>
                    <w:t>台</w:t>
                  </w:r>
                </w:p>
              </w:tc>
              <w:tc>
                <w:tcPr>
                  <w:tcW w:w="1137" w:type="dxa"/>
                  <w:vAlign w:val="center"/>
                </w:tcPr>
                <w:p>
                  <w:pPr>
                    <w:snapToGrid w:val="0"/>
                    <w:jc w:val="center"/>
                    <w:rPr>
                      <w:bCs/>
                      <w:szCs w:val="21"/>
                    </w:rPr>
                  </w:pPr>
                  <w:r>
                    <w:rPr>
                      <w:rFonts w:hint="eastAsia"/>
                      <w:bCs/>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113" w:type="dxa"/>
                </w:tblCellMar>
              </w:tblPrEx>
              <w:trPr>
                <w:trHeight w:val="340" w:hRule="atLeast"/>
                <w:jc w:val="center"/>
              </w:trPr>
              <w:tc>
                <w:tcPr>
                  <w:tcW w:w="1210" w:type="dxa"/>
                  <w:vAlign w:val="center"/>
                </w:tcPr>
                <w:p>
                  <w:pPr>
                    <w:adjustRightInd w:val="0"/>
                    <w:snapToGrid w:val="0"/>
                    <w:jc w:val="center"/>
                    <w:rPr>
                      <w:bCs/>
                      <w:szCs w:val="21"/>
                    </w:rPr>
                  </w:pPr>
                  <w:r>
                    <w:rPr>
                      <w:bCs/>
                      <w:szCs w:val="21"/>
                    </w:rPr>
                    <w:t>3</w:t>
                  </w:r>
                </w:p>
              </w:tc>
              <w:tc>
                <w:tcPr>
                  <w:tcW w:w="1750" w:type="dxa"/>
                  <w:vAlign w:val="center"/>
                </w:tcPr>
                <w:p>
                  <w:pPr>
                    <w:adjustRightInd w:val="0"/>
                    <w:snapToGrid w:val="0"/>
                    <w:jc w:val="center"/>
                    <w:rPr>
                      <w:bCs/>
                      <w:szCs w:val="21"/>
                    </w:rPr>
                  </w:pPr>
                  <w:r>
                    <w:rPr>
                      <w:rFonts w:hint="eastAsia"/>
                      <w:bCs/>
                      <w:szCs w:val="21"/>
                    </w:rPr>
                    <w:t>混料机</w:t>
                  </w:r>
                </w:p>
              </w:tc>
              <w:tc>
                <w:tcPr>
                  <w:tcW w:w="2846" w:type="dxa"/>
                  <w:vAlign w:val="center"/>
                </w:tcPr>
                <w:p>
                  <w:pPr>
                    <w:adjustRightInd w:val="0"/>
                    <w:snapToGrid w:val="0"/>
                    <w:jc w:val="center"/>
                    <w:rPr>
                      <w:bCs/>
                      <w:szCs w:val="21"/>
                    </w:rPr>
                  </w:pPr>
                  <w:r>
                    <w:rPr>
                      <w:rFonts w:hint="eastAsia"/>
                      <w:bCs/>
                      <w:szCs w:val="21"/>
                    </w:rPr>
                    <w:t>/</w:t>
                  </w:r>
                </w:p>
              </w:tc>
              <w:tc>
                <w:tcPr>
                  <w:tcW w:w="1084" w:type="dxa"/>
                  <w:vAlign w:val="center"/>
                </w:tcPr>
                <w:p>
                  <w:pPr>
                    <w:snapToGrid w:val="0"/>
                    <w:jc w:val="center"/>
                    <w:rPr>
                      <w:bCs/>
                      <w:szCs w:val="21"/>
                    </w:rPr>
                  </w:pPr>
                  <w:r>
                    <w:rPr>
                      <w:rFonts w:hAnsi="宋体"/>
                      <w:bCs/>
                      <w:szCs w:val="21"/>
                    </w:rPr>
                    <w:t>台</w:t>
                  </w:r>
                </w:p>
              </w:tc>
              <w:tc>
                <w:tcPr>
                  <w:tcW w:w="1137" w:type="dxa"/>
                  <w:vAlign w:val="center"/>
                </w:tcPr>
                <w:p>
                  <w:pPr>
                    <w:snapToGrid w:val="0"/>
                    <w:jc w:val="center"/>
                    <w:rPr>
                      <w:bCs/>
                      <w:szCs w:val="21"/>
                    </w:rPr>
                  </w:pPr>
                  <w:r>
                    <w:rPr>
                      <w:rFonts w:hint="eastAsia"/>
                      <w:bCs/>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113" w:type="dxa"/>
                </w:tblCellMar>
              </w:tblPrEx>
              <w:trPr>
                <w:trHeight w:val="340" w:hRule="atLeast"/>
                <w:jc w:val="center"/>
              </w:trPr>
              <w:tc>
                <w:tcPr>
                  <w:tcW w:w="1210" w:type="dxa"/>
                  <w:vAlign w:val="center"/>
                </w:tcPr>
                <w:p>
                  <w:pPr>
                    <w:adjustRightInd w:val="0"/>
                    <w:snapToGrid w:val="0"/>
                    <w:jc w:val="center"/>
                    <w:rPr>
                      <w:bCs/>
                      <w:szCs w:val="21"/>
                    </w:rPr>
                  </w:pPr>
                  <w:r>
                    <w:rPr>
                      <w:bCs/>
                      <w:szCs w:val="21"/>
                    </w:rPr>
                    <w:t>4</w:t>
                  </w:r>
                </w:p>
              </w:tc>
              <w:tc>
                <w:tcPr>
                  <w:tcW w:w="1750" w:type="dxa"/>
                  <w:vAlign w:val="center"/>
                </w:tcPr>
                <w:p>
                  <w:pPr>
                    <w:adjustRightInd w:val="0"/>
                    <w:snapToGrid w:val="0"/>
                    <w:jc w:val="center"/>
                    <w:rPr>
                      <w:bCs/>
                      <w:szCs w:val="21"/>
                    </w:rPr>
                  </w:pPr>
                  <w:r>
                    <w:rPr>
                      <w:rFonts w:hint="eastAsia"/>
                      <w:bCs/>
                      <w:szCs w:val="21"/>
                    </w:rPr>
                    <w:t>破碎机</w:t>
                  </w:r>
                </w:p>
              </w:tc>
              <w:tc>
                <w:tcPr>
                  <w:tcW w:w="2846" w:type="dxa"/>
                  <w:vAlign w:val="center"/>
                </w:tcPr>
                <w:p>
                  <w:pPr>
                    <w:adjustRightInd w:val="0"/>
                    <w:snapToGrid w:val="0"/>
                    <w:jc w:val="center"/>
                    <w:rPr>
                      <w:bCs/>
                      <w:szCs w:val="21"/>
                    </w:rPr>
                  </w:pPr>
                  <w:r>
                    <w:rPr>
                      <w:rFonts w:hint="eastAsia"/>
                      <w:bCs/>
                      <w:szCs w:val="21"/>
                    </w:rPr>
                    <w:t>/</w:t>
                  </w:r>
                </w:p>
              </w:tc>
              <w:tc>
                <w:tcPr>
                  <w:tcW w:w="1084" w:type="dxa"/>
                  <w:vAlign w:val="center"/>
                </w:tcPr>
                <w:p>
                  <w:pPr>
                    <w:snapToGrid w:val="0"/>
                    <w:jc w:val="center"/>
                    <w:rPr>
                      <w:bCs/>
                      <w:szCs w:val="21"/>
                    </w:rPr>
                  </w:pPr>
                  <w:r>
                    <w:rPr>
                      <w:rFonts w:hint="eastAsia" w:hAnsi="宋体"/>
                      <w:bCs/>
                      <w:szCs w:val="21"/>
                    </w:rPr>
                    <w:t>台</w:t>
                  </w:r>
                </w:p>
              </w:tc>
              <w:tc>
                <w:tcPr>
                  <w:tcW w:w="1137" w:type="dxa"/>
                  <w:vAlign w:val="center"/>
                </w:tcPr>
                <w:p>
                  <w:pPr>
                    <w:snapToGrid w:val="0"/>
                    <w:jc w:val="center"/>
                    <w:rPr>
                      <w:bCs/>
                      <w:szCs w:val="21"/>
                    </w:rPr>
                  </w:pPr>
                  <w:r>
                    <w:rPr>
                      <w:rFonts w:hint="eastAsia"/>
                      <w:bCs/>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113" w:type="dxa"/>
                </w:tblCellMar>
              </w:tblPrEx>
              <w:trPr>
                <w:trHeight w:val="340" w:hRule="atLeast"/>
                <w:jc w:val="center"/>
              </w:trPr>
              <w:tc>
                <w:tcPr>
                  <w:tcW w:w="1210" w:type="dxa"/>
                  <w:vAlign w:val="center"/>
                </w:tcPr>
                <w:p>
                  <w:pPr>
                    <w:adjustRightInd w:val="0"/>
                    <w:snapToGrid w:val="0"/>
                    <w:jc w:val="center"/>
                    <w:rPr>
                      <w:bCs/>
                      <w:szCs w:val="21"/>
                    </w:rPr>
                  </w:pPr>
                  <w:r>
                    <w:rPr>
                      <w:rFonts w:hint="eastAsia"/>
                      <w:bCs/>
                      <w:szCs w:val="21"/>
                    </w:rPr>
                    <w:t>5</w:t>
                  </w:r>
                </w:p>
              </w:tc>
              <w:tc>
                <w:tcPr>
                  <w:tcW w:w="1750" w:type="dxa"/>
                  <w:vAlign w:val="center"/>
                </w:tcPr>
                <w:p>
                  <w:pPr>
                    <w:adjustRightInd w:val="0"/>
                    <w:snapToGrid w:val="0"/>
                    <w:jc w:val="center"/>
                    <w:rPr>
                      <w:bCs/>
                      <w:szCs w:val="21"/>
                    </w:rPr>
                  </w:pPr>
                  <w:r>
                    <w:rPr>
                      <w:rFonts w:hint="eastAsia"/>
                      <w:bCs/>
                      <w:szCs w:val="21"/>
                    </w:rPr>
                    <w:t>输送带</w:t>
                  </w:r>
                </w:p>
              </w:tc>
              <w:tc>
                <w:tcPr>
                  <w:tcW w:w="2846" w:type="dxa"/>
                  <w:vAlign w:val="center"/>
                </w:tcPr>
                <w:p>
                  <w:pPr>
                    <w:adjustRightInd w:val="0"/>
                    <w:snapToGrid w:val="0"/>
                    <w:jc w:val="center"/>
                    <w:rPr>
                      <w:bCs/>
                      <w:szCs w:val="21"/>
                    </w:rPr>
                  </w:pPr>
                  <w:r>
                    <w:rPr>
                      <w:rFonts w:hint="eastAsia"/>
                      <w:bCs/>
                      <w:szCs w:val="21"/>
                    </w:rPr>
                    <w:t>/</w:t>
                  </w:r>
                </w:p>
              </w:tc>
              <w:tc>
                <w:tcPr>
                  <w:tcW w:w="1084" w:type="dxa"/>
                  <w:vAlign w:val="center"/>
                </w:tcPr>
                <w:p>
                  <w:pPr>
                    <w:snapToGrid w:val="0"/>
                    <w:jc w:val="center"/>
                    <w:rPr>
                      <w:rFonts w:hAnsi="宋体"/>
                      <w:bCs/>
                      <w:szCs w:val="21"/>
                    </w:rPr>
                  </w:pPr>
                  <w:r>
                    <w:rPr>
                      <w:rFonts w:hint="eastAsia" w:hAnsi="宋体"/>
                      <w:bCs/>
                      <w:szCs w:val="21"/>
                    </w:rPr>
                    <w:t>条</w:t>
                  </w:r>
                </w:p>
              </w:tc>
              <w:tc>
                <w:tcPr>
                  <w:tcW w:w="1137" w:type="dxa"/>
                  <w:vAlign w:val="center"/>
                </w:tcPr>
                <w:p>
                  <w:pPr>
                    <w:snapToGrid w:val="0"/>
                    <w:jc w:val="center"/>
                    <w:rPr>
                      <w:bCs/>
                      <w:szCs w:val="21"/>
                    </w:rPr>
                  </w:pPr>
                  <w:r>
                    <w:rPr>
                      <w:rFonts w:hint="eastAsia"/>
                      <w:bCs/>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3" w:type="dxa"/>
                  <w:bottom w:w="0" w:type="dxa"/>
                  <w:right w:w="113" w:type="dxa"/>
                </w:tblCellMar>
              </w:tblPrEx>
              <w:trPr>
                <w:trHeight w:val="340" w:hRule="atLeast"/>
                <w:jc w:val="center"/>
              </w:trPr>
              <w:tc>
                <w:tcPr>
                  <w:tcW w:w="1210" w:type="dxa"/>
                  <w:vAlign w:val="center"/>
                </w:tcPr>
                <w:p>
                  <w:pPr>
                    <w:adjustRightInd w:val="0"/>
                    <w:snapToGrid w:val="0"/>
                    <w:jc w:val="center"/>
                    <w:rPr>
                      <w:bCs/>
                      <w:szCs w:val="21"/>
                    </w:rPr>
                  </w:pPr>
                  <w:r>
                    <w:rPr>
                      <w:rFonts w:hint="eastAsia"/>
                      <w:bCs/>
                      <w:szCs w:val="21"/>
                    </w:rPr>
                    <w:t>6</w:t>
                  </w:r>
                </w:p>
              </w:tc>
              <w:tc>
                <w:tcPr>
                  <w:tcW w:w="1750" w:type="dxa"/>
                  <w:vAlign w:val="center"/>
                </w:tcPr>
                <w:p>
                  <w:pPr>
                    <w:adjustRightInd w:val="0"/>
                    <w:snapToGrid w:val="0"/>
                    <w:jc w:val="center"/>
                    <w:rPr>
                      <w:bCs/>
                      <w:szCs w:val="21"/>
                    </w:rPr>
                  </w:pPr>
                  <w:r>
                    <w:rPr>
                      <w:rFonts w:hint="eastAsia"/>
                      <w:bCs/>
                      <w:szCs w:val="21"/>
                    </w:rPr>
                    <w:t>上料机</w:t>
                  </w:r>
                </w:p>
              </w:tc>
              <w:tc>
                <w:tcPr>
                  <w:tcW w:w="2846" w:type="dxa"/>
                  <w:vAlign w:val="center"/>
                </w:tcPr>
                <w:p>
                  <w:pPr>
                    <w:adjustRightInd w:val="0"/>
                    <w:snapToGrid w:val="0"/>
                    <w:jc w:val="center"/>
                    <w:rPr>
                      <w:bCs/>
                      <w:szCs w:val="21"/>
                    </w:rPr>
                  </w:pPr>
                  <w:r>
                    <w:rPr>
                      <w:rFonts w:hint="eastAsia"/>
                      <w:bCs/>
                      <w:szCs w:val="21"/>
                    </w:rPr>
                    <w:t>/</w:t>
                  </w:r>
                </w:p>
              </w:tc>
              <w:tc>
                <w:tcPr>
                  <w:tcW w:w="1084" w:type="dxa"/>
                  <w:vAlign w:val="center"/>
                </w:tcPr>
                <w:p>
                  <w:pPr>
                    <w:snapToGrid w:val="0"/>
                    <w:jc w:val="center"/>
                    <w:rPr>
                      <w:rFonts w:hAnsi="宋体"/>
                      <w:bCs/>
                      <w:szCs w:val="21"/>
                    </w:rPr>
                  </w:pPr>
                  <w:r>
                    <w:rPr>
                      <w:rFonts w:hint="eastAsia" w:hAnsi="宋体"/>
                      <w:bCs/>
                      <w:szCs w:val="21"/>
                    </w:rPr>
                    <w:t>台</w:t>
                  </w:r>
                </w:p>
              </w:tc>
              <w:tc>
                <w:tcPr>
                  <w:tcW w:w="1137" w:type="dxa"/>
                  <w:vAlign w:val="center"/>
                </w:tcPr>
                <w:p>
                  <w:pPr>
                    <w:snapToGrid w:val="0"/>
                    <w:jc w:val="center"/>
                    <w:rPr>
                      <w:bCs/>
                      <w:szCs w:val="21"/>
                    </w:rPr>
                  </w:pPr>
                  <w:r>
                    <w:rPr>
                      <w:rFonts w:hint="eastAsia"/>
                      <w:bCs/>
                      <w:szCs w:val="21"/>
                    </w:rPr>
                    <w:t>1</w:t>
                  </w:r>
                </w:p>
              </w:tc>
            </w:tr>
          </w:tbl>
          <w:p>
            <w:pPr>
              <w:adjustRightInd w:val="0"/>
              <w:snapToGrid w:val="0"/>
              <w:spacing w:line="480" w:lineRule="exact"/>
              <w:ind w:firstLine="480" w:firstLineChars="200"/>
              <w:rPr>
                <w:sz w:val="24"/>
              </w:rPr>
            </w:pPr>
            <w:r>
              <w:rPr>
                <w:rFonts w:hint="eastAsia"/>
                <w:sz w:val="24"/>
              </w:rPr>
              <w:t>5、</w:t>
            </w:r>
            <w:r>
              <w:rPr>
                <w:sz w:val="24"/>
              </w:rPr>
              <w:t>项目平面布置</w:t>
            </w:r>
          </w:p>
          <w:p>
            <w:pPr>
              <w:adjustRightInd w:val="0"/>
              <w:snapToGrid w:val="0"/>
              <w:spacing w:line="480" w:lineRule="exact"/>
              <w:ind w:firstLine="480" w:firstLineChars="200"/>
              <w:rPr>
                <w:bCs/>
                <w:sz w:val="24"/>
                <w:lang w:bidi="en-US"/>
              </w:rPr>
            </w:pPr>
            <w:r>
              <w:rPr>
                <w:bCs/>
                <w:sz w:val="24"/>
                <w:lang w:bidi="en-US"/>
              </w:rPr>
              <w:t>本项目</w:t>
            </w:r>
            <w:r>
              <w:rPr>
                <w:rFonts w:hint="eastAsia"/>
                <w:bCs/>
                <w:sz w:val="24"/>
                <w:lang w:bidi="en-US"/>
              </w:rPr>
              <w:t>厂区大门位于南侧，进大门左侧为生活区，大门右侧为办公区，厂区东北侧为塑料果蔬筐生产车间，沉淀池位于生产车间北侧；本项目拟建塑料果蔬筐生产车间，位于厂区办公生活区的侧风向。</w:t>
            </w:r>
            <w:r>
              <w:rPr>
                <w:bCs/>
                <w:sz w:val="24"/>
                <w:lang w:bidi="en-US"/>
              </w:rPr>
              <w:t>项目平面布置</w:t>
            </w:r>
            <w:r>
              <w:rPr>
                <w:rFonts w:hint="eastAsia"/>
                <w:bCs/>
                <w:sz w:val="24"/>
                <w:lang w:bidi="en-US"/>
              </w:rPr>
              <w:t>示意</w:t>
            </w:r>
            <w:r>
              <w:rPr>
                <w:bCs/>
                <w:sz w:val="24"/>
                <w:lang w:bidi="en-US"/>
              </w:rPr>
              <w:t>见图</w:t>
            </w:r>
            <w:r>
              <w:rPr>
                <w:rFonts w:hint="eastAsia"/>
                <w:bCs/>
                <w:sz w:val="24"/>
                <w:lang w:bidi="en-US"/>
              </w:rPr>
              <w:t>3</w:t>
            </w:r>
            <w:r>
              <w:rPr>
                <w:bCs/>
                <w:sz w:val="24"/>
                <w:lang w:bidi="en-US"/>
              </w:rPr>
              <w:t>。</w:t>
            </w:r>
          </w:p>
          <w:p>
            <w:pPr>
              <w:adjustRightInd w:val="0"/>
              <w:snapToGrid w:val="0"/>
              <w:spacing w:line="480" w:lineRule="exact"/>
              <w:ind w:firstLine="480" w:firstLineChars="200"/>
              <w:rPr>
                <w:sz w:val="24"/>
              </w:rPr>
            </w:pPr>
            <w:r>
              <w:rPr>
                <w:rFonts w:hint="eastAsia"/>
                <w:sz w:val="24"/>
              </w:rPr>
              <w:t>6、</w:t>
            </w:r>
            <w:r>
              <w:rPr>
                <w:sz w:val="24"/>
              </w:rPr>
              <w:t>劳动定员及工作制度</w:t>
            </w:r>
          </w:p>
          <w:p>
            <w:pPr>
              <w:adjustRightInd w:val="0"/>
              <w:snapToGrid w:val="0"/>
              <w:spacing w:line="480" w:lineRule="exact"/>
              <w:ind w:firstLine="480" w:firstLineChars="200"/>
              <w:rPr>
                <w:sz w:val="24"/>
              </w:rPr>
            </w:pPr>
            <w:r>
              <w:rPr>
                <w:rFonts w:hint="eastAsia"/>
                <w:sz w:val="24"/>
              </w:rPr>
              <w:t>本</w:t>
            </w:r>
            <w:r>
              <w:rPr>
                <w:sz w:val="24"/>
              </w:rPr>
              <w:t>项目</w:t>
            </w:r>
            <w:r>
              <w:rPr>
                <w:rFonts w:hint="eastAsia"/>
                <w:sz w:val="24"/>
              </w:rPr>
              <w:t>新增</w:t>
            </w:r>
            <w:r>
              <w:rPr>
                <w:sz w:val="24"/>
              </w:rPr>
              <w:t>劳动定员</w:t>
            </w:r>
            <w:r>
              <w:rPr>
                <w:rFonts w:hint="eastAsia"/>
                <w:sz w:val="24"/>
              </w:rPr>
              <w:t>16</w:t>
            </w:r>
            <w:r>
              <w:rPr>
                <w:sz w:val="24"/>
              </w:rPr>
              <w:t>人，</w:t>
            </w:r>
            <w:r>
              <w:rPr>
                <w:rFonts w:hint="eastAsia"/>
                <w:sz w:val="24"/>
              </w:rPr>
              <w:t>三班倒，每班工作8小时，年工作约180天。</w:t>
            </w:r>
          </w:p>
          <w:p>
            <w:pPr>
              <w:adjustRightInd w:val="0"/>
              <w:snapToGrid w:val="0"/>
              <w:spacing w:line="480" w:lineRule="exact"/>
              <w:ind w:firstLine="480" w:firstLineChars="200"/>
              <w:rPr>
                <w:sz w:val="24"/>
              </w:rPr>
            </w:pPr>
            <w:r>
              <w:rPr>
                <w:rFonts w:hint="eastAsia"/>
                <w:sz w:val="24"/>
              </w:rPr>
              <w:t>7、</w:t>
            </w:r>
            <w:r>
              <w:rPr>
                <w:sz w:val="24"/>
              </w:rPr>
              <w:t>公用工程</w:t>
            </w:r>
          </w:p>
          <w:p>
            <w:pPr>
              <w:adjustRightInd w:val="0"/>
              <w:snapToGrid w:val="0"/>
              <w:spacing w:line="480" w:lineRule="exact"/>
              <w:ind w:firstLine="480" w:firstLineChars="200"/>
              <w:rPr>
                <w:sz w:val="24"/>
              </w:rPr>
            </w:pPr>
            <w:r>
              <w:rPr>
                <w:rFonts w:hint="eastAsia"/>
                <w:sz w:val="24"/>
              </w:rPr>
              <w:t>（1）</w:t>
            </w:r>
            <w:r>
              <w:rPr>
                <w:sz w:val="24"/>
              </w:rPr>
              <w:t>供电</w:t>
            </w:r>
          </w:p>
          <w:p>
            <w:pPr>
              <w:adjustRightInd w:val="0"/>
              <w:snapToGrid w:val="0"/>
              <w:spacing w:line="480" w:lineRule="exact"/>
              <w:ind w:firstLine="480" w:firstLineChars="200"/>
              <w:rPr>
                <w:sz w:val="24"/>
              </w:rPr>
            </w:pPr>
            <w:r>
              <w:rPr>
                <w:sz w:val="24"/>
              </w:rPr>
              <w:t>项目用电依托</w:t>
            </w:r>
            <w:r>
              <w:rPr>
                <w:rFonts w:hint="eastAsia"/>
                <w:sz w:val="24"/>
              </w:rPr>
              <w:t>三工镇</w:t>
            </w:r>
            <w:r>
              <w:rPr>
                <w:sz w:val="24"/>
              </w:rPr>
              <w:t>供电线路，供电满足用电需求，依托设施可行。</w:t>
            </w:r>
          </w:p>
          <w:p>
            <w:pPr>
              <w:adjustRightInd w:val="0"/>
              <w:snapToGrid w:val="0"/>
              <w:spacing w:line="480" w:lineRule="exact"/>
              <w:ind w:firstLine="480" w:firstLineChars="200"/>
              <w:rPr>
                <w:sz w:val="24"/>
              </w:rPr>
            </w:pPr>
            <w:r>
              <w:rPr>
                <w:rFonts w:hint="eastAsia"/>
                <w:sz w:val="24"/>
              </w:rPr>
              <w:t>（2）</w:t>
            </w:r>
            <w:r>
              <w:rPr>
                <w:sz w:val="24"/>
              </w:rPr>
              <w:t>采暖</w:t>
            </w:r>
          </w:p>
          <w:p>
            <w:pPr>
              <w:adjustRightInd w:val="0"/>
              <w:snapToGrid w:val="0"/>
              <w:spacing w:line="480" w:lineRule="exact"/>
              <w:ind w:firstLine="480" w:firstLineChars="200"/>
              <w:rPr>
                <w:sz w:val="24"/>
              </w:rPr>
            </w:pPr>
            <w:r>
              <w:rPr>
                <w:sz w:val="24"/>
              </w:rPr>
              <w:t>项目冬季不生产，办公生活区在运营期天气较冷时使用简易电采暖。</w:t>
            </w:r>
          </w:p>
          <w:p>
            <w:pPr>
              <w:adjustRightInd w:val="0"/>
              <w:snapToGrid w:val="0"/>
              <w:spacing w:line="480" w:lineRule="exact"/>
              <w:ind w:firstLine="480" w:firstLineChars="200"/>
              <w:rPr>
                <w:sz w:val="24"/>
              </w:rPr>
            </w:pPr>
            <w:r>
              <w:rPr>
                <w:rFonts w:hint="eastAsia"/>
                <w:sz w:val="24"/>
              </w:rPr>
              <w:t>（3）</w:t>
            </w:r>
            <w:r>
              <w:rPr>
                <w:sz w:val="24"/>
              </w:rPr>
              <w:t>给排水</w:t>
            </w:r>
          </w:p>
          <w:p>
            <w:pPr>
              <w:adjustRightInd w:val="0"/>
              <w:snapToGrid w:val="0"/>
              <w:spacing w:line="480" w:lineRule="exact"/>
              <w:ind w:firstLine="480" w:firstLineChars="200"/>
              <w:rPr>
                <w:sz w:val="24"/>
              </w:rPr>
            </w:pPr>
            <w:r>
              <w:rPr>
                <w:rFonts w:hint="eastAsia" w:ascii="宋体" w:hAnsi="宋体" w:cs="宋体"/>
                <w:sz w:val="24"/>
              </w:rPr>
              <w:t>①</w:t>
            </w:r>
            <w:r>
              <w:rPr>
                <w:sz w:val="24"/>
              </w:rPr>
              <w:t>生活用水</w:t>
            </w:r>
          </w:p>
          <w:p>
            <w:pPr>
              <w:adjustRightInd w:val="0"/>
              <w:snapToGrid w:val="0"/>
              <w:spacing w:line="480" w:lineRule="exact"/>
              <w:ind w:firstLine="480" w:firstLineChars="200"/>
              <w:rPr>
                <w:sz w:val="24"/>
              </w:rPr>
            </w:pPr>
            <w:r>
              <w:rPr>
                <w:rFonts w:hint="eastAsia"/>
                <w:sz w:val="24"/>
              </w:rPr>
              <w:t>项目新增劳动定员16人，结合企业用水情况，本项目新增人员生活用水量为192m</w:t>
            </w:r>
            <w:r>
              <w:rPr>
                <w:rFonts w:hint="eastAsia"/>
                <w:sz w:val="24"/>
                <w:vertAlign w:val="superscript"/>
              </w:rPr>
              <w:t>3</w:t>
            </w:r>
            <w:r>
              <w:rPr>
                <w:rFonts w:hint="eastAsia"/>
                <w:sz w:val="24"/>
              </w:rPr>
              <w:t>/a，生活污水产生量为用水量的80%，则生活污水产生量为153.6m</w:t>
            </w:r>
            <w:r>
              <w:rPr>
                <w:rFonts w:hint="eastAsia"/>
                <w:sz w:val="24"/>
                <w:vertAlign w:val="superscript"/>
              </w:rPr>
              <w:t>3</w:t>
            </w:r>
            <w:r>
              <w:rPr>
                <w:rFonts w:hint="eastAsia"/>
                <w:sz w:val="24"/>
              </w:rPr>
              <w:t>/a。生活污水排入污水管网，进入昌吉市污水处理厂处置。</w:t>
            </w:r>
          </w:p>
          <w:p>
            <w:pPr>
              <w:adjustRightInd w:val="0"/>
              <w:snapToGrid w:val="0"/>
              <w:spacing w:line="480" w:lineRule="exact"/>
              <w:ind w:firstLine="480" w:firstLineChars="200"/>
              <w:rPr>
                <w:sz w:val="24"/>
              </w:rPr>
            </w:pPr>
            <w:r>
              <w:rPr>
                <w:rFonts w:hint="eastAsia"/>
                <w:sz w:val="24"/>
              </w:rPr>
              <w:t>②生产用水</w:t>
            </w:r>
          </w:p>
          <w:p>
            <w:pPr>
              <w:adjustRightInd w:val="0"/>
              <w:snapToGrid w:val="0"/>
              <w:spacing w:line="480" w:lineRule="exact"/>
              <w:ind w:firstLine="480" w:firstLineChars="200"/>
              <w:rPr>
                <w:sz w:val="24"/>
              </w:rPr>
            </w:pPr>
            <w:r>
              <w:rPr>
                <w:rFonts w:hint="eastAsia"/>
                <w:sz w:val="24"/>
              </w:rPr>
              <w:t>本项目</w:t>
            </w:r>
            <w:r>
              <w:rPr>
                <w:rFonts w:hint="eastAsia"/>
                <w:sz w:val="24"/>
                <w:lang w:bidi="en-US"/>
              </w:rPr>
              <w:t>塑料果蔬筐冷却用水量为242.4m</w:t>
            </w:r>
            <w:r>
              <w:rPr>
                <w:rFonts w:hint="eastAsia"/>
                <w:sz w:val="24"/>
                <w:vertAlign w:val="superscript"/>
                <w:lang w:bidi="en-US"/>
              </w:rPr>
              <w:t>3</w:t>
            </w:r>
            <w:r>
              <w:rPr>
                <w:rFonts w:hint="eastAsia"/>
                <w:sz w:val="24"/>
                <w:lang w:bidi="en-US"/>
              </w:rPr>
              <w:t>/d（43632m</w:t>
            </w:r>
            <w:r>
              <w:rPr>
                <w:rFonts w:hint="eastAsia"/>
                <w:sz w:val="24"/>
                <w:vertAlign w:val="superscript"/>
                <w:lang w:bidi="en-US"/>
              </w:rPr>
              <w:t>3</w:t>
            </w:r>
            <w:r>
              <w:rPr>
                <w:rFonts w:hint="eastAsia"/>
                <w:sz w:val="24"/>
                <w:lang w:bidi="en-US"/>
              </w:rPr>
              <w:t>/a），循环量为240m</w:t>
            </w:r>
            <w:r>
              <w:rPr>
                <w:rFonts w:hint="eastAsia"/>
                <w:sz w:val="24"/>
                <w:vertAlign w:val="superscript"/>
                <w:lang w:bidi="en-US"/>
              </w:rPr>
              <w:t>3</w:t>
            </w:r>
            <w:r>
              <w:rPr>
                <w:rFonts w:hint="eastAsia"/>
                <w:sz w:val="24"/>
                <w:lang w:bidi="en-US"/>
              </w:rPr>
              <w:t>/d（43200m</w:t>
            </w:r>
            <w:r>
              <w:rPr>
                <w:rFonts w:hint="eastAsia"/>
                <w:sz w:val="24"/>
                <w:vertAlign w:val="superscript"/>
                <w:lang w:bidi="en-US"/>
              </w:rPr>
              <w:t>3</w:t>
            </w:r>
            <w:r>
              <w:rPr>
                <w:rFonts w:hint="eastAsia"/>
                <w:sz w:val="24"/>
                <w:lang w:bidi="en-US"/>
              </w:rPr>
              <w:t>/a），损耗量为2.4m</w:t>
            </w:r>
            <w:r>
              <w:rPr>
                <w:rFonts w:hint="eastAsia"/>
                <w:sz w:val="24"/>
                <w:vertAlign w:val="superscript"/>
                <w:lang w:bidi="en-US"/>
              </w:rPr>
              <w:t>3</w:t>
            </w:r>
            <w:r>
              <w:rPr>
                <w:rFonts w:hint="eastAsia"/>
                <w:sz w:val="24"/>
                <w:lang w:bidi="en-US"/>
              </w:rPr>
              <w:t>/d（432m</w:t>
            </w:r>
            <w:r>
              <w:rPr>
                <w:rFonts w:hint="eastAsia"/>
                <w:sz w:val="24"/>
                <w:vertAlign w:val="superscript"/>
                <w:lang w:bidi="en-US"/>
              </w:rPr>
              <w:t>3</w:t>
            </w:r>
            <w:r>
              <w:rPr>
                <w:rFonts w:hint="eastAsia"/>
                <w:sz w:val="24"/>
                <w:lang w:bidi="en-US"/>
              </w:rPr>
              <w:t>/a）。</w:t>
            </w:r>
            <w:r>
              <w:rPr>
                <w:rFonts w:hint="eastAsia"/>
                <w:sz w:val="24"/>
              </w:rPr>
              <w:t>项目生产废水经冷却水池收集后循环利用。</w:t>
            </w:r>
          </w:p>
          <w:p>
            <w:pPr>
              <w:pStyle w:val="53"/>
              <w:spacing w:line="240" w:lineRule="auto"/>
              <w:ind w:firstLine="0" w:firstLineChars="0"/>
              <w:jc w:val="center"/>
              <w:rPr>
                <w:bCs/>
                <w:szCs w:val="21"/>
              </w:rPr>
            </w:pPr>
          </w:p>
          <w:p>
            <w:pPr>
              <w:jc w:val="center"/>
              <w:rPr>
                <w:rFonts w:ascii="黑体" w:hAnsi="黑体" w:eastAsia="黑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817" w:type="dxa"/>
            <w:vAlign w:val="center"/>
          </w:tcPr>
          <w:p>
            <w:pPr>
              <w:pStyle w:val="21"/>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1"/>
              </w:rPr>
              <w:t>工艺流程和产排污环节</w:t>
            </w:r>
          </w:p>
        </w:tc>
        <w:tc>
          <w:tcPr>
            <w:tcW w:w="8243" w:type="dxa"/>
          </w:tcPr>
          <w:p>
            <w:pPr>
              <w:pStyle w:val="53"/>
              <w:spacing w:line="480" w:lineRule="exact"/>
              <w:rPr>
                <w:bCs/>
                <w:szCs w:val="21"/>
              </w:rPr>
            </w:pPr>
            <w:r>
              <w:rPr>
                <w:bCs/>
                <w:szCs w:val="21"/>
              </w:rPr>
              <w:t>1、施工期</w:t>
            </w:r>
          </w:p>
          <w:p>
            <w:pPr>
              <w:pStyle w:val="53"/>
              <w:rPr>
                <w:bCs/>
                <w:szCs w:val="21"/>
              </w:rPr>
            </w:pPr>
            <w:r>
              <w:rPr>
                <w:bCs/>
                <w:szCs w:val="21"/>
              </w:rPr>
              <w:t>本项目</w:t>
            </w:r>
            <w:r>
              <w:rPr>
                <w:rFonts w:hint="eastAsia"/>
                <w:bCs/>
                <w:szCs w:val="21"/>
              </w:rPr>
              <w:t>利用现有厂房，</w:t>
            </w:r>
            <w:r>
              <w:rPr>
                <w:bCs/>
                <w:szCs w:val="21"/>
              </w:rPr>
              <w:t>施工期主要施工内容为</w:t>
            </w:r>
            <w:r>
              <w:rPr>
                <w:rFonts w:hint="eastAsia"/>
                <w:bCs/>
                <w:szCs w:val="21"/>
              </w:rPr>
              <w:t>设备的安装</w:t>
            </w:r>
            <w:r>
              <w:rPr>
                <w:bCs/>
                <w:szCs w:val="21"/>
              </w:rPr>
              <w:t>。施工期工艺和产污环节详见</w:t>
            </w:r>
            <w:r>
              <w:rPr>
                <w:rFonts w:hint="eastAsia"/>
                <w:bCs/>
                <w:szCs w:val="21"/>
              </w:rPr>
              <w:t>下图。</w:t>
            </w:r>
          </w:p>
          <w:p>
            <w:pPr>
              <w:autoSpaceDE w:val="0"/>
              <w:autoSpaceDN w:val="0"/>
              <w:jc w:val="center"/>
              <w:rPr>
                <w:rFonts w:ascii="黑体" w:hAnsi="黑体" w:eastAsia="黑体"/>
                <w:sz w:val="24"/>
              </w:rPr>
            </w:pPr>
            <w:r>
              <w:rPr>
                <w:rFonts w:ascii="黑体" w:hAnsi="黑体" w:eastAsia="黑体"/>
                <w:sz w:val="24"/>
              </w:rPr>
              <w:pict>
                <v:shape id="_x0000_s2050" o:spid="_x0000_s2050" o:spt="75" type="#_x0000_t75" style="position:absolute;left:0pt;margin-left:4.15pt;margin-top:10.7pt;height:137pt;width:433.35pt;mso-wrap-distance-bottom:0pt;mso-wrap-distance-top:0pt;z-index:251659264;mso-width-relative:page;mso-height-relative:page;" o:ole="t" filled="f" o:preferrelative="t" stroked="f" coordsize="21600,21600">
                  <v:path/>
                  <v:fill on="f" focussize="0,0"/>
                  <v:stroke on="f" joinstyle="miter"/>
                  <v:imagedata r:id="rId14" o:title=""/>
                  <o:lock v:ext="edit" aspectratio="f"/>
                  <w10:wrap type="topAndBottom"/>
                </v:shape>
                <o:OLEObject Type="Embed" ProgID="Visio.Drawing.11" ShapeID="_x0000_s2050" DrawAspect="Content" ObjectID="_1468075725" r:id="rId13">
                  <o:LockedField>false</o:LockedField>
                </o:OLEObject>
              </w:pict>
            </w:r>
            <w:r>
              <w:rPr>
                <w:rFonts w:ascii="黑体" w:hAnsi="黑体" w:eastAsia="黑体"/>
              </w:rPr>
              <w:t xml:space="preserve"> 施工期主要流程及产污环节图</w:t>
            </w:r>
          </w:p>
          <w:p>
            <w:pPr>
              <w:pStyle w:val="53"/>
              <w:spacing w:line="480" w:lineRule="exact"/>
              <w:rPr>
                <w:bCs/>
                <w:szCs w:val="21"/>
              </w:rPr>
            </w:pPr>
            <w:r>
              <w:rPr>
                <w:bCs/>
                <w:szCs w:val="21"/>
              </w:rPr>
              <w:t>2、运营期</w:t>
            </w:r>
          </w:p>
          <w:p>
            <w:pPr>
              <w:pStyle w:val="53"/>
              <w:spacing w:line="480" w:lineRule="exact"/>
              <w:rPr>
                <w:bCs/>
                <w:szCs w:val="21"/>
              </w:rPr>
            </w:pPr>
            <w:r>
              <w:rPr>
                <w:rFonts w:hint="eastAsia"/>
                <w:bCs/>
                <w:szCs w:val="21"/>
              </w:rPr>
              <w:t>本项目外购聚丙烯颗粒料及色母粒为原料生产塑料果蔬筐，</w:t>
            </w:r>
            <w:r>
              <w:rPr>
                <w:bCs/>
                <w:szCs w:val="21"/>
              </w:rPr>
              <w:t>运营期生产工艺流程及产污情况见</w:t>
            </w:r>
            <w:r>
              <w:rPr>
                <w:rFonts w:hint="eastAsia"/>
                <w:bCs/>
                <w:szCs w:val="21"/>
              </w:rPr>
              <w:t>下图</w:t>
            </w:r>
            <w:r>
              <w:rPr>
                <w:bCs/>
                <w:szCs w:val="21"/>
              </w:rPr>
              <w:t>。</w:t>
            </w:r>
          </w:p>
          <w:p>
            <w:pPr>
              <w:pStyle w:val="55"/>
              <w:snapToGrid w:val="0"/>
              <w:spacing w:line="240" w:lineRule="auto"/>
              <w:ind w:firstLine="0"/>
              <w:rPr>
                <w:rFonts w:ascii="Times New Roman" w:hAnsi="Times New Roman"/>
                <w:bCs w:val="0"/>
                <w:color w:val="auto"/>
                <w:szCs w:val="24"/>
              </w:rPr>
            </w:pPr>
            <w:r>
              <w:rPr>
                <w:color w:val="auto"/>
              </w:rPr>
              <w:object>
                <v:shape id="_x0000_i1025" o:spt="75" type="#_x0000_t75" style="height:245.95pt;width:248.85pt;" o:ole="t" filled="f" o:preferrelative="t" stroked="f" coordsize="21600,21600">
                  <v:path/>
                  <v:fill on="f" focussize="0,0"/>
                  <v:stroke on="f" joinstyle="miter"/>
                  <v:imagedata r:id="rId16" o:title=""/>
                  <o:lock v:ext="edit" aspectratio="t"/>
                  <w10:wrap type="none"/>
                  <w10:anchorlock/>
                </v:shape>
                <o:OLEObject Type="Embed" ProgID="Visio.Drawing.11" ShapeID="_x0000_i1025" DrawAspect="Content" ObjectID="_1468075726" r:id="rId15">
                  <o:LockedField>false</o:LockedField>
                </o:OLEObject>
              </w:object>
            </w:r>
          </w:p>
          <w:p>
            <w:pPr>
              <w:pStyle w:val="55"/>
              <w:adjustRightInd w:val="0"/>
              <w:snapToGrid w:val="0"/>
              <w:spacing w:line="240" w:lineRule="auto"/>
              <w:ind w:firstLine="0"/>
              <w:rPr>
                <w:rFonts w:ascii="Times New Roman" w:hAnsi="Times New Roman"/>
                <w:bCs w:val="0"/>
                <w:color w:val="auto"/>
                <w:szCs w:val="24"/>
              </w:rPr>
            </w:pPr>
            <w:r>
              <w:rPr>
                <w:rFonts w:ascii="Times New Roman" w:hAnsi="Times New Roman" w:eastAsia="黑体"/>
                <w:color w:val="auto"/>
                <w:sz w:val="21"/>
                <w:szCs w:val="21"/>
              </w:rPr>
              <w:t xml:space="preserve"> 生产工艺流程及产污节点图</w:t>
            </w:r>
          </w:p>
          <w:p>
            <w:pPr>
              <w:adjustRightInd w:val="0"/>
              <w:snapToGrid w:val="0"/>
              <w:spacing w:line="480" w:lineRule="exact"/>
              <w:ind w:firstLine="480" w:firstLineChars="200"/>
              <w:rPr>
                <w:bCs/>
                <w:sz w:val="24"/>
              </w:rPr>
            </w:pPr>
            <w:r>
              <w:rPr>
                <w:rFonts w:hint="eastAsia"/>
                <w:bCs/>
                <w:sz w:val="24"/>
              </w:rPr>
              <w:t>工艺流程简述：</w:t>
            </w:r>
          </w:p>
          <w:p>
            <w:pPr>
              <w:adjustRightInd w:val="0"/>
              <w:snapToGrid w:val="0"/>
              <w:spacing w:line="480" w:lineRule="exact"/>
              <w:ind w:firstLine="480" w:firstLineChars="200"/>
              <w:rPr>
                <w:bCs/>
                <w:sz w:val="24"/>
              </w:rPr>
            </w:pPr>
            <w:r>
              <w:rPr>
                <w:rFonts w:hint="eastAsia"/>
                <w:bCs/>
                <w:sz w:val="24"/>
              </w:rPr>
              <w:t>①混料</w:t>
            </w:r>
          </w:p>
          <w:p>
            <w:pPr>
              <w:adjustRightInd w:val="0"/>
              <w:snapToGrid w:val="0"/>
              <w:spacing w:line="480" w:lineRule="exact"/>
              <w:ind w:firstLine="480" w:firstLineChars="200"/>
              <w:rPr>
                <w:bCs/>
                <w:sz w:val="24"/>
              </w:rPr>
            </w:pPr>
            <w:r>
              <w:rPr>
                <w:rFonts w:hint="eastAsia"/>
                <w:bCs/>
                <w:sz w:val="24"/>
              </w:rPr>
              <w:t>聚丙烯颗粒与色母粒按比例称量好，通过密闭上料机输送至混料机进行混合，混料机密闭。</w:t>
            </w:r>
          </w:p>
          <w:p>
            <w:pPr>
              <w:adjustRightInd w:val="0"/>
              <w:snapToGrid w:val="0"/>
              <w:spacing w:line="480" w:lineRule="exact"/>
              <w:ind w:firstLine="480" w:firstLineChars="200"/>
              <w:rPr>
                <w:bCs/>
                <w:sz w:val="24"/>
              </w:rPr>
            </w:pPr>
            <w:r>
              <w:rPr>
                <w:rFonts w:hint="eastAsia"/>
                <w:bCs/>
                <w:sz w:val="24"/>
              </w:rPr>
              <w:t>②加热熔融</w:t>
            </w:r>
          </w:p>
          <w:p>
            <w:pPr>
              <w:adjustRightInd w:val="0"/>
              <w:snapToGrid w:val="0"/>
              <w:spacing w:line="480" w:lineRule="exact"/>
              <w:ind w:firstLine="480" w:firstLineChars="200"/>
              <w:rPr>
                <w:bCs/>
                <w:sz w:val="24"/>
              </w:rPr>
            </w:pPr>
            <w:r>
              <w:rPr>
                <w:rFonts w:hint="eastAsia"/>
                <w:bCs/>
                <w:sz w:val="24"/>
              </w:rPr>
              <w:t>聚丙烯颗粒与色母粒径混料机混合均匀后，进入注塑机，经电加热（预热30min，温度达到160～175℃）熔融挤出。</w:t>
            </w:r>
          </w:p>
          <w:p>
            <w:pPr>
              <w:adjustRightInd w:val="0"/>
              <w:snapToGrid w:val="0"/>
              <w:spacing w:line="480" w:lineRule="exact"/>
              <w:ind w:firstLine="480" w:firstLineChars="200"/>
              <w:rPr>
                <w:bCs/>
                <w:sz w:val="24"/>
              </w:rPr>
            </w:pPr>
            <w:r>
              <w:rPr>
                <w:rFonts w:hint="eastAsia"/>
                <w:bCs/>
                <w:sz w:val="24"/>
              </w:rPr>
              <w:t>③模具冷却成型</w:t>
            </w:r>
          </w:p>
          <w:p>
            <w:pPr>
              <w:adjustRightInd w:val="0"/>
              <w:snapToGrid w:val="0"/>
              <w:spacing w:line="480" w:lineRule="exact"/>
              <w:ind w:firstLine="480" w:firstLineChars="200"/>
              <w:rPr>
                <w:bCs/>
                <w:sz w:val="24"/>
              </w:rPr>
            </w:pPr>
            <w:r>
              <w:rPr>
                <w:rFonts w:hint="eastAsia"/>
                <w:bCs/>
                <w:sz w:val="24"/>
              </w:rPr>
              <w:t>熔融挤出的物料注入塑料果蔬筐模具中，模具采用水冷方式间接冷却降温成型，冷却水循环使用。</w:t>
            </w:r>
          </w:p>
          <w:p>
            <w:pPr>
              <w:adjustRightInd w:val="0"/>
              <w:snapToGrid w:val="0"/>
              <w:spacing w:line="480" w:lineRule="exact"/>
              <w:ind w:firstLine="480" w:firstLineChars="200"/>
              <w:rPr>
                <w:bCs/>
                <w:sz w:val="24"/>
              </w:rPr>
            </w:pPr>
            <w:r>
              <w:rPr>
                <w:rFonts w:hint="eastAsia"/>
                <w:bCs/>
                <w:sz w:val="24"/>
              </w:rPr>
              <w:t>④检测</w:t>
            </w:r>
          </w:p>
          <w:p>
            <w:pPr>
              <w:adjustRightInd w:val="0"/>
              <w:snapToGrid w:val="0"/>
              <w:spacing w:line="480" w:lineRule="exact"/>
              <w:ind w:firstLine="480" w:firstLineChars="200"/>
              <w:rPr>
                <w:bCs/>
                <w:sz w:val="24"/>
              </w:rPr>
            </w:pPr>
            <w:r>
              <w:rPr>
                <w:rFonts w:hint="eastAsia"/>
                <w:bCs/>
                <w:sz w:val="24"/>
              </w:rPr>
              <w:t>冷却成型的产品脱除模具后进行检验检测，合格产品入库外售，不合格产品回至破碎工段循环利用，破碎机密闭。</w:t>
            </w:r>
          </w:p>
          <w:p>
            <w:pPr>
              <w:adjustRightInd w:val="0"/>
              <w:snapToGrid w:val="0"/>
              <w:spacing w:line="480" w:lineRule="exact"/>
              <w:ind w:firstLine="480" w:firstLineChars="200"/>
              <w:rPr>
                <w:bCs/>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959" w:hRule="atLeast"/>
          <w:jc w:val="center"/>
        </w:trPr>
        <w:tc>
          <w:tcPr>
            <w:tcW w:w="817" w:type="dxa"/>
            <w:vAlign w:val="center"/>
          </w:tcPr>
          <w:p>
            <w:pPr>
              <w:pStyle w:val="21"/>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Cs w:val="21"/>
              </w:rPr>
              <w:t>与项目有关的原有环境污染问题</w:t>
            </w:r>
          </w:p>
        </w:tc>
        <w:tc>
          <w:tcPr>
            <w:tcW w:w="8243" w:type="dxa"/>
          </w:tcPr>
          <w:p>
            <w:pPr>
              <w:pStyle w:val="53"/>
              <w:rPr>
                <w:bCs/>
                <w:szCs w:val="21"/>
              </w:rPr>
            </w:pPr>
            <w:r>
              <w:rPr>
                <w:rFonts w:hint="eastAsia"/>
              </w:rPr>
              <w:t>本项目为新建项目，项目区现状为空置厂房，不存在与本项目有关的原有环境污染问题。</w:t>
            </w:r>
          </w:p>
        </w:tc>
      </w:tr>
    </w:tbl>
    <w:p>
      <w:pPr>
        <w:pStyle w:val="21"/>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pPr>
        <w:pStyle w:val="2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5"/>
        <w:tblW w:w="886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6"/>
        <w:gridCol w:w="8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78" w:hRule="atLeast"/>
          <w:jc w:val="center"/>
        </w:trPr>
        <w:tc>
          <w:tcPr>
            <w:tcW w:w="576" w:type="dxa"/>
            <w:vAlign w:val="center"/>
          </w:tcPr>
          <w:p>
            <w:pPr>
              <w:adjustRightInd w:val="0"/>
              <w:snapToGrid w:val="0"/>
              <w:jc w:val="center"/>
              <w:rPr>
                <w:kern w:val="0"/>
                <w:sz w:val="24"/>
                <w:szCs w:val="21"/>
              </w:rPr>
            </w:pPr>
            <w:r>
              <w:rPr>
                <w:kern w:val="0"/>
                <w:sz w:val="24"/>
                <w:szCs w:val="21"/>
              </w:rPr>
              <w:t>区域</w:t>
            </w:r>
          </w:p>
          <w:p>
            <w:pPr>
              <w:adjustRightInd w:val="0"/>
              <w:snapToGrid w:val="0"/>
              <w:jc w:val="center"/>
              <w:rPr>
                <w:kern w:val="0"/>
                <w:sz w:val="24"/>
                <w:szCs w:val="21"/>
              </w:rPr>
            </w:pPr>
            <w:r>
              <w:rPr>
                <w:kern w:val="0"/>
                <w:sz w:val="24"/>
                <w:szCs w:val="21"/>
              </w:rPr>
              <w:t>环境</w:t>
            </w:r>
          </w:p>
          <w:p>
            <w:pPr>
              <w:adjustRightInd w:val="0"/>
              <w:snapToGrid w:val="0"/>
              <w:jc w:val="center"/>
              <w:rPr>
                <w:kern w:val="0"/>
                <w:sz w:val="24"/>
                <w:szCs w:val="21"/>
              </w:rPr>
            </w:pPr>
            <w:r>
              <w:rPr>
                <w:kern w:val="0"/>
                <w:sz w:val="24"/>
                <w:szCs w:val="21"/>
              </w:rPr>
              <w:t>质量</w:t>
            </w:r>
          </w:p>
          <w:p>
            <w:pPr>
              <w:adjustRightInd w:val="0"/>
              <w:snapToGrid w:val="0"/>
              <w:jc w:val="center"/>
              <w:rPr>
                <w:kern w:val="0"/>
                <w:szCs w:val="21"/>
              </w:rPr>
            </w:pPr>
            <w:r>
              <w:rPr>
                <w:kern w:val="0"/>
                <w:sz w:val="24"/>
                <w:szCs w:val="21"/>
              </w:rPr>
              <w:t>现状</w:t>
            </w:r>
          </w:p>
        </w:tc>
        <w:tc>
          <w:tcPr>
            <w:tcW w:w="8286" w:type="dxa"/>
            <w:vAlign w:val="center"/>
          </w:tcPr>
          <w:p>
            <w:pPr>
              <w:adjustRightInd w:val="0"/>
              <w:snapToGrid w:val="0"/>
              <w:spacing w:line="480" w:lineRule="exact"/>
              <w:ind w:firstLine="480" w:firstLineChars="200"/>
              <w:rPr>
                <w:sz w:val="24"/>
              </w:rPr>
            </w:pPr>
            <w:r>
              <w:rPr>
                <w:sz w:val="24"/>
              </w:rPr>
              <w:t>1、环境空气现状调查及分析</w:t>
            </w:r>
          </w:p>
          <w:p>
            <w:pPr>
              <w:adjustRightInd w:val="0"/>
              <w:snapToGrid w:val="0"/>
              <w:spacing w:line="480" w:lineRule="exact"/>
              <w:ind w:firstLine="480" w:firstLineChars="200"/>
              <w:rPr>
                <w:bCs/>
                <w:sz w:val="24"/>
              </w:rPr>
            </w:pPr>
            <w:r>
              <w:rPr>
                <w:rFonts w:hint="eastAsia"/>
                <w:bCs/>
                <w:sz w:val="24"/>
              </w:rPr>
              <w:t>（1）</w:t>
            </w:r>
            <w:r>
              <w:rPr>
                <w:bCs/>
                <w:sz w:val="24"/>
              </w:rPr>
              <w:t>数据来源</w:t>
            </w:r>
          </w:p>
          <w:p>
            <w:pPr>
              <w:adjustRightInd w:val="0"/>
              <w:snapToGrid w:val="0"/>
              <w:spacing w:line="480" w:lineRule="exact"/>
              <w:ind w:firstLine="480" w:firstLineChars="200"/>
              <w:rPr>
                <w:bCs/>
                <w:sz w:val="24"/>
              </w:rPr>
            </w:pPr>
            <w:r>
              <w:rPr>
                <w:rFonts w:hint="eastAsia"/>
                <w:bCs/>
                <w:sz w:val="24"/>
              </w:rPr>
              <w:t>根据《环境影响评价技术导则</w:t>
            </w:r>
            <w:r>
              <w:rPr>
                <w:bCs/>
                <w:sz w:val="24"/>
              </w:rPr>
              <w:t>-</w:t>
            </w:r>
            <w:r>
              <w:rPr>
                <w:rFonts w:hint="eastAsia"/>
                <w:bCs/>
                <w:sz w:val="24"/>
              </w:rPr>
              <w:t>大气环境》（</w:t>
            </w:r>
            <w:r>
              <w:rPr>
                <w:bCs/>
                <w:sz w:val="24"/>
              </w:rPr>
              <w:t>H.J2.2-2018</w:t>
            </w:r>
            <w:r>
              <w:rPr>
                <w:rFonts w:hint="eastAsia"/>
                <w:bCs/>
                <w:sz w:val="24"/>
              </w:rPr>
              <w:t>）对环境质量现状数据的要求，本次评价选择昌吉市空气</w:t>
            </w:r>
            <w:r>
              <w:rPr>
                <w:bCs/>
                <w:sz w:val="24"/>
              </w:rPr>
              <w:t>监测站点</w:t>
            </w:r>
            <w:r>
              <w:rPr>
                <w:rFonts w:hint="eastAsia"/>
                <w:bCs/>
                <w:sz w:val="24"/>
              </w:rPr>
              <w:t>202</w:t>
            </w:r>
            <w:r>
              <w:rPr>
                <w:rFonts w:hint="eastAsia"/>
                <w:bCs/>
                <w:sz w:val="24"/>
                <w:lang w:val="en-US" w:eastAsia="zh-CN"/>
              </w:rPr>
              <w:t>2</w:t>
            </w:r>
            <w:r>
              <w:rPr>
                <w:rFonts w:hint="eastAsia"/>
                <w:bCs/>
                <w:sz w:val="24"/>
              </w:rPr>
              <w:t>年的监测数据，作为本项目环境空气现状评价基本污染物</w:t>
            </w:r>
            <w:r>
              <w:rPr>
                <w:bCs/>
                <w:sz w:val="24"/>
              </w:rPr>
              <w:t>SO</w:t>
            </w:r>
            <w:r>
              <w:rPr>
                <w:bCs/>
                <w:sz w:val="24"/>
                <w:vertAlign w:val="subscript"/>
              </w:rPr>
              <w:t>2</w:t>
            </w:r>
            <w:r>
              <w:rPr>
                <w:rFonts w:hint="eastAsia"/>
                <w:bCs/>
                <w:sz w:val="24"/>
              </w:rPr>
              <w:t>、</w:t>
            </w:r>
            <w:r>
              <w:rPr>
                <w:bCs/>
                <w:sz w:val="24"/>
              </w:rPr>
              <w:t>NO</w:t>
            </w:r>
            <w:r>
              <w:rPr>
                <w:bCs/>
                <w:sz w:val="24"/>
                <w:vertAlign w:val="subscript"/>
              </w:rPr>
              <w:t>2</w:t>
            </w:r>
            <w:r>
              <w:rPr>
                <w:rFonts w:hint="eastAsia"/>
                <w:bCs/>
                <w:sz w:val="24"/>
              </w:rPr>
              <w:t>、</w:t>
            </w:r>
            <w:r>
              <w:rPr>
                <w:bCs/>
                <w:sz w:val="24"/>
              </w:rPr>
              <w:t>PM</w:t>
            </w:r>
            <w:r>
              <w:rPr>
                <w:bCs/>
                <w:sz w:val="24"/>
                <w:vertAlign w:val="subscript"/>
              </w:rPr>
              <w:t>10</w:t>
            </w:r>
            <w:r>
              <w:rPr>
                <w:rFonts w:hint="eastAsia"/>
                <w:bCs/>
                <w:sz w:val="24"/>
              </w:rPr>
              <w:t>、</w:t>
            </w:r>
            <w:r>
              <w:rPr>
                <w:bCs/>
                <w:sz w:val="24"/>
              </w:rPr>
              <w:t>PM</w:t>
            </w:r>
            <w:r>
              <w:rPr>
                <w:bCs/>
                <w:sz w:val="24"/>
                <w:vertAlign w:val="subscript"/>
              </w:rPr>
              <w:t>2.5</w:t>
            </w:r>
            <w:r>
              <w:rPr>
                <w:rFonts w:hint="eastAsia"/>
                <w:bCs/>
                <w:sz w:val="24"/>
              </w:rPr>
              <w:t>、</w:t>
            </w:r>
            <w:r>
              <w:rPr>
                <w:bCs/>
                <w:sz w:val="24"/>
              </w:rPr>
              <w:t>CO</w:t>
            </w:r>
            <w:r>
              <w:rPr>
                <w:rFonts w:hint="eastAsia"/>
                <w:bCs/>
                <w:sz w:val="24"/>
              </w:rPr>
              <w:t>和</w:t>
            </w:r>
            <w:r>
              <w:rPr>
                <w:bCs/>
                <w:sz w:val="24"/>
              </w:rPr>
              <w:t>O</w:t>
            </w:r>
            <w:r>
              <w:rPr>
                <w:bCs/>
                <w:sz w:val="24"/>
                <w:vertAlign w:val="subscript"/>
              </w:rPr>
              <w:t>3</w:t>
            </w:r>
            <w:r>
              <w:rPr>
                <w:rFonts w:hint="eastAsia"/>
                <w:bCs/>
                <w:sz w:val="24"/>
              </w:rPr>
              <w:t>的数据来源。</w:t>
            </w:r>
          </w:p>
          <w:p>
            <w:pPr>
              <w:adjustRightInd w:val="0"/>
              <w:snapToGrid w:val="0"/>
              <w:spacing w:line="480" w:lineRule="exact"/>
              <w:ind w:firstLine="480" w:firstLineChars="200"/>
              <w:rPr>
                <w:bCs/>
                <w:sz w:val="24"/>
              </w:rPr>
            </w:pPr>
            <w:r>
              <w:rPr>
                <w:rFonts w:hint="eastAsia" w:ascii="宋体" w:hAnsi="宋体" w:cs="宋体"/>
                <w:bCs/>
                <w:sz w:val="24"/>
              </w:rPr>
              <w:t>（2）</w:t>
            </w:r>
            <w:r>
              <w:rPr>
                <w:bCs/>
                <w:sz w:val="24"/>
              </w:rPr>
              <w:t>评价标准</w:t>
            </w:r>
          </w:p>
          <w:p>
            <w:pPr>
              <w:adjustRightInd w:val="0"/>
              <w:snapToGrid w:val="0"/>
              <w:spacing w:line="480" w:lineRule="exact"/>
              <w:ind w:firstLine="480" w:firstLineChars="200"/>
              <w:rPr>
                <w:bCs/>
                <w:sz w:val="24"/>
              </w:rPr>
            </w:pPr>
            <w:r>
              <w:rPr>
                <w:bCs/>
                <w:sz w:val="24"/>
              </w:rPr>
              <w:t>本次评价基本污染物执行《环境空气质量标准》（GB3095-2012）中的二级标准。</w:t>
            </w:r>
          </w:p>
          <w:p>
            <w:pPr>
              <w:adjustRightInd w:val="0"/>
              <w:snapToGrid w:val="0"/>
              <w:spacing w:line="480" w:lineRule="exact"/>
              <w:ind w:firstLine="480" w:firstLineChars="200"/>
              <w:rPr>
                <w:bCs/>
                <w:sz w:val="24"/>
              </w:rPr>
            </w:pPr>
            <w:r>
              <w:rPr>
                <w:rFonts w:hint="eastAsia" w:ascii="宋体" w:hAnsi="宋体" w:cs="宋体"/>
                <w:bCs/>
                <w:sz w:val="24"/>
              </w:rPr>
              <w:t>（3）</w:t>
            </w:r>
            <w:r>
              <w:rPr>
                <w:bCs/>
                <w:sz w:val="24"/>
              </w:rPr>
              <w:t>评价方法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FF"/>
                <w:sz w:val="24"/>
              </w:rPr>
            </w:pPr>
            <w:r>
              <w:rPr>
                <w:bCs/>
                <w:sz w:val="24"/>
              </w:rPr>
              <w:t>评价方法：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r>
              <w:rPr>
                <w:rFonts w:hint="eastAsia" w:ascii="宋体" w:hAnsi="宋体" w:eastAsia="宋体" w:cs="宋体"/>
                <w:b w:val="0"/>
                <w:bCs w:val="0"/>
                <w:color w:val="0000FF"/>
                <w:sz w:val="24"/>
              </w:rPr>
              <w:t>本次引用</w:t>
            </w:r>
            <w:r>
              <w:rPr>
                <w:rFonts w:hint="eastAsia" w:ascii="宋体" w:hAnsi="宋体" w:eastAsia="宋体" w:cs="宋体"/>
                <w:b w:val="0"/>
                <w:bCs w:val="0"/>
                <w:color w:val="0000FF"/>
                <w:sz w:val="24"/>
                <w:lang w:eastAsia="zh-CN"/>
              </w:rPr>
              <w:t>昌吉市</w:t>
            </w:r>
            <w:r>
              <w:rPr>
                <w:rFonts w:hint="eastAsia" w:ascii="宋体" w:hAnsi="宋体" w:eastAsia="宋体" w:cs="宋体"/>
                <w:b w:val="0"/>
                <w:bCs w:val="0"/>
                <w:color w:val="0000FF"/>
                <w:sz w:val="24"/>
              </w:rPr>
              <w:t>新区政务中心站点国控点的</w:t>
            </w:r>
            <w:r>
              <w:rPr>
                <w:rFonts w:hint="eastAsia" w:ascii="宋体" w:hAnsi="宋体" w:eastAsia="宋体" w:cs="宋体"/>
                <w:b w:val="0"/>
                <w:bCs w:val="0"/>
                <w:color w:val="0000FF"/>
                <w:sz w:val="24"/>
                <w:lang w:val="en-US" w:eastAsia="zh-CN"/>
              </w:rPr>
              <w:t>2022年</w:t>
            </w:r>
            <w:r>
              <w:rPr>
                <w:rFonts w:hint="eastAsia" w:ascii="宋体" w:hAnsi="宋体" w:eastAsia="宋体" w:cs="宋体"/>
                <w:b w:val="0"/>
                <w:bCs w:val="0"/>
                <w:color w:val="0000FF"/>
                <w:sz w:val="24"/>
              </w:rPr>
              <w:t>数据，该监测点位于昌吉市乌伊路与世纪大道交汇处。</w:t>
            </w:r>
            <w:r>
              <w:rPr>
                <w:rFonts w:hint="eastAsia" w:ascii="宋体" w:hAnsi="宋体" w:eastAsia="宋体" w:cs="宋体"/>
                <w:b w:val="0"/>
                <w:bCs w:val="0"/>
                <w:color w:val="0000FF"/>
                <w:sz w:val="24"/>
                <w:lang w:eastAsia="zh-CN"/>
              </w:rPr>
              <w:t>位于本项目北侧约</w:t>
            </w:r>
            <w:r>
              <w:rPr>
                <w:rFonts w:hint="eastAsia" w:ascii="宋体" w:hAnsi="宋体" w:eastAsia="宋体" w:cs="宋体"/>
                <w:b w:val="0"/>
                <w:bCs w:val="0"/>
                <w:color w:val="0000FF"/>
                <w:sz w:val="24"/>
                <w:lang w:val="en-US" w:eastAsia="zh-CN"/>
              </w:rPr>
              <w:t>9km，</w:t>
            </w:r>
            <w:r>
              <w:rPr>
                <w:rFonts w:hint="eastAsia" w:ascii="宋体" w:hAnsi="宋体" w:eastAsia="宋体" w:cs="宋体"/>
                <w:bCs/>
                <w:color w:val="0000FF"/>
                <w:sz w:val="24"/>
              </w:rPr>
              <w:t>昌吉市202</w:t>
            </w:r>
            <w:r>
              <w:rPr>
                <w:rFonts w:hint="eastAsia" w:ascii="宋体" w:hAnsi="宋体" w:eastAsia="宋体" w:cs="宋体"/>
                <w:bCs/>
                <w:color w:val="0000FF"/>
                <w:sz w:val="24"/>
                <w:lang w:val="en-US" w:eastAsia="zh-CN"/>
              </w:rPr>
              <w:t>2</w:t>
            </w:r>
            <w:r>
              <w:rPr>
                <w:rFonts w:hint="eastAsia" w:ascii="宋体" w:hAnsi="宋体" w:eastAsia="宋体" w:cs="宋体"/>
                <w:bCs/>
                <w:color w:val="0000FF"/>
                <w:sz w:val="24"/>
              </w:rPr>
              <w:t>年空气质量达标区判定结果见表3-1。</w:t>
            </w:r>
          </w:p>
          <w:p>
            <w:pPr>
              <w:adjustRightInd w:val="0"/>
              <w:snapToGrid w:val="0"/>
              <w:spacing w:line="360" w:lineRule="auto"/>
              <w:ind w:firstLine="840" w:firstLineChars="400"/>
              <w:rPr>
                <w:rFonts w:ascii="宋体" w:hAnsi="宋体" w:cs="宋体"/>
                <w:bCs/>
                <w:color w:val="0000FF"/>
                <w:szCs w:val="21"/>
              </w:rPr>
            </w:pPr>
            <w:r>
              <w:rPr>
                <w:rFonts w:hint="eastAsia" w:ascii="宋体" w:hAnsi="宋体" w:cs="宋体"/>
                <w:bCs/>
                <w:color w:val="0000FF"/>
                <w:szCs w:val="21"/>
              </w:rPr>
              <w:t>表3-1    大气环境质量现状监测浓度统计及评价结果</w:t>
            </w:r>
          </w:p>
          <w:tbl>
            <w:tblPr>
              <w:tblStyle w:val="25"/>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840"/>
              <w:gridCol w:w="1251"/>
              <w:gridCol w:w="1421"/>
              <w:gridCol w:w="1247"/>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1169" w:type="dxa"/>
                  <w:vAlign w:val="center"/>
                </w:tcPr>
                <w:p>
                  <w:pPr>
                    <w:pStyle w:val="80"/>
                    <w:spacing w:before="72" w:after="72" w:line="360" w:lineRule="auto"/>
                    <w:ind w:left="0" w:leftChars="0" w:right="0" w:rightChars="0" w:firstLine="0" w:firstLineChars="0"/>
                    <w:jc w:val="center"/>
                    <w:rPr>
                      <w:rFonts w:hint="eastAsia" w:ascii="宋体" w:hAnsi="宋体" w:eastAsia="宋体" w:cs="宋体"/>
                      <w:color w:val="0000FF"/>
                      <w:szCs w:val="21"/>
                    </w:rPr>
                  </w:pPr>
                  <w:r>
                    <w:rPr>
                      <w:rFonts w:hint="eastAsia" w:ascii="宋体" w:hAnsi="宋体" w:eastAsia="宋体" w:cs="宋体"/>
                      <w:b w:val="0"/>
                      <w:bCs w:val="0"/>
                      <w:color w:val="0000FF"/>
                      <w:sz w:val="21"/>
                    </w:rPr>
                    <w:t>污染物</w:t>
                  </w:r>
                </w:p>
              </w:tc>
              <w:tc>
                <w:tcPr>
                  <w:tcW w:w="1840" w:type="dxa"/>
                  <w:vAlign w:val="center"/>
                </w:tcPr>
                <w:p>
                  <w:pPr>
                    <w:pStyle w:val="80"/>
                    <w:spacing w:before="72" w:after="72" w:line="360" w:lineRule="auto"/>
                    <w:ind w:left="0" w:leftChars="0" w:right="0" w:rightChars="0" w:firstLine="0" w:firstLineChars="0"/>
                    <w:jc w:val="center"/>
                    <w:rPr>
                      <w:rFonts w:hint="eastAsia" w:ascii="宋体" w:hAnsi="宋体" w:eastAsia="宋体" w:cs="宋体"/>
                      <w:color w:val="0000FF"/>
                      <w:szCs w:val="21"/>
                    </w:rPr>
                  </w:pPr>
                  <w:r>
                    <w:rPr>
                      <w:rFonts w:hint="eastAsia" w:ascii="宋体" w:hAnsi="宋体" w:eastAsia="宋体" w:cs="宋体"/>
                      <w:b w:val="0"/>
                      <w:bCs w:val="0"/>
                      <w:color w:val="0000FF"/>
                      <w:sz w:val="21"/>
                    </w:rPr>
                    <w:t>年评价指标</w:t>
                  </w:r>
                </w:p>
              </w:tc>
              <w:tc>
                <w:tcPr>
                  <w:tcW w:w="1251" w:type="dxa"/>
                  <w:vAlign w:val="center"/>
                </w:tcPr>
                <w:p>
                  <w:pPr>
                    <w:pStyle w:val="80"/>
                    <w:spacing w:before="72" w:after="72" w:line="360" w:lineRule="auto"/>
                    <w:ind w:left="0" w:leftChars="0" w:right="0" w:rightChars="0" w:firstLine="0" w:firstLineChars="0"/>
                    <w:jc w:val="center"/>
                    <w:rPr>
                      <w:rFonts w:hint="eastAsia" w:ascii="宋体" w:hAnsi="宋体" w:eastAsia="宋体" w:cs="宋体"/>
                      <w:color w:val="0000FF"/>
                      <w:szCs w:val="21"/>
                    </w:rPr>
                  </w:pPr>
                  <w:r>
                    <w:rPr>
                      <w:rFonts w:hint="eastAsia" w:ascii="宋体" w:hAnsi="宋体" w:eastAsia="宋体" w:cs="宋体"/>
                      <w:b w:val="0"/>
                      <w:bCs w:val="0"/>
                      <w:color w:val="0000FF"/>
                      <w:sz w:val="21"/>
                    </w:rPr>
                    <w:t>现状浓度</w:t>
                  </w:r>
                </w:p>
              </w:tc>
              <w:tc>
                <w:tcPr>
                  <w:tcW w:w="1421" w:type="dxa"/>
                  <w:vAlign w:val="center"/>
                </w:tcPr>
                <w:p>
                  <w:pPr>
                    <w:pStyle w:val="80"/>
                    <w:spacing w:before="72" w:after="72" w:line="360" w:lineRule="auto"/>
                    <w:ind w:left="0" w:leftChars="0" w:right="0" w:rightChars="0" w:firstLine="0" w:firstLineChars="0"/>
                    <w:jc w:val="center"/>
                    <w:rPr>
                      <w:rFonts w:hint="eastAsia" w:ascii="宋体" w:hAnsi="宋体" w:eastAsia="宋体" w:cs="宋体"/>
                      <w:color w:val="0000FF"/>
                      <w:szCs w:val="21"/>
                    </w:rPr>
                  </w:pPr>
                  <w:r>
                    <w:rPr>
                      <w:rFonts w:hint="eastAsia" w:ascii="宋体" w:hAnsi="宋体" w:eastAsia="宋体" w:cs="宋体"/>
                      <w:b w:val="0"/>
                      <w:bCs w:val="0"/>
                      <w:color w:val="0000FF"/>
                      <w:sz w:val="21"/>
                    </w:rPr>
                    <w:t>评价标准</w:t>
                  </w:r>
                </w:p>
              </w:tc>
              <w:tc>
                <w:tcPr>
                  <w:tcW w:w="1247" w:type="dxa"/>
                  <w:vAlign w:val="center"/>
                </w:tcPr>
                <w:p>
                  <w:pPr>
                    <w:pStyle w:val="80"/>
                    <w:spacing w:before="72" w:after="72" w:line="360" w:lineRule="auto"/>
                    <w:ind w:left="0" w:leftChars="0" w:right="0" w:rightChars="0" w:firstLine="0" w:firstLineChars="0"/>
                    <w:jc w:val="center"/>
                    <w:rPr>
                      <w:rFonts w:hint="eastAsia" w:ascii="宋体" w:hAnsi="宋体" w:eastAsia="宋体" w:cs="宋体"/>
                      <w:color w:val="0000FF"/>
                      <w:szCs w:val="21"/>
                    </w:rPr>
                  </w:pPr>
                  <w:r>
                    <w:rPr>
                      <w:rFonts w:hint="eastAsia" w:ascii="宋体" w:hAnsi="宋体" w:eastAsia="宋体" w:cs="宋体"/>
                      <w:b w:val="0"/>
                      <w:bCs w:val="0"/>
                      <w:color w:val="0000FF"/>
                      <w:sz w:val="21"/>
                    </w:rPr>
                    <w:t>占标率</w:t>
                  </w:r>
                </w:p>
              </w:tc>
              <w:tc>
                <w:tcPr>
                  <w:tcW w:w="1591" w:type="dxa"/>
                  <w:vAlign w:val="center"/>
                </w:tcPr>
                <w:p>
                  <w:pPr>
                    <w:pStyle w:val="80"/>
                    <w:spacing w:before="72" w:after="72" w:line="360" w:lineRule="auto"/>
                    <w:ind w:left="0" w:leftChars="0" w:right="0" w:rightChars="0" w:firstLine="0" w:firstLineChars="0"/>
                    <w:jc w:val="center"/>
                    <w:rPr>
                      <w:rFonts w:hint="eastAsia" w:ascii="宋体" w:hAnsi="宋体" w:eastAsia="宋体" w:cs="宋体"/>
                      <w:color w:val="0000FF"/>
                      <w:szCs w:val="21"/>
                    </w:rPr>
                  </w:pPr>
                  <w:r>
                    <w:rPr>
                      <w:rFonts w:hint="eastAsia" w:ascii="宋体" w:hAnsi="宋体" w:eastAsia="宋体" w:cs="宋体"/>
                      <w:b w:val="0"/>
                      <w:bCs w:val="0"/>
                      <w:color w:val="0000FF"/>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169" w:type="dxa"/>
                  <w:vAlign w:val="center"/>
                </w:tcPr>
                <w:p>
                  <w:pPr>
                    <w:pStyle w:val="80"/>
                    <w:spacing w:before="72" w:after="72" w:line="36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SO</w:t>
                  </w:r>
                  <w:r>
                    <w:rPr>
                      <w:rFonts w:hint="eastAsia" w:ascii="宋体" w:hAnsi="宋体" w:eastAsia="宋体" w:cs="宋体"/>
                      <w:b w:val="0"/>
                      <w:bCs w:val="0"/>
                      <w:color w:val="0000FF"/>
                      <w:sz w:val="21"/>
                      <w:vertAlign w:val="subscript"/>
                    </w:rPr>
                    <w:t>2</w:t>
                  </w:r>
                </w:p>
              </w:tc>
              <w:tc>
                <w:tcPr>
                  <w:tcW w:w="1840" w:type="dxa"/>
                  <w:vAlign w:val="center"/>
                </w:tcPr>
                <w:p>
                  <w:pPr>
                    <w:pStyle w:val="80"/>
                    <w:spacing w:before="72" w:after="72" w:line="360" w:lineRule="auto"/>
                    <w:ind w:left="0" w:leftChars="0" w:right="0" w:rightChars="0" w:firstLine="0" w:firstLineChars="0"/>
                    <w:jc w:val="center"/>
                    <w:rPr>
                      <w:rFonts w:hint="eastAsia" w:ascii="宋体" w:hAnsi="宋体" w:eastAsia="宋体" w:cs="宋体"/>
                      <w:bCs/>
                      <w:color w:val="0000FF"/>
                      <w:szCs w:val="21"/>
                    </w:rPr>
                  </w:pPr>
                  <w:r>
                    <w:rPr>
                      <w:rFonts w:hint="eastAsia" w:ascii="宋体" w:hAnsi="宋体" w:eastAsia="宋体" w:cs="宋体"/>
                      <w:b w:val="0"/>
                      <w:bCs w:val="0"/>
                      <w:color w:val="0000FF"/>
                      <w:sz w:val="21"/>
                    </w:rPr>
                    <w:t>年平均质量浓度</w:t>
                  </w:r>
                </w:p>
              </w:tc>
              <w:tc>
                <w:tcPr>
                  <w:tcW w:w="1251" w:type="dxa"/>
                  <w:vAlign w:val="center"/>
                </w:tcPr>
                <w:p>
                  <w:pPr>
                    <w:pStyle w:val="80"/>
                    <w:spacing w:before="72" w:after="72" w:line="36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lang w:val="en-US" w:eastAsia="zh-CN"/>
                    </w:rPr>
                    <w:t>7</w:t>
                  </w:r>
                </w:p>
              </w:tc>
              <w:tc>
                <w:tcPr>
                  <w:tcW w:w="1421" w:type="dxa"/>
                  <w:vAlign w:val="center"/>
                </w:tcPr>
                <w:p>
                  <w:pPr>
                    <w:pStyle w:val="80"/>
                    <w:spacing w:before="72" w:after="72" w:line="360" w:lineRule="auto"/>
                    <w:ind w:right="0" w:rightChars="0" w:firstLine="539" w:firstLineChars="0"/>
                    <w:jc w:val="both"/>
                    <w:rPr>
                      <w:rFonts w:hint="eastAsia" w:ascii="宋体" w:hAnsi="宋体" w:eastAsia="宋体" w:cs="宋体"/>
                      <w:bCs/>
                      <w:color w:val="0000FF"/>
                      <w:sz w:val="21"/>
                      <w:szCs w:val="21"/>
                    </w:rPr>
                  </w:pPr>
                  <w:r>
                    <w:rPr>
                      <w:rFonts w:hint="eastAsia" w:ascii="宋体" w:hAnsi="宋体" w:eastAsia="宋体" w:cs="宋体"/>
                      <w:b w:val="0"/>
                      <w:bCs w:val="0"/>
                      <w:color w:val="0000FF"/>
                      <w:sz w:val="21"/>
                    </w:rPr>
                    <w:t>60</w:t>
                  </w:r>
                </w:p>
              </w:tc>
              <w:tc>
                <w:tcPr>
                  <w:tcW w:w="1247" w:type="dxa"/>
                  <w:vAlign w:val="center"/>
                </w:tcPr>
                <w:p>
                  <w:pPr>
                    <w:pStyle w:val="80"/>
                    <w:spacing w:before="72" w:after="72" w:line="360" w:lineRule="auto"/>
                    <w:ind w:left="0" w:leftChars="0" w:right="0" w:rightChars="0" w:firstLine="0"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lang w:val="en-US" w:eastAsia="zh-CN"/>
                    </w:rPr>
                    <w:t>11.6</w:t>
                  </w:r>
                </w:p>
              </w:tc>
              <w:tc>
                <w:tcPr>
                  <w:tcW w:w="1591" w:type="dxa"/>
                  <w:vAlign w:val="center"/>
                </w:tcPr>
                <w:p>
                  <w:pPr>
                    <w:pStyle w:val="80"/>
                    <w:spacing w:before="72" w:after="72" w:line="36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169" w:type="dxa"/>
                  <w:vAlign w:val="center"/>
                </w:tcPr>
                <w:p>
                  <w:pPr>
                    <w:pStyle w:val="80"/>
                    <w:spacing w:before="72" w:after="72" w:line="36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NO</w:t>
                  </w:r>
                  <w:r>
                    <w:rPr>
                      <w:rFonts w:hint="eastAsia" w:ascii="宋体" w:hAnsi="宋体" w:eastAsia="宋体" w:cs="宋体"/>
                      <w:b w:val="0"/>
                      <w:bCs w:val="0"/>
                      <w:color w:val="0000FF"/>
                      <w:sz w:val="21"/>
                      <w:vertAlign w:val="subscript"/>
                    </w:rPr>
                    <w:t>2</w:t>
                  </w:r>
                </w:p>
              </w:tc>
              <w:tc>
                <w:tcPr>
                  <w:tcW w:w="1840" w:type="dxa"/>
                  <w:vAlign w:val="center"/>
                </w:tcPr>
                <w:p>
                  <w:pPr>
                    <w:pStyle w:val="80"/>
                    <w:spacing w:before="72" w:after="72" w:line="360" w:lineRule="auto"/>
                    <w:ind w:left="0" w:leftChars="0" w:right="0" w:rightChars="0" w:firstLine="0" w:firstLineChars="0"/>
                    <w:jc w:val="center"/>
                    <w:rPr>
                      <w:rFonts w:hint="eastAsia" w:ascii="宋体" w:hAnsi="宋体" w:eastAsia="宋体" w:cs="宋体"/>
                      <w:bCs/>
                      <w:color w:val="0000FF"/>
                      <w:szCs w:val="21"/>
                    </w:rPr>
                  </w:pPr>
                  <w:r>
                    <w:rPr>
                      <w:rFonts w:hint="eastAsia" w:ascii="宋体" w:hAnsi="宋体" w:eastAsia="宋体" w:cs="宋体"/>
                      <w:b w:val="0"/>
                      <w:bCs w:val="0"/>
                      <w:color w:val="0000FF"/>
                      <w:sz w:val="21"/>
                    </w:rPr>
                    <w:t>年平均质量浓度</w:t>
                  </w:r>
                </w:p>
              </w:tc>
              <w:tc>
                <w:tcPr>
                  <w:tcW w:w="1251" w:type="dxa"/>
                  <w:vAlign w:val="center"/>
                </w:tcPr>
                <w:p>
                  <w:pPr>
                    <w:pStyle w:val="80"/>
                    <w:spacing w:before="72" w:after="72" w:line="36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lang w:val="en-US" w:eastAsia="zh-CN"/>
                    </w:rPr>
                    <w:t>32</w:t>
                  </w:r>
                </w:p>
              </w:tc>
              <w:tc>
                <w:tcPr>
                  <w:tcW w:w="1421" w:type="dxa"/>
                  <w:vAlign w:val="center"/>
                </w:tcPr>
                <w:p>
                  <w:pPr>
                    <w:pStyle w:val="80"/>
                    <w:spacing w:before="72" w:after="72" w:line="360" w:lineRule="auto"/>
                    <w:ind w:right="0" w:rightChars="0" w:firstLine="539" w:firstLineChars="0"/>
                    <w:jc w:val="both"/>
                    <w:rPr>
                      <w:rFonts w:hint="eastAsia" w:ascii="宋体" w:hAnsi="宋体" w:eastAsia="宋体" w:cs="宋体"/>
                      <w:bCs/>
                      <w:color w:val="0000FF"/>
                      <w:sz w:val="21"/>
                      <w:szCs w:val="21"/>
                    </w:rPr>
                  </w:pPr>
                  <w:r>
                    <w:rPr>
                      <w:rFonts w:hint="eastAsia" w:ascii="宋体" w:hAnsi="宋体" w:eastAsia="宋体" w:cs="宋体"/>
                      <w:b w:val="0"/>
                      <w:bCs w:val="0"/>
                      <w:color w:val="0000FF"/>
                      <w:sz w:val="21"/>
                    </w:rPr>
                    <w:t>40</w:t>
                  </w:r>
                </w:p>
              </w:tc>
              <w:tc>
                <w:tcPr>
                  <w:tcW w:w="1247" w:type="dxa"/>
                  <w:vAlign w:val="center"/>
                </w:tcPr>
                <w:p>
                  <w:pPr>
                    <w:pStyle w:val="80"/>
                    <w:spacing w:before="72" w:after="72" w:line="360" w:lineRule="auto"/>
                    <w:ind w:left="0" w:leftChars="0" w:right="0" w:rightChars="0" w:firstLine="0"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8</w:t>
                  </w:r>
                  <w:r>
                    <w:rPr>
                      <w:rFonts w:hint="eastAsia" w:ascii="宋体" w:hAnsi="宋体" w:eastAsia="宋体" w:cs="宋体"/>
                      <w:b w:val="0"/>
                      <w:bCs w:val="0"/>
                      <w:color w:val="0000FF"/>
                      <w:sz w:val="21"/>
                      <w:lang w:val="en-US" w:eastAsia="zh-CN"/>
                    </w:rPr>
                    <w:t>0</w:t>
                  </w:r>
                </w:p>
              </w:tc>
              <w:tc>
                <w:tcPr>
                  <w:tcW w:w="1591" w:type="dxa"/>
                  <w:vAlign w:val="center"/>
                </w:tcPr>
                <w:p>
                  <w:pPr>
                    <w:pStyle w:val="80"/>
                    <w:spacing w:before="72" w:after="72" w:line="360" w:lineRule="auto"/>
                    <w:ind w:right="0" w:right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5" w:hRule="atLeast"/>
                <w:jc w:val="center"/>
              </w:trPr>
              <w:tc>
                <w:tcPr>
                  <w:tcW w:w="1169" w:type="dxa"/>
                  <w:vAlign w:val="center"/>
                </w:tcPr>
                <w:p>
                  <w:pPr>
                    <w:pStyle w:val="80"/>
                    <w:spacing w:before="72" w:after="72" w:line="36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PM</w:t>
                  </w:r>
                  <w:r>
                    <w:rPr>
                      <w:rFonts w:hint="eastAsia" w:ascii="宋体" w:hAnsi="宋体" w:eastAsia="宋体" w:cs="宋体"/>
                      <w:b w:val="0"/>
                      <w:bCs w:val="0"/>
                      <w:color w:val="0000FF"/>
                      <w:sz w:val="21"/>
                      <w:vertAlign w:val="subscript"/>
                    </w:rPr>
                    <w:t>10</w:t>
                  </w:r>
                </w:p>
              </w:tc>
              <w:tc>
                <w:tcPr>
                  <w:tcW w:w="1840" w:type="dxa"/>
                  <w:vAlign w:val="center"/>
                </w:tcPr>
                <w:p>
                  <w:pPr>
                    <w:pStyle w:val="80"/>
                    <w:spacing w:before="72" w:after="72" w:line="360" w:lineRule="auto"/>
                    <w:ind w:left="0" w:leftChars="0" w:right="0" w:rightChars="0" w:firstLine="0" w:firstLineChars="0"/>
                    <w:jc w:val="center"/>
                    <w:rPr>
                      <w:rFonts w:hint="eastAsia" w:ascii="宋体" w:hAnsi="宋体" w:eastAsia="宋体" w:cs="宋体"/>
                      <w:bCs/>
                      <w:color w:val="0000FF"/>
                      <w:szCs w:val="21"/>
                    </w:rPr>
                  </w:pPr>
                  <w:r>
                    <w:rPr>
                      <w:rFonts w:hint="eastAsia" w:ascii="宋体" w:hAnsi="宋体" w:eastAsia="宋体" w:cs="宋体"/>
                      <w:b w:val="0"/>
                      <w:bCs w:val="0"/>
                      <w:color w:val="0000FF"/>
                      <w:sz w:val="21"/>
                    </w:rPr>
                    <w:t>年平均质量浓度</w:t>
                  </w:r>
                </w:p>
              </w:tc>
              <w:tc>
                <w:tcPr>
                  <w:tcW w:w="1251" w:type="dxa"/>
                  <w:vAlign w:val="center"/>
                </w:tcPr>
                <w:p>
                  <w:pPr>
                    <w:pStyle w:val="80"/>
                    <w:spacing w:before="72" w:after="72" w:line="36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lang w:val="en-US" w:eastAsia="zh-CN"/>
                    </w:rPr>
                    <w:t>81</w:t>
                  </w:r>
                </w:p>
              </w:tc>
              <w:tc>
                <w:tcPr>
                  <w:tcW w:w="1421" w:type="dxa"/>
                  <w:vAlign w:val="center"/>
                </w:tcPr>
                <w:p>
                  <w:pPr>
                    <w:pStyle w:val="80"/>
                    <w:spacing w:before="72" w:after="72" w:line="360" w:lineRule="auto"/>
                    <w:ind w:right="0" w:rightChars="0" w:firstLine="539" w:firstLineChars="0"/>
                    <w:jc w:val="both"/>
                    <w:rPr>
                      <w:rFonts w:hint="eastAsia" w:ascii="宋体" w:hAnsi="宋体" w:eastAsia="宋体" w:cs="宋体"/>
                      <w:bCs/>
                      <w:color w:val="0000FF"/>
                      <w:sz w:val="21"/>
                      <w:szCs w:val="21"/>
                    </w:rPr>
                  </w:pPr>
                  <w:r>
                    <w:rPr>
                      <w:rFonts w:hint="eastAsia" w:ascii="宋体" w:hAnsi="宋体" w:eastAsia="宋体" w:cs="宋体"/>
                      <w:b w:val="0"/>
                      <w:bCs w:val="0"/>
                      <w:color w:val="0000FF"/>
                      <w:sz w:val="21"/>
                    </w:rPr>
                    <w:t>70</w:t>
                  </w:r>
                </w:p>
              </w:tc>
              <w:tc>
                <w:tcPr>
                  <w:tcW w:w="1247" w:type="dxa"/>
                  <w:vAlign w:val="center"/>
                </w:tcPr>
                <w:p>
                  <w:pPr>
                    <w:pStyle w:val="80"/>
                    <w:spacing w:before="72" w:after="72" w:line="360" w:lineRule="auto"/>
                    <w:ind w:left="0" w:leftChars="0" w:right="0" w:rightChars="0" w:firstLine="0"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lang w:val="en-US" w:eastAsia="zh-CN"/>
                    </w:rPr>
                    <w:t>114</w:t>
                  </w:r>
                </w:p>
              </w:tc>
              <w:tc>
                <w:tcPr>
                  <w:tcW w:w="1591" w:type="dxa"/>
                  <w:vAlign w:val="center"/>
                </w:tcPr>
                <w:p>
                  <w:pPr>
                    <w:pStyle w:val="80"/>
                    <w:spacing w:before="72" w:after="72" w:line="36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5" w:hRule="atLeast"/>
                <w:jc w:val="center"/>
              </w:trPr>
              <w:tc>
                <w:tcPr>
                  <w:tcW w:w="1169" w:type="dxa"/>
                  <w:vAlign w:val="center"/>
                </w:tcPr>
                <w:p>
                  <w:pPr>
                    <w:pStyle w:val="80"/>
                    <w:spacing w:before="72" w:after="72" w:line="36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PM</w:t>
                  </w:r>
                  <w:r>
                    <w:rPr>
                      <w:rFonts w:hint="eastAsia" w:ascii="宋体" w:hAnsi="宋体" w:eastAsia="宋体" w:cs="宋体"/>
                      <w:b w:val="0"/>
                      <w:bCs w:val="0"/>
                      <w:color w:val="0000FF"/>
                      <w:sz w:val="21"/>
                      <w:vertAlign w:val="subscript"/>
                    </w:rPr>
                    <w:t>2.5</w:t>
                  </w:r>
                </w:p>
              </w:tc>
              <w:tc>
                <w:tcPr>
                  <w:tcW w:w="1840" w:type="dxa"/>
                  <w:vAlign w:val="center"/>
                </w:tcPr>
                <w:p>
                  <w:pPr>
                    <w:pStyle w:val="80"/>
                    <w:spacing w:before="72" w:after="72" w:line="360" w:lineRule="auto"/>
                    <w:ind w:left="0" w:leftChars="0" w:right="0" w:rightChars="0" w:firstLine="0" w:firstLineChars="0"/>
                    <w:jc w:val="center"/>
                    <w:rPr>
                      <w:rFonts w:hint="eastAsia" w:ascii="宋体" w:hAnsi="宋体" w:eastAsia="宋体" w:cs="宋体"/>
                      <w:color w:val="0000FF"/>
                      <w:kern w:val="0"/>
                      <w:szCs w:val="21"/>
                      <w:lang w:bidi="ar"/>
                    </w:rPr>
                  </w:pPr>
                  <w:r>
                    <w:rPr>
                      <w:rFonts w:hint="eastAsia" w:ascii="宋体" w:hAnsi="宋体" w:eastAsia="宋体" w:cs="宋体"/>
                      <w:b w:val="0"/>
                      <w:bCs w:val="0"/>
                      <w:color w:val="0000FF"/>
                      <w:sz w:val="21"/>
                    </w:rPr>
                    <w:t>年平均质量浓度</w:t>
                  </w:r>
                </w:p>
              </w:tc>
              <w:tc>
                <w:tcPr>
                  <w:tcW w:w="1251" w:type="dxa"/>
                  <w:vAlign w:val="center"/>
                </w:tcPr>
                <w:p>
                  <w:pPr>
                    <w:pStyle w:val="80"/>
                    <w:spacing w:before="72" w:after="72" w:line="360" w:lineRule="auto"/>
                    <w:ind w:right="0" w:rightChars="0" w:firstLine="539" w:firstLineChars="0"/>
                    <w:jc w:val="center"/>
                    <w:rPr>
                      <w:rFonts w:hint="eastAsia" w:ascii="宋体" w:hAnsi="宋体" w:eastAsia="宋体" w:cs="宋体"/>
                      <w:color w:val="0000FF"/>
                      <w:kern w:val="2"/>
                      <w:sz w:val="21"/>
                      <w:szCs w:val="21"/>
                    </w:rPr>
                  </w:pPr>
                  <w:r>
                    <w:rPr>
                      <w:rFonts w:hint="eastAsia" w:ascii="宋体" w:hAnsi="宋体" w:eastAsia="宋体" w:cs="宋体"/>
                      <w:b w:val="0"/>
                      <w:bCs w:val="0"/>
                      <w:color w:val="0000FF"/>
                      <w:sz w:val="21"/>
                      <w:lang w:val="en-US" w:eastAsia="zh-CN"/>
                    </w:rPr>
                    <w:t>50</w:t>
                  </w:r>
                </w:p>
              </w:tc>
              <w:tc>
                <w:tcPr>
                  <w:tcW w:w="1421" w:type="dxa"/>
                  <w:vAlign w:val="center"/>
                </w:tcPr>
                <w:p>
                  <w:pPr>
                    <w:pStyle w:val="80"/>
                    <w:spacing w:before="72" w:after="72" w:line="360" w:lineRule="auto"/>
                    <w:ind w:right="0" w:rightChars="0" w:firstLine="539" w:firstLineChars="0"/>
                    <w:jc w:val="both"/>
                    <w:rPr>
                      <w:rFonts w:hint="eastAsia" w:ascii="宋体" w:hAnsi="宋体" w:eastAsia="宋体" w:cs="宋体"/>
                      <w:color w:val="0000FF"/>
                      <w:kern w:val="2"/>
                      <w:sz w:val="21"/>
                      <w:szCs w:val="21"/>
                    </w:rPr>
                  </w:pPr>
                  <w:r>
                    <w:rPr>
                      <w:rFonts w:hint="eastAsia" w:ascii="宋体" w:hAnsi="宋体" w:eastAsia="宋体" w:cs="宋体"/>
                      <w:b w:val="0"/>
                      <w:bCs w:val="0"/>
                      <w:color w:val="0000FF"/>
                      <w:sz w:val="21"/>
                    </w:rPr>
                    <w:t>35</w:t>
                  </w:r>
                </w:p>
              </w:tc>
              <w:tc>
                <w:tcPr>
                  <w:tcW w:w="1247" w:type="dxa"/>
                  <w:vAlign w:val="center"/>
                </w:tcPr>
                <w:p>
                  <w:pPr>
                    <w:pStyle w:val="80"/>
                    <w:spacing w:before="72" w:after="72" w:line="360" w:lineRule="auto"/>
                    <w:ind w:left="0" w:leftChars="0" w:right="0" w:rightChars="0" w:firstLine="0" w:firstLineChars="0"/>
                    <w:jc w:val="center"/>
                    <w:rPr>
                      <w:rFonts w:hint="eastAsia" w:ascii="宋体" w:hAnsi="宋体" w:eastAsia="宋体" w:cs="宋体"/>
                      <w:color w:val="0000FF"/>
                      <w:kern w:val="2"/>
                      <w:sz w:val="21"/>
                      <w:szCs w:val="21"/>
                    </w:rPr>
                  </w:pPr>
                  <w:r>
                    <w:rPr>
                      <w:rFonts w:hint="eastAsia" w:ascii="宋体" w:hAnsi="宋体" w:eastAsia="宋体" w:cs="宋体"/>
                      <w:b w:val="0"/>
                      <w:bCs w:val="0"/>
                      <w:color w:val="0000FF"/>
                      <w:sz w:val="21"/>
                    </w:rPr>
                    <w:t>14</w:t>
                  </w:r>
                  <w:r>
                    <w:rPr>
                      <w:rFonts w:hint="eastAsia" w:ascii="宋体" w:hAnsi="宋体" w:eastAsia="宋体" w:cs="宋体"/>
                      <w:b w:val="0"/>
                      <w:bCs w:val="0"/>
                      <w:color w:val="0000FF"/>
                      <w:sz w:val="21"/>
                      <w:lang w:val="en-US" w:eastAsia="zh-CN"/>
                    </w:rPr>
                    <w:t>2</w:t>
                  </w:r>
                  <w:r>
                    <w:rPr>
                      <w:rFonts w:hint="eastAsia" w:ascii="宋体" w:hAnsi="宋体" w:eastAsia="宋体" w:cs="宋体"/>
                      <w:b w:val="0"/>
                      <w:bCs w:val="0"/>
                      <w:color w:val="0000FF"/>
                      <w:sz w:val="21"/>
                    </w:rPr>
                    <w:t>.00</w:t>
                  </w:r>
                </w:p>
              </w:tc>
              <w:tc>
                <w:tcPr>
                  <w:tcW w:w="1591" w:type="dxa"/>
                  <w:vAlign w:val="center"/>
                </w:tcPr>
                <w:p>
                  <w:pPr>
                    <w:pStyle w:val="80"/>
                    <w:spacing w:before="72" w:after="72" w:line="360" w:lineRule="auto"/>
                    <w:ind w:right="0" w:rightChars="0" w:firstLine="539" w:firstLineChars="0"/>
                    <w:jc w:val="center"/>
                    <w:rPr>
                      <w:rFonts w:hint="eastAsia" w:ascii="宋体" w:hAnsi="宋体" w:eastAsia="宋体" w:cs="宋体"/>
                      <w:color w:val="0000FF"/>
                      <w:kern w:val="2"/>
                      <w:sz w:val="21"/>
                      <w:szCs w:val="21"/>
                    </w:rPr>
                  </w:pPr>
                  <w:r>
                    <w:rPr>
                      <w:rFonts w:hint="eastAsia" w:ascii="宋体" w:hAnsi="宋体" w:eastAsia="宋体" w:cs="宋体"/>
                      <w:b w:val="0"/>
                      <w:bCs w:val="0"/>
                      <w:color w:val="0000FF"/>
                      <w:sz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51" w:hRule="atLeast"/>
                <w:jc w:val="center"/>
              </w:trPr>
              <w:tc>
                <w:tcPr>
                  <w:tcW w:w="1169" w:type="dxa"/>
                  <w:vAlign w:val="center"/>
                </w:tcPr>
                <w:p>
                  <w:pPr>
                    <w:pStyle w:val="80"/>
                    <w:spacing w:before="72" w:after="72" w:line="240" w:lineRule="auto"/>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CO</w:t>
                  </w:r>
                </w:p>
              </w:tc>
              <w:tc>
                <w:tcPr>
                  <w:tcW w:w="1840" w:type="dxa"/>
                  <w:vAlign w:val="center"/>
                </w:tcPr>
                <w:p>
                  <w:pPr>
                    <w:pStyle w:val="80"/>
                    <w:spacing w:before="72" w:after="72" w:line="240" w:lineRule="auto"/>
                    <w:ind w:left="0" w:leftChars="0" w:right="0" w:rightChars="0" w:firstLine="0" w:firstLineChars="0"/>
                    <w:jc w:val="center"/>
                    <w:rPr>
                      <w:rFonts w:hint="eastAsia" w:ascii="宋体" w:hAnsi="宋体" w:eastAsia="宋体" w:cs="宋体"/>
                      <w:color w:val="0000FF"/>
                      <w:kern w:val="0"/>
                      <w:szCs w:val="21"/>
                      <w:lang w:bidi="ar"/>
                    </w:rPr>
                  </w:pPr>
                  <w:r>
                    <w:rPr>
                      <w:rFonts w:hint="eastAsia" w:ascii="宋体" w:hAnsi="宋体" w:eastAsia="宋体" w:cs="宋体"/>
                      <w:b w:val="0"/>
                      <w:bCs w:val="0"/>
                      <w:color w:val="0000FF"/>
                      <w:sz w:val="21"/>
                    </w:rPr>
                    <w:t>日平均第95百分位数</w:t>
                  </w:r>
                </w:p>
              </w:tc>
              <w:tc>
                <w:tcPr>
                  <w:tcW w:w="1251" w:type="dxa"/>
                  <w:vAlign w:val="center"/>
                </w:tcPr>
                <w:p>
                  <w:pPr>
                    <w:pStyle w:val="80"/>
                    <w:spacing w:before="72" w:after="72" w:line="360" w:lineRule="auto"/>
                    <w:ind w:right="0" w:rightChars="0"/>
                    <w:jc w:val="center"/>
                    <w:rPr>
                      <w:rFonts w:hint="eastAsia" w:ascii="宋体" w:hAnsi="宋体" w:eastAsia="宋体" w:cs="宋体"/>
                      <w:color w:val="0000FF"/>
                      <w:kern w:val="2"/>
                      <w:sz w:val="21"/>
                      <w:szCs w:val="21"/>
                    </w:rPr>
                  </w:pPr>
                  <w:r>
                    <w:rPr>
                      <w:rFonts w:hint="eastAsia" w:ascii="宋体" w:hAnsi="宋体" w:eastAsia="宋体" w:cs="宋体"/>
                      <w:b w:val="0"/>
                      <w:bCs w:val="0"/>
                      <w:color w:val="0000FF"/>
                      <w:sz w:val="21"/>
                      <w:lang w:val="en-US" w:eastAsia="zh-CN"/>
                    </w:rPr>
                    <w:t>2800</w:t>
                  </w:r>
                </w:p>
              </w:tc>
              <w:tc>
                <w:tcPr>
                  <w:tcW w:w="1421" w:type="dxa"/>
                  <w:vAlign w:val="center"/>
                </w:tcPr>
                <w:p>
                  <w:pPr>
                    <w:pStyle w:val="80"/>
                    <w:spacing w:before="72" w:after="72" w:line="240" w:lineRule="auto"/>
                    <w:ind w:right="0" w:rightChars="0" w:firstLine="539" w:firstLineChars="0"/>
                    <w:jc w:val="both"/>
                    <w:rPr>
                      <w:rFonts w:hint="eastAsia" w:ascii="宋体" w:hAnsi="宋体" w:eastAsia="宋体" w:cs="宋体"/>
                      <w:color w:val="0000FF"/>
                      <w:kern w:val="2"/>
                      <w:sz w:val="21"/>
                      <w:szCs w:val="21"/>
                    </w:rPr>
                  </w:pPr>
                  <w:r>
                    <w:rPr>
                      <w:rFonts w:hint="eastAsia" w:ascii="宋体" w:hAnsi="宋体" w:eastAsia="宋体" w:cs="宋体"/>
                      <w:b w:val="0"/>
                      <w:bCs w:val="0"/>
                      <w:color w:val="0000FF"/>
                      <w:sz w:val="21"/>
                    </w:rPr>
                    <w:t>4</w:t>
                  </w:r>
                  <w:r>
                    <w:rPr>
                      <w:rFonts w:hint="eastAsia" w:ascii="宋体" w:hAnsi="宋体" w:eastAsia="宋体" w:cs="宋体"/>
                      <w:b w:val="0"/>
                      <w:bCs w:val="0"/>
                      <w:color w:val="0000FF"/>
                      <w:sz w:val="21"/>
                      <w:lang w:val="en-US" w:eastAsia="zh-CN"/>
                    </w:rPr>
                    <w:t>000</w:t>
                  </w:r>
                </w:p>
              </w:tc>
              <w:tc>
                <w:tcPr>
                  <w:tcW w:w="1247" w:type="dxa"/>
                  <w:vAlign w:val="center"/>
                </w:tcPr>
                <w:p>
                  <w:pPr>
                    <w:pStyle w:val="80"/>
                    <w:spacing w:before="72" w:after="72" w:line="360" w:lineRule="auto"/>
                    <w:ind w:left="0" w:leftChars="0" w:right="0" w:rightChars="0" w:firstLine="0" w:firstLineChars="0"/>
                    <w:jc w:val="center"/>
                    <w:rPr>
                      <w:rFonts w:hint="eastAsia" w:ascii="宋体" w:hAnsi="宋体" w:eastAsia="宋体" w:cs="宋体"/>
                      <w:color w:val="0000FF"/>
                      <w:kern w:val="2"/>
                      <w:sz w:val="21"/>
                      <w:szCs w:val="21"/>
                    </w:rPr>
                  </w:pPr>
                  <w:r>
                    <w:rPr>
                      <w:rFonts w:hint="eastAsia" w:ascii="宋体" w:hAnsi="宋体" w:eastAsia="宋体" w:cs="宋体"/>
                      <w:b w:val="0"/>
                      <w:bCs w:val="0"/>
                      <w:color w:val="0000FF"/>
                      <w:sz w:val="21"/>
                    </w:rPr>
                    <w:t>70.00</w:t>
                  </w:r>
                </w:p>
              </w:tc>
              <w:tc>
                <w:tcPr>
                  <w:tcW w:w="1591" w:type="dxa"/>
                  <w:vAlign w:val="center"/>
                </w:tcPr>
                <w:p>
                  <w:pPr>
                    <w:pStyle w:val="80"/>
                    <w:spacing w:before="72" w:after="72" w:line="360" w:lineRule="auto"/>
                    <w:ind w:right="0" w:rightChars="0" w:firstLine="539" w:firstLineChars="0"/>
                    <w:jc w:val="center"/>
                    <w:rPr>
                      <w:rFonts w:hint="eastAsia" w:ascii="宋体" w:hAnsi="宋体" w:eastAsia="宋体" w:cs="宋体"/>
                      <w:color w:val="0000FF"/>
                      <w:kern w:val="2"/>
                      <w:sz w:val="21"/>
                      <w:szCs w:val="21"/>
                    </w:rPr>
                  </w:pPr>
                  <w:r>
                    <w:rPr>
                      <w:rFonts w:hint="eastAsia" w:ascii="宋体" w:hAnsi="宋体" w:eastAsia="宋体" w:cs="宋体"/>
                      <w:b w:val="0"/>
                      <w:bCs w:val="0"/>
                      <w:color w:val="0000FF"/>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5" w:hRule="atLeast"/>
                <w:jc w:val="center"/>
              </w:trPr>
              <w:tc>
                <w:tcPr>
                  <w:tcW w:w="1169" w:type="dxa"/>
                  <w:vAlign w:val="center"/>
                </w:tcPr>
                <w:p>
                  <w:pPr>
                    <w:pStyle w:val="80"/>
                    <w:spacing w:before="72" w:after="72"/>
                    <w:ind w:right="0" w:rightChars="0" w:firstLine="539" w:firstLineChars="0"/>
                    <w:jc w:val="center"/>
                    <w:rPr>
                      <w:rFonts w:hint="eastAsia" w:ascii="宋体" w:hAnsi="宋体" w:eastAsia="宋体" w:cs="宋体"/>
                      <w:bCs/>
                      <w:color w:val="0000FF"/>
                      <w:sz w:val="21"/>
                      <w:szCs w:val="21"/>
                    </w:rPr>
                  </w:pPr>
                  <w:r>
                    <w:rPr>
                      <w:rFonts w:hint="eastAsia" w:ascii="宋体" w:hAnsi="宋体" w:eastAsia="宋体" w:cs="宋体"/>
                      <w:b w:val="0"/>
                      <w:bCs w:val="0"/>
                      <w:color w:val="0000FF"/>
                      <w:sz w:val="21"/>
                    </w:rPr>
                    <w:t>O</w:t>
                  </w:r>
                  <w:r>
                    <w:rPr>
                      <w:rFonts w:hint="eastAsia" w:ascii="宋体" w:hAnsi="宋体" w:eastAsia="宋体" w:cs="宋体"/>
                      <w:b w:val="0"/>
                      <w:bCs w:val="0"/>
                      <w:color w:val="0000FF"/>
                      <w:sz w:val="21"/>
                      <w:vertAlign w:val="subscript"/>
                    </w:rPr>
                    <w:t>3</w:t>
                  </w:r>
                </w:p>
              </w:tc>
              <w:tc>
                <w:tcPr>
                  <w:tcW w:w="1840" w:type="dxa"/>
                  <w:vAlign w:val="center"/>
                </w:tcPr>
                <w:p>
                  <w:pPr>
                    <w:pStyle w:val="80"/>
                    <w:spacing w:before="72" w:after="72" w:line="240" w:lineRule="auto"/>
                    <w:ind w:left="0" w:leftChars="0" w:right="0" w:rightChars="0" w:firstLine="0" w:firstLineChars="0"/>
                    <w:jc w:val="center"/>
                    <w:rPr>
                      <w:rFonts w:hint="eastAsia" w:ascii="宋体" w:hAnsi="宋体" w:eastAsia="宋体" w:cs="宋体"/>
                      <w:color w:val="0000FF"/>
                      <w:kern w:val="0"/>
                      <w:szCs w:val="21"/>
                      <w:lang w:bidi="ar"/>
                    </w:rPr>
                  </w:pPr>
                  <w:r>
                    <w:rPr>
                      <w:rFonts w:hint="eastAsia" w:ascii="宋体" w:hAnsi="宋体" w:eastAsia="宋体" w:cs="宋体"/>
                      <w:b w:val="0"/>
                      <w:bCs w:val="0"/>
                      <w:color w:val="0000FF"/>
                      <w:sz w:val="21"/>
                    </w:rPr>
                    <w:t>8h最大平均第90百分位</w:t>
                  </w:r>
                </w:p>
              </w:tc>
              <w:tc>
                <w:tcPr>
                  <w:tcW w:w="1251" w:type="dxa"/>
                  <w:vAlign w:val="center"/>
                </w:tcPr>
                <w:p>
                  <w:pPr>
                    <w:pStyle w:val="80"/>
                    <w:spacing w:before="72" w:after="72"/>
                    <w:ind w:right="0" w:rightChars="0"/>
                    <w:jc w:val="center"/>
                    <w:rPr>
                      <w:rFonts w:hint="eastAsia" w:ascii="宋体" w:hAnsi="宋体" w:eastAsia="宋体" w:cs="宋体"/>
                      <w:color w:val="0000FF"/>
                      <w:kern w:val="2"/>
                      <w:sz w:val="21"/>
                      <w:szCs w:val="21"/>
                    </w:rPr>
                  </w:pPr>
                  <w:r>
                    <w:rPr>
                      <w:rFonts w:hint="eastAsia" w:ascii="宋体" w:hAnsi="宋体" w:eastAsia="宋体" w:cs="宋体"/>
                      <w:b w:val="0"/>
                      <w:bCs w:val="0"/>
                      <w:color w:val="0000FF"/>
                      <w:sz w:val="21"/>
                      <w:lang w:val="en-US" w:eastAsia="zh-CN"/>
                    </w:rPr>
                    <w:t>92</w:t>
                  </w:r>
                </w:p>
              </w:tc>
              <w:tc>
                <w:tcPr>
                  <w:tcW w:w="1421" w:type="dxa"/>
                  <w:vAlign w:val="center"/>
                </w:tcPr>
                <w:p>
                  <w:pPr>
                    <w:pStyle w:val="80"/>
                    <w:spacing w:before="72" w:after="72"/>
                    <w:ind w:right="0" w:rightChars="0" w:firstLine="539" w:firstLineChars="0"/>
                    <w:jc w:val="both"/>
                    <w:rPr>
                      <w:rFonts w:hint="eastAsia" w:ascii="宋体" w:hAnsi="宋体" w:eastAsia="宋体" w:cs="宋体"/>
                      <w:color w:val="0000FF"/>
                      <w:kern w:val="2"/>
                      <w:sz w:val="21"/>
                      <w:szCs w:val="21"/>
                    </w:rPr>
                  </w:pPr>
                  <w:r>
                    <w:rPr>
                      <w:rFonts w:hint="eastAsia" w:ascii="宋体" w:hAnsi="宋体" w:eastAsia="宋体" w:cs="宋体"/>
                      <w:b w:val="0"/>
                      <w:bCs w:val="0"/>
                      <w:color w:val="0000FF"/>
                      <w:sz w:val="21"/>
                    </w:rPr>
                    <w:t>160</w:t>
                  </w:r>
                </w:p>
              </w:tc>
              <w:tc>
                <w:tcPr>
                  <w:tcW w:w="1247" w:type="dxa"/>
                  <w:vAlign w:val="center"/>
                </w:tcPr>
                <w:p>
                  <w:pPr>
                    <w:pStyle w:val="80"/>
                    <w:spacing w:before="72" w:after="72"/>
                    <w:ind w:left="0" w:leftChars="0" w:right="0" w:rightChars="0" w:firstLine="0" w:firstLineChars="0"/>
                    <w:jc w:val="center"/>
                    <w:rPr>
                      <w:rFonts w:hint="eastAsia" w:ascii="宋体" w:hAnsi="宋体" w:eastAsia="宋体" w:cs="宋体"/>
                      <w:color w:val="0000FF"/>
                      <w:kern w:val="2"/>
                      <w:sz w:val="21"/>
                      <w:szCs w:val="21"/>
                    </w:rPr>
                  </w:pPr>
                  <w:r>
                    <w:rPr>
                      <w:rFonts w:hint="eastAsia" w:ascii="宋体" w:hAnsi="宋体" w:eastAsia="宋体" w:cs="宋体"/>
                      <w:b w:val="0"/>
                      <w:bCs w:val="0"/>
                      <w:color w:val="0000FF"/>
                      <w:sz w:val="21"/>
                      <w:lang w:val="en-US" w:eastAsia="zh-CN"/>
                    </w:rPr>
                    <w:t>57.5</w:t>
                  </w:r>
                </w:p>
              </w:tc>
              <w:tc>
                <w:tcPr>
                  <w:tcW w:w="1591" w:type="dxa"/>
                  <w:vAlign w:val="center"/>
                </w:tcPr>
                <w:p>
                  <w:pPr>
                    <w:pStyle w:val="80"/>
                    <w:spacing w:before="72" w:after="72"/>
                    <w:ind w:right="0" w:rightChars="0" w:firstLine="539" w:firstLineChars="0"/>
                    <w:jc w:val="center"/>
                    <w:rPr>
                      <w:rFonts w:hint="eastAsia" w:ascii="宋体" w:hAnsi="宋体" w:eastAsia="宋体" w:cs="宋体"/>
                      <w:color w:val="0000FF"/>
                      <w:kern w:val="2"/>
                      <w:sz w:val="21"/>
                      <w:szCs w:val="21"/>
                    </w:rPr>
                  </w:pPr>
                  <w:r>
                    <w:rPr>
                      <w:rFonts w:hint="eastAsia" w:ascii="宋体" w:hAnsi="宋体" w:eastAsia="宋体" w:cs="宋体"/>
                      <w:b w:val="0"/>
                      <w:bCs w:val="0"/>
                      <w:color w:val="0000FF"/>
                      <w:sz w:val="21"/>
                    </w:rPr>
                    <w:t>达标</w:t>
                  </w:r>
                </w:p>
              </w:tc>
            </w:tr>
          </w:tbl>
          <w:p>
            <w:pPr>
              <w:adjustRightInd w:val="0"/>
              <w:snapToGrid w:val="0"/>
              <w:spacing w:line="480" w:lineRule="exact"/>
              <w:ind w:firstLine="480" w:firstLineChars="200"/>
              <w:rPr>
                <w:rFonts w:ascii="宋体" w:hAnsi="宋体" w:cs="宋体"/>
                <w:bCs/>
                <w:sz w:val="24"/>
              </w:rPr>
            </w:pPr>
            <w:r>
              <w:rPr>
                <w:rFonts w:hint="eastAsia" w:ascii="宋体" w:hAnsi="宋体" w:cs="宋体"/>
                <w:bCs/>
                <w:sz w:val="24"/>
              </w:rPr>
              <w:t>由上表可以看出：项目所在区域PM</w:t>
            </w:r>
            <w:r>
              <w:rPr>
                <w:rFonts w:hint="eastAsia" w:ascii="宋体" w:hAnsi="宋体" w:cs="宋体"/>
                <w:bCs/>
                <w:sz w:val="24"/>
                <w:vertAlign w:val="subscript"/>
              </w:rPr>
              <w:t>10</w:t>
            </w:r>
            <w:r>
              <w:rPr>
                <w:rFonts w:hint="eastAsia" w:ascii="宋体" w:hAnsi="宋体" w:cs="宋体"/>
                <w:bCs/>
                <w:sz w:val="24"/>
              </w:rPr>
              <w:t>和PM</w:t>
            </w:r>
            <w:r>
              <w:rPr>
                <w:rFonts w:hint="eastAsia" w:ascii="宋体" w:hAnsi="宋体" w:cs="宋体"/>
                <w:bCs/>
                <w:sz w:val="24"/>
                <w:vertAlign w:val="subscript"/>
              </w:rPr>
              <w:t>2.5</w:t>
            </w:r>
            <w:r>
              <w:rPr>
                <w:rFonts w:hint="eastAsia" w:ascii="宋体" w:hAnsi="宋体" w:cs="宋体"/>
                <w:bCs/>
                <w:sz w:val="24"/>
              </w:rPr>
              <w:t xml:space="preserve"> 的年平均浓度均超过《环境空气质量标准》（GB3095-2012）的二级标准要求； CO 第 95 百分位数日平均浓度、O</w:t>
            </w:r>
            <w:r>
              <w:rPr>
                <w:rFonts w:hint="eastAsia" w:ascii="宋体" w:hAnsi="宋体" w:cs="宋体"/>
                <w:bCs/>
                <w:sz w:val="24"/>
                <w:vertAlign w:val="subscript"/>
              </w:rPr>
              <w:t>3</w:t>
            </w:r>
            <w:r>
              <w:rPr>
                <w:rFonts w:hint="eastAsia" w:ascii="宋体" w:hAnsi="宋体" w:cs="宋体"/>
                <w:bCs/>
                <w:sz w:val="24"/>
              </w:rPr>
              <w:t xml:space="preserve"> 最大 8 小时第 90 百分位数日平均浓度、SO</w:t>
            </w:r>
            <w:r>
              <w:rPr>
                <w:rFonts w:hint="eastAsia" w:ascii="宋体" w:hAnsi="宋体" w:cs="宋体"/>
                <w:bCs/>
                <w:sz w:val="24"/>
                <w:vertAlign w:val="subscript"/>
              </w:rPr>
              <w:t>2</w:t>
            </w:r>
            <w:r>
              <w:rPr>
                <w:rFonts w:hint="eastAsia" w:ascii="宋体" w:hAnsi="宋体" w:cs="宋体"/>
                <w:bCs/>
                <w:sz w:val="24"/>
              </w:rPr>
              <w:t>的年均浓度和NO</w:t>
            </w:r>
            <w:r>
              <w:rPr>
                <w:rFonts w:hint="eastAsia" w:ascii="宋体" w:hAnsi="宋体" w:cs="宋体"/>
                <w:bCs/>
                <w:sz w:val="24"/>
                <w:vertAlign w:val="subscript"/>
              </w:rPr>
              <w:t>2</w:t>
            </w:r>
            <w:r>
              <w:rPr>
                <w:rFonts w:hint="eastAsia" w:ascii="宋体" w:hAnsi="宋体" w:cs="宋体"/>
                <w:bCs/>
                <w:sz w:val="24"/>
              </w:rPr>
              <w:t>的年均浓度均满足《环境空气质量标准》GB3095-2012）的二级标准要求，故本项目所在区域为不达标区域。</w:t>
            </w:r>
          </w:p>
          <w:p>
            <w:pPr>
              <w:adjustRightInd w:val="0"/>
              <w:snapToGrid w:val="0"/>
              <w:spacing w:line="480" w:lineRule="exact"/>
              <w:ind w:firstLine="480" w:firstLineChars="200"/>
              <w:rPr>
                <w:bCs/>
                <w:sz w:val="24"/>
              </w:rPr>
            </w:pPr>
            <w:r>
              <w:rPr>
                <w:rFonts w:hint="eastAsia"/>
                <w:bCs/>
                <w:sz w:val="24"/>
              </w:rPr>
              <w:t>（4）补充监测</w:t>
            </w:r>
          </w:p>
          <w:p>
            <w:pPr>
              <w:adjustRightInd w:val="0"/>
              <w:snapToGrid w:val="0"/>
              <w:spacing w:line="480" w:lineRule="exact"/>
              <w:ind w:firstLine="480" w:firstLineChars="200"/>
              <w:rPr>
                <w:bCs/>
                <w:sz w:val="24"/>
              </w:rPr>
            </w:pPr>
            <w:r>
              <w:rPr>
                <w:rFonts w:hint="eastAsia"/>
                <w:bCs/>
                <w:sz w:val="24"/>
              </w:rPr>
              <w:t>①监测布点</w:t>
            </w:r>
          </w:p>
          <w:p>
            <w:pPr>
              <w:pStyle w:val="86"/>
              <w:rPr>
                <w:bCs/>
                <w:color w:val="000000" w:themeColor="text1"/>
              </w:rPr>
            </w:pPr>
            <w:r>
              <w:rPr>
                <w:rFonts w:hint="eastAsia"/>
                <w:bCs/>
                <w:color w:val="auto"/>
              </w:rPr>
              <w:t>根据《建设项目环境影响报告表编制技术指南（污染影响类）（试行）》中规定要求，</w:t>
            </w:r>
            <w:r>
              <w:rPr>
                <w:rFonts w:hint="eastAsia"/>
                <w:color w:val="auto"/>
                <w:szCs w:val="24"/>
              </w:rPr>
              <w:t>本次环境空气特征因子现状监测委托新疆环疆绿源环保科技有限公司于2023年5月14日-16日在项目区下风向设点进行监测，</w:t>
            </w:r>
            <w:r>
              <w:rPr>
                <w:rFonts w:hint="eastAsia"/>
                <w:bCs/>
                <w:color w:val="000000" w:themeColor="text1"/>
              </w:rPr>
              <w:t>监测因子为非甲烷总烃。</w:t>
            </w:r>
          </w:p>
          <w:p>
            <w:pPr>
              <w:pStyle w:val="86"/>
              <w:rPr>
                <w:color w:val="auto"/>
              </w:rPr>
            </w:pPr>
            <w:r>
              <w:rPr>
                <w:color w:val="auto"/>
              </w:rPr>
              <w:t>②</w:t>
            </w:r>
            <w:r>
              <w:rPr>
                <w:rFonts w:hint="eastAsia"/>
                <w:color w:val="auto"/>
              </w:rPr>
              <w:t>监测</w:t>
            </w:r>
            <w:r>
              <w:rPr>
                <w:color w:val="auto"/>
              </w:rPr>
              <w:t>项目及分析方法</w:t>
            </w:r>
          </w:p>
          <w:p>
            <w:pPr>
              <w:adjustRightInd w:val="0"/>
              <w:snapToGrid w:val="0"/>
              <w:spacing w:line="480" w:lineRule="exact"/>
              <w:ind w:firstLine="480" w:firstLineChars="200"/>
              <w:rPr>
                <w:bCs/>
                <w:sz w:val="24"/>
              </w:rPr>
            </w:pPr>
            <w:r>
              <w:rPr>
                <w:rFonts w:hint="eastAsia"/>
                <w:bCs/>
                <w:sz w:val="24"/>
              </w:rPr>
              <w:t>本次评价环境空气监测因子选取非甲烷</w:t>
            </w:r>
            <w:r>
              <w:rPr>
                <w:bCs/>
                <w:sz w:val="24"/>
              </w:rPr>
              <w:t>总烃。</w:t>
            </w:r>
            <w:r>
              <w:rPr>
                <w:rFonts w:hint="eastAsia"/>
                <w:bCs/>
                <w:sz w:val="24"/>
              </w:rPr>
              <w:t>环境</w:t>
            </w:r>
            <w:r>
              <w:rPr>
                <w:bCs/>
                <w:sz w:val="24"/>
              </w:rPr>
              <w:t>空气采样及分析方法均</w:t>
            </w:r>
            <w:r>
              <w:rPr>
                <w:rFonts w:hint="eastAsia"/>
                <w:bCs/>
                <w:sz w:val="24"/>
              </w:rPr>
              <w:t>根据</w:t>
            </w:r>
            <w:r>
              <w:rPr>
                <w:bCs/>
                <w:sz w:val="24"/>
              </w:rPr>
              <w:t>原国家环保总局颁布的《空气和废气监测分析方法》、《环境监测技术规范》中的有关规定执行</w:t>
            </w:r>
            <w:r>
              <w:rPr>
                <w:rFonts w:hint="eastAsia"/>
                <w:bCs/>
                <w:sz w:val="24"/>
              </w:rPr>
              <w:t>。</w:t>
            </w:r>
            <w:r>
              <w:rPr>
                <w:bCs/>
                <w:sz w:val="24"/>
              </w:rPr>
              <w:t>环境空气监测项目分析方法见表</w:t>
            </w:r>
            <w:r>
              <w:rPr>
                <w:rFonts w:hint="eastAsia"/>
                <w:bCs/>
                <w:sz w:val="24"/>
              </w:rPr>
              <w:t>3</w:t>
            </w:r>
            <w:r>
              <w:rPr>
                <w:bCs/>
                <w:sz w:val="24"/>
              </w:rPr>
              <w:t>-</w:t>
            </w:r>
            <w:r>
              <w:rPr>
                <w:rFonts w:hint="eastAsia"/>
                <w:bCs/>
                <w:sz w:val="24"/>
              </w:rPr>
              <w:t>2</w:t>
            </w:r>
            <w:r>
              <w:rPr>
                <w:bCs/>
                <w:sz w:val="24"/>
              </w:rPr>
              <w:t>。</w:t>
            </w:r>
          </w:p>
          <w:p>
            <w:pPr>
              <w:pStyle w:val="84"/>
              <w:rPr>
                <w:color w:val="auto"/>
              </w:rPr>
            </w:pPr>
            <w:r>
              <w:rPr>
                <w:color w:val="auto"/>
              </w:rPr>
              <w:t>表</w:t>
            </w:r>
            <w:r>
              <w:rPr>
                <w:rFonts w:hint="eastAsia"/>
                <w:color w:val="auto"/>
              </w:rPr>
              <w:t>3</w:t>
            </w:r>
            <w:r>
              <w:rPr>
                <w:color w:val="auto"/>
              </w:rPr>
              <w:t>-</w:t>
            </w:r>
            <w:r>
              <w:rPr>
                <w:rFonts w:hint="eastAsia"/>
                <w:color w:val="auto"/>
              </w:rPr>
              <w:t>2</w:t>
            </w:r>
            <w:r>
              <w:rPr>
                <w:color w:val="auto"/>
              </w:rPr>
              <w:t xml:space="preserve">                     </w:t>
            </w:r>
            <w:r>
              <w:rPr>
                <w:rFonts w:hint="eastAsia"/>
                <w:color w:val="auto"/>
              </w:rPr>
              <w:t>环境空气监测项目分析方法</w:t>
            </w:r>
          </w:p>
          <w:tbl>
            <w:tblPr>
              <w:tblStyle w:val="25"/>
              <w:tblW w:w="8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27"/>
              <w:gridCol w:w="2416"/>
              <w:gridCol w:w="1672"/>
              <w:gridCol w:w="2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pStyle w:val="57"/>
                    <w:rPr>
                      <w:snapToGrid w:val="0"/>
                      <w:color w:val="auto"/>
                    </w:rPr>
                  </w:pPr>
                  <w:r>
                    <w:rPr>
                      <w:snapToGrid w:val="0"/>
                      <w:color w:val="auto"/>
                    </w:rPr>
                    <w:t>编号</w:t>
                  </w:r>
                </w:p>
              </w:tc>
              <w:tc>
                <w:tcPr>
                  <w:tcW w:w="1227" w:type="dxa"/>
                  <w:vAlign w:val="center"/>
                </w:tcPr>
                <w:p>
                  <w:pPr>
                    <w:pStyle w:val="57"/>
                    <w:rPr>
                      <w:snapToGrid w:val="0"/>
                      <w:color w:val="auto"/>
                    </w:rPr>
                  </w:pPr>
                  <w:r>
                    <w:rPr>
                      <w:snapToGrid w:val="0"/>
                      <w:color w:val="auto"/>
                    </w:rPr>
                    <w:t>项目名称</w:t>
                  </w:r>
                </w:p>
              </w:tc>
              <w:tc>
                <w:tcPr>
                  <w:tcW w:w="2416" w:type="dxa"/>
                  <w:vAlign w:val="center"/>
                </w:tcPr>
                <w:p>
                  <w:pPr>
                    <w:pStyle w:val="57"/>
                    <w:rPr>
                      <w:snapToGrid w:val="0"/>
                      <w:color w:val="auto"/>
                    </w:rPr>
                  </w:pPr>
                  <w:r>
                    <w:rPr>
                      <w:snapToGrid w:val="0"/>
                      <w:color w:val="auto"/>
                    </w:rPr>
                    <w:t>分析方法</w:t>
                  </w:r>
                </w:p>
              </w:tc>
              <w:tc>
                <w:tcPr>
                  <w:tcW w:w="1672" w:type="dxa"/>
                  <w:vAlign w:val="center"/>
                </w:tcPr>
                <w:p>
                  <w:pPr>
                    <w:pStyle w:val="57"/>
                    <w:rPr>
                      <w:snapToGrid w:val="0"/>
                      <w:color w:val="auto"/>
                    </w:rPr>
                  </w:pPr>
                  <w:r>
                    <w:rPr>
                      <w:snapToGrid w:val="0"/>
                      <w:color w:val="auto"/>
                    </w:rPr>
                    <w:t>标准号</w:t>
                  </w:r>
                </w:p>
              </w:tc>
              <w:tc>
                <w:tcPr>
                  <w:tcW w:w="2106" w:type="dxa"/>
                  <w:vAlign w:val="center"/>
                </w:tcPr>
                <w:p>
                  <w:pPr>
                    <w:pStyle w:val="57"/>
                    <w:rPr>
                      <w:snapToGrid w:val="0"/>
                      <w:color w:val="auto"/>
                    </w:rPr>
                  </w:pPr>
                  <w:r>
                    <w:rPr>
                      <w:snapToGrid w:val="0"/>
                      <w:color w:val="auto"/>
                    </w:rPr>
                    <w:t>检出限(mg/m</w:t>
                  </w:r>
                  <w:r>
                    <w:rPr>
                      <w:snapToGrid w:val="0"/>
                      <w:color w:val="auto"/>
                      <w:vertAlign w:val="superscript"/>
                    </w:rPr>
                    <w:t>3</w:t>
                  </w:r>
                  <w:r>
                    <w:rPr>
                      <w:snapToGrid w:val="0"/>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9" w:type="dxa"/>
                  <w:vAlign w:val="center"/>
                </w:tcPr>
                <w:p>
                  <w:pPr>
                    <w:pStyle w:val="57"/>
                    <w:rPr>
                      <w:snapToGrid w:val="0"/>
                      <w:color w:val="auto"/>
                    </w:rPr>
                  </w:pPr>
                  <w:r>
                    <w:rPr>
                      <w:snapToGrid w:val="0"/>
                      <w:color w:val="auto"/>
                    </w:rPr>
                    <w:t>1</w:t>
                  </w:r>
                </w:p>
              </w:tc>
              <w:tc>
                <w:tcPr>
                  <w:tcW w:w="1227" w:type="dxa"/>
                  <w:vAlign w:val="center"/>
                </w:tcPr>
                <w:p>
                  <w:pPr>
                    <w:pStyle w:val="57"/>
                    <w:rPr>
                      <w:snapToGrid w:val="0"/>
                      <w:color w:val="auto"/>
                    </w:rPr>
                  </w:pPr>
                  <w:r>
                    <w:rPr>
                      <w:rFonts w:hint="eastAsia"/>
                      <w:snapToGrid w:val="0"/>
                      <w:color w:val="auto"/>
                    </w:rPr>
                    <w:t>非甲烷</w:t>
                  </w:r>
                  <w:r>
                    <w:rPr>
                      <w:snapToGrid w:val="0"/>
                      <w:color w:val="auto"/>
                    </w:rPr>
                    <w:t>总烃</w:t>
                  </w:r>
                </w:p>
              </w:tc>
              <w:tc>
                <w:tcPr>
                  <w:tcW w:w="2416" w:type="dxa"/>
                  <w:vAlign w:val="center"/>
                </w:tcPr>
                <w:p>
                  <w:pPr>
                    <w:pStyle w:val="57"/>
                    <w:rPr>
                      <w:snapToGrid w:val="0"/>
                      <w:color w:val="auto"/>
                    </w:rPr>
                  </w:pPr>
                  <w:r>
                    <w:t>环境空气 总烃的测定 气相色谱法 HJ604-2011</w:t>
                  </w:r>
                </w:p>
              </w:tc>
              <w:tc>
                <w:tcPr>
                  <w:tcW w:w="1672" w:type="dxa"/>
                  <w:vAlign w:val="center"/>
                </w:tcPr>
                <w:p>
                  <w:pPr>
                    <w:pStyle w:val="57"/>
                    <w:rPr>
                      <w:snapToGrid w:val="0"/>
                      <w:color w:val="auto"/>
                    </w:rPr>
                  </w:pPr>
                  <w:r>
                    <w:t>HJ604-2011</w:t>
                  </w:r>
                </w:p>
              </w:tc>
              <w:tc>
                <w:tcPr>
                  <w:tcW w:w="2106" w:type="dxa"/>
                  <w:vAlign w:val="center"/>
                </w:tcPr>
                <w:p>
                  <w:pPr>
                    <w:pStyle w:val="57"/>
                    <w:rPr>
                      <w:snapToGrid w:val="0"/>
                      <w:color w:val="auto"/>
                    </w:rPr>
                  </w:pPr>
                  <w:r>
                    <w:rPr>
                      <w:rFonts w:hint="eastAsia"/>
                      <w:snapToGrid w:val="0"/>
                      <w:color w:val="auto"/>
                    </w:rPr>
                    <w:t>0.04</w:t>
                  </w:r>
                  <w:r>
                    <w:rPr>
                      <w:rFonts w:asciiTheme="minorHAnsi" w:hAnsiTheme="minorHAnsi" w:eastAsiaTheme="minorEastAsia" w:cstheme="minorBidi"/>
                      <w:snapToGrid w:val="0"/>
                      <w:color w:val="auto"/>
                      <w:kern w:val="2"/>
                      <w:szCs w:val="22"/>
                    </w:rPr>
                    <w:t xml:space="preserve"> </w:t>
                  </w:r>
                  <w:r>
                    <w:rPr>
                      <w:snapToGrid w:val="0"/>
                      <w:color w:val="auto"/>
                    </w:rPr>
                    <w:t>mg/m</w:t>
                  </w:r>
                  <w:r>
                    <w:rPr>
                      <w:snapToGrid w:val="0"/>
                      <w:color w:val="auto"/>
                      <w:vertAlign w:val="superscript"/>
                    </w:rPr>
                    <w:t>3</w:t>
                  </w:r>
                </w:p>
              </w:tc>
            </w:tr>
          </w:tbl>
          <w:p>
            <w:pPr>
              <w:widowControl/>
              <w:spacing w:line="460" w:lineRule="exact"/>
              <w:ind w:firstLine="480" w:firstLineChars="200"/>
              <w:rPr>
                <w:rFonts w:cs="宋体"/>
                <w:kern w:val="0"/>
                <w:sz w:val="24"/>
                <w:szCs w:val="26"/>
              </w:rPr>
            </w:pPr>
            <w:r>
              <w:rPr>
                <w:rFonts w:cs="宋体"/>
                <w:kern w:val="0"/>
                <w:sz w:val="24"/>
                <w:szCs w:val="26"/>
              </w:rPr>
              <w:fldChar w:fldCharType="begin"/>
            </w:r>
            <w:r>
              <w:rPr>
                <w:rFonts w:cs="宋体"/>
                <w:kern w:val="0"/>
                <w:sz w:val="24"/>
                <w:szCs w:val="26"/>
              </w:rPr>
              <w:instrText xml:space="preserve"> </w:instrText>
            </w:r>
            <w:r>
              <w:rPr>
                <w:rFonts w:hint="eastAsia" w:cs="宋体"/>
                <w:kern w:val="0"/>
                <w:sz w:val="24"/>
                <w:szCs w:val="26"/>
              </w:rPr>
              <w:instrText xml:space="preserve">= 3 \* GB3</w:instrText>
            </w:r>
            <w:r>
              <w:rPr>
                <w:rFonts w:cs="宋体"/>
                <w:kern w:val="0"/>
                <w:sz w:val="24"/>
                <w:szCs w:val="26"/>
              </w:rPr>
              <w:instrText xml:space="preserve"> </w:instrText>
            </w:r>
            <w:r>
              <w:rPr>
                <w:rFonts w:cs="宋体"/>
                <w:kern w:val="0"/>
                <w:sz w:val="24"/>
                <w:szCs w:val="26"/>
              </w:rPr>
              <w:fldChar w:fldCharType="separate"/>
            </w:r>
            <w:r>
              <w:rPr>
                <w:rFonts w:hint="eastAsia" w:cs="宋体"/>
                <w:kern w:val="0"/>
                <w:sz w:val="24"/>
                <w:szCs w:val="26"/>
              </w:rPr>
              <w:t>③</w:t>
            </w:r>
            <w:r>
              <w:rPr>
                <w:rFonts w:cs="宋体"/>
                <w:kern w:val="0"/>
                <w:sz w:val="24"/>
                <w:szCs w:val="26"/>
              </w:rPr>
              <w:fldChar w:fldCharType="end"/>
            </w:r>
            <w:r>
              <w:rPr>
                <w:rFonts w:cs="宋体"/>
                <w:kern w:val="0"/>
                <w:sz w:val="24"/>
                <w:szCs w:val="26"/>
              </w:rPr>
              <w:t>监测时间及频率</w:t>
            </w:r>
          </w:p>
          <w:p>
            <w:pPr>
              <w:widowControl/>
              <w:spacing w:line="460" w:lineRule="exact"/>
              <w:ind w:firstLine="480" w:firstLineChars="200"/>
              <w:rPr>
                <w:rFonts w:cs="宋体"/>
                <w:kern w:val="0"/>
                <w:sz w:val="24"/>
                <w:szCs w:val="26"/>
              </w:rPr>
            </w:pPr>
            <w:r>
              <w:rPr>
                <w:rFonts w:hint="eastAsia" w:cs="宋体"/>
                <w:kern w:val="0"/>
                <w:sz w:val="24"/>
                <w:szCs w:val="26"/>
              </w:rPr>
              <w:t>非甲烷</w:t>
            </w:r>
            <w:r>
              <w:rPr>
                <w:rFonts w:cs="宋体"/>
                <w:kern w:val="0"/>
                <w:sz w:val="24"/>
                <w:szCs w:val="26"/>
              </w:rPr>
              <w:t>总烃</w:t>
            </w:r>
            <w:r>
              <w:rPr>
                <w:rFonts w:hint="eastAsia" w:cs="宋体"/>
                <w:kern w:val="0"/>
                <w:sz w:val="24"/>
                <w:szCs w:val="26"/>
              </w:rPr>
              <w:t>监测1小时平均浓度，</w:t>
            </w:r>
            <w:r>
              <w:rPr>
                <w:rFonts w:cs="宋体"/>
                <w:kern w:val="0"/>
                <w:sz w:val="24"/>
                <w:szCs w:val="26"/>
              </w:rPr>
              <w:t>每天采样</w:t>
            </w:r>
            <w:r>
              <w:rPr>
                <w:rFonts w:hint="eastAsia" w:cs="宋体"/>
                <w:kern w:val="0"/>
                <w:sz w:val="24"/>
                <w:szCs w:val="26"/>
              </w:rPr>
              <w:t>4次，监测时间为</w:t>
            </w:r>
            <w:r>
              <w:rPr>
                <w:bCs/>
                <w:sz w:val="24"/>
              </w:rPr>
              <w:t>20</w:t>
            </w:r>
            <w:r>
              <w:rPr>
                <w:rFonts w:hint="eastAsia"/>
                <w:bCs/>
                <w:sz w:val="24"/>
              </w:rPr>
              <w:t>23</w:t>
            </w:r>
            <w:r>
              <w:rPr>
                <w:bCs/>
                <w:sz w:val="24"/>
              </w:rPr>
              <w:t>年</w:t>
            </w:r>
            <w:r>
              <w:rPr>
                <w:rFonts w:hint="eastAsia"/>
                <w:bCs/>
                <w:sz w:val="24"/>
              </w:rPr>
              <w:t>5</w:t>
            </w:r>
            <w:r>
              <w:rPr>
                <w:bCs/>
                <w:sz w:val="24"/>
              </w:rPr>
              <w:t>月</w:t>
            </w:r>
            <w:r>
              <w:rPr>
                <w:rFonts w:hint="eastAsia"/>
                <w:bCs/>
                <w:sz w:val="24"/>
              </w:rPr>
              <w:t>14</w:t>
            </w:r>
            <w:r>
              <w:rPr>
                <w:bCs/>
                <w:sz w:val="24"/>
              </w:rPr>
              <w:t>日～</w:t>
            </w:r>
            <w:r>
              <w:rPr>
                <w:rFonts w:hint="eastAsia"/>
                <w:bCs/>
                <w:sz w:val="24"/>
              </w:rPr>
              <w:t>5</w:t>
            </w:r>
            <w:r>
              <w:rPr>
                <w:bCs/>
                <w:sz w:val="24"/>
              </w:rPr>
              <w:t>月</w:t>
            </w:r>
            <w:r>
              <w:rPr>
                <w:rFonts w:hint="eastAsia"/>
                <w:bCs/>
                <w:sz w:val="24"/>
              </w:rPr>
              <w:t>16</w:t>
            </w:r>
            <w:r>
              <w:rPr>
                <w:bCs/>
                <w:sz w:val="24"/>
              </w:rPr>
              <w:t>日</w:t>
            </w:r>
            <w:r>
              <w:rPr>
                <w:rFonts w:hint="eastAsia" w:cs="宋体"/>
                <w:kern w:val="0"/>
                <w:sz w:val="24"/>
                <w:szCs w:val="26"/>
              </w:rPr>
              <w:t>。</w:t>
            </w:r>
            <w:r>
              <w:rPr>
                <w:rFonts w:cs="宋体"/>
                <w:kern w:val="0"/>
                <w:sz w:val="24"/>
                <w:szCs w:val="26"/>
              </w:rPr>
              <w:t>监测同时记录风速、风向、气温、气压和天气状况等常规气象要素。</w:t>
            </w:r>
          </w:p>
          <w:p>
            <w:pPr>
              <w:widowControl/>
              <w:spacing w:line="460" w:lineRule="exact"/>
              <w:ind w:firstLine="480" w:firstLineChars="200"/>
              <w:rPr>
                <w:rFonts w:cs="宋体"/>
                <w:kern w:val="0"/>
                <w:sz w:val="24"/>
                <w:szCs w:val="26"/>
              </w:rPr>
            </w:pPr>
            <w:r>
              <w:rPr>
                <w:rFonts w:cs="宋体"/>
                <w:kern w:val="0"/>
                <w:sz w:val="24"/>
                <w:szCs w:val="26"/>
              </w:rPr>
              <w:fldChar w:fldCharType="begin"/>
            </w:r>
            <w:r>
              <w:rPr>
                <w:rFonts w:cs="宋体"/>
                <w:kern w:val="0"/>
                <w:sz w:val="24"/>
                <w:szCs w:val="26"/>
              </w:rPr>
              <w:instrText xml:space="preserve"> </w:instrText>
            </w:r>
            <w:r>
              <w:rPr>
                <w:rFonts w:hint="eastAsia" w:cs="宋体"/>
                <w:kern w:val="0"/>
                <w:sz w:val="24"/>
                <w:szCs w:val="26"/>
              </w:rPr>
              <w:instrText xml:space="preserve">= 4 \* GB3</w:instrText>
            </w:r>
            <w:r>
              <w:rPr>
                <w:rFonts w:cs="宋体"/>
                <w:kern w:val="0"/>
                <w:sz w:val="24"/>
                <w:szCs w:val="26"/>
              </w:rPr>
              <w:instrText xml:space="preserve"> </w:instrText>
            </w:r>
            <w:r>
              <w:rPr>
                <w:rFonts w:cs="宋体"/>
                <w:kern w:val="0"/>
                <w:sz w:val="24"/>
                <w:szCs w:val="26"/>
              </w:rPr>
              <w:fldChar w:fldCharType="separate"/>
            </w:r>
            <w:r>
              <w:rPr>
                <w:rFonts w:hint="eastAsia" w:cs="宋体"/>
                <w:kern w:val="0"/>
                <w:sz w:val="24"/>
                <w:szCs w:val="26"/>
              </w:rPr>
              <w:t>④</w:t>
            </w:r>
            <w:r>
              <w:rPr>
                <w:rFonts w:cs="宋体"/>
                <w:kern w:val="0"/>
                <w:sz w:val="24"/>
                <w:szCs w:val="26"/>
              </w:rPr>
              <w:fldChar w:fldCharType="end"/>
            </w:r>
            <w:r>
              <w:rPr>
                <w:rFonts w:hint="eastAsia" w:cs="宋体"/>
                <w:kern w:val="0"/>
                <w:sz w:val="24"/>
                <w:szCs w:val="26"/>
              </w:rPr>
              <w:t>评价</w:t>
            </w:r>
            <w:r>
              <w:rPr>
                <w:rFonts w:cs="宋体"/>
                <w:kern w:val="0"/>
                <w:sz w:val="24"/>
                <w:szCs w:val="26"/>
              </w:rPr>
              <w:t>方法</w:t>
            </w:r>
          </w:p>
          <w:p>
            <w:pPr>
              <w:spacing w:line="460" w:lineRule="exact"/>
              <w:ind w:firstLine="480" w:firstLineChars="200"/>
              <w:rPr>
                <w:sz w:val="24"/>
                <w:szCs w:val="21"/>
              </w:rPr>
            </w:pPr>
            <w:r>
              <w:rPr>
                <w:sz w:val="24"/>
                <w:szCs w:val="21"/>
              </w:rPr>
              <w:t>评价方法采用最大质量浓度占相应标准质量浓度限值的百分比及超标率对监测结果进行评价分析。计算公式如下</w:t>
            </w:r>
            <w:r>
              <w:rPr>
                <w:rFonts w:hint="eastAsia"/>
                <w:sz w:val="24"/>
                <w:szCs w:val="21"/>
              </w:rPr>
              <w:t>：</w:t>
            </w:r>
          </w:p>
          <w:p>
            <w:pPr>
              <w:spacing w:line="460" w:lineRule="exact"/>
              <w:ind w:firstLine="520" w:firstLineChars="200"/>
              <w:jc w:val="center"/>
              <w:rPr>
                <w:sz w:val="26"/>
                <w:szCs w:val="26"/>
              </w:rPr>
            </w:pPr>
            <w:r>
              <w:rPr>
                <w:sz w:val="26"/>
                <w:szCs w:val="26"/>
              </w:rPr>
              <w:t>P</w:t>
            </w:r>
            <w:r>
              <w:rPr>
                <w:sz w:val="26"/>
                <w:szCs w:val="26"/>
                <w:vertAlign w:val="subscript"/>
              </w:rPr>
              <w:t>i</w:t>
            </w:r>
            <w:r>
              <w:rPr>
                <w:sz w:val="26"/>
                <w:szCs w:val="26"/>
              </w:rPr>
              <w:t>=C</w:t>
            </w:r>
            <w:r>
              <w:rPr>
                <w:sz w:val="26"/>
                <w:szCs w:val="26"/>
                <w:vertAlign w:val="subscript"/>
              </w:rPr>
              <w:t>i</w:t>
            </w:r>
            <w:r>
              <w:rPr>
                <w:sz w:val="26"/>
                <w:szCs w:val="26"/>
              </w:rPr>
              <w:t>/C</w:t>
            </w:r>
            <w:r>
              <w:rPr>
                <w:sz w:val="26"/>
                <w:szCs w:val="26"/>
                <w:vertAlign w:val="subscript"/>
              </w:rPr>
              <w:t>oi</w:t>
            </w:r>
            <w:r>
              <w:rPr>
                <w:rFonts w:hint="eastAsia"/>
                <w:sz w:val="26"/>
                <w:szCs w:val="26"/>
              </w:rPr>
              <w:t>×100%</w:t>
            </w:r>
          </w:p>
          <w:p>
            <w:pPr>
              <w:spacing w:line="460" w:lineRule="exact"/>
              <w:ind w:firstLine="480" w:firstLineChars="200"/>
              <w:rPr>
                <w:sz w:val="24"/>
                <w:szCs w:val="21"/>
              </w:rPr>
            </w:pPr>
            <w:r>
              <w:rPr>
                <w:sz w:val="24"/>
                <w:szCs w:val="21"/>
              </w:rPr>
              <w:t>式中：P</w:t>
            </w:r>
            <w:r>
              <w:rPr>
                <w:sz w:val="24"/>
                <w:szCs w:val="21"/>
                <w:vertAlign w:val="subscript"/>
              </w:rPr>
              <w:t>i</w:t>
            </w:r>
            <w:r>
              <w:rPr>
                <w:sz w:val="24"/>
                <w:szCs w:val="21"/>
              </w:rPr>
              <w:t>—</w:t>
            </w:r>
            <w:r>
              <w:rPr>
                <w:rFonts w:hint="eastAsia"/>
                <w:sz w:val="24"/>
                <w:szCs w:val="21"/>
              </w:rPr>
              <w:t>第</w:t>
            </w:r>
            <w:r>
              <w:rPr>
                <w:sz w:val="24"/>
                <w:szCs w:val="21"/>
              </w:rPr>
              <w:t>i</w:t>
            </w:r>
            <w:r>
              <w:rPr>
                <w:rFonts w:hint="eastAsia"/>
                <w:sz w:val="24"/>
                <w:szCs w:val="21"/>
              </w:rPr>
              <w:t>个</w:t>
            </w:r>
            <w:r>
              <w:rPr>
                <w:sz w:val="24"/>
                <w:szCs w:val="21"/>
              </w:rPr>
              <w:t>污染物的</w:t>
            </w:r>
            <w:r>
              <w:rPr>
                <w:rFonts w:hint="eastAsia"/>
                <w:sz w:val="24"/>
                <w:szCs w:val="21"/>
              </w:rPr>
              <w:t>最大占标百分比</w:t>
            </w:r>
            <w:r>
              <w:rPr>
                <w:sz w:val="24"/>
                <w:szCs w:val="21"/>
              </w:rPr>
              <w:t>；</w:t>
            </w:r>
          </w:p>
          <w:p>
            <w:pPr>
              <w:spacing w:line="460" w:lineRule="exact"/>
              <w:ind w:firstLine="1161" w:firstLineChars="484"/>
              <w:rPr>
                <w:sz w:val="24"/>
                <w:szCs w:val="21"/>
              </w:rPr>
            </w:pPr>
            <w:r>
              <w:rPr>
                <w:sz w:val="24"/>
                <w:szCs w:val="21"/>
              </w:rPr>
              <w:t>C</w:t>
            </w:r>
            <w:r>
              <w:rPr>
                <w:sz w:val="24"/>
                <w:szCs w:val="21"/>
                <w:vertAlign w:val="subscript"/>
              </w:rPr>
              <w:t>i</w:t>
            </w:r>
            <w:r>
              <w:rPr>
                <w:sz w:val="24"/>
                <w:szCs w:val="21"/>
              </w:rPr>
              <w:t>—</w:t>
            </w:r>
            <w:r>
              <w:rPr>
                <w:rFonts w:hint="eastAsia"/>
                <w:sz w:val="24"/>
                <w:szCs w:val="21"/>
              </w:rPr>
              <w:t>第</w:t>
            </w:r>
            <w:r>
              <w:rPr>
                <w:sz w:val="24"/>
                <w:szCs w:val="21"/>
              </w:rPr>
              <w:t>i</w:t>
            </w:r>
            <w:r>
              <w:rPr>
                <w:rFonts w:hint="eastAsia"/>
                <w:sz w:val="24"/>
                <w:szCs w:val="21"/>
              </w:rPr>
              <w:t>个</w:t>
            </w:r>
            <w:r>
              <w:rPr>
                <w:sz w:val="24"/>
                <w:szCs w:val="21"/>
              </w:rPr>
              <w:t>污染物的监测浓度值，mg/m</w:t>
            </w:r>
            <w:r>
              <w:rPr>
                <w:sz w:val="24"/>
                <w:szCs w:val="21"/>
                <w:vertAlign w:val="superscript"/>
              </w:rPr>
              <w:t>3</w:t>
            </w:r>
            <w:r>
              <w:rPr>
                <w:sz w:val="24"/>
                <w:szCs w:val="21"/>
              </w:rPr>
              <w:t>；</w:t>
            </w:r>
          </w:p>
          <w:p>
            <w:pPr>
              <w:spacing w:line="460" w:lineRule="exact"/>
              <w:ind w:firstLine="1161" w:firstLineChars="484"/>
              <w:rPr>
                <w:sz w:val="24"/>
                <w:szCs w:val="21"/>
              </w:rPr>
            </w:pPr>
            <w:r>
              <w:rPr>
                <w:sz w:val="24"/>
                <w:szCs w:val="21"/>
              </w:rPr>
              <w:t>C</w:t>
            </w:r>
            <w:r>
              <w:rPr>
                <w:sz w:val="24"/>
                <w:szCs w:val="21"/>
                <w:vertAlign w:val="subscript"/>
              </w:rPr>
              <w:t>oi</w:t>
            </w:r>
            <w:r>
              <w:rPr>
                <w:sz w:val="24"/>
                <w:szCs w:val="21"/>
              </w:rPr>
              <w:t>—</w:t>
            </w:r>
            <w:r>
              <w:rPr>
                <w:rFonts w:hint="eastAsia"/>
                <w:sz w:val="24"/>
                <w:szCs w:val="21"/>
              </w:rPr>
              <w:t>第</w:t>
            </w:r>
            <w:r>
              <w:rPr>
                <w:sz w:val="24"/>
                <w:szCs w:val="21"/>
              </w:rPr>
              <w:t>i</w:t>
            </w:r>
            <w:r>
              <w:rPr>
                <w:rFonts w:hint="eastAsia"/>
                <w:sz w:val="24"/>
                <w:szCs w:val="21"/>
              </w:rPr>
              <w:t>个</w:t>
            </w:r>
            <w:r>
              <w:rPr>
                <w:sz w:val="24"/>
                <w:szCs w:val="21"/>
              </w:rPr>
              <w:t>污染物的</w:t>
            </w:r>
            <w:r>
              <w:rPr>
                <w:rFonts w:hint="eastAsia"/>
                <w:sz w:val="24"/>
                <w:szCs w:val="21"/>
              </w:rPr>
              <w:t>环境空气质量</w:t>
            </w:r>
            <w:r>
              <w:rPr>
                <w:sz w:val="24"/>
                <w:szCs w:val="21"/>
              </w:rPr>
              <w:t>标准，mg/m</w:t>
            </w:r>
            <w:r>
              <w:rPr>
                <w:sz w:val="24"/>
                <w:szCs w:val="21"/>
                <w:vertAlign w:val="superscript"/>
              </w:rPr>
              <w:t>3</w:t>
            </w:r>
            <w:r>
              <w:rPr>
                <w:sz w:val="24"/>
                <w:szCs w:val="21"/>
              </w:rPr>
              <w:t>。</w:t>
            </w:r>
          </w:p>
          <w:p>
            <w:pPr>
              <w:widowControl/>
              <w:spacing w:line="460" w:lineRule="exact"/>
              <w:ind w:firstLine="480" w:firstLineChars="200"/>
              <w:rPr>
                <w:rFonts w:cs="宋体"/>
                <w:kern w:val="0"/>
                <w:sz w:val="24"/>
                <w:szCs w:val="26"/>
              </w:rPr>
            </w:pPr>
            <w:r>
              <w:rPr>
                <w:rFonts w:cs="宋体"/>
                <w:kern w:val="0"/>
                <w:sz w:val="24"/>
                <w:szCs w:val="26"/>
              </w:rPr>
              <w:fldChar w:fldCharType="begin"/>
            </w:r>
            <w:r>
              <w:rPr>
                <w:rFonts w:cs="宋体"/>
                <w:kern w:val="0"/>
                <w:sz w:val="24"/>
                <w:szCs w:val="26"/>
              </w:rPr>
              <w:instrText xml:space="preserve"> </w:instrText>
            </w:r>
            <w:r>
              <w:rPr>
                <w:rFonts w:hint="eastAsia" w:cs="宋体"/>
                <w:kern w:val="0"/>
                <w:sz w:val="24"/>
                <w:szCs w:val="26"/>
              </w:rPr>
              <w:instrText xml:space="preserve">= 5 \* GB3</w:instrText>
            </w:r>
            <w:r>
              <w:rPr>
                <w:rFonts w:cs="宋体"/>
                <w:kern w:val="0"/>
                <w:sz w:val="24"/>
                <w:szCs w:val="26"/>
              </w:rPr>
              <w:instrText xml:space="preserve"> </w:instrText>
            </w:r>
            <w:r>
              <w:rPr>
                <w:rFonts w:cs="宋体"/>
                <w:kern w:val="0"/>
                <w:sz w:val="24"/>
                <w:szCs w:val="26"/>
              </w:rPr>
              <w:fldChar w:fldCharType="separate"/>
            </w:r>
            <w:r>
              <w:rPr>
                <w:rFonts w:hint="eastAsia" w:cs="宋体"/>
                <w:kern w:val="0"/>
                <w:sz w:val="24"/>
                <w:szCs w:val="26"/>
              </w:rPr>
              <w:t>⑤</w:t>
            </w:r>
            <w:r>
              <w:rPr>
                <w:rFonts w:cs="宋体"/>
                <w:kern w:val="0"/>
                <w:sz w:val="24"/>
                <w:szCs w:val="26"/>
              </w:rPr>
              <w:fldChar w:fldCharType="end"/>
            </w:r>
            <w:r>
              <w:rPr>
                <w:rFonts w:hint="eastAsia" w:cs="宋体"/>
                <w:kern w:val="0"/>
                <w:sz w:val="24"/>
                <w:szCs w:val="26"/>
              </w:rPr>
              <w:t>监测</w:t>
            </w:r>
            <w:r>
              <w:rPr>
                <w:rFonts w:cs="宋体"/>
                <w:kern w:val="0"/>
                <w:sz w:val="24"/>
                <w:szCs w:val="26"/>
              </w:rPr>
              <w:t>结果统计</w:t>
            </w:r>
            <w:r>
              <w:rPr>
                <w:rFonts w:hint="eastAsia" w:cs="宋体"/>
                <w:kern w:val="0"/>
                <w:sz w:val="24"/>
                <w:szCs w:val="26"/>
              </w:rPr>
              <w:t>分析</w:t>
            </w:r>
          </w:p>
          <w:p>
            <w:pPr>
              <w:widowControl/>
              <w:spacing w:line="460" w:lineRule="exact"/>
              <w:ind w:firstLine="480" w:firstLineChars="200"/>
              <w:rPr>
                <w:rFonts w:cs="宋体"/>
                <w:kern w:val="0"/>
                <w:sz w:val="24"/>
                <w:szCs w:val="26"/>
              </w:rPr>
            </w:pPr>
            <w:r>
              <w:rPr>
                <w:rFonts w:hint="eastAsia" w:cs="宋体"/>
                <w:kern w:val="0"/>
                <w:sz w:val="24"/>
                <w:szCs w:val="26"/>
              </w:rPr>
              <w:t>监测点环境空气质量现状监测及</w:t>
            </w:r>
            <w:r>
              <w:rPr>
                <w:rFonts w:cs="宋体"/>
                <w:kern w:val="0"/>
                <w:sz w:val="24"/>
                <w:szCs w:val="26"/>
              </w:rPr>
              <w:t>评价结果</w:t>
            </w:r>
            <w:r>
              <w:rPr>
                <w:rFonts w:hint="eastAsia" w:cs="宋体"/>
                <w:kern w:val="0"/>
                <w:sz w:val="24"/>
                <w:szCs w:val="26"/>
              </w:rPr>
              <w:t>见表3</w:t>
            </w:r>
            <w:r>
              <w:rPr>
                <w:rFonts w:cs="宋体"/>
                <w:kern w:val="0"/>
                <w:sz w:val="24"/>
                <w:szCs w:val="26"/>
              </w:rPr>
              <w:t>-</w:t>
            </w:r>
            <w:r>
              <w:rPr>
                <w:rFonts w:hint="eastAsia" w:cs="宋体"/>
                <w:kern w:val="0"/>
                <w:sz w:val="24"/>
                <w:szCs w:val="26"/>
              </w:rPr>
              <w:t>3</w:t>
            </w:r>
            <w:r>
              <w:rPr>
                <w:rFonts w:cs="宋体"/>
                <w:kern w:val="0"/>
                <w:sz w:val="24"/>
                <w:szCs w:val="26"/>
              </w:rPr>
              <w:t>。</w:t>
            </w:r>
          </w:p>
          <w:p>
            <w:pPr>
              <w:ind w:firstLine="1680" w:firstLineChars="800"/>
              <w:jc w:val="left"/>
            </w:pPr>
            <w:r>
              <w:rPr>
                <w:rFonts w:eastAsia="黑体"/>
              </w:rPr>
              <w:t>表</w:t>
            </w:r>
            <w:r>
              <w:rPr>
                <w:rFonts w:hint="eastAsia" w:eastAsia="黑体"/>
              </w:rPr>
              <w:t>3</w:t>
            </w:r>
            <w:r>
              <w:rPr>
                <w:rFonts w:eastAsia="黑体"/>
              </w:rPr>
              <w:t>-</w:t>
            </w:r>
            <w:r>
              <w:rPr>
                <w:rFonts w:hint="eastAsia" w:eastAsia="黑体"/>
              </w:rPr>
              <w:t>3</w:t>
            </w:r>
            <w:r>
              <w:rPr>
                <w:rFonts w:eastAsia="黑体"/>
              </w:rPr>
              <w:t xml:space="preserve">  </w:t>
            </w:r>
            <w:r>
              <w:rPr>
                <w:rFonts w:hint="eastAsia" w:eastAsia="黑体"/>
              </w:rPr>
              <w:t xml:space="preserve"> </w:t>
            </w:r>
            <w:r>
              <w:rPr>
                <w:rFonts w:eastAsia="黑体"/>
              </w:rPr>
              <w:t>特征因子质量现状</w:t>
            </w:r>
            <w:r>
              <w:rPr>
                <w:rFonts w:hint="eastAsia" w:eastAsia="黑体"/>
              </w:rPr>
              <w:t>监测及</w:t>
            </w:r>
            <w:r>
              <w:rPr>
                <w:rFonts w:eastAsia="黑体"/>
              </w:rPr>
              <w:t>评价结果          单位：mg/m</w:t>
            </w:r>
            <w:r>
              <w:rPr>
                <w:rFonts w:eastAsia="黑体"/>
                <w:vertAlign w:val="superscript"/>
              </w:rPr>
              <w:t>3</w:t>
            </w:r>
          </w:p>
          <w:tbl>
            <w:tblPr>
              <w:tblStyle w:val="25"/>
              <w:tblW w:w="807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2337"/>
              <w:gridCol w:w="1890"/>
              <w:gridCol w:w="25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tcBorders>
                    <w:top w:val="single" w:color="auto" w:sz="12" w:space="0"/>
                  </w:tcBorders>
                  <w:vAlign w:val="center"/>
                </w:tcPr>
                <w:p>
                  <w:pPr>
                    <w:widowControl/>
                    <w:spacing w:line="300" w:lineRule="exact"/>
                    <w:jc w:val="center"/>
                    <w:rPr>
                      <w:snapToGrid w:val="0"/>
                      <w:kern w:val="0"/>
                      <w:szCs w:val="21"/>
                      <w:lang w:bidi="en-US"/>
                    </w:rPr>
                  </w:pPr>
                  <w:r>
                    <w:rPr>
                      <w:snapToGrid w:val="0"/>
                      <w:kern w:val="0"/>
                      <w:szCs w:val="21"/>
                      <w:lang w:bidi="en-US"/>
                    </w:rPr>
                    <w:t>监测点位</w:t>
                  </w:r>
                </w:p>
              </w:tc>
              <w:tc>
                <w:tcPr>
                  <w:tcW w:w="2337" w:type="dxa"/>
                  <w:tcBorders>
                    <w:top w:val="single" w:color="auto" w:sz="12" w:space="0"/>
                  </w:tcBorders>
                  <w:vAlign w:val="center"/>
                </w:tcPr>
                <w:p>
                  <w:pPr>
                    <w:widowControl/>
                    <w:spacing w:line="300" w:lineRule="exact"/>
                    <w:jc w:val="center"/>
                    <w:rPr>
                      <w:snapToGrid w:val="0"/>
                      <w:kern w:val="0"/>
                      <w:szCs w:val="21"/>
                      <w:lang w:bidi="en-US"/>
                    </w:rPr>
                  </w:pPr>
                  <w:r>
                    <w:rPr>
                      <w:snapToGrid w:val="0"/>
                      <w:kern w:val="0"/>
                      <w:szCs w:val="21"/>
                      <w:lang w:bidi="en-US"/>
                    </w:rPr>
                    <w:t>监测日期</w:t>
                  </w:r>
                </w:p>
              </w:tc>
              <w:tc>
                <w:tcPr>
                  <w:tcW w:w="1890" w:type="dxa"/>
                  <w:tcBorders>
                    <w:top w:val="single" w:color="auto" w:sz="12" w:space="0"/>
                  </w:tcBorders>
                  <w:vAlign w:val="center"/>
                </w:tcPr>
                <w:p>
                  <w:pPr>
                    <w:widowControl/>
                    <w:spacing w:line="300" w:lineRule="exact"/>
                    <w:jc w:val="center"/>
                    <w:rPr>
                      <w:snapToGrid w:val="0"/>
                      <w:kern w:val="0"/>
                      <w:szCs w:val="21"/>
                      <w:lang w:bidi="en-US"/>
                    </w:rPr>
                  </w:pPr>
                  <w:r>
                    <w:rPr>
                      <w:rFonts w:hint="eastAsia"/>
                      <w:snapToGrid w:val="0"/>
                      <w:kern w:val="0"/>
                      <w:szCs w:val="21"/>
                      <w:lang w:bidi="en-US"/>
                    </w:rPr>
                    <w:t>采样频次</w:t>
                  </w:r>
                </w:p>
              </w:tc>
              <w:tc>
                <w:tcPr>
                  <w:tcW w:w="2507" w:type="dxa"/>
                  <w:tcBorders>
                    <w:top w:val="single" w:color="auto" w:sz="12" w:space="0"/>
                  </w:tcBorders>
                  <w:vAlign w:val="center"/>
                </w:tcPr>
                <w:p>
                  <w:pPr>
                    <w:widowControl/>
                    <w:spacing w:line="300" w:lineRule="exact"/>
                    <w:jc w:val="center"/>
                    <w:rPr>
                      <w:snapToGrid w:val="0"/>
                      <w:kern w:val="0"/>
                      <w:szCs w:val="21"/>
                      <w:lang w:bidi="en-US"/>
                    </w:rPr>
                  </w:pPr>
                  <w:r>
                    <w:rPr>
                      <w:rFonts w:hint="eastAsia"/>
                      <w:snapToGrid w:val="0"/>
                      <w:kern w:val="0"/>
                      <w:szCs w:val="21"/>
                      <w:lang w:bidi="en-US"/>
                    </w:rPr>
                    <w:t>非甲烷</w:t>
                  </w:r>
                  <w:r>
                    <w:rPr>
                      <w:snapToGrid w:val="0"/>
                      <w:kern w:val="0"/>
                      <w:szCs w:val="21"/>
                      <w:lang w:bidi="en-US"/>
                    </w:rPr>
                    <w:t>总烃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widowControl/>
                    <w:spacing w:line="300" w:lineRule="exact"/>
                    <w:jc w:val="center"/>
                    <w:rPr>
                      <w:snapToGrid w:val="0"/>
                      <w:kern w:val="0"/>
                      <w:szCs w:val="21"/>
                      <w:lang w:bidi="en-US"/>
                    </w:rPr>
                  </w:pPr>
                  <w:r>
                    <w:rPr>
                      <w:rFonts w:hint="eastAsia"/>
                      <w:snapToGrid w:val="0"/>
                      <w:kern w:val="0"/>
                      <w:szCs w:val="21"/>
                      <w:lang w:bidi="en-US"/>
                    </w:rPr>
                    <w:t>W</w:t>
                  </w:r>
                  <w:r>
                    <w:rPr>
                      <w:snapToGrid w:val="0"/>
                      <w:kern w:val="0"/>
                      <w:szCs w:val="21"/>
                      <w:lang w:bidi="en-US"/>
                    </w:rPr>
                    <w:t>1</w:t>
                  </w:r>
                </w:p>
                <w:p>
                  <w:pPr>
                    <w:widowControl/>
                    <w:spacing w:line="300" w:lineRule="exact"/>
                    <w:jc w:val="center"/>
                    <w:rPr>
                      <w:bCs/>
                      <w:snapToGrid w:val="0"/>
                      <w:kern w:val="0"/>
                      <w:szCs w:val="21"/>
                      <w:lang w:bidi="en-US"/>
                    </w:rPr>
                  </w:pPr>
                  <w:r>
                    <w:rPr>
                      <w:rFonts w:hint="eastAsia"/>
                      <w:bCs/>
                      <w:snapToGrid w:val="0"/>
                      <w:kern w:val="0"/>
                      <w:szCs w:val="21"/>
                      <w:lang w:bidi="en-US"/>
                    </w:rPr>
                    <w:t>项目厂区</w:t>
                  </w:r>
                </w:p>
                <w:p>
                  <w:pPr>
                    <w:widowControl/>
                    <w:spacing w:line="300" w:lineRule="exact"/>
                    <w:jc w:val="center"/>
                    <w:rPr>
                      <w:snapToGrid w:val="0"/>
                      <w:kern w:val="0"/>
                      <w:szCs w:val="21"/>
                      <w:lang w:bidi="en-US"/>
                    </w:rPr>
                  </w:pPr>
                  <w:r>
                    <w:rPr>
                      <w:rFonts w:hint="eastAsia"/>
                      <w:bCs/>
                      <w:snapToGrid w:val="0"/>
                      <w:kern w:val="0"/>
                      <w:szCs w:val="21"/>
                      <w:lang w:bidi="en-US"/>
                    </w:rPr>
                    <w:t>下风向</w:t>
                  </w:r>
                </w:p>
              </w:tc>
              <w:tc>
                <w:tcPr>
                  <w:tcW w:w="2337" w:type="dxa"/>
                  <w:vMerge w:val="restart"/>
                  <w:vAlign w:val="center"/>
                </w:tcPr>
                <w:p>
                  <w:pPr>
                    <w:widowControl/>
                    <w:spacing w:line="300" w:lineRule="exact"/>
                    <w:jc w:val="center"/>
                    <w:rPr>
                      <w:snapToGrid w:val="0"/>
                      <w:kern w:val="0"/>
                      <w:szCs w:val="21"/>
                      <w:lang w:bidi="en-US"/>
                    </w:rPr>
                  </w:pPr>
                  <w:r>
                    <w:rPr>
                      <w:snapToGrid w:val="0"/>
                      <w:kern w:val="0"/>
                      <w:szCs w:val="21"/>
                      <w:lang w:bidi="en-US"/>
                    </w:rPr>
                    <w:t>202</w:t>
                  </w:r>
                  <w:r>
                    <w:rPr>
                      <w:rFonts w:hint="eastAsia"/>
                      <w:snapToGrid w:val="0"/>
                      <w:kern w:val="0"/>
                      <w:szCs w:val="21"/>
                      <w:lang w:bidi="en-US"/>
                    </w:rPr>
                    <w:t>3</w:t>
                  </w:r>
                  <w:r>
                    <w:rPr>
                      <w:snapToGrid w:val="0"/>
                      <w:kern w:val="0"/>
                      <w:szCs w:val="21"/>
                      <w:lang w:bidi="en-US"/>
                    </w:rPr>
                    <w:t>年</w:t>
                  </w:r>
                  <w:r>
                    <w:rPr>
                      <w:rFonts w:hint="eastAsia"/>
                      <w:snapToGrid w:val="0"/>
                      <w:kern w:val="0"/>
                      <w:szCs w:val="21"/>
                      <w:lang w:bidi="en-US"/>
                    </w:rPr>
                    <w:t>5</w:t>
                  </w:r>
                  <w:r>
                    <w:rPr>
                      <w:snapToGrid w:val="0"/>
                      <w:kern w:val="0"/>
                      <w:szCs w:val="21"/>
                      <w:lang w:bidi="en-US"/>
                    </w:rPr>
                    <w:t>月</w:t>
                  </w:r>
                  <w:r>
                    <w:rPr>
                      <w:rFonts w:hint="eastAsia"/>
                      <w:snapToGrid w:val="0"/>
                      <w:kern w:val="0"/>
                      <w:szCs w:val="21"/>
                      <w:lang w:bidi="en-US"/>
                    </w:rPr>
                    <w:t>14</w:t>
                  </w:r>
                  <w:r>
                    <w:rPr>
                      <w:snapToGrid w:val="0"/>
                      <w:kern w:val="0"/>
                      <w:szCs w:val="21"/>
                      <w:lang w:bidi="en-US"/>
                    </w:rPr>
                    <w:t>日</w:t>
                  </w: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1</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continue"/>
                  <w:vAlign w:val="center"/>
                </w:tcPr>
                <w:p>
                  <w:pPr>
                    <w:widowControl/>
                    <w:spacing w:line="300" w:lineRule="exact"/>
                    <w:jc w:val="center"/>
                    <w:rPr>
                      <w:snapToGrid w:val="0"/>
                      <w:kern w:val="0"/>
                      <w:szCs w:val="21"/>
                      <w:lang w:bidi="en-US"/>
                    </w:rPr>
                  </w:pP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2</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continue"/>
                  <w:vAlign w:val="center"/>
                </w:tcPr>
                <w:p>
                  <w:pPr>
                    <w:widowControl/>
                    <w:spacing w:line="300" w:lineRule="exact"/>
                    <w:jc w:val="center"/>
                    <w:rPr>
                      <w:snapToGrid w:val="0"/>
                      <w:kern w:val="0"/>
                      <w:szCs w:val="21"/>
                      <w:lang w:bidi="en-US"/>
                    </w:rPr>
                  </w:pP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3</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continue"/>
                  <w:vAlign w:val="center"/>
                </w:tcPr>
                <w:p>
                  <w:pPr>
                    <w:widowControl/>
                    <w:spacing w:line="300" w:lineRule="exact"/>
                    <w:jc w:val="center"/>
                    <w:rPr>
                      <w:snapToGrid w:val="0"/>
                      <w:kern w:val="0"/>
                      <w:szCs w:val="21"/>
                      <w:lang w:bidi="en-US"/>
                    </w:rPr>
                  </w:pP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4</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restart"/>
                  <w:vAlign w:val="center"/>
                </w:tcPr>
                <w:p>
                  <w:pPr>
                    <w:widowControl/>
                    <w:spacing w:line="300" w:lineRule="exact"/>
                    <w:jc w:val="center"/>
                    <w:rPr>
                      <w:snapToGrid w:val="0"/>
                      <w:kern w:val="0"/>
                      <w:szCs w:val="21"/>
                      <w:lang w:bidi="en-US"/>
                    </w:rPr>
                  </w:pPr>
                  <w:r>
                    <w:rPr>
                      <w:snapToGrid w:val="0"/>
                      <w:kern w:val="0"/>
                      <w:szCs w:val="21"/>
                      <w:lang w:bidi="en-US"/>
                    </w:rPr>
                    <w:t>20</w:t>
                  </w:r>
                  <w:r>
                    <w:rPr>
                      <w:rFonts w:hint="eastAsia"/>
                      <w:snapToGrid w:val="0"/>
                      <w:kern w:val="0"/>
                      <w:szCs w:val="21"/>
                      <w:lang w:bidi="en-US"/>
                    </w:rPr>
                    <w:t>23</w:t>
                  </w:r>
                  <w:r>
                    <w:rPr>
                      <w:snapToGrid w:val="0"/>
                      <w:kern w:val="0"/>
                      <w:szCs w:val="21"/>
                      <w:lang w:bidi="en-US"/>
                    </w:rPr>
                    <w:t>年</w:t>
                  </w:r>
                  <w:r>
                    <w:rPr>
                      <w:rFonts w:hint="eastAsia"/>
                      <w:snapToGrid w:val="0"/>
                      <w:kern w:val="0"/>
                      <w:szCs w:val="21"/>
                      <w:lang w:bidi="en-US"/>
                    </w:rPr>
                    <w:t>5</w:t>
                  </w:r>
                  <w:r>
                    <w:rPr>
                      <w:snapToGrid w:val="0"/>
                      <w:kern w:val="0"/>
                      <w:szCs w:val="21"/>
                      <w:lang w:bidi="en-US"/>
                    </w:rPr>
                    <w:t>月</w:t>
                  </w:r>
                  <w:r>
                    <w:rPr>
                      <w:rFonts w:hint="eastAsia"/>
                      <w:snapToGrid w:val="0"/>
                      <w:kern w:val="0"/>
                      <w:szCs w:val="21"/>
                      <w:lang w:bidi="en-US"/>
                    </w:rPr>
                    <w:t>15</w:t>
                  </w:r>
                  <w:r>
                    <w:rPr>
                      <w:snapToGrid w:val="0"/>
                      <w:kern w:val="0"/>
                      <w:szCs w:val="21"/>
                      <w:lang w:bidi="en-US"/>
                    </w:rPr>
                    <w:t>日</w:t>
                  </w: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1</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continue"/>
                  <w:vAlign w:val="center"/>
                </w:tcPr>
                <w:p>
                  <w:pPr>
                    <w:widowControl/>
                    <w:spacing w:line="300" w:lineRule="exact"/>
                    <w:jc w:val="center"/>
                    <w:rPr>
                      <w:snapToGrid w:val="0"/>
                      <w:kern w:val="0"/>
                      <w:szCs w:val="21"/>
                      <w:lang w:bidi="en-US"/>
                    </w:rPr>
                  </w:pP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2</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continue"/>
                  <w:vAlign w:val="center"/>
                </w:tcPr>
                <w:p>
                  <w:pPr>
                    <w:widowControl/>
                    <w:spacing w:line="300" w:lineRule="exact"/>
                    <w:jc w:val="center"/>
                    <w:rPr>
                      <w:snapToGrid w:val="0"/>
                      <w:kern w:val="0"/>
                      <w:szCs w:val="21"/>
                      <w:lang w:bidi="en-US"/>
                    </w:rPr>
                  </w:pP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3</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continue"/>
                  <w:vAlign w:val="center"/>
                </w:tcPr>
                <w:p>
                  <w:pPr>
                    <w:widowControl/>
                    <w:spacing w:line="300" w:lineRule="exact"/>
                    <w:jc w:val="center"/>
                    <w:rPr>
                      <w:snapToGrid w:val="0"/>
                      <w:kern w:val="0"/>
                      <w:szCs w:val="21"/>
                      <w:lang w:bidi="en-US"/>
                    </w:rPr>
                  </w:pP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4</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restart"/>
                  <w:vAlign w:val="center"/>
                </w:tcPr>
                <w:p>
                  <w:pPr>
                    <w:widowControl/>
                    <w:spacing w:line="300" w:lineRule="exact"/>
                    <w:jc w:val="center"/>
                    <w:rPr>
                      <w:snapToGrid w:val="0"/>
                      <w:kern w:val="0"/>
                      <w:szCs w:val="21"/>
                      <w:lang w:bidi="en-US"/>
                    </w:rPr>
                  </w:pPr>
                  <w:r>
                    <w:rPr>
                      <w:snapToGrid w:val="0"/>
                      <w:kern w:val="0"/>
                      <w:szCs w:val="21"/>
                      <w:lang w:bidi="en-US"/>
                    </w:rPr>
                    <w:t>202</w:t>
                  </w:r>
                  <w:r>
                    <w:rPr>
                      <w:rFonts w:hint="eastAsia"/>
                      <w:snapToGrid w:val="0"/>
                      <w:kern w:val="0"/>
                      <w:szCs w:val="21"/>
                      <w:lang w:bidi="en-US"/>
                    </w:rPr>
                    <w:t>3</w:t>
                  </w:r>
                  <w:r>
                    <w:rPr>
                      <w:snapToGrid w:val="0"/>
                      <w:kern w:val="0"/>
                      <w:szCs w:val="21"/>
                      <w:lang w:bidi="en-US"/>
                    </w:rPr>
                    <w:t>年</w:t>
                  </w:r>
                  <w:r>
                    <w:rPr>
                      <w:rFonts w:hint="eastAsia"/>
                      <w:snapToGrid w:val="0"/>
                      <w:kern w:val="0"/>
                      <w:szCs w:val="21"/>
                      <w:lang w:bidi="en-US"/>
                    </w:rPr>
                    <w:t>5</w:t>
                  </w:r>
                  <w:r>
                    <w:rPr>
                      <w:snapToGrid w:val="0"/>
                      <w:kern w:val="0"/>
                      <w:szCs w:val="21"/>
                      <w:lang w:bidi="en-US"/>
                    </w:rPr>
                    <w:t>月</w:t>
                  </w:r>
                  <w:r>
                    <w:rPr>
                      <w:rFonts w:hint="eastAsia"/>
                      <w:snapToGrid w:val="0"/>
                      <w:kern w:val="0"/>
                      <w:szCs w:val="21"/>
                      <w:lang w:bidi="en-US"/>
                    </w:rPr>
                    <w:t>16</w:t>
                  </w:r>
                  <w:r>
                    <w:rPr>
                      <w:snapToGrid w:val="0"/>
                      <w:kern w:val="0"/>
                      <w:szCs w:val="21"/>
                      <w:lang w:bidi="en-US"/>
                    </w:rPr>
                    <w:t>日</w:t>
                  </w: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1</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continue"/>
                  <w:vAlign w:val="center"/>
                </w:tcPr>
                <w:p>
                  <w:pPr>
                    <w:widowControl/>
                    <w:spacing w:line="300" w:lineRule="exact"/>
                    <w:jc w:val="center"/>
                    <w:rPr>
                      <w:snapToGrid w:val="0"/>
                      <w:kern w:val="0"/>
                      <w:szCs w:val="21"/>
                      <w:lang w:bidi="en-US"/>
                    </w:rPr>
                  </w:pP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2</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continue"/>
                  <w:vAlign w:val="center"/>
                </w:tcPr>
                <w:p>
                  <w:pPr>
                    <w:widowControl/>
                    <w:spacing w:line="300" w:lineRule="exact"/>
                    <w:jc w:val="center"/>
                    <w:rPr>
                      <w:snapToGrid w:val="0"/>
                      <w:kern w:val="0"/>
                      <w:szCs w:val="21"/>
                      <w:lang w:bidi="en-US"/>
                    </w:rPr>
                  </w:pP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3</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widowControl/>
                    <w:spacing w:line="300" w:lineRule="exact"/>
                    <w:jc w:val="center"/>
                    <w:rPr>
                      <w:snapToGrid w:val="0"/>
                      <w:kern w:val="0"/>
                      <w:szCs w:val="21"/>
                      <w:lang w:bidi="en-US"/>
                    </w:rPr>
                  </w:pPr>
                </w:p>
              </w:tc>
              <w:tc>
                <w:tcPr>
                  <w:tcW w:w="2337" w:type="dxa"/>
                  <w:vMerge w:val="continue"/>
                  <w:vAlign w:val="center"/>
                </w:tcPr>
                <w:p>
                  <w:pPr>
                    <w:widowControl/>
                    <w:spacing w:line="300" w:lineRule="exact"/>
                    <w:jc w:val="center"/>
                    <w:rPr>
                      <w:snapToGrid w:val="0"/>
                      <w:kern w:val="0"/>
                      <w:szCs w:val="21"/>
                      <w:lang w:bidi="en-US"/>
                    </w:rPr>
                  </w:pPr>
                </w:p>
              </w:tc>
              <w:tc>
                <w:tcPr>
                  <w:tcW w:w="1890" w:type="dxa"/>
                  <w:vAlign w:val="center"/>
                </w:tcPr>
                <w:p>
                  <w:pPr>
                    <w:widowControl/>
                    <w:spacing w:line="300" w:lineRule="exact"/>
                    <w:jc w:val="center"/>
                    <w:rPr>
                      <w:snapToGrid w:val="0"/>
                      <w:kern w:val="0"/>
                      <w:szCs w:val="21"/>
                      <w:lang w:bidi="en-US"/>
                    </w:rPr>
                  </w:pPr>
                  <w:r>
                    <w:rPr>
                      <w:rFonts w:hint="eastAsia"/>
                      <w:snapToGrid w:val="0"/>
                      <w:kern w:val="0"/>
                      <w:szCs w:val="21"/>
                      <w:lang w:bidi="en-US"/>
                    </w:rPr>
                    <w:t>4</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3" w:type="dxa"/>
                  <w:gridSpan w:val="3"/>
                  <w:vAlign w:val="center"/>
                </w:tcPr>
                <w:p>
                  <w:pPr>
                    <w:widowControl/>
                    <w:spacing w:line="300" w:lineRule="exact"/>
                    <w:jc w:val="center"/>
                    <w:rPr>
                      <w:snapToGrid w:val="0"/>
                      <w:kern w:val="0"/>
                      <w:szCs w:val="21"/>
                      <w:lang w:bidi="en-US"/>
                    </w:rPr>
                  </w:pPr>
                  <w:r>
                    <w:rPr>
                      <w:snapToGrid w:val="0"/>
                      <w:kern w:val="0"/>
                      <w:szCs w:val="21"/>
                      <w:lang w:bidi="en-US"/>
                    </w:rPr>
                    <w:t>标准值</w:t>
                  </w:r>
                </w:p>
              </w:tc>
              <w:tc>
                <w:tcPr>
                  <w:tcW w:w="2507" w:type="dxa"/>
                  <w:vAlign w:val="center"/>
                </w:tcPr>
                <w:p>
                  <w:pPr>
                    <w:widowControl/>
                    <w:spacing w:line="300" w:lineRule="exact"/>
                    <w:jc w:val="center"/>
                    <w:rPr>
                      <w:snapToGrid w:val="0"/>
                      <w:kern w:val="0"/>
                      <w:szCs w:val="21"/>
                      <w:lang w:bidi="en-US"/>
                    </w:rPr>
                  </w:pPr>
                  <w:r>
                    <w:rPr>
                      <w:snapToGrid w:val="0"/>
                      <w:kern w:val="0"/>
                      <w:szCs w:val="21"/>
                      <w:lang w:bidi="en-US"/>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3" w:type="dxa"/>
                  <w:gridSpan w:val="3"/>
                  <w:vAlign w:val="center"/>
                </w:tcPr>
                <w:p>
                  <w:pPr>
                    <w:widowControl/>
                    <w:spacing w:line="300" w:lineRule="exact"/>
                    <w:jc w:val="center"/>
                    <w:rPr>
                      <w:snapToGrid w:val="0"/>
                      <w:kern w:val="0"/>
                      <w:szCs w:val="21"/>
                      <w:lang w:bidi="en-US"/>
                    </w:rPr>
                  </w:pPr>
                  <w:r>
                    <w:rPr>
                      <w:snapToGrid w:val="0"/>
                      <w:kern w:val="0"/>
                      <w:szCs w:val="21"/>
                      <w:lang w:bidi="en-US"/>
                    </w:rPr>
                    <w:t>浓度值范围</w:t>
                  </w:r>
                </w:p>
              </w:tc>
              <w:tc>
                <w:tcPr>
                  <w:tcW w:w="2507" w:type="dxa"/>
                  <w:vAlign w:val="center"/>
                </w:tcPr>
                <w:p>
                  <w:pPr>
                    <w:widowControl/>
                    <w:spacing w:line="300" w:lineRule="exact"/>
                    <w:jc w:val="center"/>
                    <w:rPr>
                      <w:snapToGrid w:val="0"/>
                      <w:kern w:val="0"/>
                      <w:szCs w:val="21"/>
                      <w:lang w:bidi="en-US"/>
                    </w:rPr>
                  </w:pPr>
                  <w:r>
                    <w:rPr>
                      <w:snapToGrid w:val="0"/>
                      <w:kern w:val="0"/>
                      <w:szCs w:val="21"/>
                      <w:lang w:bidi="en-US"/>
                    </w:rPr>
                    <w:t>0.</w:t>
                  </w:r>
                  <w:r>
                    <w:rPr>
                      <w:rFonts w:hint="eastAsia"/>
                      <w:snapToGrid w:val="0"/>
                      <w:kern w:val="0"/>
                      <w:szCs w:val="21"/>
                      <w:lang w:bidi="en-US"/>
                    </w:rPr>
                    <w:t>40</w:t>
                  </w:r>
                  <w:r>
                    <w:rPr>
                      <w:snapToGrid w:val="0"/>
                      <w:kern w:val="0"/>
                      <w:szCs w:val="21"/>
                      <w:lang w:bidi="en-US"/>
                    </w:rPr>
                    <w:t>-0.</w:t>
                  </w:r>
                  <w:r>
                    <w:rPr>
                      <w:rFonts w:hint="eastAsia"/>
                      <w:snapToGrid w:val="0"/>
                      <w:kern w:val="0"/>
                      <w:szCs w:val="21"/>
                      <w:lang w:bidi="en-US"/>
                    </w:rPr>
                    <w:t>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3" w:type="dxa"/>
                  <w:gridSpan w:val="3"/>
                  <w:vAlign w:val="center"/>
                </w:tcPr>
                <w:p>
                  <w:pPr>
                    <w:widowControl/>
                    <w:spacing w:line="300" w:lineRule="exact"/>
                    <w:jc w:val="center"/>
                    <w:rPr>
                      <w:snapToGrid w:val="0"/>
                      <w:kern w:val="0"/>
                      <w:szCs w:val="21"/>
                      <w:lang w:bidi="en-US"/>
                    </w:rPr>
                  </w:pPr>
                  <w:r>
                    <w:rPr>
                      <w:snapToGrid w:val="0"/>
                      <w:kern w:val="0"/>
                      <w:szCs w:val="21"/>
                      <w:lang w:bidi="en-US"/>
                    </w:rPr>
                    <w:t>超标率 (%)</w:t>
                  </w:r>
                </w:p>
              </w:tc>
              <w:tc>
                <w:tcPr>
                  <w:tcW w:w="2507" w:type="dxa"/>
                  <w:vAlign w:val="center"/>
                </w:tcPr>
                <w:p>
                  <w:pPr>
                    <w:widowControl/>
                    <w:spacing w:line="300" w:lineRule="exact"/>
                    <w:jc w:val="center"/>
                    <w:rPr>
                      <w:snapToGrid w:val="0"/>
                      <w:kern w:val="0"/>
                      <w:szCs w:val="21"/>
                      <w:lang w:bidi="en-US"/>
                    </w:rPr>
                  </w:pPr>
                  <w:r>
                    <w:rPr>
                      <w:rFonts w:hint="eastAsia"/>
                      <w:snapToGrid w:val="0"/>
                      <w:kern w:val="0"/>
                      <w:szCs w:val="21"/>
                      <w:lang w:bidi="en-US"/>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3" w:type="dxa"/>
                  <w:gridSpan w:val="3"/>
                  <w:vAlign w:val="center"/>
                </w:tcPr>
                <w:p>
                  <w:pPr>
                    <w:widowControl/>
                    <w:spacing w:line="300" w:lineRule="exact"/>
                    <w:jc w:val="center"/>
                    <w:rPr>
                      <w:snapToGrid w:val="0"/>
                      <w:kern w:val="0"/>
                      <w:szCs w:val="21"/>
                      <w:lang w:bidi="en-US"/>
                    </w:rPr>
                  </w:pPr>
                  <w:r>
                    <w:rPr>
                      <w:snapToGrid w:val="0"/>
                      <w:kern w:val="0"/>
                      <w:szCs w:val="21"/>
                      <w:lang w:bidi="en-US"/>
                    </w:rPr>
                    <w:t>最大</w:t>
                  </w:r>
                  <w:r>
                    <w:rPr>
                      <w:rFonts w:hint="eastAsia"/>
                      <w:snapToGrid w:val="0"/>
                      <w:kern w:val="0"/>
                      <w:szCs w:val="21"/>
                      <w:lang w:bidi="en-US"/>
                    </w:rPr>
                    <w:t>1</w:t>
                  </w:r>
                  <w:r>
                    <w:rPr>
                      <w:snapToGrid w:val="0"/>
                      <w:kern w:val="0"/>
                      <w:szCs w:val="21"/>
                      <w:lang w:bidi="en-US"/>
                    </w:rPr>
                    <w:t>小时</w:t>
                  </w:r>
                  <w:r>
                    <w:rPr>
                      <w:rFonts w:hint="eastAsia"/>
                      <w:snapToGrid w:val="0"/>
                      <w:kern w:val="0"/>
                      <w:szCs w:val="21"/>
                      <w:lang w:bidi="en-US"/>
                    </w:rPr>
                    <w:t>平均</w:t>
                  </w:r>
                  <w:r>
                    <w:rPr>
                      <w:snapToGrid w:val="0"/>
                      <w:kern w:val="0"/>
                      <w:szCs w:val="21"/>
                      <w:lang w:bidi="en-US"/>
                    </w:rPr>
                    <w:t>浓度</w:t>
                  </w:r>
                </w:p>
              </w:tc>
              <w:tc>
                <w:tcPr>
                  <w:tcW w:w="2507" w:type="dxa"/>
                  <w:vAlign w:val="center"/>
                </w:tcPr>
                <w:p>
                  <w:pPr>
                    <w:widowControl/>
                    <w:spacing w:line="300" w:lineRule="exact"/>
                    <w:jc w:val="center"/>
                    <w:rPr>
                      <w:snapToGrid w:val="0"/>
                      <w:kern w:val="0"/>
                      <w:szCs w:val="21"/>
                      <w:lang w:bidi="en-US"/>
                    </w:rPr>
                  </w:pPr>
                  <w:r>
                    <w:rPr>
                      <w:snapToGrid w:val="0"/>
                      <w:kern w:val="0"/>
                      <w:szCs w:val="21"/>
                      <w:lang w:bidi="en-US"/>
                    </w:rPr>
                    <w:t>0.</w:t>
                  </w:r>
                  <w:r>
                    <w:rPr>
                      <w:rFonts w:hint="eastAsia"/>
                      <w:snapToGrid w:val="0"/>
                      <w:kern w:val="0"/>
                      <w:szCs w:val="21"/>
                      <w:lang w:bidi="en-US"/>
                    </w:rPr>
                    <w:t>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563" w:type="dxa"/>
                  <w:gridSpan w:val="3"/>
                  <w:tcBorders>
                    <w:bottom w:val="single" w:color="auto" w:sz="12" w:space="0"/>
                  </w:tcBorders>
                  <w:vAlign w:val="center"/>
                </w:tcPr>
                <w:p>
                  <w:pPr>
                    <w:widowControl/>
                    <w:spacing w:line="300" w:lineRule="exact"/>
                    <w:jc w:val="center"/>
                    <w:rPr>
                      <w:snapToGrid w:val="0"/>
                      <w:kern w:val="0"/>
                      <w:szCs w:val="21"/>
                      <w:lang w:bidi="en-US"/>
                    </w:rPr>
                  </w:pPr>
                  <w:r>
                    <w:rPr>
                      <w:snapToGrid w:val="0"/>
                      <w:kern w:val="0"/>
                      <w:szCs w:val="21"/>
                      <w:lang w:bidi="en-US"/>
                    </w:rPr>
                    <w:t>P</w:t>
                  </w:r>
                  <w:r>
                    <w:rPr>
                      <w:snapToGrid w:val="0"/>
                      <w:kern w:val="0"/>
                      <w:szCs w:val="21"/>
                      <w:vertAlign w:val="subscript"/>
                      <w:lang w:bidi="en-US"/>
                    </w:rPr>
                    <w:t>i(max)</w:t>
                  </w:r>
                </w:p>
              </w:tc>
              <w:tc>
                <w:tcPr>
                  <w:tcW w:w="2507" w:type="dxa"/>
                  <w:tcBorders>
                    <w:bottom w:val="single" w:color="auto" w:sz="12" w:space="0"/>
                  </w:tcBorders>
                  <w:vAlign w:val="center"/>
                </w:tcPr>
                <w:p>
                  <w:pPr>
                    <w:widowControl/>
                    <w:spacing w:line="300" w:lineRule="exact"/>
                    <w:jc w:val="center"/>
                    <w:rPr>
                      <w:snapToGrid w:val="0"/>
                      <w:kern w:val="0"/>
                      <w:szCs w:val="21"/>
                      <w:lang w:bidi="en-US"/>
                    </w:rPr>
                  </w:pPr>
                  <w:r>
                    <w:rPr>
                      <w:rFonts w:hint="eastAsia"/>
                      <w:snapToGrid w:val="0"/>
                      <w:kern w:val="0"/>
                      <w:szCs w:val="21"/>
                      <w:lang w:bidi="en-US"/>
                    </w:rPr>
                    <w:t>24.5</w:t>
                  </w:r>
                </w:p>
              </w:tc>
            </w:tr>
          </w:tbl>
          <w:p>
            <w:pPr>
              <w:widowControl/>
              <w:spacing w:line="460" w:lineRule="exact"/>
              <w:ind w:firstLine="480" w:firstLineChars="200"/>
              <w:rPr>
                <w:rFonts w:cs="宋体"/>
                <w:kern w:val="0"/>
                <w:sz w:val="24"/>
                <w:szCs w:val="26"/>
              </w:rPr>
            </w:pPr>
            <w:r>
              <w:rPr>
                <w:rFonts w:cs="宋体"/>
                <w:kern w:val="0"/>
                <w:sz w:val="24"/>
                <w:szCs w:val="26"/>
              </w:rPr>
              <w:t>（5）分析结果</w:t>
            </w:r>
          </w:p>
          <w:p>
            <w:pPr>
              <w:widowControl/>
              <w:spacing w:line="460" w:lineRule="exact"/>
              <w:ind w:firstLine="480" w:firstLineChars="200"/>
              <w:rPr>
                <w:rFonts w:cs="宋体"/>
                <w:snapToGrid w:val="0"/>
                <w:color w:val="0000FF"/>
                <w:kern w:val="0"/>
                <w:sz w:val="24"/>
                <w:szCs w:val="26"/>
              </w:rPr>
            </w:pPr>
            <w:r>
              <w:rPr>
                <w:rFonts w:cs="宋体"/>
                <w:snapToGrid w:val="0"/>
                <w:kern w:val="0"/>
                <w:sz w:val="24"/>
                <w:szCs w:val="26"/>
              </w:rPr>
              <w:t>由表</w:t>
            </w:r>
            <w:r>
              <w:rPr>
                <w:rFonts w:hint="eastAsia" w:cs="宋体"/>
                <w:kern w:val="0"/>
                <w:sz w:val="24"/>
                <w:szCs w:val="26"/>
              </w:rPr>
              <w:t>3</w:t>
            </w:r>
            <w:r>
              <w:rPr>
                <w:rFonts w:cs="宋体"/>
                <w:snapToGrid w:val="0"/>
                <w:kern w:val="0"/>
                <w:sz w:val="24"/>
                <w:szCs w:val="26"/>
              </w:rPr>
              <w:t>-4可以看出，可以看出，</w:t>
            </w:r>
            <w:r>
              <w:rPr>
                <w:rFonts w:hint="eastAsia" w:cs="宋体"/>
                <w:snapToGrid w:val="0"/>
                <w:kern w:val="0"/>
                <w:sz w:val="24"/>
                <w:szCs w:val="26"/>
              </w:rPr>
              <w:t>非甲烷</w:t>
            </w:r>
            <w:r>
              <w:rPr>
                <w:rFonts w:cs="宋体"/>
                <w:snapToGrid w:val="0"/>
                <w:kern w:val="0"/>
                <w:sz w:val="24"/>
                <w:szCs w:val="26"/>
              </w:rPr>
              <w:t>总烃的现状监测结果浓度均未超过</w:t>
            </w:r>
            <w:r>
              <w:rPr>
                <w:rFonts w:hint="eastAsia" w:cs="宋体"/>
                <w:snapToGrid w:val="0"/>
                <w:kern w:val="0"/>
                <w:sz w:val="24"/>
                <w:szCs w:val="26"/>
              </w:rPr>
              <w:t>非甲烷总烃的</w:t>
            </w:r>
            <w:r>
              <w:rPr>
                <w:rFonts w:cs="宋体"/>
                <w:snapToGrid w:val="0"/>
                <w:kern w:val="0"/>
                <w:sz w:val="24"/>
                <w:szCs w:val="26"/>
              </w:rPr>
              <w:t>1小时浓度值</w:t>
            </w:r>
            <w:r>
              <w:rPr>
                <w:rFonts w:hint="eastAsia" w:cs="宋体"/>
                <w:snapToGrid w:val="0"/>
                <w:kern w:val="0"/>
                <w:sz w:val="24"/>
                <w:szCs w:val="26"/>
              </w:rPr>
              <w:t>，</w:t>
            </w:r>
            <w:r>
              <w:rPr>
                <w:rFonts w:cs="宋体"/>
                <w:snapToGrid w:val="0"/>
                <w:kern w:val="0"/>
                <w:sz w:val="24"/>
                <w:szCs w:val="26"/>
              </w:rPr>
              <w:t>满足《大气污染物综合排放标准详解》中的环境管理推荐限值。</w:t>
            </w:r>
          </w:p>
          <w:p>
            <w:pPr>
              <w:adjustRightInd w:val="0"/>
              <w:snapToGrid w:val="0"/>
              <w:spacing w:line="480" w:lineRule="exact"/>
              <w:ind w:firstLine="480" w:firstLineChars="200"/>
              <w:rPr>
                <w:bCs/>
                <w:sz w:val="24"/>
              </w:rPr>
            </w:pPr>
            <w:r>
              <w:rPr>
                <w:bCs/>
                <w:sz w:val="24"/>
              </w:rPr>
              <w:t>2、</w:t>
            </w:r>
            <w:r>
              <w:rPr>
                <w:rFonts w:hint="eastAsia"/>
                <w:bCs/>
                <w:sz w:val="24"/>
              </w:rPr>
              <w:t>地表</w:t>
            </w:r>
            <w:r>
              <w:rPr>
                <w:bCs/>
                <w:sz w:val="24"/>
              </w:rPr>
              <w:t>水环境质量调查与评价</w:t>
            </w:r>
          </w:p>
          <w:p>
            <w:pPr>
              <w:adjustRightInd w:val="0"/>
              <w:snapToGrid w:val="0"/>
              <w:spacing w:line="480" w:lineRule="exact"/>
              <w:ind w:firstLine="480" w:firstLineChars="200"/>
              <w:rPr>
                <w:sz w:val="24"/>
              </w:rPr>
            </w:pPr>
            <w:r>
              <w:rPr>
                <w:bCs/>
                <w:sz w:val="24"/>
              </w:rPr>
              <w:t>本项目产生的废水主要为生活污水，</w:t>
            </w:r>
            <w:r>
              <w:rPr>
                <w:rFonts w:hint="eastAsia"/>
                <w:sz w:val="24"/>
              </w:rPr>
              <w:t>该污水排入污水管网后进入昌吉市污水处理厂处置，</w:t>
            </w:r>
            <w:r>
              <w:rPr>
                <w:bCs/>
                <w:sz w:val="24"/>
              </w:rPr>
              <w:t>不与区域地表水水体产生水力联系。根据《环境影响评价技术导则 地表水环境》（HJ/T2.3-2018）表1水污染影响型建设项目评价等级判定，判定本项目可不进行地表水环境影响评价，因此本次不进行地表水环境现状调查。</w:t>
            </w:r>
          </w:p>
          <w:p>
            <w:pPr>
              <w:adjustRightInd w:val="0"/>
              <w:snapToGrid w:val="0"/>
              <w:spacing w:line="480" w:lineRule="exact"/>
              <w:ind w:firstLine="480" w:firstLineChars="200"/>
              <w:rPr>
                <w:bCs/>
                <w:sz w:val="24"/>
              </w:rPr>
            </w:pPr>
            <w:r>
              <w:rPr>
                <w:bCs/>
                <w:sz w:val="24"/>
              </w:rPr>
              <w:t>3、声环境质量现状调查与评价</w:t>
            </w:r>
          </w:p>
          <w:p>
            <w:pPr>
              <w:widowControl/>
              <w:spacing w:line="360" w:lineRule="auto"/>
              <w:ind w:firstLine="480" w:firstLineChars="200"/>
              <w:jc w:val="left"/>
              <w:rPr>
                <w:sz w:val="24"/>
              </w:rPr>
            </w:pPr>
            <w:r>
              <w:rPr>
                <w:rFonts w:hint="eastAsia"/>
                <w:sz w:val="24"/>
              </w:rPr>
              <w:t>为了解项目所在地声环境质量现状，2023年5月委托新疆环疆绿源环保科技 有限公司项目区进行了声环境质量现状监测。</w:t>
            </w:r>
          </w:p>
          <w:p>
            <w:pPr>
              <w:widowControl/>
              <w:spacing w:line="360" w:lineRule="auto"/>
              <w:jc w:val="center"/>
              <w:rPr>
                <w:rFonts w:ascii="黑体" w:hAnsi="黑体" w:eastAsia="黑体" w:cs="黑体"/>
                <w:bCs/>
                <w:szCs w:val="21"/>
              </w:rPr>
            </w:pPr>
            <w:r>
              <w:rPr>
                <w:sz w:val="24"/>
              </w:rPr>
              <w:t>监测点位布置</w:t>
            </w:r>
            <w:r>
              <w:rPr>
                <w:rFonts w:hint="eastAsia"/>
                <w:sz w:val="24"/>
              </w:rPr>
              <w:t>：</w:t>
            </w:r>
            <w:r>
              <w:rPr>
                <w:bCs/>
                <w:sz w:val="24"/>
              </w:rPr>
              <w:t>分别在项目区</w:t>
            </w:r>
            <w:r>
              <w:rPr>
                <w:rFonts w:hint="eastAsia"/>
                <w:bCs/>
                <w:sz w:val="24"/>
              </w:rPr>
              <w:t>厂界外1m共</w:t>
            </w:r>
            <w:r>
              <w:rPr>
                <w:bCs/>
                <w:sz w:val="24"/>
              </w:rPr>
              <w:t>设</w:t>
            </w:r>
            <w:r>
              <w:rPr>
                <w:rFonts w:hint="eastAsia"/>
                <w:bCs/>
                <w:sz w:val="24"/>
              </w:rPr>
              <w:t>4</w:t>
            </w:r>
            <w:r>
              <w:rPr>
                <w:bCs/>
                <w:sz w:val="24"/>
              </w:rPr>
              <w:t>个监测点，分昼、夜两时段监测。监测及分析方法按照《环境监测技术规范》中有关规定进行。</w:t>
            </w:r>
          </w:p>
          <w:p>
            <w:pPr>
              <w:widowControl/>
              <w:spacing w:line="480" w:lineRule="exact"/>
              <w:ind w:firstLine="480" w:firstLineChars="200"/>
              <w:jc w:val="left"/>
              <w:rPr>
                <w:bCs/>
                <w:sz w:val="24"/>
              </w:rPr>
            </w:pPr>
            <w:r>
              <w:rPr>
                <w:bCs/>
                <w:sz w:val="24"/>
              </w:rPr>
              <w:t>（2）监测因子</w:t>
            </w:r>
          </w:p>
          <w:p>
            <w:pPr>
              <w:widowControl/>
              <w:spacing w:line="480" w:lineRule="exact"/>
              <w:ind w:firstLine="480" w:firstLineChars="200"/>
              <w:jc w:val="left"/>
              <w:rPr>
                <w:bCs/>
                <w:sz w:val="24"/>
              </w:rPr>
            </w:pPr>
            <w:r>
              <w:rPr>
                <w:bCs/>
                <w:sz w:val="24"/>
              </w:rPr>
              <w:t>昼间、夜间的等效连续A声级。</w:t>
            </w:r>
          </w:p>
          <w:p>
            <w:pPr>
              <w:widowControl/>
              <w:spacing w:line="480" w:lineRule="exact"/>
              <w:ind w:firstLine="480" w:firstLineChars="200"/>
              <w:jc w:val="left"/>
              <w:rPr>
                <w:sz w:val="24"/>
              </w:rPr>
            </w:pPr>
            <w:r>
              <w:rPr>
                <w:rFonts w:hint="eastAsia"/>
                <w:bCs/>
                <w:sz w:val="24"/>
              </w:rPr>
              <w:t>（3）</w:t>
            </w:r>
            <w:r>
              <w:rPr>
                <w:bCs/>
                <w:sz w:val="24"/>
              </w:rPr>
              <w:t>监测方法</w:t>
            </w:r>
            <w:r>
              <w:rPr>
                <w:rFonts w:hint="eastAsia"/>
                <w:b/>
                <w:bCs/>
                <w:sz w:val="24"/>
              </w:rPr>
              <w:t>：</w:t>
            </w:r>
            <w:r>
              <w:rPr>
                <w:sz w:val="24"/>
              </w:rPr>
              <w:t>依据《声环境质量标准》（GB3096-2008）和《环境监测技术规范》进行监测。采用AWA</w:t>
            </w:r>
            <w:r>
              <w:rPr>
                <w:rFonts w:hint="eastAsia"/>
                <w:sz w:val="24"/>
              </w:rPr>
              <w:t>5680</w:t>
            </w:r>
            <w:r>
              <w:rPr>
                <w:sz w:val="24"/>
              </w:rPr>
              <w:t>多功能</w:t>
            </w:r>
            <w:r>
              <w:rPr>
                <w:rFonts w:hint="eastAsia"/>
                <w:sz w:val="24"/>
              </w:rPr>
              <w:t>声级计</w:t>
            </w:r>
            <w:r>
              <w:rPr>
                <w:sz w:val="24"/>
              </w:rPr>
              <w:t>。在室外测量时，声级计的传声器加防风罩。</w:t>
            </w:r>
          </w:p>
          <w:p>
            <w:pPr>
              <w:widowControl/>
              <w:spacing w:line="480" w:lineRule="exact"/>
              <w:ind w:firstLine="480" w:firstLineChars="200"/>
              <w:jc w:val="left"/>
              <w:rPr>
                <w:sz w:val="24"/>
              </w:rPr>
            </w:pPr>
            <w:r>
              <w:rPr>
                <w:rFonts w:hint="eastAsia"/>
                <w:bCs/>
                <w:sz w:val="24"/>
              </w:rPr>
              <w:t>（4）</w:t>
            </w:r>
            <w:r>
              <w:rPr>
                <w:bCs/>
                <w:sz w:val="24"/>
              </w:rPr>
              <w:t>评价标准</w:t>
            </w:r>
            <w:r>
              <w:rPr>
                <w:rFonts w:hint="eastAsia"/>
                <w:sz w:val="24"/>
              </w:rPr>
              <w:t>：</w:t>
            </w:r>
            <w:r>
              <w:rPr>
                <w:sz w:val="24"/>
              </w:rPr>
              <w:t>声环境质量现状执行《声环境质量标准》（GB3096-2008）中的</w:t>
            </w:r>
            <w:r>
              <w:rPr>
                <w:rFonts w:hint="eastAsia"/>
                <w:sz w:val="24"/>
              </w:rPr>
              <w:t>2</w:t>
            </w:r>
            <w:r>
              <w:rPr>
                <w:sz w:val="24"/>
              </w:rPr>
              <w:t>类区标准，即昼间6</w:t>
            </w:r>
            <w:r>
              <w:rPr>
                <w:rFonts w:hint="eastAsia"/>
                <w:sz w:val="24"/>
              </w:rPr>
              <w:t>0</w:t>
            </w:r>
            <w:r>
              <w:rPr>
                <w:sz w:val="24"/>
              </w:rPr>
              <w:t>dB(A)，夜间5</w:t>
            </w:r>
            <w:r>
              <w:rPr>
                <w:rFonts w:hint="eastAsia"/>
                <w:sz w:val="24"/>
              </w:rPr>
              <w:t>0</w:t>
            </w:r>
            <w:r>
              <w:rPr>
                <w:sz w:val="24"/>
              </w:rPr>
              <w:t>dB(A)。</w:t>
            </w:r>
          </w:p>
          <w:p>
            <w:pPr>
              <w:widowControl/>
              <w:spacing w:line="480" w:lineRule="exact"/>
              <w:ind w:firstLine="480" w:firstLineChars="200"/>
              <w:jc w:val="left"/>
              <w:rPr>
                <w:bCs/>
                <w:sz w:val="24"/>
              </w:rPr>
            </w:pPr>
            <w:r>
              <w:rPr>
                <w:rFonts w:hint="eastAsia"/>
                <w:bCs/>
                <w:sz w:val="24"/>
              </w:rPr>
              <w:t>（5）</w:t>
            </w:r>
            <w:r>
              <w:rPr>
                <w:bCs/>
                <w:sz w:val="24"/>
              </w:rPr>
              <w:t>监测</w:t>
            </w:r>
            <w:r>
              <w:rPr>
                <w:rFonts w:hint="eastAsia"/>
                <w:bCs/>
                <w:sz w:val="24"/>
              </w:rPr>
              <w:t>结果及现状评价</w:t>
            </w:r>
          </w:p>
          <w:p>
            <w:pPr>
              <w:widowControl/>
              <w:spacing w:line="480" w:lineRule="exact"/>
              <w:ind w:firstLine="480" w:firstLineChars="200"/>
              <w:jc w:val="left"/>
              <w:rPr>
                <w:bCs/>
                <w:sz w:val="24"/>
              </w:rPr>
            </w:pPr>
            <w:r>
              <w:rPr>
                <w:rFonts w:hint="eastAsia"/>
                <w:bCs/>
                <w:sz w:val="24"/>
              </w:rPr>
              <w:t>声环境现状</w:t>
            </w:r>
            <w:r>
              <w:rPr>
                <w:bCs/>
                <w:sz w:val="24"/>
              </w:rPr>
              <w:t>监测数据统计</w:t>
            </w:r>
            <w:r>
              <w:rPr>
                <w:rFonts w:hint="eastAsia"/>
                <w:bCs/>
                <w:sz w:val="24"/>
              </w:rPr>
              <w:t>结果</w:t>
            </w:r>
            <w:r>
              <w:rPr>
                <w:bCs/>
                <w:sz w:val="24"/>
              </w:rPr>
              <w:t>见表3-</w:t>
            </w:r>
            <w:r>
              <w:rPr>
                <w:rFonts w:hint="eastAsia"/>
                <w:bCs/>
                <w:sz w:val="24"/>
              </w:rPr>
              <w:t>4</w:t>
            </w:r>
            <w:r>
              <w:rPr>
                <w:bCs/>
                <w:sz w:val="24"/>
              </w:rPr>
              <w:t>。</w:t>
            </w:r>
          </w:p>
          <w:p>
            <w:pPr>
              <w:adjustRightInd w:val="0"/>
              <w:snapToGrid w:val="0"/>
              <w:ind w:firstLine="420" w:firstLineChars="200"/>
              <w:rPr>
                <w:rFonts w:eastAsia="黑体"/>
              </w:rPr>
            </w:pPr>
            <w:r>
              <w:rPr>
                <w:rFonts w:eastAsia="黑体"/>
              </w:rPr>
              <w:t>表3-</w:t>
            </w:r>
            <w:r>
              <w:rPr>
                <w:rFonts w:hint="eastAsia" w:eastAsia="黑体"/>
              </w:rPr>
              <w:t>4</w:t>
            </w:r>
            <w:r>
              <w:rPr>
                <w:rFonts w:eastAsia="黑体"/>
              </w:rPr>
              <w:t xml:space="preserve">                 声环境质量现状监测结果               单位：dB(A)</w:t>
            </w:r>
          </w:p>
          <w:tbl>
            <w:tblPr>
              <w:tblStyle w:val="25"/>
              <w:tblW w:w="7908"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084"/>
              <w:gridCol w:w="1212"/>
              <w:gridCol w:w="1401"/>
              <w:gridCol w:w="798"/>
              <w:gridCol w:w="842"/>
              <w:gridCol w:w="691"/>
              <w:gridCol w:w="720"/>
              <w:gridCol w:w="116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71" w:hRule="atLeast"/>
                <w:jc w:val="center"/>
              </w:trPr>
              <w:tc>
                <w:tcPr>
                  <w:tcW w:w="1084" w:type="dxa"/>
                  <w:vMerge w:val="restart"/>
                  <w:vAlign w:val="center"/>
                </w:tcPr>
                <w:p>
                  <w:pPr>
                    <w:contextualSpacing/>
                    <w:jc w:val="center"/>
                    <w:rPr>
                      <w:szCs w:val="21"/>
                    </w:rPr>
                  </w:pPr>
                  <w:r>
                    <w:rPr>
                      <w:rFonts w:hAnsi="宋体"/>
                      <w:szCs w:val="21"/>
                    </w:rPr>
                    <w:t>测点编号</w:t>
                  </w:r>
                </w:p>
              </w:tc>
              <w:tc>
                <w:tcPr>
                  <w:tcW w:w="1212" w:type="dxa"/>
                  <w:vMerge w:val="restart"/>
                  <w:vAlign w:val="center"/>
                </w:tcPr>
                <w:p>
                  <w:pPr>
                    <w:contextualSpacing/>
                    <w:jc w:val="center"/>
                    <w:rPr>
                      <w:szCs w:val="21"/>
                    </w:rPr>
                  </w:pPr>
                  <w:r>
                    <w:rPr>
                      <w:rFonts w:hAnsi="宋体"/>
                      <w:szCs w:val="21"/>
                    </w:rPr>
                    <w:t>项目区</w:t>
                  </w:r>
                </w:p>
              </w:tc>
              <w:tc>
                <w:tcPr>
                  <w:tcW w:w="1401" w:type="dxa"/>
                  <w:vMerge w:val="restart"/>
                  <w:vAlign w:val="center"/>
                </w:tcPr>
                <w:p>
                  <w:pPr>
                    <w:contextualSpacing/>
                    <w:jc w:val="center"/>
                    <w:rPr>
                      <w:szCs w:val="21"/>
                    </w:rPr>
                  </w:pPr>
                  <w:r>
                    <w:rPr>
                      <w:rFonts w:hAnsi="宋体"/>
                      <w:szCs w:val="21"/>
                    </w:rPr>
                    <w:t>时段</w:t>
                  </w:r>
                </w:p>
              </w:tc>
              <w:tc>
                <w:tcPr>
                  <w:tcW w:w="1640" w:type="dxa"/>
                  <w:gridSpan w:val="2"/>
                  <w:tcBorders>
                    <w:bottom w:val="single" w:color="auto" w:sz="4" w:space="0"/>
                  </w:tcBorders>
                  <w:vAlign w:val="center"/>
                </w:tcPr>
                <w:p>
                  <w:pPr>
                    <w:contextualSpacing/>
                    <w:jc w:val="center"/>
                    <w:rPr>
                      <w:rFonts w:hAnsi="宋体"/>
                      <w:szCs w:val="21"/>
                    </w:rPr>
                  </w:pPr>
                  <w:r>
                    <w:rPr>
                      <w:rFonts w:hAnsi="宋体"/>
                      <w:szCs w:val="21"/>
                    </w:rPr>
                    <w:t>监测结果</w:t>
                  </w:r>
                </w:p>
              </w:tc>
              <w:tc>
                <w:tcPr>
                  <w:tcW w:w="1411" w:type="dxa"/>
                  <w:gridSpan w:val="2"/>
                  <w:tcBorders>
                    <w:bottom w:val="single" w:color="auto" w:sz="4" w:space="0"/>
                  </w:tcBorders>
                  <w:vAlign w:val="center"/>
                </w:tcPr>
                <w:p>
                  <w:pPr>
                    <w:contextualSpacing/>
                    <w:jc w:val="center"/>
                    <w:rPr>
                      <w:szCs w:val="21"/>
                    </w:rPr>
                  </w:pPr>
                  <w:r>
                    <w:rPr>
                      <w:rFonts w:hAnsi="宋体"/>
                      <w:szCs w:val="21"/>
                    </w:rPr>
                    <w:t>标准值</w:t>
                  </w:r>
                </w:p>
              </w:tc>
              <w:tc>
                <w:tcPr>
                  <w:tcW w:w="1160" w:type="dxa"/>
                  <w:vMerge w:val="restart"/>
                  <w:vAlign w:val="center"/>
                </w:tcPr>
                <w:p>
                  <w:pPr>
                    <w:contextualSpacing/>
                    <w:jc w:val="center"/>
                    <w:rPr>
                      <w:szCs w:val="21"/>
                    </w:rPr>
                  </w:pPr>
                  <w:r>
                    <w:rPr>
                      <w:rFonts w:hAnsi="宋体"/>
                      <w:szCs w:val="21"/>
                    </w:rPr>
                    <w:t>评价</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56" w:hRule="atLeast"/>
                <w:jc w:val="center"/>
              </w:trPr>
              <w:tc>
                <w:tcPr>
                  <w:tcW w:w="1084" w:type="dxa"/>
                  <w:vMerge w:val="continue"/>
                  <w:vAlign w:val="center"/>
                </w:tcPr>
                <w:p>
                  <w:pPr>
                    <w:contextualSpacing/>
                    <w:jc w:val="center"/>
                    <w:rPr>
                      <w:rFonts w:hAnsi="宋体"/>
                      <w:szCs w:val="21"/>
                    </w:rPr>
                  </w:pPr>
                </w:p>
              </w:tc>
              <w:tc>
                <w:tcPr>
                  <w:tcW w:w="1212" w:type="dxa"/>
                  <w:vMerge w:val="continue"/>
                  <w:vAlign w:val="center"/>
                </w:tcPr>
                <w:p>
                  <w:pPr>
                    <w:contextualSpacing/>
                    <w:jc w:val="center"/>
                    <w:rPr>
                      <w:rFonts w:hAnsi="宋体"/>
                      <w:szCs w:val="21"/>
                    </w:rPr>
                  </w:pPr>
                </w:p>
              </w:tc>
              <w:tc>
                <w:tcPr>
                  <w:tcW w:w="1401" w:type="dxa"/>
                  <w:vMerge w:val="continue"/>
                  <w:vAlign w:val="center"/>
                </w:tcPr>
                <w:p>
                  <w:pPr>
                    <w:contextualSpacing/>
                    <w:jc w:val="center"/>
                    <w:rPr>
                      <w:rFonts w:hAnsi="宋体"/>
                      <w:szCs w:val="21"/>
                    </w:rPr>
                  </w:pPr>
                </w:p>
              </w:tc>
              <w:tc>
                <w:tcPr>
                  <w:tcW w:w="798" w:type="dxa"/>
                  <w:tcBorders>
                    <w:top w:val="single" w:color="auto" w:sz="4" w:space="0"/>
                    <w:right w:val="single" w:color="auto" w:sz="4" w:space="0"/>
                  </w:tcBorders>
                  <w:vAlign w:val="center"/>
                </w:tcPr>
                <w:p>
                  <w:pPr>
                    <w:contextualSpacing/>
                    <w:jc w:val="center"/>
                    <w:rPr>
                      <w:rFonts w:hAnsi="宋体"/>
                      <w:szCs w:val="21"/>
                    </w:rPr>
                  </w:pPr>
                  <w:r>
                    <w:rPr>
                      <w:rFonts w:hint="eastAsia" w:hAnsi="宋体"/>
                      <w:szCs w:val="21"/>
                    </w:rPr>
                    <w:t>昼间</w:t>
                  </w:r>
                </w:p>
              </w:tc>
              <w:tc>
                <w:tcPr>
                  <w:tcW w:w="842" w:type="dxa"/>
                  <w:tcBorders>
                    <w:top w:val="single" w:color="auto" w:sz="4" w:space="0"/>
                    <w:left w:val="single" w:color="auto" w:sz="4" w:space="0"/>
                  </w:tcBorders>
                  <w:vAlign w:val="center"/>
                </w:tcPr>
                <w:p>
                  <w:pPr>
                    <w:contextualSpacing/>
                    <w:jc w:val="center"/>
                    <w:rPr>
                      <w:rFonts w:hAnsi="宋体"/>
                      <w:szCs w:val="21"/>
                    </w:rPr>
                  </w:pPr>
                  <w:r>
                    <w:rPr>
                      <w:rFonts w:hint="eastAsia" w:hAnsi="宋体"/>
                      <w:szCs w:val="21"/>
                    </w:rPr>
                    <w:t>夜间</w:t>
                  </w:r>
                </w:p>
              </w:tc>
              <w:tc>
                <w:tcPr>
                  <w:tcW w:w="691" w:type="dxa"/>
                  <w:tcBorders>
                    <w:top w:val="single" w:color="auto" w:sz="4" w:space="0"/>
                    <w:bottom w:val="single" w:color="auto" w:sz="4" w:space="0"/>
                    <w:right w:val="single" w:color="auto" w:sz="4" w:space="0"/>
                  </w:tcBorders>
                  <w:vAlign w:val="center"/>
                </w:tcPr>
                <w:p>
                  <w:pPr>
                    <w:contextualSpacing/>
                    <w:jc w:val="center"/>
                    <w:rPr>
                      <w:rFonts w:hAnsi="宋体"/>
                      <w:szCs w:val="21"/>
                    </w:rPr>
                  </w:pPr>
                  <w:r>
                    <w:rPr>
                      <w:rFonts w:hint="eastAsia" w:hAnsi="宋体"/>
                      <w:szCs w:val="21"/>
                    </w:rPr>
                    <w:t>昼间</w:t>
                  </w:r>
                </w:p>
              </w:tc>
              <w:tc>
                <w:tcPr>
                  <w:tcW w:w="720" w:type="dxa"/>
                  <w:tcBorders>
                    <w:top w:val="single" w:color="auto" w:sz="4" w:space="0"/>
                    <w:left w:val="single" w:color="auto" w:sz="4" w:space="0"/>
                    <w:bottom w:val="single" w:color="auto" w:sz="4" w:space="0"/>
                  </w:tcBorders>
                  <w:vAlign w:val="center"/>
                </w:tcPr>
                <w:p>
                  <w:pPr>
                    <w:contextualSpacing/>
                    <w:jc w:val="center"/>
                    <w:rPr>
                      <w:rFonts w:hAnsi="宋体"/>
                      <w:szCs w:val="21"/>
                    </w:rPr>
                  </w:pPr>
                  <w:r>
                    <w:rPr>
                      <w:rFonts w:hint="eastAsia" w:hAnsi="宋体"/>
                      <w:szCs w:val="21"/>
                    </w:rPr>
                    <w:t>夜间</w:t>
                  </w:r>
                </w:p>
              </w:tc>
              <w:tc>
                <w:tcPr>
                  <w:tcW w:w="1160" w:type="dxa"/>
                  <w:vMerge w:val="continue"/>
                  <w:vAlign w:val="center"/>
                </w:tcPr>
                <w:p>
                  <w:pPr>
                    <w:contextualSpacing/>
                    <w:jc w:val="center"/>
                    <w:rPr>
                      <w:rFonts w:hAnsi="宋体"/>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1084" w:type="dxa"/>
                  <w:vMerge w:val="restart"/>
                  <w:vAlign w:val="center"/>
                </w:tcPr>
                <w:p>
                  <w:pPr>
                    <w:contextualSpacing/>
                    <w:jc w:val="center"/>
                    <w:rPr>
                      <w:szCs w:val="21"/>
                    </w:rPr>
                  </w:pPr>
                  <w:r>
                    <w:rPr>
                      <w:szCs w:val="21"/>
                    </w:rPr>
                    <w:t>1</w:t>
                  </w:r>
                </w:p>
              </w:tc>
              <w:tc>
                <w:tcPr>
                  <w:tcW w:w="1212" w:type="dxa"/>
                  <w:vMerge w:val="restart"/>
                  <w:vAlign w:val="center"/>
                </w:tcPr>
                <w:p>
                  <w:pPr>
                    <w:contextualSpacing/>
                    <w:jc w:val="center"/>
                    <w:rPr>
                      <w:szCs w:val="21"/>
                    </w:rPr>
                  </w:pPr>
                  <w:r>
                    <w:rPr>
                      <w:rFonts w:hAnsi="宋体"/>
                      <w:szCs w:val="21"/>
                    </w:rPr>
                    <w:t>项目区</w:t>
                  </w:r>
                </w:p>
                <w:p>
                  <w:pPr>
                    <w:contextualSpacing/>
                    <w:jc w:val="center"/>
                    <w:rPr>
                      <w:szCs w:val="21"/>
                    </w:rPr>
                  </w:pPr>
                  <w:r>
                    <w:rPr>
                      <w:rFonts w:hint="eastAsia" w:hAnsi="宋体"/>
                      <w:szCs w:val="21"/>
                    </w:rPr>
                    <w:t>西北</w:t>
                  </w:r>
                  <w:r>
                    <w:rPr>
                      <w:rFonts w:hAnsi="宋体"/>
                      <w:szCs w:val="21"/>
                    </w:rPr>
                    <w:t>侧</w:t>
                  </w:r>
                </w:p>
              </w:tc>
              <w:tc>
                <w:tcPr>
                  <w:tcW w:w="1401" w:type="dxa"/>
                  <w:vAlign w:val="center"/>
                </w:tcPr>
                <w:p>
                  <w:pPr>
                    <w:contextualSpacing/>
                    <w:jc w:val="center"/>
                    <w:rPr>
                      <w:szCs w:val="21"/>
                    </w:rPr>
                  </w:pPr>
                  <w:r>
                    <w:rPr>
                      <w:rFonts w:hint="eastAsia" w:hAnsi="宋体"/>
                      <w:szCs w:val="21"/>
                    </w:rPr>
                    <w:t>5月14日</w:t>
                  </w:r>
                </w:p>
              </w:tc>
              <w:tc>
                <w:tcPr>
                  <w:tcW w:w="798" w:type="dxa"/>
                  <w:tcBorders>
                    <w:right w:val="single" w:color="auto" w:sz="4" w:space="0"/>
                  </w:tcBorders>
                  <w:vAlign w:val="center"/>
                </w:tcPr>
                <w:p>
                  <w:pPr>
                    <w:contextualSpacing/>
                    <w:jc w:val="center"/>
                    <w:rPr>
                      <w:szCs w:val="21"/>
                    </w:rPr>
                  </w:pPr>
                  <w:r>
                    <w:rPr>
                      <w:rFonts w:hint="eastAsia"/>
                      <w:szCs w:val="21"/>
                    </w:rPr>
                    <w:t>45</w:t>
                  </w:r>
                </w:p>
              </w:tc>
              <w:tc>
                <w:tcPr>
                  <w:tcW w:w="842" w:type="dxa"/>
                  <w:tcBorders>
                    <w:left w:val="single" w:color="auto" w:sz="4" w:space="0"/>
                  </w:tcBorders>
                  <w:vAlign w:val="center"/>
                </w:tcPr>
                <w:p>
                  <w:pPr>
                    <w:contextualSpacing/>
                    <w:jc w:val="center"/>
                    <w:rPr>
                      <w:szCs w:val="21"/>
                    </w:rPr>
                  </w:pPr>
                  <w:r>
                    <w:rPr>
                      <w:rFonts w:hint="eastAsia"/>
                      <w:szCs w:val="21"/>
                    </w:rPr>
                    <w:t>41</w:t>
                  </w:r>
                </w:p>
              </w:tc>
              <w:tc>
                <w:tcPr>
                  <w:tcW w:w="691" w:type="dxa"/>
                  <w:tcBorders>
                    <w:top w:val="single" w:color="auto" w:sz="4" w:space="0"/>
                    <w:right w:val="single" w:color="auto" w:sz="4" w:space="0"/>
                  </w:tcBorders>
                  <w:vAlign w:val="center"/>
                </w:tcPr>
                <w:p>
                  <w:pPr>
                    <w:contextualSpacing/>
                    <w:jc w:val="center"/>
                    <w:rPr>
                      <w:szCs w:val="21"/>
                    </w:rPr>
                  </w:pPr>
                  <w:r>
                    <w:rPr>
                      <w:szCs w:val="21"/>
                    </w:rPr>
                    <w:t>6</w:t>
                  </w:r>
                  <w:r>
                    <w:rPr>
                      <w:rFonts w:hint="eastAsia"/>
                      <w:szCs w:val="21"/>
                    </w:rPr>
                    <w:t>0</w:t>
                  </w:r>
                </w:p>
              </w:tc>
              <w:tc>
                <w:tcPr>
                  <w:tcW w:w="720" w:type="dxa"/>
                  <w:tcBorders>
                    <w:top w:val="single" w:color="auto" w:sz="4" w:space="0"/>
                    <w:left w:val="single" w:color="auto" w:sz="4" w:space="0"/>
                  </w:tcBorders>
                  <w:vAlign w:val="center"/>
                </w:tcPr>
                <w:p>
                  <w:pPr>
                    <w:contextualSpacing/>
                    <w:jc w:val="center"/>
                    <w:rPr>
                      <w:szCs w:val="21"/>
                    </w:rPr>
                  </w:pPr>
                  <w:r>
                    <w:rPr>
                      <w:rFonts w:hint="eastAsia"/>
                      <w:szCs w:val="21"/>
                    </w:rPr>
                    <w:t>50</w:t>
                  </w:r>
                </w:p>
              </w:tc>
              <w:tc>
                <w:tcPr>
                  <w:tcW w:w="1160" w:type="dxa"/>
                  <w:vAlign w:val="center"/>
                </w:tcPr>
                <w:p>
                  <w:pPr>
                    <w:contextualSpacing/>
                    <w:jc w:val="center"/>
                    <w:rPr>
                      <w:szCs w:val="21"/>
                    </w:rPr>
                  </w:pPr>
                  <w:r>
                    <w:rPr>
                      <w:rFonts w:hAnsi="宋体"/>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1084" w:type="dxa"/>
                  <w:vMerge w:val="continue"/>
                  <w:vAlign w:val="center"/>
                </w:tcPr>
                <w:p>
                  <w:pPr>
                    <w:widowControl/>
                    <w:contextualSpacing/>
                    <w:jc w:val="center"/>
                    <w:rPr>
                      <w:szCs w:val="21"/>
                    </w:rPr>
                  </w:pPr>
                </w:p>
              </w:tc>
              <w:tc>
                <w:tcPr>
                  <w:tcW w:w="1212" w:type="dxa"/>
                  <w:vMerge w:val="continue"/>
                  <w:vAlign w:val="center"/>
                </w:tcPr>
                <w:p>
                  <w:pPr>
                    <w:widowControl/>
                    <w:contextualSpacing/>
                    <w:jc w:val="center"/>
                    <w:rPr>
                      <w:szCs w:val="21"/>
                    </w:rPr>
                  </w:pPr>
                </w:p>
              </w:tc>
              <w:tc>
                <w:tcPr>
                  <w:tcW w:w="1401" w:type="dxa"/>
                  <w:vAlign w:val="center"/>
                </w:tcPr>
                <w:p>
                  <w:pPr>
                    <w:contextualSpacing/>
                    <w:jc w:val="center"/>
                    <w:rPr>
                      <w:szCs w:val="21"/>
                    </w:rPr>
                  </w:pPr>
                  <w:r>
                    <w:rPr>
                      <w:rFonts w:hint="eastAsia" w:hAnsi="宋体"/>
                      <w:szCs w:val="21"/>
                    </w:rPr>
                    <w:t>5月15日</w:t>
                  </w:r>
                </w:p>
              </w:tc>
              <w:tc>
                <w:tcPr>
                  <w:tcW w:w="798" w:type="dxa"/>
                  <w:tcBorders>
                    <w:right w:val="single" w:color="auto" w:sz="4" w:space="0"/>
                  </w:tcBorders>
                  <w:vAlign w:val="center"/>
                </w:tcPr>
                <w:p>
                  <w:pPr>
                    <w:contextualSpacing/>
                    <w:jc w:val="center"/>
                    <w:rPr>
                      <w:szCs w:val="21"/>
                    </w:rPr>
                  </w:pPr>
                  <w:r>
                    <w:rPr>
                      <w:rFonts w:hint="eastAsia"/>
                      <w:szCs w:val="21"/>
                    </w:rPr>
                    <w:t>44</w:t>
                  </w:r>
                </w:p>
              </w:tc>
              <w:tc>
                <w:tcPr>
                  <w:tcW w:w="842" w:type="dxa"/>
                  <w:tcBorders>
                    <w:left w:val="single" w:color="auto" w:sz="4" w:space="0"/>
                  </w:tcBorders>
                  <w:vAlign w:val="center"/>
                </w:tcPr>
                <w:p>
                  <w:pPr>
                    <w:contextualSpacing/>
                    <w:jc w:val="center"/>
                    <w:rPr>
                      <w:szCs w:val="21"/>
                    </w:rPr>
                  </w:pPr>
                  <w:r>
                    <w:rPr>
                      <w:rFonts w:hint="eastAsia"/>
                      <w:szCs w:val="21"/>
                    </w:rPr>
                    <w:t>40</w:t>
                  </w:r>
                </w:p>
              </w:tc>
              <w:tc>
                <w:tcPr>
                  <w:tcW w:w="691" w:type="dxa"/>
                  <w:tcBorders>
                    <w:right w:val="single" w:color="auto" w:sz="4" w:space="0"/>
                  </w:tcBorders>
                  <w:vAlign w:val="center"/>
                </w:tcPr>
                <w:p>
                  <w:pPr>
                    <w:contextualSpacing/>
                    <w:jc w:val="center"/>
                    <w:rPr>
                      <w:szCs w:val="21"/>
                    </w:rPr>
                  </w:pPr>
                  <w:r>
                    <w:rPr>
                      <w:szCs w:val="21"/>
                    </w:rPr>
                    <w:t>6</w:t>
                  </w:r>
                  <w:r>
                    <w:rPr>
                      <w:rFonts w:hint="eastAsia"/>
                      <w:szCs w:val="21"/>
                    </w:rPr>
                    <w:t>0</w:t>
                  </w:r>
                </w:p>
              </w:tc>
              <w:tc>
                <w:tcPr>
                  <w:tcW w:w="720" w:type="dxa"/>
                  <w:tcBorders>
                    <w:left w:val="single" w:color="auto" w:sz="4" w:space="0"/>
                  </w:tcBorders>
                  <w:vAlign w:val="center"/>
                </w:tcPr>
                <w:p>
                  <w:pPr>
                    <w:contextualSpacing/>
                    <w:jc w:val="center"/>
                    <w:rPr>
                      <w:szCs w:val="21"/>
                    </w:rPr>
                  </w:pPr>
                  <w:r>
                    <w:rPr>
                      <w:rFonts w:hint="eastAsia"/>
                      <w:szCs w:val="21"/>
                    </w:rPr>
                    <w:t>50</w:t>
                  </w:r>
                </w:p>
              </w:tc>
              <w:tc>
                <w:tcPr>
                  <w:tcW w:w="1160" w:type="dxa"/>
                  <w:vAlign w:val="center"/>
                </w:tcPr>
                <w:p>
                  <w:pPr>
                    <w:contextualSpacing/>
                    <w:jc w:val="center"/>
                    <w:rPr>
                      <w:szCs w:val="21"/>
                    </w:rPr>
                  </w:pPr>
                  <w:r>
                    <w:rPr>
                      <w:rFonts w:hAnsi="宋体"/>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1084" w:type="dxa"/>
                  <w:vMerge w:val="restart"/>
                  <w:vAlign w:val="center"/>
                </w:tcPr>
                <w:p>
                  <w:pPr>
                    <w:contextualSpacing/>
                    <w:jc w:val="center"/>
                    <w:rPr>
                      <w:szCs w:val="21"/>
                    </w:rPr>
                  </w:pPr>
                  <w:r>
                    <w:rPr>
                      <w:szCs w:val="21"/>
                    </w:rPr>
                    <w:t>2</w:t>
                  </w:r>
                </w:p>
              </w:tc>
              <w:tc>
                <w:tcPr>
                  <w:tcW w:w="1212" w:type="dxa"/>
                  <w:vMerge w:val="restart"/>
                  <w:vAlign w:val="center"/>
                </w:tcPr>
                <w:p>
                  <w:pPr>
                    <w:contextualSpacing/>
                    <w:jc w:val="center"/>
                    <w:rPr>
                      <w:szCs w:val="21"/>
                    </w:rPr>
                  </w:pPr>
                  <w:r>
                    <w:rPr>
                      <w:rFonts w:hAnsi="宋体"/>
                      <w:szCs w:val="21"/>
                    </w:rPr>
                    <w:t>项目区</w:t>
                  </w:r>
                </w:p>
                <w:p>
                  <w:pPr>
                    <w:contextualSpacing/>
                    <w:jc w:val="center"/>
                    <w:rPr>
                      <w:szCs w:val="21"/>
                    </w:rPr>
                  </w:pPr>
                  <w:r>
                    <w:rPr>
                      <w:rFonts w:hint="eastAsia" w:hAnsi="宋体"/>
                      <w:szCs w:val="21"/>
                    </w:rPr>
                    <w:t>东北</w:t>
                  </w:r>
                  <w:r>
                    <w:rPr>
                      <w:rFonts w:hAnsi="宋体"/>
                      <w:szCs w:val="21"/>
                    </w:rPr>
                    <w:t>侧</w:t>
                  </w:r>
                </w:p>
              </w:tc>
              <w:tc>
                <w:tcPr>
                  <w:tcW w:w="1401" w:type="dxa"/>
                  <w:vAlign w:val="center"/>
                </w:tcPr>
                <w:p>
                  <w:pPr>
                    <w:contextualSpacing/>
                    <w:jc w:val="center"/>
                    <w:rPr>
                      <w:szCs w:val="21"/>
                    </w:rPr>
                  </w:pPr>
                  <w:r>
                    <w:rPr>
                      <w:rFonts w:hint="eastAsia" w:hAnsi="宋体"/>
                      <w:szCs w:val="21"/>
                    </w:rPr>
                    <w:t>5月14日</w:t>
                  </w:r>
                </w:p>
              </w:tc>
              <w:tc>
                <w:tcPr>
                  <w:tcW w:w="798" w:type="dxa"/>
                  <w:tcBorders>
                    <w:right w:val="single" w:color="auto" w:sz="4" w:space="0"/>
                  </w:tcBorders>
                  <w:vAlign w:val="center"/>
                </w:tcPr>
                <w:p>
                  <w:pPr>
                    <w:contextualSpacing/>
                    <w:jc w:val="center"/>
                    <w:rPr>
                      <w:szCs w:val="21"/>
                    </w:rPr>
                  </w:pPr>
                  <w:r>
                    <w:rPr>
                      <w:rFonts w:hint="eastAsia"/>
                      <w:szCs w:val="21"/>
                    </w:rPr>
                    <w:t>43</w:t>
                  </w:r>
                </w:p>
              </w:tc>
              <w:tc>
                <w:tcPr>
                  <w:tcW w:w="842" w:type="dxa"/>
                  <w:tcBorders>
                    <w:left w:val="single" w:color="auto" w:sz="4" w:space="0"/>
                  </w:tcBorders>
                  <w:vAlign w:val="center"/>
                </w:tcPr>
                <w:p>
                  <w:pPr>
                    <w:contextualSpacing/>
                    <w:jc w:val="center"/>
                    <w:rPr>
                      <w:szCs w:val="21"/>
                    </w:rPr>
                  </w:pPr>
                  <w:r>
                    <w:rPr>
                      <w:rFonts w:hint="eastAsia"/>
                      <w:szCs w:val="21"/>
                    </w:rPr>
                    <w:t>40</w:t>
                  </w:r>
                </w:p>
              </w:tc>
              <w:tc>
                <w:tcPr>
                  <w:tcW w:w="691" w:type="dxa"/>
                  <w:tcBorders>
                    <w:right w:val="single" w:color="auto" w:sz="4" w:space="0"/>
                  </w:tcBorders>
                  <w:vAlign w:val="center"/>
                </w:tcPr>
                <w:p>
                  <w:pPr>
                    <w:contextualSpacing/>
                    <w:jc w:val="center"/>
                    <w:rPr>
                      <w:szCs w:val="21"/>
                    </w:rPr>
                  </w:pPr>
                  <w:r>
                    <w:rPr>
                      <w:szCs w:val="21"/>
                    </w:rPr>
                    <w:t>6</w:t>
                  </w:r>
                  <w:r>
                    <w:rPr>
                      <w:rFonts w:hint="eastAsia"/>
                      <w:szCs w:val="21"/>
                    </w:rPr>
                    <w:t>0</w:t>
                  </w:r>
                </w:p>
              </w:tc>
              <w:tc>
                <w:tcPr>
                  <w:tcW w:w="720" w:type="dxa"/>
                  <w:tcBorders>
                    <w:left w:val="single" w:color="auto" w:sz="4" w:space="0"/>
                  </w:tcBorders>
                  <w:vAlign w:val="center"/>
                </w:tcPr>
                <w:p>
                  <w:pPr>
                    <w:contextualSpacing/>
                    <w:jc w:val="center"/>
                    <w:rPr>
                      <w:szCs w:val="21"/>
                    </w:rPr>
                  </w:pPr>
                  <w:r>
                    <w:rPr>
                      <w:rFonts w:hint="eastAsia"/>
                      <w:szCs w:val="21"/>
                    </w:rPr>
                    <w:t>50</w:t>
                  </w:r>
                </w:p>
              </w:tc>
              <w:tc>
                <w:tcPr>
                  <w:tcW w:w="1160" w:type="dxa"/>
                  <w:vAlign w:val="center"/>
                </w:tcPr>
                <w:p>
                  <w:pPr>
                    <w:contextualSpacing/>
                    <w:jc w:val="center"/>
                    <w:rPr>
                      <w:szCs w:val="21"/>
                    </w:rPr>
                  </w:pPr>
                  <w:r>
                    <w:rPr>
                      <w:rFonts w:hAnsi="宋体"/>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1084" w:type="dxa"/>
                  <w:vMerge w:val="continue"/>
                  <w:vAlign w:val="center"/>
                </w:tcPr>
                <w:p>
                  <w:pPr>
                    <w:widowControl/>
                    <w:contextualSpacing/>
                    <w:jc w:val="center"/>
                    <w:rPr>
                      <w:szCs w:val="21"/>
                    </w:rPr>
                  </w:pPr>
                </w:p>
              </w:tc>
              <w:tc>
                <w:tcPr>
                  <w:tcW w:w="1212" w:type="dxa"/>
                  <w:vMerge w:val="continue"/>
                  <w:vAlign w:val="center"/>
                </w:tcPr>
                <w:p>
                  <w:pPr>
                    <w:widowControl/>
                    <w:contextualSpacing/>
                    <w:jc w:val="center"/>
                    <w:rPr>
                      <w:szCs w:val="21"/>
                    </w:rPr>
                  </w:pPr>
                </w:p>
              </w:tc>
              <w:tc>
                <w:tcPr>
                  <w:tcW w:w="1401" w:type="dxa"/>
                  <w:vAlign w:val="center"/>
                </w:tcPr>
                <w:p>
                  <w:pPr>
                    <w:contextualSpacing/>
                    <w:jc w:val="center"/>
                    <w:rPr>
                      <w:szCs w:val="21"/>
                    </w:rPr>
                  </w:pPr>
                  <w:r>
                    <w:rPr>
                      <w:rFonts w:hint="eastAsia" w:hAnsi="宋体"/>
                      <w:szCs w:val="21"/>
                    </w:rPr>
                    <w:t>5月15日</w:t>
                  </w:r>
                </w:p>
              </w:tc>
              <w:tc>
                <w:tcPr>
                  <w:tcW w:w="798" w:type="dxa"/>
                  <w:tcBorders>
                    <w:right w:val="single" w:color="auto" w:sz="4" w:space="0"/>
                  </w:tcBorders>
                  <w:vAlign w:val="center"/>
                </w:tcPr>
                <w:p>
                  <w:pPr>
                    <w:contextualSpacing/>
                    <w:jc w:val="center"/>
                    <w:rPr>
                      <w:szCs w:val="21"/>
                    </w:rPr>
                  </w:pPr>
                  <w:r>
                    <w:rPr>
                      <w:rFonts w:hint="eastAsia"/>
                      <w:szCs w:val="21"/>
                    </w:rPr>
                    <w:t>42</w:t>
                  </w:r>
                </w:p>
              </w:tc>
              <w:tc>
                <w:tcPr>
                  <w:tcW w:w="842" w:type="dxa"/>
                  <w:tcBorders>
                    <w:left w:val="single" w:color="auto" w:sz="4" w:space="0"/>
                  </w:tcBorders>
                  <w:vAlign w:val="center"/>
                </w:tcPr>
                <w:p>
                  <w:pPr>
                    <w:contextualSpacing/>
                    <w:jc w:val="center"/>
                    <w:rPr>
                      <w:szCs w:val="21"/>
                    </w:rPr>
                  </w:pPr>
                  <w:r>
                    <w:rPr>
                      <w:rFonts w:hint="eastAsia"/>
                      <w:szCs w:val="21"/>
                    </w:rPr>
                    <w:t>39</w:t>
                  </w:r>
                </w:p>
              </w:tc>
              <w:tc>
                <w:tcPr>
                  <w:tcW w:w="691" w:type="dxa"/>
                  <w:tcBorders>
                    <w:right w:val="single" w:color="auto" w:sz="4" w:space="0"/>
                  </w:tcBorders>
                  <w:vAlign w:val="center"/>
                </w:tcPr>
                <w:p>
                  <w:pPr>
                    <w:contextualSpacing/>
                    <w:jc w:val="center"/>
                    <w:rPr>
                      <w:szCs w:val="21"/>
                    </w:rPr>
                  </w:pPr>
                  <w:r>
                    <w:rPr>
                      <w:szCs w:val="21"/>
                    </w:rPr>
                    <w:t>6</w:t>
                  </w:r>
                  <w:r>
                    <w:rPr>
                      <w:rFonts w:hint="eastAsia"/>
                      <w:szCs w:val="21"/>
                    </w:rPr>
                    <w:t>0</w:t>
                  </w:r>
                </w:p>
              </w:tc>
              <w:tc>
                <w:tcPr>
                  <w:tcW w:w="720" w:type="dxa"/>
                  <w:tcBorders>
                    <w:left w:val="single" w:color="auto" w:sz="4" w:space="0"/>
                  </w:tcBorders>
                  <w:vAlign w:val="center"/>
                </w:tcPr>
                <w:p>
                  <w:pPr>
                    <w:contextualSpacing/>
                    <w:jc w:val="center"/>
                    <w:rPr>
                      <w:szCs w:val="21"/>
                    </w:rPr>
                  </w:pPr>
                  <w:r>
                    <w:rPr>
                      <w:rFonts w:hint="eastAsia"/>
                      <w:szCs w:val="21"/>
                    </w:rPr>
                    <w:t>50</w:t>
                  </w:r>
                </w:p>
              </w:tc>
              <w:tc>
                <w:tcPr>
                  <w:tcW w:w="1160" w:type="dxa"/>
                  <w:vAlign w:val="center"/>
                </w:tcPr>
                <w:p>
                  <w:pPr>
                    <w:contextualSpacing/>
                    <w:jc w:val="center"/>
                    <w:rPr>
                      <w:szCs w:val="21"/>
                    </w:rPr>
                  </w:pPr>
                  <w:r>
                    <w:rPr>
                      <w:rFonts w:hAnsi="宋体"/>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1084" w:type="dxa"/>
                  <w:vMerge w:val="restart"/>
                  <w:vAlign w:val="center"/>
                </w:tcPr>
                <w:p>
                  <w:pPr>
                    <w:contextualSpacing/>
                    <w:jc w:val="center"/>
                    <w:rPr>
                      <w:szCs w:val="21"/>
                    </w:rPr>
                  </w:pPr>
                  <w:r>
                    <w:rPr>
                      <w:szCs w:val="21"/>
                    </w:rPr>
                    <w:t>3</w:t>
                  </w:r>
                </w:p>
              </w:tc>
              <w:tc>
                <w:tcPr>
                  <w:tcW w:w="1212" w:type="dxa"/>
                  <w:vMerge w:val="restart"/>
                  <w:vAlign w:val="center"/>
                </w:tcPr>
                <w:p>
                  <w:pPr>
                    <w:contextualSpacing/>
                    <w:jc w:val="center"/>
                    <w:rPr>
                      <w:szCs w:val="21"/>
                    </w:rPr>
                  </w:pPr>
                  <w:r>
                    <w:rPr>
                      <w:rFonts w:hAnsi="宋体"/>
                      <w:szCs w:val="21"/>
                    </w:rPr>
                    <w:t>项目区</w:t>
                  </w:r>
                </w:p>
                <w:p>
                  <w:pPr>
                    <w:contextualSpacing/>
                    <w:jc w:val="center"/>
                    <w:rPr>
                      <w:szCs w:val="21"/>
                    </w:rPr>
                  </w:pPr>
                  <w:r>
                    <w:rPr>
                      <w:rFonts w:hint="eastAsia" w:hAnsi="宋体"/>
                      <w:szCs w:val="21"/>
                    </w:rPr>
                    <w:t>东南</w:t>
                  </w:r>
                  <w:r>
                    <w:rPr>
                      <w:rFonts w:hAnsi="宋体"/>
                      <w:szCs w:val="21"/>
                    </w:rPr>
                    <w:t>侧</w:t>
                  </w:r>
                </w:p>
              </w:tc>
              <w:tc>
                <w:tcPr>
                  <w:tcW w:w="1401" w:type="dxa"/>
                  <w:vAlign w:val="center"/>
                </w:tcPr>
                <w:p>
                  <w:pPr>
                    <w:contextualSpacing/>
                    <w:jc w:val="center"/>
                    <w:rPr>
                      <w:szCs w:val="21"/>
                    </w:rPr>
                  </w:pPr>
                  <w:r>
                    <w:rPr>
                      <w:rFonts w:hint="eastAsia" w:hAnsi="宋体"/>
                      <w:szCs w:val="21"/>
                    </w:rPr>
                    <w:t>5月14日</w:t>
                  </w:r>
                </w:p>
              </w:tc>
              <w:tc>
                <w:tcPr>
                  <w:tcW w:w="798" w:type="dxa"/>
                  <w:tcBorders>
                    <w:right w:val="single" w:color="auto" w:sz="4" w:space="0"/>
                  </w:tcBorders>
                  <w:vAlign w:val="center"/>
                </w:tcPr>
                <w:p>
                  <w:pPr>
                    <w:contextualSpacing/>
                    <w:jc w:val="center"/>
                    <w:rPr>
                      <w:szCs w:val="21"/>
                    </w:rPr>
                  </w:pPr>
                  <w:r>
                    <w:rPr>
                      <w:rFonts w:hint="eastAsia"/>
                      <w:szCs w:val="21"/>
                    </w:rPr>
                    <w:t>48</w:t>
                  </w:r>
                </w:p>
              </w:tc>
              <w:tc>
                <w:tcPr>
                  <w:tcW w:w="842" w:type="dxa"/>
                  <w:tcBorders>
                    <w:left w:val="single" w:color="auto" w:sz="4" w:space="0"/>
                  </w:tcBorders>
                  <w:vAlign w:val="center"/>
                </w:tcPr>
                <w:p>
                  <w:pPr>
                    <w:contextualSpacing/>
                    <w:jc w:val="center"/>
                    <w:rPr>
                      <w:szCs w:val="21"/>
                    </w:rPr>
                  </w:pPr>
                  <w:r>
                    <w:rPr>
                      <w:rFonts w:hint="eastAsia"/>
                      <w:szCs w:val="21"/>
                    </w:rPr>
                    <w:t>39</w:t>
                  </w:r>
                </w:p>
              </w:tc>
              <w:tc>
                <w:tcPr>
                  <w:tcW w:w="691" w:type="dxa"/>
                  <w:tcBorders>
                    <w:right w:val="single" w:color="auto" w:sz="4" w:space="0"/>
                  </w:tcBorders>
                  <w:vAlign w:val="center"/>
                </w:tcPr>
                <w:p>
                  <w:pPr>
                    <w:contextualSpacing/>
                    <w:jc w:val="center"/>
                    <w:rPr>
                      <w:szCs w:val="21"/>
                    </w:rPr>
                  </w:pPr>
                  <w:r>
                    <w:rPr>
                      <w:szCs w:val="21"/>
                    </w:rPr>
                    <w:t>6</w:t>
                  </w:r>
                  <w:r>
                    <w:rPr>
                      <w:rFonts w:hint="eastAsia"/>
                      <w:szCs w:val="21"/>
                    </w:rPr>
                    <w:t>0</w:t>
                  </w:r>
                </w:p>
              </w:tc>
              <w:tc>
                <w:tcPr>
                  <w:tcW w:w="720" w:type="dxa"/>
                  <w:tcBorders>
                    <w:left w:val="single" w:color="auto" w:sz="4" w:space="0"/>
                  </w:tcBorders>
                  <w:vAlign w:val="center"/>
                </w:tcPr>
                <w:p>
                  <w:pPr>
                    <w:contextualSpacing/>
                    <w:jc w:val="center"/>
                    <w:rPr>
                      <w:szCs w:val="21"/>
                    </w:rPr>
                  </w:pPr>
                  <w:r>
                    <w:rPr>
                      <w:rFonts w:hint="eastAsia"/>
                      <w:szCs w:val="21"/>
                    </w:rPr>
                    <w:t>50</w:t>
                  </w:r>
                </w:p>
              </w:tc>
              <w:tc>
                <w:tcPr>
                  <w:tcW w:w="1160" w:type="dxa"/>
                  <w:vAlign w:val="center"/>
                </w:tcPr>
                <w:p>
                  <w:pPr>
                    <w:contextualSpacing/>
                    <w:jc w:val="center"/>
                    <w:rPr>
                      <w:szCs w:val="21"/>
                    </w:rPr>
                  </w:pPr>
                  <w:r>
                    <w:rPr>
                      <w:rFonts w:hAnsi="宋体"/>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1084" w:type="dxa"/>
                  <w:vMerge w:val="continue"/>
                  <w:vAlign w:val="center"/>
                </w:tcPr>
                <w:p>
                  <w:pPr>
                    <w:widowControl/>
                    <w:contextualSpacing/>
                    <w:jc w:val="center"/>
                    <w:rPr>
                      <w:szCs w:val="21"/>
                    </w:rPr>
                  </w:pPr>
                </w:p>
              </w:tc>
              <w:tc>
                <w:tcPr>
                  <w:tcW w:w="1212" w:type="dxa"/>
                  <w:vMerge w:val="continue"/>
                  <w:vAlign w:val="center"/>
                </w:tcPr>
                <w:p>
                  <w:pPr>
                    <w:widowControl/>
                    <w:contextualSpacing/>
                    <w:jc w:val="center"/>
                    <w:rPr>
                      <w:szCs w:val="21"/>
                    </w:rPr>
                  </w:pPr>
                </w:p>
              </w:tc>
              <w:tc>
                <w:tcPr>
                  <w:tcW w:w="1401" w:type="dxa"/>
                  <w:vAlign w:val="center"/>
                </w:tcPr>
                <w:p>
                  <w:pPr>
                    <w:contextualSpacing/>
                    <w:jc w:val="center"/>
                    <w:rPr>
                      <w:szCs w:val="21"/>
                    </w:rPr>
                  </w:pPr>
                  <w:r>
                    <w:rPr>
                      <w:rFonts w:hint="eastAsia" w:hAnsi="宋体"/>
                      <w:szCs w:val="21"/>
                    </w:rPr>
                    <w:t>5月15日</w:t>
                  </w:r>
                </w:p>
              </w:tc>
              <w:tc>
                <w:tcPr>
                  <w:tcW w:w="798" w:type="dxa"/>
                  <w:tcBorders>
                    <w:right w:val="single" w:color="auto" w:sz="4" w:space="0"/>
                  </w:tcBorders>
                  <w:vAlign w:val="center"/>
                </w:tcPr>
                <w:p>
                  <w:pPr>
                    <w:contextualSpacing/>
                    <w:jc w:val="center"/>
                    <w:rPr>
                      <w:szCs w:val="21"/>
                    </w:rPr>
                  </w:pPr>
                  <w:r>
                    <w:rPr>
                      <w:rFonts w:hint="eastAsia"/>
                      <w:szCs w:val="21"/>
                    </w:rPr>
                    <w:t>46</w:t>
                  </w:r>
                </w:p>
              </w:tc>
              <w:tc>
                <w:tcPr>
                  <w:tcW w:w="842" w:type="dxa"/>
                  <w:tcBorders>
                    <w:left w:val="single" w:color="auto" w:sz="4" w:space="0"/>
                  </w:tcBorders>
                  <w:vAlign w:val="center"/>
                </w:tcPr>
                <w:p>
                  <w:pPr>
                    <w:contextualSpacing/>
                    <w:jc w:val="center"/>
                    <w:rPr>
                      <w:szCs w:val="21"/>
                    </w:rPr>
                  </w:pPr>
                  <w:r>
                    <w:rPr>
                      <w:rFonts w:hint="eastAsia"/>
                      <w:szCs w:val="21"/>
                    </w:rPr>
                    <w:t>41</w:t>
                  </w:r>
                </w:p>
              </w:tc>
              <w:tc>
                <w:tcPr>
                  <w:tcW w:w="691" w:type="dxa"/>
                  <w:tcBorders>
                    <w:right w:val="single" w:color="auto" w:sz="4" w:space="0"/>
                  </w:tcBorders>
                  <w:vAlign w:val="center"/>
                </w:tcPr>
                <w:p>
                  <w:pPr>
                    <w:contextualSpacing/>
                    <w:jc w:val="center"/>
                    <w:rPr>
                      <w:szCs w:val="21"/>
                    </w:rPr>
                  </w:pPr>
                  <w:r>
                    <w:rPr>
                      <w:szCs w:val="21"/>
                    </w:rPr>
                    <w:t>6</w:t>
                  </w:r>
                  <w:r>
                    <w:rPr>
                      <w:rFonts w:hint="eastAsia"/>
                      <w:szCs w:val="21"/>
                    </w:rPr>
                    <w:t>0</w:t>
                  </w:r>
                </w:p>
              </w:tc>
              <w:tc>
                <w:tcPr>
                  <w:tcW w:w="720" w:type="dxa"/>
                  <w:tcBorders>
                    <w:left w:val="single" w:color="auto" w:sz="4" w:space="0"/>
                  </w:tcBorders>
                  <w:vAlign w:val="center"/>
                </w:tcPr>
                <w:p>
                  <w:pPr>
                    <w:contextualSpacing/>
                    <w:jc w:val="center"/>
                    <w:rPr>
                      <w:szCs w:val="21"/>
                    </w:rPr>
                  </w:pPr>
                  <w:r>
                    <w:rPr>
                      <w:rFonts w:hint="eastAsia"/>
                      <w:szCs w:val="21"/>
                    </w:rPr>
                    <w:t>50</w:t>
                  </w:r>
                </w:p>
              </w:tc>
              <w:tc>
                <w:tcPr>
                  <w:tcW w:w="1160" w:type="dxa"/>
                  <w:vAlign w:val="center"/>
                </w:tcPr>
                <w:p>
                  <w:pPr>
                    <w:contextualSpacing/>
                    <w:jc w:val="center"/>
                    <w:rPr>
                      <w:szCs w:val="21"/>
                    </w:rPr>
                  </w:pPr>
                  <w:r>
                    <w:rPr>
                      <w:rFonts w:hAnsi="宋体"/>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1084" w:type="dxa"/>
                  <w:vMerge w:val="restart"/>
                  <w:vAlign w:val="center"/>
                </w:tcPr>
                <w:p>
                  <w:pPr>
                    <w:contextualSpacing/>
                    <w:jc w:val="center"/>
                    <w:rPr>
                      <w:szCs w:val="21"/>
                    </w:rPr>
                  </w:pPr>
                  <w:r>
                    <w:rPr>
                      <w:szCs w:val="21"/>
                    </w:rPr>
                    <w:t>4</w:t>
                  </w:r>
                </w:p>
              </w:tc>
              <w:tc>
                <w:tcPr>
                  <w:tcW w:w="1212" w:type="dxa"/>
                  <w:vMerge w:val="restart"/>
                  <w:vAlign w:val="center"/>
                </w:tcPr>
                <w:p>
                  <w:pPr>
                    <w:contextualSpacing/>
                    <w:jc w:val="center"/>
                    <w:rPr>
                      <w:szCs w:val="21"/>
                    </w:rPr>
                  </w:pPr>
                  <w:r>
                    <w:rPr>
                      <w:rFonts w:hAnsi="宋体"/>
                      <w:szCs w:val="21"/>
                    </w:rPr>
                    <w:t>项目区</w:t>
                  </w:r>
                </w:p>
                <w:p>
                  <w:pPr>
                    <w:contextualSpacing/>
                    <w:jc w:val="center"/>
                    <w:rPr>
                      <w:szCs w:val="21"/>
                    </w:rPr>
                  </w:pPr>
                  <w:r>
                    <w:rPr>
                      <w:rFonts w:hint="eastAsia" w:hAnsi="宋体"/>
                      <w:szCs w:val="21"/>
                    </w:rPr>
                    <w:t>西南</w:t>
                  </w:r>
                  <w:r>
                    <w:rPr>
                      <w:rFonts w:hAnsi="宋体"/>
                      <w:szCs w:val="21"/>
                    </w:rPr>
                    <w:t>侧</w:t>
                  </w:r>
                </w:p>
              </w:tc>
              <w:tc>
                <w:tcPr>
                  <w:tcW w:w="1401" w:type="dxa"/>
                  <w:vAlign w:val="center"/>
                </w:tcPr>
                <w:p>
                  <w:pPr>
                    <w:contextualSpacing/>
                    <w:jc w:val="center"/>
                    <w:rPr>
                      <w:szCs w:val="21"/>
                    </w:rPr>
                  </w:pPr>
                  <w:r>
                    <w:rPr>
                      <w:rFonts w:hint="eastAsia" w:hAnsi="宋体"/>
                      <w:szCs w:val="21"/>
                    </w:rPr>
                    <w:t>5月14日</w:t>
                  </w:r>
                </w:p>
              </w:tc>
              <w:tc>
                <w:tcPr>
                  <w:tcW w:w="798" w:type="dxa"/>
                  <w:tcBorders>
                    <w:right w:val="single" w:color="auto" w:sz="4" w:space="0"/>
                  </w:tcBorders>
                  <w:vAlign w:val="center"/>
                </w:tcPr>
                <w:p>
                  <w:pPr>
                    <w:contextualSpacing/>
                    <w:jc w:val="center"/>
                    <w:rPr>
                      <w:szCs w:val="21"/>
                    </w:rPr>
                  </w:pPr>
                  <w:r>
                    <w:rPr>
                      <w:rFonts w:hint="eastAsia"/>
                      <w:szCs w:val="21"/>
                    </w:rPr>
                    <w:t>50</w:t>
                  </w:r>
                </w:p>
              </w:tc>
              <w:tc>
                <w:tcPr>
                  <w:tcW w:w="842" w:type="dxa"/>
                  <w:tcBorders>
                    <w:left w:val="single" w:color="auto" w:sz="4" w:space="0"/>
                  </w:tcBorders>
                  <w:vAlign w:val="center"/>
                </w:tcPr>
                <w:p>
                  <w:pPr>
                    <w:contextualSpacing/>
                    <w:jc w:val="center"/>
                    <w:rPr>
                      <w:szCs w:val="21"/>
                    </w:rPr>
                  </w:pPr>
                  <w:r>
                    <w:rPr>
                      <w:rFonts w:hint="eastAsia"/>
                      <w:szCs w:val="21"/>
                    </w:rPr>
                    <w:t>41</w:t>
                  </w:r>
                </w:p>
              </w:tc>
              <w:tc>
                <w:tcPr>
                  <w:tcW w:w="691" w:type="dxa"/>
                  <w:tcBorders>
                    <w:right w:val="single" w:color="auto" w:sz="4" w:space="0"/>
                  </w:tcBorders>
                  <w:vAlign w:val="center"/>
                </w:tcPr>
                <w:p>
                  <w:pPr>
                    <w:contextualSpacing/>
                    <w:jc w:val="center"/>
                    <w:rPr>
                      <w:szCs w:val="21"/>
                    </w:rPr>
                  </w:pPr>
                  <w:r>
                    <w:rPr>
                      <w:szCs w:val="21"/>
                    </w:rPr>
                    <w:t>6</w:t>
                  </w:r>
                  <w:r>
                    <w:rPr>
                      <w:rFonts w:hint="eastAsia"/>
                      <w:szCs w:val="21"/>
                    </w:rPr>
                    <w:t>0</w:t>
                  </w:r>
                </w:p>
              </w:tc>
              <w:tc>
                <w:tcPr>
                  <w:tcW w:w="720" w:type="dxa"/>
                  <w:tcBorders>
                    <w:left w:val="single" w:color="auto" w:sz="4" w:space="0"/>
                  </w:tcBorders>
                  <w:vAlign w:val="center"/>
                </w:tcPr>
                <w:p>
                  <w:pPr>
                    <w:contextualSpacing/>
                    <w:jc w:val="center"/>
                    <w:rPr>
                      <w:szCs w:val="21"/>
                    </w:rPr>
                  </w:pPr>
                  <w:r>
                    <w:rPr>
                      <w:rFonts w:hint="eastAsia"/>
                      <w:szCs w:val="21"/>
                    </w:rPr>
                    <w:t>50</w:t>
                  </w:r>
                </w:p>
              </w:tc>
              <w:tc>
                <w:tcPr>
                  <w:tcW w:w="1160" w:type="dxa"/>
                  <w:vAlign w:val="center"/>
                </w:tcPr>
                <w:p>
                  <w:pPr>
                    <w:contextualSpacing/>
                    <w:jc w:val="center"/>
                    <w:rPr>
                      <w:szCs w:val="21"/>
                    </w:rPr>
                  </w:pPr>
                  <w:r>
                    <w:rPr>
                      <w:rFonts w:hAnsi="宋体"/>
                      <w:szCs w:val="21"/>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1084" w:type="dxa"/>
                  <w:vMerge w:val="continue"/>
                  <w:vAlign w:val="center"/>
                </w:tcPr>
                <w:p>
                  <w:pPr>
                    <w:widowControl/>
                    <w:contextualSpacing/>
                    <w:jc w:val="center"/>
                    <w:rPr>
                      <w:szCs w:val="21"/>
                    </w:rPr>
                  </w:pPr>
                </w:p>
              </w:tc>
              <w:tc>
                <w:tcPr>
                  <w:tcW w:w="1212" w:type="dxa"/>
                  <w:vMerge w:val="continue"/>
                  <w:vAlign w:val="center"/>
                </w:tcPr>
                <w:p>
                  <w:pPr>
                    <w:widowControl/>
                    <w:contextualSpacing/>
                    <w:jc w:val="center"/>
                    <w:rPr>
                      <w:szCs w:val="21"/>
                    </w:rPr>
                  </w:pPr>
                </w:p>
              </w:tc>
              <w:tc>
                <w:tcPr>
                  <w:tcW w:w="1401" w:type="dxa"/>
                  <w:vAlign w:val="center"/>
                </w:tcPr>
                <w:p>
                  <w:pPr>
                    <w:contextualSpacing/>
                    <w:jc w:val="center"/>
                    <w:rPr>
                      <w:szCs w:val="21"/>
                    </w:rPr>
                  </w:pPr>
                  <w:r>
                    <w:rPr>
                      <w:rFonts w:hint="eastAsia" w:hAnsi="宋体"/>
                      <w:szCs w:val="21"/>
                    </w:rPr>
                    <w:t>5月15日</w:t>
                  </w:r>
                </w:p>
              </w:tc>
              <w:tc>
                <w:tcPr>
                  <w:tcW w:w="798" w:type="dxa"/>
                  <w:tcBorders>
                    <w:right w:val="single" w:color="auto" w:sz="4" w:space="0"/>
                  </w:tcBorders>
                  <w:vAlign w:val="center"/>
                </w:tcPr>
                <w:p>
                  <w:pPr>
                    <w:contextualSpacing/>
                    <w:jc w:val="center"/>
                    <w:rPr>
                      <w:szCs w:val="21"/>
                    </w:rPr>
                  </w:pPr>
                  <w:r>
                    <w:rPr>
                      <w:rFonts w:hint="eastAsia"/>
                      <w:szCs w:val="21"/>
                    </w:rPr>
                    <w:t>51</w:t>
                  </w:r>
                </w:p>
              </w:tc>
              <w:tc>
                <w:tcPr>
                  <w:tcW w:w="842" w:type="dxa"/>
                  <w:tcBorders>
                    <w:left w:val="single" w:color="auto" w:sz="4" w:space="0"/>
                  </w:tcBorders>
                  <w:vAlign w:val="center"/>
                </w:tcPr>
                <w:p>
                  <w:pPr>
                    <w:contextualSpacing/>
                    <w:jc w:val="center"/>
                    <w:rPr>
                      <w:szCs w:val="21"/>
                    </w:rPr>
                  </w:pPr>
                  <w:r>
                    <w:rPr>
                      <w:rFonts w:hint="eastAsia"/>
                      <w:szCs w:val="21"/>
                    </w:rPr>
                    <w:t>40</w:t>
                  </w:r>
                </w:p>
              </w:tc>
              <w:tc>
                <w:tcPr>
                  <w:tcW w:w="691" w:type="dxa"/>
                  <w:tcBorders>
                    <w:right w:val="single" w:color="auto" w:sz="4" w:space="0"/>
                  </w:tcBorders>
                  <w:vAlign w:val="center"/>
                </w:tcPr>
                <w:p>
                  <w:pPr>
                    <w:contextualSpacing/>
                    <w:jc w:val="center"/>
                    <w:rPr>
                      <w:szCs w:val="21"/>
                    </w:rPr>
                  </w:pPr>
                  <w:r>
                    <w:rPr>
                      <w:szCs w:val="21"/>
                    </w:rPr>
                    <w:t>6</w:t>
                  </w:r>
                  <w:r>
                    <w:rPr>
                      <w:rFonts w:hint="eastAsia"/>
                      <w:szCs w:val="21"/>
                    </w:rPr>
                    <w:t>0</w:t>
                  </w:r>
                </w:p>
              </w:tc>
              <w:tc>
                <w:tcPr>
                  <w:tcW w:w="720" w:type="dxa"/>
                  <w:tcBorders>
                    <w:left w:val="single" w:color="auto" w:sz="4" w:space="0"/>
                  </w:tcBorders>
                  <w:vAlign w:val="center"/>
                </w:tcPr>
                <w:p>
                  <w:pPr>
                    <w:contextualSpacing/>
                    <w:jc w:val="center"/>
                    <w:rPr>
                      <w:szCs w:val="21"/>
                    </w:rPr>
                  </w:pPr>
                  <w:r>
                    <w:rPr>
                      <w:rFonts w:hint="eastAsia"/>
                      <w:szCs w:val="21"/>
                    </w:rPr>
                    <w:t>50</w:t>
                  </w:r>
                </w:p>
              </w:tc>
              <w:tc>
                <w:tcPr>
                  <w:tcW w:w="1160" w:type="dxa"/>
                  <w:vAlign w:val="center"/>
                </w:tcPr>
                <w:p>
                  <w:pPr>
                    <w:contextualSpacing/>
                    <w:jc w:val="center"/>
                    <w:rPr>
                      <w:szCs w:val="21"/>
                    </w:rPr>
                  </w:pPr>
                  <w:r>
                    <w:rPr>
                      <w:rFonts w:hAnsi="宋体"/>
                      <w:szCs w:val="21"/>
                    </w:rPr>
                    <w:t>达标</w:t>
                  </w:r>
                </w:p>
              </w:tc>
            </w:tr>
          </w:tbl>
          <w:p>
            <w:pPr>
              <w:autoSpaceDE w:val="0"/>
              <w:autoSpaceDN w:val="0"/>
              <w:adjustRightInd w:val="0"/>
              <w:spacing w:line="480" w:lineRule="exact"/>
              <w:ind w:firstLine="480" w:firstLineChars="200"/>
              <w:rPr>
                <w:sz w:val="24"/>
              </w:rPr>
            </w:pPr>
            <w:r>
              <w:rPr>
                <w:sz w:val="24"/>
              </w:rPr>
              <w:t>从表3-</w:t>
            </w:r>
            <w:r>
              <w:rPr>
                <w:rFonts w:hint="eastAsia"/>
                <w:sz w:val="24"/>
              </w:rPr>
              <w:t>4</w:t>
            </w:r>
            <w:r>
              <w:rPr>
                <w:sz w:val="24"/>
              </w:rPr>
              <w:t>监测结果可知，评价区声环境质量现状满足</w:t>
            </w:r>
            <w:r>
              <w:rPr>
                <w:kern w:val="24"/>
                <w:sz w:val="24"/>
                <w:lang w:val="zh-CN"/>
              </w:rPr>
              <w:t>《声环境质量标准》（</w:t>
            </w:r>
            <w:r>
              <w:rPr>
                <w:kern w:val="24"/>
                <w:sz w:val="24"/>
              </w:rPr>
              <w:t>GB3096</w:t>
            </w:r>
            <w:r>
              <w:rPr>
                <w:kern w:val="24"/>
                <w:sz w:val="24"/>
                <w:lang w:val="zh-CN"/>
              </w:rPr>
              <w:t>－</w:t>
            </w:r>
            <w:r>
              <w:rPr>
                <w:kern w:val="24"/>
                <w:sz w:val="24"/>
              </w:rPr>
              <w:t>2008）</w:t>
            </w:r>
            <w:r>
              <w:rPr>
                <w:kern w:val="24"/>
                <w:sz w:val="24"/>
                <w:lang w:val="zh-CN"/>
              </w:rPr>
              <w:t>中的</w:t>
            </w:r>
            <w:r>
              <w:rPr>
                <w:rFonts w:hint="eastAsia"/>
                <w:kern w:val="24"/>
                <w:sz w:val="24"/>
              </w:rPr>
              <w:t>2</w:t>
            </w:r>
            <w:r>
              <w:rPr>
                <w:kern w:val="24"/>
                <w:sz w:val="24"/>
                <w:lang w:val="zh-CN"/>
              </w:rPr>
              <w:t>类区标准</w:t>
            </w:r>
            <w:r>
              <w:rPr>
                <w:sz w:val="24"/>
              </w:rPr>
              <w:t>，说明评价区内现状声环境质量较好。</w:t>
            </w:r>
          </w:p>
          <w:p>
            <w:pPr>
              <w:autoSpaceDE w:val="0"/>
              <w:autoSpaceDN w:val="0"/>
              <w:adjustRightInd w:val="0"/>
              <w:spacing w:line="480" w:lineRule="exact"/>
              <w:ind w:firstLine="480" w:firstLineChars="200"/>
              <w:rPr>
                <w:bCs/>
                <w:sz w:val="24"/>
              </w:rPr>
            </w:pPr>
            <w:r>
              <w:rPr>
                <w:rFonts w:hint="eastAsia"/>
                <w:bCs/>
                <w:sz w:val="24"/>
              </w:rPr>
              <w:t>4、</w:t>
            </w:r>
            <w:r>
              <w:rPr>
                <w:bCs/>
                <w:sz w:val="24"/>
              </w:rPr>
              <w:t>生态环境现状与评价</w:t>
            </w:r>
          </w:p>
          <w:p>
            <w:pPr>
              <w:autoSpaceDE w:val="0"/>
              <w:autoSpaceDN w:val="0"/>
              <w:adjustRightInd w:val="0"/>
              <w:spacing w:line="480" w:lineRule="exact"/>
              <w:ind w:firstLine="480" w:firstLineChars="200"/>
              <w:rPr>
                <w:sz w:val="24"/>
              </w:rPr>
            </w:pPr>
            <w:r>
              <w:rPr>
                <w:sz w:val="24"/>
              </w:rPr>
              <w:t>根据《建设项目环境影响报告表编制技术指南（污染影响类）（试行）》，本项目不进行生态现状调查。</w:t>
            </w:r>
          </w:p>
          <w:p>
            <w:pPr>
              <w:numPr>
                <w:ilvl w:val="0"/>
                <w:numId w:val="3"/>
              </w:numPr>
              <w:autoSpaceDE w:val="0"/>
              <w:autoSpaceDN w:val="0"/>
              <w:adjustRightInd w:val="0"/>
              <w:spacing w:line="480" w:lineRule="exact"/>
              <w:ind w:firstLine="480" w:firstLineChars="200"/>
              <w:rPr>
                <w:sz w:val="24"/>
              </w:rPr>
            </w:pPr>
            <w:r>
              <w:rPr>
                <w:rFonts w:hint="eastAsia"/>
                <w:sz w:val="24"/>
              </w:rPr>
              <w:t>地下水、土壤环境现状</w:t>
            </w:r>
          </w:p>
          <w:p>
            <w:pPr>
              <w:autoSpaceDE w:val="0"/>
              <w:autoSpaceDN w:val="0"/>
              <w:adjustRightInd w:val="0"/>
              <w:spacing w:line="480" w:lineRule="exact"/>
              <w:ind w:firstLine="480" w:firstLineChars="200"/>
              <w:rPr>
                <w:sz w:val="24"/>
              </w:rPr>
            </w:pPr>
            <w:r>
              <w:rPr>
                <w:sz w:val="24"/>
              </w:rPr>
              <w:t>根据《建设项目环境影响报告表编制技术指南（污染影响类）（试行）》，</w:t>
            </w:r>
            <w:r>
              <w:rPr>
                <w:rFonts w:hint="eastAsia"/>
                <w:sz w:val="24"/>
              </w:rPr>
              <w:t>地下水与土壤环境原则上不进行现状调查</w:t>
            </w:r>
            <w:r>
              <w:rPr>
                <w:rFonts w:hint="eastAsia"/>
                <w:sz w:val="24"/>
                <w:lang w:eastAsia="zh-CN"/>
              </w:rPr>
              <w:t>，</w:t>
            </w:r>
            <w:r>
              <w:rPr>
                <w:sz w:val="24"/>
              </w:rPr>
              <w:t>本项目不存在地下水与土壤污染</w:t>
            </w:r>
            <w:r>
              <w:rPr>
                <w:rFonts w:hint="eastAsia"/>
                <w:sz w:val="24"/>
              </w:rPr>
              <w:t>途径</w:t>
            </w:r>
            <w:r>
              <w:rPr>
                <w:sz w:val="24"/>
              </w:rPr>
              <w:t>，故不</w:t>
            </w:r>
            <w:r>
              <w:rPr>
                <w:rFonts w:hint="eastAsia"/>
                <w:sz w:val="24"/>
                <w:lang w:eastAsia="zh-CN"/>
              </w:rPr>
              <w:t>开展土壤和地下水</w:t>
            </w:r>
            <w:r>
              <w:rPr>
                <w:sz w:val="24"/>
              </w:rPr>
              <w:t>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jc w:val="center"/>
        </w:trPr>
        <w:tc>
          <w:tcPr>
            <w:tcW w:w="576" w:type="dxa"/>
            <w:vAlign w:val="center"/>
          </w:tcPr>
          <w:p>
            <w:pPr>
              <w:adjustRightInd w:val="0"/>
              <w:snapToGrid w:val="0"/>
              <w:jc w:val="center"/>
              <w:rPr>
                <w:kern w:val="0"/>
                <w:sz w:val="24"/>
                <w:szCs w:val="21"/>
              </w:rPr>
            </w:pPr>
            <w:r>
              <w:rPr>
                <w:kern w:val="0"/>
                <w:sz w:val="24"/>
                <w:szCs w:val="21"/>
              </w:rPr>
              <w:t>环境</w:t>
            </w:r>
          </w:p>
          <w:p>
            <w:pPr>
              <w:adjustRightInd w:val="0"/>
              <w:snapToGrid w:val="0"/>
              <w:jc w:val="center"/>
              <w:rPr>
                <w:kern w:val="0"/>
                <w:sz w:val="24"/>
                <w:szCs w:val="21"/>
              </w:rPr>
            </w:pPr>
            <w:r>
              <w:rPr>
                <w:kern w:val="0"/>
                <w:sz w:val="24"/>
                <w:szCs w:val="21"/>
              </w:rPr>
              <w:t>保护</w:t>
            </w:r>
          </w:p>
          <w:p>
            <w:pPr>
              <w:adjustRightInd w:val="0"/>
              <w:snapToGrid w:val="0"/>
              <w:jc w:val="center"/>
              <w:rPr>
                <w:kern w:val="0"/>
                <w:szCs w:val="21"/>
              </w:rPr>
            </w:pPr>
            <w:r>
              <w:rPr>
                <w:kern w:val="0"/>
                <w:sz w:val="24"/>
                <w:szCs w:val="21"/>
              </w:rPr>
              <w:t>目标</w:t>
            </w:r>
          </w:p>
        </w:tc>
        <w:tc>
          <w:tcPr>
            <w:tcW w:w="8286" w:type="dxa"/>
            <w:vAlign w:val="center"/>
          </w:tcPr>
          <w:p>
            <w:pPr>
              <w:spacing w:line="480" w:lineRule="exact"/>
              <w:ind w:firstLine="480" w:firstLineChars="200"/>
              <w:rPr>
                <w:rFonts w:ascii="宋体" w:hAnsi="宋体" w:cs="宋体"/>
                <w:sz w:val="24"/>
              </w:rPr>
            </w:pPr>
            <w:r>
              <w:rPr>
                <w:rFonts w:hint="eastAsia" w:ascii="宋体" w:hAnsi="宋体" w:cs="宋体"/>
                <w:sz w:val="24"/>
              </w:rPr>
              <w:t xml:space="preserve">本项目项目位于昌吉回族自治州昌吉市三工镇下营盘村五组老砖厂院内。项目地理位置见图1，项目区东侧、南侧、北侧均为未生产厂房，西侧为葡萄地。根据现场调查，确定项目周边无明显地表水体，厂界外500m范围内不含有自然保护区、风景名胜区、居住区、文化区和农村地区中人群较集中的区域，亦不包括地下水集中式饮用水水源、热水、矿泉水、温泉等特殊地下水资源；厂界50m范围内亦无声环境敏感目标；故确定本项目的环境保护目标为： </w:t>
            </w:r>
          </w:p>
          <w:p>
            <w:pPr>
              <w:spacing w:line="480" w:lineRule="exact"/>
              <w:ind w:firstLine="480" w:firstLineChars="200"/>
              <w:rPr>
                <w:rFonts w:ascii="宋体" w:hAnsi="宋体" w:cs="宋体"/>
                <w:sz w:val="24"/>
              </w:rPr>
            </w:pPr>
            <w:r>
              <w:rPr>
                <w:rFonts w:hint="eastAsia" w:ascii="宋体" w:hAnsi="宋体" w:cs="宋体"/>
                <w:sz w:val="24"/>
              </w:rPr>
              <w:t>（1）大气环境：保护项目区所在的区域环境空气质量，不因本项目实施而降低空气质量级别，确保项目区大气环境保持现有水平；</w:t>
            </w:r>
          </w:p>
          <w:p>
            <w:pPr>
              <w:spacing w:line="480" w:lineRule="exact"/>
              <w:ind w:firstLine="480" w:firstLineChars="200"/>
              <w:rPr>
                <w:rFonts w:ascii="宋体" w:hAnsi="宋体" w:cs="宋体"/>
                <w:sz w:val="24"/>
              </w:rPr>
            </w:pPr>
            <w:r>
              <w:rPr>
                <w:rFonts w:hint="eastAsia" w:ascii="宋体" w:hAnsi="宋体" w:cs="宋体"/>
                <w:sz w:val="24"/>
              </w:rPr>
              <w:t>（2）声环境：确保项目区声环境满足《声环境质量标准》（GB3096-2008）中的2类标准，防止本项目噪声对外界的影响，保护项目区周围声环境质量不因本项目的实施而下降。</w:t>
            </w:r>
          </w:p>
          <w:p>
            <w:pPr>
              <w:spacing w:line="480" w:lineRule="exact"/>
              <w:ind w:firstLine="480" w:firstLineChars="200"/>
              <w:rPr>
                <w:rFonts w:ascii="宋体" w:hAnsi="宋体" w:cs="宋体"/>
                <w:sz w:val="24"/>
              </w:rPr>
            </w:pPr>
            <w:r>
              <w:rPr>
                <w:rFonts w:hint="eastAsia" w:ascii="宋体" w:hAnsi="宋体" w:cs="宋体"/>
                <w:sz w:val="24"/>
              </w:rPr>
              <w:t>（3）固体废物：项目产生的固体废物应做到合理有效的处置，避免对所在区域环境造成影响。</w:t>
            </w:r>
          </w:p>
          <w:p>
            <w:pPr>
              <w:spacing w:line="480" w:lineRule="exact"/>
              <w:ind w:firstLine="480" w:firstLineChars="200"/>
              <w:rPr>
                <w:rFonts w:ascii="宋体" w:hAnsi="宋体" w:cs="宋体"/>
                <w:sz w:val="24"/>
              </w:rPr>
            </w:pPr>
            <w:r>
              <w:rPr>
                <w:rFonts w:hint="eastAsia" w:ascii="宋体" w:hAnsi="宋体" w:cs="宋体"/>
                <w:sz w:val="24"/>
              </w:rPr>
              <w:t>（4）生态环境：保护西侧葡萄地生态系统的稳定性不受破坏，保证开发后生态系统基本稳定并呈良性循环。</w:t>
            </w:r>
          </w:p>
          <w:p>
            <w:pPr>
              <w:pStyle w:val="6"/>
              <w:ind w:firstLine="480"/>
              <w:rPr>
                <w:sz w:val="24"/>
              </w:rPr>
            </w:pPr>
          </w:p>
          <w:p>
            <w:pPr>
              <w:pStyle w:val="6"/>
              <w:ind w:firstLine="480"/>
              <w:rPr>
                <w:sz w:val="24"/>
              </w:rPr>
            </w:pPr>
          </w:p>
          <w:p>
            <w:pPr>
              <w:pStyle w:val="6"/>
              <w:ind w:firstLine="480"/>
              <w:rPr>
                <w:sz w:val="24"/>
              </w:rPr>
            </w:pPr>
          </w:p>
          <w:p>
            <w:pPr>
              <w:pStyle w:val="6"/>
              <w:ind w:firstLine="480"/>
              <w:rPr>
                <w:sz w:val="24"/>
              </w:rPr>
            </w:pPr>
          </w:p>
          <w:p>
            <w:pPr>
              <w:pStyle w:val="6"/>
              <w:ind w:left="0" w:leftChars="0" w:firstLine="0" w:firstLineChars="0"/>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35" w:hRule="atLeast"/>
          <w:jc w:val="center"/>
        </w:trPr>
        <w:tc>
          <w:tcPr>
            <w:tcW w:w="576" w:type="dxa"/>
            <w:tcMar>
              <w:left w:w="28" w:type="dxa"/>
              <w:right w:w="28" w:type="dxa"/>
            </w:tcMar>
            <w:vAlign w:val="center"/>
          </w:tcPr>
          <w:p>
            <w:pPr>
              <w:adjustRightInd w:val="0"/>
              <w:snapToGrid w:val="0"/>
              <w:jc w:val="center"/>
              <w:rPr>
                <w:kern w:val="0"/>
                <w:sz w:val="24"/>
                <w:szCs w:val="21"/>
              </w:rPr>
            </w:pPr>
            <w:r>
              <w:rPr>
                <w:kern w:val="0"/>
                <w:sz w:val="24"/>
                <w:szCs w:val="21"/>
              </w:rPr>
              <w:t>污染</w:t>
            </w:r>
          </w:p>
          <w:p>
            <w:pPr>
              <w:adjustRightInd w:val="0"/>
              <w:snapToGrid w:val="0"/>
              <w:jc w:val="center"/>
              <w:rPr>
                <w:kern w:val="0"/>
                <w:sz w:val="24"/>
                <w:szCs w:val="21"/>
              </w:rPr>
            </w:pPr>
            <w:r>
              <w:rPr>
                <w:kern w:val="0"/>
                <w:sz w:val="24"/>
                <w:szCs w:val="21"/>
              </w:rPr>
              <w:t>物排</w:t>
            </w:r>
          </w:p>
          <w:p>
            <w:pPr>
              <w:adjustRightInd w:val="0"/>
              <w:snapToGrid w:val="0"/>
              <w:jc w:val="center"/>
              <w:rPr>
                <w:kern w:val="0"/>
                <w:sz w:val="24"/>
                <w:szCs w:val="21"/>
              </w:rPr>
            </w:pPr>
            <w:r>
              <w:rPr>
                <w:kern w:val="0"/>
                <w:sz w:val="24"/>
                <w:szCs w:val="21"/>
              </w:rPr>
              <w:t>放控</w:t>
            </w:r>
          </w:p>
          <w:p>
            <w:pPr>
              <w:adjustRightInd w:val="0"/>
              <w:snapToGrid w:val="0"/>
              <w:jc w:val="center"/>
              <w:rPr>
                <w:kern w:val="0"/>
                <w:sz w:val="24"/>
                <w:szCs w:val="21"/>
              </w:rPr>
            </w:pPr>
            <w:r>
              <w:rPr>
                <w:kern w:val="0"/>
                <w:sz w:val="24"/>
                <w:szCs w:val="21"/>
              </w:rPr>
              <w:t>制标</w:t>
            </w:r>
          </w:p>
          <w:p>
            <w:pPr>
              <w:adjustRightInd w:val="0"/>
              <w:snapToGrid w:val="0"/>
              <w:jc w:val="center"/>
              <w:rPr>
                <w:kern w:val="0"/>
                <w:szCs w:val="21"/>
              </w:rPr>
            </w:pPr>
            <w:r>
              <w:rPr>
                <w:kern w:val="0"/>
                <w:sz w:val="24"/>
                <w:szCs w:val="21"/>
              </w:rPr>
              <w:t>准</w:t>
            </w:r>
          </w:p>
        </w:tc>
        <w:tc>
          <w:tcPr>
            <w:tcW w:w="8286" w:type="dxa"/>
            <w:vAlign w:val="center"/>
          </w:tcPr>
          <w:p>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运营期废气执行《合成树脂工业污染物排放标准》（GB31572-2015）中表5大气污染物特别排放限值；厂界无组织废气执行《合成树脂工业污染物排放标准》（GB31572-2015）中表9企业边界大气污染物浓度限值，详见表3-5；厂区内无组织非甲烷总烃排放标准详见表3-6。</w:t>
            </w:r>
          </w:p>
          <w:p>
            <w:pPr>
              <w:ind w:firstLine="420" w:firstLineChars="200"/>
            </w:pPr>
            <w:r>
              <w:rPr>
                <w:rFonts w:hint="eastAsia"/>
              </w:rPr>
              <w:t>表3-5                  项目废气排放标准限值</w:t>
            </w:r>
          </w:p>
          <w:tbl>
            <w:tblPr>
              <w:tblStyle w:val="26"/>
              <w:tblW w:w="807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2300"/>
              <w:gridCol w:w="2300"/>
              <w:gridCol w:w="23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jc w:val="center"/>
              </w:trPr>
              <w:tc>
                <w:tcPr>
                  <w:tcW w:w="1170" w:type="dxa"/>
                  <w:tcBorders>
                    <w:top w:val="single" w:color="auto" w:sz="12" w:space="0"/>
                  </w:tcBorders>
                  <w:vAlign w:val="center"/>
                </w:tcPr>
                <w:p>
                  <w:pPr>
                    <w:jc w:val="center"/>
                  </w:pPr>
                  <w:r>
                    <w:rPr>
                      <w:rFonts w:hint="eastAsia"/>
                    </w:rPr>
                    <w:t>污染物</w:t>
                  </w:r>
                </w:p>
              </w:tc>
              <w:tc>
                <w:tcPr>
                  <w:tcW w:w="2300" w:type="dxa"/>
                  <w:tcBorders>
                    <w:top w:val="single" w:color="auto" w:sz="12" w:space="0"/>
                  </w:tcBorders>
                  <w:vAlign w:val="center"/>
                </w:tcPr>
                <w:p>
                  <w:pPr>
                    <w:jc w:val="center"/>
                  </w:pPr>
                  <w:r>
                    <w:rPr>
                      <w:rFonts w:hint="eastAsia"/>
                    </w:rPr>
                    <w:t>排放方式</w:t>
                  </w:r>
                </w:p>
              </w:tc>
              <w:tc>
                <w:tcPr>
                  <w:tcW w:w="2300" w:type="dxa"/>
                  <w:tcBorders>
                    <w:top w:val="single" w:color="auto" w:sz="12" w:space="0"/>
                  </w:tcBorders>
                  <w:vAlign w:val="center"/>
                </w:tcPr>
                <w:p>
                  <w:pPr>
                    <w:jc w:val="center"/>
                  </w:pPr>
                  <w:r>
                    <w:rPr>
                      <w:rFonts w:hint="eastAsia"/>
                    </w:rPr>
                    <w:t>排放限值mg/m3</w:t>
                  </w:r>
                </w:p>
              </w:tc>
              <w:tc>
                <w:tcPr>
                  <w:tcW w:w="2300" w:type="dxa"/>
                  <w:tcBorders>
                    <w:top w:val="single" w:color="auto" w:sz="12" w:space="0"/>
                  </w:tcBorders>
                  <w:vAlign w:val="center"/>
                </w:tcPr>
                <w:p>
                  <w:pPr>
                    <w:jc w:val="center"/>
                  </w:pPr>
                  <w:r>
                    <w:rPr>
                      <w:rFonts w:hint="eastAsia"/>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0" w:type="dxa"/>
                  <w:vMerge w:val="restart"/>
                  <w:vAlign w:val="center"/>
                </w:tcPr>
                <w:p>
                  <w:pPr>
                    <w:jc w:val="center"/>
                  </w:pPr>
                  <w:r>
                    <w:rPr>
                      <w:rFonts w:hint="eastAsia"/>
                    </w:rPr>
                    <w:t>非甲烷总烃</w:t>
                  </w:r>
                </w:p>
              </w:tc>
              <w:tc>
                <w:tcPr>
                  <w:tcW w:w="2300" w:type="dxa"/>
                  <w:vAlign w:val="center"/>
                </w:tcPr>
                <w:p>
                  <w:pPr>
                    <w:jc w:val="center"/>
                  </w:pPr>
                  <w:r>
                    <w:rPr>
                      <w:rFonts w:hint="eastAsia"/>
                    </w:rPr>
                    <w:t>有组织</w:t>
                  </w:r>
                </w:p>
              </w:tc>
              <w:tc>
                <w:tcPr>
                  <w:tcW w:w="2300" w:type="dxa"/>
                  <w:vAlign w:val="center"/>
                </w:tcPr>
                <w:p>
                  <w:pPr>
                    <w:jc w:val="center"/>
                  </w:pPr>
                  <w:r>
                    <w:rPr>
                      <w:rFonts w:hint="eastAsia"/>
                    </w:rPr>
                    <w:t>60</w:t>
                  </w:r>
                </w:p>
              </w:tc>
              <w:tc>
                <w:tcPr>
                  <w:tcW w:w="2300" w:type="dxa"/>
                  <w:vMerge w:val="restart"/>
                  <w:vAlign w:val="center"/>
                </w:tcPr>
                <w:p>
                  <w:pPr>
                    <w:jc w:val="center"/>
                  </w:pPr>
                  <w:r>
                    <w:t>《</w:t>
                  </w:r>
                  <w:r>
                    <w:rPr>
                      <w:rFonts w:hint="eastAsia"/>
                    </w:rPr>
                    <w:t>合成树脂工业污染物排放标准</w:t>
                  </w:r>
                  <w:r>
                    <w:t>》（GB</w:t>
                  </w:r>
                  <w:r>
                    <w:rPr>
                      <w:rFonts w:hint="eastAsia"/>
                    </w:rPr>
                    <w:t>31572</w:t>
                  </w:r>
                  <w:r>
                    <w:t>-</w:t>
                  </w:r>
                  <w:r>
                    <w:rPr>
                      <w:rFonts w:hint="eastAsia"/>
                    </w:rPr>
                    <w:t>2015</w:t>
                  </w:r>
                  <w: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0" w:type="dxa"/>
                  <w:vMerge w:val="continue"/>
                  <w:vAlign w:val="center"/>
                </w:tcPr>
                <w:p>
                  <w:pPr>
                    <w:jc w:val="center"/>
                  </w:pPr>
                </w:p>
              </w:tc>
              <w:tc>
                <w:tcPr>
                  <w:tcW w:w="2300" w:type="dxa"/>
                  <w:vAlign w:val="center"/>
                </w:tcPr>
                <w:p>
                  <w:pPr>
                    <w:jc w:val="center"/>
                  </w:pPr>
                  <w:r>
                    <w:rPr>
                      <w:rFonts w:hint="eastAsia"/>
                    </w:rPr>
                    <w:t>无组织</w:t>
                  </w:r>
                </w:p>
              </w:tc>
              <w:tc>
                <w:tcPr>
                  <w:tcW w:w="2300" w:type="dxa"/>
                  <w:vAlign w:val="center"/>
                </w:tcPr>
                <w:p>
                  <w:pPr>
                    <w:jc w:val="center"/>
                  </w:pPr>
                  <w:r>
                    <w:rPr>
                      <w:rFonts w:hint="eastAsia"/>
                    </w:rPr>
                    <w:t>4.0</w:t>
                  </w:r>
                </w:p>
              </w:tc>
              <w:tc>
                <w:tcPr>
                  <w:tcW w:w="2300" w:type="dxa"/>
                  <w:vMerge w:val="continue"/>
                  <w:vAlign w:val="center"/>
                </w:tcPr>
                <w:p>
                  <w:pPr>
                    <w:jc w:val="center"/>
                  </w:pPr>
                </w:p>
              </w:tc>
            </w:tr>
          </w:tbl>
          <w:p>
            <w:pPr>
              <w:adjustRightInd w:val="0"/>
              <w:snapToGrid w:val="0"/>
              <w:ind w:firstLine="420" w:firstLineChars="200"/>
            </w:pPr>
            <w:r>
              <w:t>表3-</w:t>
            </w:r>
            <w:r>
              <w:rPr>
                <w:rFonts w:hint="eastAsia"/>
              </w:rPr>
              <w:t>6</w:t>
            </w:r>
            <w:r>
              <w:t xml:space="preserve">             </w:t>
            </w:r>
            <w:r>
              <w:rPr>
                <w:rFonts w:hint="eastAsia"/>
              </w:rPr>
              <w:t xml:space="preserve">   </w:t>
            </w:r>
            <w:r>
              <w:t>厂区内无组织</w:t>
            </w:r>
            <w:r>
              <w:rPr>
                <w:rFonts w:hint="eastAsia"/>
              </w:rPr>
              <w:t>非甲烷总烃</w:t>
            </w:r>
            <w:r>
              <w:t>控制标准</w:t>
            </w:r>
            <w:r>
              <w:rPr>
                <w:rFonts w:hint="eastAsia"/>
              </w:rPr>
              <w:t>限值</w:t>
            </w:r>
          </w:p>
          <w:tbl>
            <w:tblPr>
              <w:tblStyle w:val="25"/>
              <w:tblW w:w="8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569"/>
              <w:gridCol w:w="1436"/>
              <w:gridCol w:w="1291"/>
              <w:gridCol w:w="2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884" w:type="dxa"/>
                  <w:tcBorders>
                    <w:top w:val="single" w:color="auto" w:sz="12" w:space="0"/>
                    <w:left w:val="nil"/>
                    <w:bottom w:val="single" w:color="auto" w:sz="4" w:space="0"/>
                    <w:right w:val="single" w:color="auto" w:sz="4" w:space="0"/>
                  </w:tcBorders>
                  <w:vAlign w:val="center"/>
                </w:tcPr>
                <w:p>
                  <w:pPr>
                    <w:overflowPunct w:val="0"/>
                    <w:jc w:val="center"/>
                  </w:pPr>
                  <w:r>
                    <w:t>污染物</w:t>
                  </w:r>
                </w:p>
              </w:tc>
              <w:tc>
                <w:tcPr>
                  <w:tcW w:w="1569" w:type="dxa"/>
                  <w:tcBorders>
                    <w:top w:val="single" w:color="auto" w:sz="12" w:space="0"/>
                    <w:left w:val="single" w:color="auto" w:sz="4" w:space="0"/>
                    <w:bottom w:val="single" w:color="auto" w:sz="4" w:space="0"/>
                    <w:right w:val="single" w:color="auto" w:sz="4" w:space="0"/>
                  </w:tcBorders>
                  <w:vAlign w:val="center"/>
                </w:tcPr>
                <w:p>
                  <w:pPr>
                    <w:overflowPunct w:val="0"/>
                    <w:jc w:val="center"/>
                  </w:pPr>
                  <w:r>
                    <w:t>监控点1h评价浓度值（mg/m3）</w:t>
                  </w:r>
                </w:p>
              </w:tc>
              <w:tc>
                <w:tcPr>
                  <w:tcW w:w="1436" w:type="dxa"/>
                  <w:tcBorders>
                    <w:top w:val="single" w:color="auto" w:sz="12" w:space="0"/>
                    <w:left w:val="single" w:color="auto" w:sz="4" w:space="0"/>
                    <w:bottom w:val="single" w:color="auto" w:sz="4" w:space="0"/>
                    <w:right w:val="single" w:color="auto" w:sz="4" w:space="0"/>
                  </w:tcBorders>
                  <w:vAlign w:val="center"/>
                </w:tcPr>
                <w:p>
                  <w:pPr>
                    <w:overflowPunct w:val="0"/>
                    <w:jc w:val="center"/>
                  </w:pPr>
                  <w:r>
                    <w:t>监控点任意一次浓度值（mg/m3）</w:t>
                  </w:r>
                </w:p>
              </w:tc>
              <w:tc>
                <w:tcPr>
                  <w:tcW w:w="1291" w:type="dxa"/>
                  <w:tcBorders>
                    <w:top w:val="single" w:color="auto" w:sz="12" w:space="0"/>
                    <w:left w:val="single" w:color="auto" w:sz="4" w:space="0"/>
                    <w:bottom w:val="single" w:color="auto" w:sz="4" w:space="0"/>
                    <w:right w:val="single" w:color="auto" w:sz="4" w:space="0"/>
                  </w:tcBorders>
                  <w:vAlign w:val="center"/>
                </w:tcPr>
                <w:p>
                  <w:pPr>
                    <w:overflowPunct w:val="0"/>
                    <w:jc w:val="center"/>
                  </w:pPr>
                  <w:r>
                    <w:t>无组织监控点位置</w:t>
                  </w:r>
                </w:p>
              </w:tc>
              <w:tc>
                <w:tcPr>
                  <w:tcW w:w="2890" w:type="dxa"/>
                  <w:tcBorders>
                    <w:top w:val="single" w:color="auto" w:sz="12" w:space="0"/>
                    <w:left w:val="single" w:color="auto" w:sz="4" w:space="0"/>
                    <w:bottom w:val="single" w:color="auto" w:sz="4" w:space="0"/>
                    <w:right w:val="nil"/>
                  </w:tcBorders>
                  <w:vAlign w:val="center"/>
                </w:tcPr>
                <w:p>
                  <w:pPr>
                    <w:overflowPunct w:val="0"/>
                    <w:jc w:val="center"/>
                  </w:pPr>
                  <w: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884" w:type="dxa"/>
                  <w:tcBorders>
                    <w:top w:val="single" w:color="auto" w:sz="4" w:space="0"/>
                    <w:left w:val="nil"/>
                    <w:bottom w:val="single" w:color="auto" w:sz="12" w:space="0"/>
                    <w:right w:val="single" w:color="auto" w:sz="4" w:space="0"/>
                  </w:tcBorders>
                  <w:vAlign w:val="center"/>
                </w:tcPr>
                <w:p>
                  <w:pPr>
                    <w:overflowPunct w:val="0"/>
                    <w:jc w:val="center"/>
                  </w:pPr>
                  <w:r>
                    <w:t>非甲烷总烃</w:t>
                  </w:r>
                </w:p>
              </w:tc>
              <w:tc>
                <w:tcPr>
                  <w:tcW w:w="1569" w:type="dxa"/>
                  <w:tcBorders>
                    <w:top w:val="single" w:color="auto" w:sz="4" w:space="0"/>
                    <w:left w:val="single" w:color="auto" w:sz="4" w:space="0"/>
                    <w:bottom w:val="single" w:color="auto" w:sz="12" w:space="0"/>
                    <w:right w:val="single" w:color="auto" w:sz="4" w:space="0"/>
                  </w:tcBorders>
                  <w:vAlign w:val="center"/>
                </w:tcPr>
                <w:p>
                  <w:pPr>
                    <w:overflowPunct w:val="0"/>
                    <w:jc w:val="center"/>
                  </w:pPr>
                  <w:r>
                    <w:t>6</w:t>
                  </w:r>
                </w:p>
              </w:tc>
              <w:tc>
                <w:tcPr>
                  <w:tcW w:w="1436" w:type="dxa"/>
                  <w:tcBorders>
                    <w:top w:val="single" w:color="auto" w:sz="4" w:space="0"/>
                    <w:left w:val="single" w:color="auto" w:sz="4" w:space="0"/>
                    <w:bottom w:val="single" w:color="auto" w:sz="12" w:space="0"/>
                    <w:right w:val="single" w:color="auto" w:sz="4" w:space="0"/>
                  </w:tcBorders>
                  <w:vAlign w:val="center"/>
                </w:tcPr>
                <w:p>
                  <w:pPr>
                    <w:overflowPunct w:val="0"/>
                    <w:jc w:val="center"/>
                  </w:pPr>
                  <w:r>
                    <w:t>20</w:t>
                  </w:r>
                </w:p>
              </w:tc>
              <w:tc>
                <w:tcPr>
                  <w:tcW w:w="1291" w:type="dxa"/>
                  <w:tcBorders>
                    <w:top w:val="single" w:color="auto" w:sz="4" w:space="0"/>
                    <w:left w:val="single" w:color="auto" w:sz="4" w:space="0"/>
                    <w:bottom w:val="single" w:color="auto" w:sz="12" w:space="0"/>
                    <w:right w:val="single" w:color="auto" w:sz="4" w:space="0"/>
                  </w:tcBorders>
                  <w:vAlign w:val="center"/>
                </w:tcPr>
                <w:p>
                  <w:pPr>
                    <w:overflowPunct w:val="0"/>
                    <w:jc w:val="center"/>
                  </w:pPr>
                  <w:r>
                    <w:t>在厂房外设置监控点</w:t>
                  </w:r>
                </w:p>
              </w:tc>
              <w:tc>
                <w:tcPr>
                  <w:tcW w:w="2890" w:type="dxa"/>
                  <w:tcBorders>
                    <w:top w:val="single" w:color="auto" w:sz="4" w:space="0"/>
                    <w:left w:val="single" w:color="auto" w:sz="4" w:space="0"/>
                    <w:bottom w:val="single" w:color="auto" w:sz="12" w:space="0"/>
                    <w:right w:val="nil"/>
                  </w:tcBorders>
                  <w:vAlign w:val="center"/>
                </w:tcPr>
                <w:p>
                  <w:pPr>
                    <w:overflowPunct w:val="0"/>
                    <w:jc w:val="center"/>
                  </w:pPr>
                  <w:r>
                    <w:t>《挥发性有机物无组织排放控制标准》（GB37822-2019）附录A.1</w:t>
                  </w:r>
                  <w:r>
                    <w:rPr>
                      <w:rFonts w:hint="eastAsia"/>
                    </w:rPr>
                    <w:t>特别排放</w:t>
                  </w:r>
                  <w:r>
                    <w:t>限值</w:t>
                  </w:r>
                </w:p>
              </w:tc>
            </w:tr>
          </w:tbl>
          <w:p>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2、本项目噪声执行《工业企业厂界环境噪声排放标准》（GB12348-2008）中2类标准限值，详见表3-7。</w:t>
            </w:r>
          </w:p>
          <w:p>
            <w:pPr>
              <w:adjustRightInd w:val="0"/>
              <w:snapToGrid w:val="0"/>
              <w:ind w:firstLine="420" w:firstLineChars="200"/>
            </w:pPr>
            <w:r>
              <w:t>表3</w:t>
            </w:r>
            <w:r>
              <w:rPr>
                <w:rFonts w:hint="eastAsia"/>
              </w:rPr>
              <w:t>-7</w:t>
            </w:r>
            <w:r>
              <w:t xml:space="preserve">                </w:t>
            </w:r>
            <w:r>
              <w:rPr>
                <w:rFonts w:hint="eastAsia"/>
              </w:rPr>
              <w:t xml:space="preserve">  </w:t>
            </w:r>
            <w:r>
              <w:t>工业企业厂界环境噪声排放标准</w:t>
            </w:r>
          </w:p>
          <w:tbl>
            <w:tblPr>
              <w:tblStyle w:val="25"/>
              <w:tblW w:w="8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564"/>
              <w:gridCol w:w="1420"/>
              <w:gridCol w:w="4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57" w:type="dxa"/>
                  <w:tcBorders>
                    <w:top w:val="single" w:color="auto" w:sz="12" w:space="0"/>
                    <w:left w:val="nil"/>
                    <w:bottom w:val="single" w:color="auto" w:sz="4" w:space="0"/>
                    <w:right w:val="single" w:color="auto" w:sz="4" w:space="0"/>
                  </w:tcBorders>
                  <w:vAlign w:val="center"/>
                </w:tcPr>
                <w:p>
                  <w:pPr>
                    <w:jc w:val="center"/>
                  </w:pPr>
                  <w:r>
                    <w:rPr>
                      <w:rFonts w:hint="eastAsia"/>
                    </w:rPr>
                    <w:t>时期</w:t>
                  </w:r>
                </w:p>
              </w:tc>
              <w:tc>
                <w:tcPr>
                  <w:tcW w:w="1564" w:type="dxa"/>
                  <w:tcBorders>
                    <w:top w:val="single" w:color="auto" w:sz="12" w:space="0"/>
                    <w:left w:val="single" w:color="auto" w:sz="4" w:space="0"/>
                    <w:bottom w:val="single" w:color="auto" w:sz="4" w:space="0"/>
                    <w:right w:val="single" w:color="auto" w:sz="4" w:space="0"/>
                  </w:tcBorders>
                  <w:vAlign w:val="center"/>
                </w:tcPr>
                <w:p>
                  <w:pPr>
                    <w:jc w:val="center"/>
                  </w:pPr>
                  <w:r>
                    <w:t>昼间/dB（A）</w:t>
                  </w:r>
                </w:p>
              </w:tc>
              <w:tc>
                <w:tcPr>
                  <w:tcW w:w="1420" w:type="dxa"/>
                  <w:tcBorders>
                    <w:top w:val="single" w:color="auto" w:sz="12" w:space="0"/>
                    <w:left w:val="single" w:color="auto" w:sz="4" w:space="0"/>
                    <w:bottom w:val="single" w:color="auto" w:sz="4" w:space="0"/>
                    <w:right w:val="nil"/>
                  </w:tcBorders>
                  <w:vAlign w:val="center"/>
                </w:tcPr>
                <w:p>
                  <w:pPr>
                    <w:jc w:val="center"/>
                  </w:pPr>
                  <w:r>
                    <w:t>夜间/dB（A）</w:t>
                  </w:r>
                </w:p>
              </w:tc>
              <w:tc>
                <w:tcPr>
                  <w:tcW w:w="4029" w:type="dxa"/>
                  <w:tcBorders>
                    <w:top w:val="single" w:color="auto" w:sz="12" w:space="0"/>
                    <w:left w:val="single" w:color="auto" w:sz="4" w:space="0"/>
                    <w:bottom w:val="single" w:color="auto" w:sz="4" w:space="0"/>
                    <w:right w:val="nil"/>
                  </w:tcBorders>
                  <w:vAlign w:val="center"/>
                </w:tcPr>
                <w:p>
                  <w:pPr>
                    <w:jc w:val="center"/>
                  </w:pPr>
                  <w:r>
                    <w:rPr>
                      <w:rFonts w:hint="eastAsia"/>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57" w:type="dxa"/>
                  <w:tcBorders>
                    <w:top w:val="single" w:color="auto" w:sz="4" w:space="0"/>
                    <w:left w:val="nil"/>
                    <w:bottom w:val="single" w:color="auto" w:sz="12" w:space="0"/>
                    <w:right w:val="single" w:color="auto" w:sz="4" w:space="0"/>
                  </w:tcBorders>
                  <w:vAlign w:val="center"/>
                </w:tcPr>
                <w:p>
                  <w:pPr>
                    <w:jc w:val="center"/>
                  </w:pPr>
                  <w:r>
                    <w:rPr>
                      <w:rFonts w:hint="eastAsia"/>
                    </w:rPr>
                    <w:t>运营期</w:t>
                  </w:r>
                </w:p>
              </w:tc>
              <w:tc>
                <w:tcPr>
                  <w:tcW w:w="1564" w:type="dxa"/>
                  <w:tcBorders>
                    <w:top w:val="single" w:color="auto" w:sz="4" w:space="0"/>
                    <w:left w:val="single" w:color="auto" w:sz="4" w:space="0"/>
                    <w:bottom w:val="single" w:color="auto" w:sz="12" w:space="0"/>
                    <w:right w:val="single" w:color="auto" w:sz="4" w:space="0"/>
                  </w:tcBorders>
                  <w:vAlign w:val="center"/>
                </w:tcPr>
                <w:p>
                  <w:pPr>
                    <w:jc w:val="center"/>
                  </w:pPr>
                  <w:r>
                    <w:t>6</w:t>
                  </w:r>
                  <w:r>
                    <w:rPr>
                      <w:rFonts w:hint="eastAsia"/>
                    </w:rPr>
                    <w:t>0</w:t>
                  </w:r>
                </w:p>
              </w:tc>
              <w:tc>
                <w:tcPr>
                  <w:tcW w:w="1420" w:type="dxa"/>
                  <w:tcBorders>
                    <w:top w:val="single" w:color="auto" w:sz="4" w:space="0"/>
                    <w:left w:val="single" w:color="auto" w:sz="4" w:space="0"/>
                    <w:bottom w:val="single" w:color="auto" w:sz="12" w:space="0"/>
                    <w:right w:val="nil"/>
                  </w:tcBorders>
                  <w:vAlign w:val="center"/>
                </w:tcPr>
                <w:p>
                  <w:pPr>
                    <w:jc w:val="center"/>
                  </w:pPr>
                  <w:r>
                    <w:t>5</w:t>
                  </w:r>
                  <w:r>
                    <w:rPr>
                      <w:rFonts w:hint="eastAsia"/>
                    </w:rPr>
                    <w:t>0</w:t>
                  </w:r>
                </w:p>
              </w:tc>
              <w:tc>
                <w:tcPr>
                  <w:tcW w:w="4029" w:type="dxa"/>
                  <w:tcBorders>
                    <w:top w:val="single" w:color="auto" w:sz="4" w:space="0"/>
                    <w:left w:val="single" w:color="auto" w:sz="4" w:space="0"/>
                    <w:bottom w:val="single" w:color="auto" w:sz="12" w:space="0"/>
                    <w:right w:val="nil"/>
                  </w:tcBorders>
                  <w:vAlign w:val="center"/>
                </w:tcPr>
                <w:p>
                  <w:pPr>
                    <w:jc w:val="center"/>
                  </w:pPr>
                  <w:r>
                    <w:t>《工业企业厂界环境噪声排放标准》（GB12348-2008）中</w:t>
                  </w:r>
                  <w:r>
                    <w:rPr>
                      <w:rFonts w:hint="eastAsia"/>
                    </w:rPr>
                    <w:t>2</w:t>
                  </w:r>
                  <w:r>
                    <w:t>类标准</w:t>
                  </w:r>
                </w:p>
              </w:tc>
            </w:tr>
          </w:tbl>
          <w:p>
            <w:pPr>
              <w:numPr>
                <w:ilvl w:val="0"/>
                <w:numId w:val="2"/>
              </w:numPr>
              <w:spacing w:line="480" w:lineRule="exact"/>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一般工业固体废物执行《一般工业固体废物贮存、处置场污染控制标准》（GB18599-2020）中有关规定；《危险废物贮存污染控制标准》（GB18597-2023）。</w:t>
            </w:r>
          </w:p>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33" w:hRule="atLeast"/>
          <w:jc w:val="center"/>
        </w:trPr>
        <w:tc>
          <w:tcPr>
            <w:tcW w:w="576" w:type="dxa"/>
            <w:tcMar>
              <w:left w:w="28" w:type="dxa"/>
              <w:right w:w="28" w:type="dxa"/>
            </w:tcMar>
            <w:vAlign w:val="center"/>
          </w:tcPr>
          <w:p>
            <w:pPr>
              <w:adjustRightInd w:val="0"/>
              <w:snapToGrid w:val="0"/>
              <w:jc w:val="center"/>
              <w:rPr>
                <w:kern w:val="0"/>
                <w:sz w:val="24"/>
                <w:szCs w:val="21"/>
              </w:rPr>
            </w:pPr>
            <w:r>
              <w:rPr>
                <w:kern w:val="0"/>
                <w:sz w:val="24"/>
                <w:szCs w:val="21"/>
              </w:rPr>
              <w:t>总量</w:t>
            </w:r>
          </w:p>
          <w:p>
            <w:pPr>
              <w:adjustRightInd w:val="0"/>
              <w:snapToGrid w:val="0"/>
              <w:jc w:val="center"/>
              <w:rPr>
                <w:kern w:val="0"/>
                <w:sz w:val="24"/>
                <w:szCs w:val="21"/>
              </w:rPr>
            </w:pPr>
            <w:r>
              <w:rPr>
                <w:kern w:val="0"/>
                <w:sz w:val="24"/>
                <w:szCs w:val="21"/>
              </w:rPr>
              <w:t>控制</w:t>
            </w:r>
          </w:p>
          <w:p>
            <w:pPr>
              <w:adjustRightInd w:val="0"/>
              <w:snapToGrid w:val="0"/>
              <w:jc w:val="center"/>
              <w:rPr>
                <w:kern w:val="0"/>
                <w:sz w:val="24"/>
                <w:szCs w:val="21"/>
              </w:rPr>
            </w:pPr>
            <w:r>
              <w:rPr>
                <w:kern w:val="0"/>
                <w:sz w:val="24"/>
                <w:szCs w:val="21"/>
              </w:rPr>
              <w:t>指标</w:t>
            </w:r>
          </w:p>
        </w:tc>
        <w:tc>
          <w:tcPr>
            <w:tcW w:w="8286" w:type="dxa"/>
            <w:vAlign w:val="center"/>
          </w:tcPr>
          <w:p>
            <w:pPr>
              <w:pStyle w:val="53"/>
              <w:spacing w:line="480" w:lineRule="exact"/>
              <w:rPr>
                <w:bCs/>
                <w:color w:val="000000" w:themeColor="text1"/>
                <w:kern w:val="0"/>
                <w:szCs w:val="21"/>
              </w:rPr>
            </w:pPr>
            <w:r>
              <w:rPr>
                <w:bCs/>
                <w:color w:val="000000" w:themeColor="text1"/>
                <w:kern w:val="0"/>
                <w:szCs w:val="21"/>
              </w:rPr>
              <w:t>根据</w:t>
            </w:r>
            <w:r>
              <w:rPr>
                <w:rFonts w:hint="eastAsia"/>
                <w:bCs/>
                <w:color w:val="000000" w:themeColor="text1"/>
                <w:kern w:val="0"/>
                <w:szCs w:val="21"/>
              </w:rPr>
              <w:t>国家</w:t>
            </w:r>
            <w:r>
              <w:rPr>
                <w:bCs/>
                <w:color w:val="000000" w:themeColor="text1"/>
                <w:kern w:val="0"/>
                <w:szCs w:val="21"/>
              </w:rPr>
              <w:t>总量控制计划，综合考虑本项目所在区域环境质量现状等因素，本项目</w:t>
            </w:r>
            <w:r>
              <w:rPr>
                <w:rFonts w:hint="eastAsia"/>
                <w:bCs/>
                <w:color w:val="000000" w:themeColor="text1"/>
                <w:kern w:val="0"/>
                <w:szCs w:val="21"/>
              </w:rPr>
              <w:t>新增非甲烷总烃</w:t>
            </w:r>
            <w:r>
              <w:rPr>
                <w:bCs/>
                <w:color w:val="000000" w:themeColor="text1"/>
                <w:kern w:val="0"/>
                <w:szCs w:val="21"/>
              </w:rPr>
              <w:t>总量</w:t>
            </w:r>
            <w:r>
              <w:rPr>
                <w:rFonts w:hint="eastAsia"/>
                <w:bCs/>
                <w:color w:val="000000" w:themeColor="text1"/>
                <w:kern w:val="0"/>
                <w:szCs w:val="21"/>
              </w:rPr>
              <w:t>控制指标：1.166t/a</w:t>
            </w:r>
            <w:r>
              <w:rPr>
                <w:bCs/>
                <w:color w:val="000000" w:themeColor="text1"/>
                <w:kern w:val="0"/>
                <w:szCs w:val="21"/>
              </w:rPr>
              <w:t>。</w:t>
            </w:r>
          </w:p>
          <w:p>
            <w:pPr>
              <w:pStyle w:val="53"/>
              <w:spacing w:line="480" w:lineRule="exact"/>
              <w:rPr>
                <w:bCs/>
                <w:color w:val="000000" w:themeColor="text1"/>
                <w:kern w:val="0"/>
                <w:szCs w:val="21"/>
              </w:rPr>
            </w:pPr>
            <w:r>
              <w:rPr>
                <w:rFonts w:hint="eastAsia"/>
                <w:bCs/>
                <w:color w:val="000000" w:themeColor="text1"/>
                <w:kern w:val="0"/>
                <w:szCs w:val="21"/>
              </w:rPr>
              <w:t>本项目总量控制指标非甲烷总烃需要倍量替代，倍量替代量为2.332t/a，建设单位应向当地管理部门申请总量指标。</w:t>
            </w:r>
          </w:p>
          <w:p/>
        </w:tc>
      </w:tr>
    </w:tbl>
    <w:p>
      <w:pPr>
        <w:pStyle w:val="21"/>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5"/>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7"/>
        <w:gridCol w:w="86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307" w:type="dxa"/>
            <w:tcMar>
              <w:left w:w="28" w:type="dxa"/>
              <w:right w:w="28" w:type="dxa"/>
            </w:tcMar>
            <w:vAlign w:val="center"/>
          </w:tcPr>
          <w:p>
            <w:pPr>
              <w:pStyle w:val="21"/>
              <w:adjustRightInd w:val="0"/>
              <w:snapToGrid w:val="0"/>
              <w:spacing w:before="0" w:beforeAutospacing="0" w:after="0" w:afterAutospacing="0"/>
              <w:jc w:val="center"/>
              <w:rPr>
                <w:rFonts w:ascii="Times New Roman" w:hAnsi="Times New Roman"/>
                <w:kern w:val="2"/>
                <w:szCs w:val="21"/>
              </w:rPr>
            </w:pPr>
            <w:r>
              <w:rPr>
                <w:rFonts w:ascii="Times New Roman" w:hAnsi="Times New Roman"/>
                <w:kern w:val="2"/>
                <w:szCs w:val="21"/>
              </w:rPr>
              <w:t>施工</w:t>
            </w:r>
          </w:p>
          <w:p>
            <w:pPr>
              <w:pStyle w:val="21"/>
              <w:adjustRightInd w:val="0"/>
              <w:snapToGrid w:val="0"/>
              <w:spacing w:before="0" w:beforeAutospacing="0" w:after="0" w:afterAutospacing="0"/>
              <w:jc w:val="center"/>
              <w:rPr>
                <w:rFonts w:ascii="Times New Roman" w:hAnsi="Times New Roman"/>
                <w:kern w:val="2"/>
                <w:szCs w:val="21"/>
              </w:rPr>
            </w:pPr>
            <w:r>
              <w:rPr>
                <w:rFonts w:ascii="Times New Roman" w:hAnsi="Times New Roman"/>
                <w:kern w:val="2"/>
                <w:szCs w:val="21"/>
              </w:rPr>
              <w:t>期环</w:t>
            </w:r>
          </w:p>
          <w:p>
            <w:pPr>
              <w:pStyle w:val="21"/>
              <w:adjustRightInd w:val="0"/>
              <w:snapToGrid w:val="0"/>
              <w:spacing w:before="0" w:beforeAutospacing="0" w:after="0" w:afterAutospacing="0"/>
              <w:jc w:val="center"/>
              <w:rPr>
                <w:rFonts w:ascii="Times New Roman" w:hAnsi="Times New Roman"/>
                <w:kern w:val="2"/>
                <w:szCs w:val="21"/>
              </w:rPr>
            </w:pPr>
            <w:r>
              <w:rPr>
                <w:rFonts w:ascii="Times New Roman" w:hAnsi="Times New Roman"/>
                <w:kern w:val="2"/>
                <w:szCs w:val="21"/>
              </w:rPr>
              <w:t>境保</w:t>
            </w:r>
          </w:p>
          <w:p>
            <w:pPr>
              <w:pStyle w:val="21"/>
              <w:adjustRightInd w:val="0"/>
              <w:snapToGrid w:val="0"/>
              <w:spacing w:before="0" w:beforeAutospacing="0" w:after="0" w:afterAutospacing="0"/>
              <w:jc w:val="center"/>
              <w:rPr>
                <w:rFonts w:ascii="Times New Roman" w:hAnsi="Times New Roman"/>
                <w:kern w:val="2"/>
                <w:szCs w:val="21"/>
              </w:rPr>
            </w:pPr>
            <w:r>
              <w:rPr>
                <w:rFonts w:ascii="Times New Roman" w:hAnsi="Times New Roman"/>
                <w:kern w:val="2"/>
                <w:szCs w:val="21"/>
              </w:rPr>
              <w:t>护措</w:t>
            </w:r>
          </w:p>
          <w:p>
            <w:pPr>
              <w:pStyle w:val="21"/>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1"/>
              </w:rPr>
              <w:t>施</w:t>
            </w:r>
          </w:p>
        </w:tc>
        <w:tc>
          <w:tcPr>
            <w:tcW w:w="8674" w:type="dxa"/>
            <w:vAlign w:val="center"/>
          </w:tcPr>
          <w:p>
            <w:pPr>
              <w:tabs>
                <w:tab w:val="center" w:pos="4736"/>
              </w:tabs>
              <w:spacing w:line="480" w:lineRule="exact"/>
              <w:ind w:firstLine="482" w:firstLineChars="200"/>
              <w:rPr>
                <w:b/>
                <w:bCs/>
                <w:sz w:val="24"/>
              </w:rPr>
            </w:pPr>
            <w:r>
              <w:rPr>
                <w:rFonts w:hint="eastAsia"/>
                <w:b/>
                <w:bCs/>
                <w:sz w:val="24"/>
              </w:rPr>
              <w:t>1、废气防治措施</w:t>
            </w:r>
          </w:p>
          <w:p>
            <w:pPr>
              <w:tabs>
                <w:tab w:val="center" w:pos="4736"/>
              </w:tabs>
              <w:spacing w:line="480" w:lineRule="exact"/>
              <w:ind w:firstLine="480" w:firstLineChars="200"/>
              <w:rPr>
                <w:sz w:val="24"/>
              </w:rPr>
            </w:pPr>
            <w:r>
              <w:rPr>
                <w:sz w:val="24"/>
              </w:rPr>
              <w:t>大气污染源主要包括设备安装过程产生的施工扬尘；施工</w:t>
            </w:r>
            <w:r>
              <w:rPr>
                <w:rFonts w:hint="eastAsia"/>
                <w:sz w:val="24"/>
              </w:rPr>
              <w:t>设备</w:t>
            </w:r>
            <w:r>
              <w:rPr>
                <w:sz w:val="24"/>
              </w:rPr>
              <w:t>装卸、运输扬尘</w:t>
            </w:r>
            <w:r>
              <w:rPr>
                <w:rFonts w:hint="eastAsia"/>
                <w:sz w:val="24"/>
              </w:rPr>
              <w:t>，</w:t>
            </w:r>
            <w:r>
              <w:rPr>
                <w:sz w:val="24"/>
              </w:rPr>
              <w:t>为无组织排放。施工期</w:t>
            </w:r>
            <w:r>
              <w:rPr>
                <w:rFonts w:hint="eastAsia"/>
                <w:sz w:val="24"/>
              </w:rPr>
              <w:t>对</w:t>
            </w:r>
            <w:r>
              <w:rPr>
                <w:sz w:val="24"/>
              </w:rPr>
              <w:t>施工场地适当洒水，增强湿度，则可有效减少扬尘量</w:t>
            </w:r>
            <w:r>
              <w:rPr>
                <w:rFonts w:hint="eastAsia"/>
                <w:sz w:val="24"/>
              </w:rPr>
              <w:t>，建设单位应严格采取相应的控制措施，切实做好施工期扬尘和废气的防控措施。</w:t>
            </w:r>
          </w:p>
          <w:p>
            <w:pPr>
              <w:tabs>
                <w:tab w:val="center" w:pos="4736"/>
              </w:tabs>
              <w:spacing w:line="480" w:lineRule="exact"/>
              <w:ind w:firstLine="482" w:firstLineChars="200"/>
              <w:rPr>
                <w:b/>
                <w:bCs/>
                <w:sz w:val="24"/>
              </w:rPr>
            </w:pPr>
            <w:r>
              <w:rPr>
                <w:rFonts w:hint="eastAsia"/>
                <w:b/>
                <w:bCs/>
                <w:sz w:val="24"/>
              </w:rPr>
              <w:t>2、废水防治措施</w:t>
            </w:r>
          </w:p>
          <w:p>
            <w:pPr>
              <w:tabs>
                <w:tab w:val="center" w:pos="4736"/>
              </w:tabs>
              <w:spacing w:line="480" w:lineRule="exact"/>
              <w:ind w:firstLine="480" w:firstLineChars="200"/>
              <w:rPr>
                <w:sz w:val="24"/>
              </w:rPr>
            </w:pPr>
            <w:r>
              <w:rPr>
                <w:sz w:val="24"/>
              </w:rPr>
              <w:t>施工期间日进场施工人数平均约为</w:t>
            </w:r>
            <w:r>
              <w:rPr>
                <w:rFonts w:hint="eastAsia"/>
                <w:sz w:val="24"/>
              </w:rPr>
              <w:t>4</w:t>
            </w:r>
            <w:r>
              <w:rPr>
                <w:sz w:val="24"/>
              </w:rPr>
              <w:t>人。施工人员人均生活用水量为</w:t>
            </w:r>
            <w:r>
              <w:rPr>
                <w:rFonts w:hint="eastAsia"/>
                <w:sz w:val="24"/>
              </w:rPr>
              <w:t>8</w:t>
            </w:r>
            <w:r>
              <w:rPr>
                <w:sz w:val="24"/>
              </w:rPr>
              <w:t>0L/（d·人），生活污水按用水量的80%计，则施工期生活污水产生量为</w:t>
            </w:r>
            <w:r>
              <w:rPr>
                <w:rFonts w:hint="eastAsia"/>
                <w:sz w:val="24"/>
              </w:rPr>
              <w:t>3200L</w:t>
            </w:r>
            <w:r>
              <w:rPr>
                <w:sz w:val="24"/>
              </w:rPr>
              <w:t>。施工人员</w:t>
            </w:r>
            <w:r>
              <w:rPr>
                <w:rFonts w:hint="eastAsia"/>
                <w:sz w:val="24"/>
              </w:rPr>
              <w:t>依托现有厂区生活区</w:t>
            </w:r>
            <w:r>
              <w:rPr>
                <w:sz w:val="24"/>
              </w:rPr>
              <w:t>的生活设施。因此，项目生活污水对周围环境造成影响小。</w:t>
            </w:r>
          </w:p>
          <w:p>
            <w:pPr>
              <w:tabs>
                <w:tab w:val="center" w:pos="4736"/>
              </w:tabs>
              <w:spacing w:line="480" w:lineRule="exact"/>
              <w:ind w:firstLine="482" w:firstLineChars="200"/>
              <w:rPr>
                <w:b/>
                <w:bCs/>
                <w:sz w:val="24"/>
              </w:rPr>
            </w:pPr>
            <w:r>
              <w:rPr>
                <w:rFonts w:hint="eastAsia"/>
                <w:b/>
                <w:bCs/>
                <w:sz w:val="24"/>
              </w:rPr>
              <w:t>3、噪声防治措施</w:t>
            </w:r>
          </w:p>
          <w:p>
            <w:pPr>
              <w:tabs>
                <w:tab w:val="center" w:pos="4736"/>
              </w:tabs>
              <w:spacing w:line="480" w:lineRule="exact"/>
              <w:ind w:firstLine="480" w:firstLineChars="200"/>
              <w:rPr>
                <w:sz w:val="24"/>
              </w:rPr>
            </w:pPr>
            <w:r>
              <w:rPr>
                <w:rFonts w:hint="eastAsia"/>
                <w:sz w:val="24"/>
              </w:rPr>
              <w:t>项目</w:t>
            </w:r>
            <w:r>
              <w:rPr>
                <w:sz w:val="24"/>
              </w:rPr>
              <w:t>施工均在地面作业，为了尽可能降低施工噪声的影响，建议建设单位应采取以下对策与措施：</w:t>
            </w:r>
          </w:p>
          <w:p>
            <w:pPr>
              <w:tabs>
                <w:tab w:val="center" w:pos="4736"/>
              </w:tabs>
              <w:spacing w:line="480" w:lineRule="exact"/>
              <w:ind w:firstLine="480" w:firstLineChars="200"/>
              <w:rPr>
                <w:sz w:val="24"/>
              </w:rPr>
            </w:pPr>
            <w:r>
              <w:rPr>
                <w:sz w:val="24"/>
              </w:rPr>
              <w:t>（1）尽量使用低噪声的施工设备；对各施工环节中噪声较为突出且又难以对声源进行降噪的设备装置，应采取临时围障措施，以期达到降噪效果。</w:t>
            </w:r>
          </w:p>
          <w:p>
            <w:pPr>
              <w:tabs>
                <w:tab w:val="center" w:pos="4736"/>
              </w:tabs>
              <w:spacing w:line="480" w:lineRule="exact"/>
              <w:ind w:firstLine="480" w:firstLineChars="200"/>
              <w:rPr>
                <w:sz w:val="24"/>
              </w:rPr>
            </w:pPr>
            <w:r>
              <w:rPr>
                <w:sz w:val="24"/>
              </w:rPr>
              <w:t>（</w:t>
            </w:r>
            <w:r>
              <w:rPr>
                <w:rFonts w:hint="eastAsia"/>
                <w:sz w:val="24"/>
              </w:rPr>
              <w:t>2</w:t>
            </w:r>
            <w:r>
              <w:rPr>
                <w:sz w:val="24"/>
              </w:rPr>
              <w:t>）运输车辆尽量减少鸣笛，降低运输噪声。</w:t>
            </w:r>
          </w:p>
          <w:p>
            <w:pPr>
              <w:tabs>
                <w:tab w:val="center" w:pos="4736"/>
              </w:tabs>
              <w:spacing w:line="480" w:lineRule="exact"/>
              <w:ind w:firstLine="480" w:firstLineChars="200"/>
              <w:rPr>
                <w:sz w:val="24"/>
              </w:rPr>
            </w:pPr>
            <w:r>
              <w:rPr>
                <w:sz w:val="24"/>
              </w:rPr>
              <w:t>经采取以上措施后，将会有效抑制施工噪声对周边的影响，基本能达到《建筑施工场界环境噪声排放标准》（GB12523-2011），即：昼间≤70dB、夜间≤55dB。本项目在夜间时段</w:t>
            </w:r>
            <w:r>
              <w:rPr>
                <w:rFonts w:hint="eastAsia"/>
                <w:sz w:val="24"/>
              </w:rPr>
              <w:t>不</w:t>
            </w:r>
            <w:r>
              <w:rPr>
                <w:sz w:val="24"/>
              </w:rPr>
              <w:t>安排施工。</w:t>
            </w:r>
          </w:p>
          <w:p>
            <w:pPr>
              <w:tabs>
                <w:tab w:val="center" w:pos="4736"/>
              </w:tabs>
              <w:spacing w:line="480" w:lineRule="exact"/>
              <w:ind w:firstLine="482" w:firstLineChars="200"/>
              <w:rPr>
                <w:b/>
                <w:bCs/>
                <w:sz w:val="24"/>
              </w:rPr>
            </w:pPr>
            <w:r>
              <w:rPr>
                <w:rFonts w:hint="eastAsia"/>
                <w:b/>
                <w:bCs/>
                <w:sz w:val="24"/>
              </w:rPr>
              <w:t>4、固体废物</w:t>
            </w:r>
          </w:p>
          <w:p>
            <w:pPr>
              <w:tabs>
                <w:tab w:val="center" w:pos="4736"/>
              </w:tabs>
              <w:spacing w:line="480" w:lineRule="exact"/>
              <w:ind w:firstLine="480" w:firstLineChars="200"/>
              <w:rPr>
                <w:sz w:val="24"/>
              </w:rPr>
            </w:pPr>
            <w:r>
              <w:rPr>
                <w:sz w:val="24"/>
              </w:rPr>
              <w:t>施工期间固体废物包括</w:t>
            </w:r>
            <w:r>
              <w:rPr>
                <w:rFonts w:hint="eastAsia"/>
                <w:sz w:val="24"/>
              </w:rPr>
              <w:t>设备包装材料</w:t>
            </w:r>
            <w:r>
              <w:rPr>
                <w:sz w:val="24"/>
              </w:rPr>
              <w:t>垃圾和施工人员的生活垃圾。</w:t>
            </w:r>
          </w:p>
          <w:p>
            <w:pPr>
              <w:tabs>
                <w:tab w:val="center" w:pos="4736"/>
              </w:tabs>
              <w:spacing w:line="480" w:lineRule="exact"/>
              <w:ind w:firstLine="480" w:firstLineChars="200"/>
              <w:rPr>
                <w:bCs/>
              </w:rPr>
            </w:pPr>
            <w:r>
              <w:rPr>
                <w:rFonts w:hint="eastAsia"/>
                <w:sz w:val="24"/>
              </w:rPr>
              <w:t>本项目施工期产生设备包装材料垃圾全部集中堆放，定时清运，对环境影响小。施工人员的食宿依托厂区现有生活区。施工人员产生生活垃圾集中收集后由环卫部门集中处理，对环境影响小。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307" w:type="dxa"/>
            <w:tcMar>
              <w:left w:w="28" w:type="dxa"/>
              <w:right w:w="28" w:type="dxa"/>
            </w:tcMar>
            <w:vAlign w:val="center"/>
          </w:tcPr>
          <w:p>
            <w:pPr>
              <w:adjustRightInd w:val="0"/>
              <w:snapToGrid w:val="0"/>
              <w:jc w:val="center"/>
              <w:rPr>
                <w:bCs/>
                <w:sz w:val="24"/>
                <w:szCs w:val="21"/>
              </w:rPr>
            </w:pPr>
            <w:r>
              <w:rPr>
                <w:bCs/>
                <w:sz w:val="24"/>
                <w:szCs w:val="21"/>
              </w:rPr>
              <w:t>运营</w:t>
            </w:r>
          </w:p>
          <w:p>
            <w:pPr>
              <w:adjustRightInd w:val="0"/>
              <w:snapToGrid w:val="0"/>
              <w:jc w:val="center"/>
              <w:rPr>
                <w:bCs/>
                <w:sz w:val="24"/>
                <w:szCs w:val="21"/>
              </w:rPr>
            </w:pPr>
            <w:r>
              <w:rPr>
                <w:bCs/>
                <w:sz w:val="24"/>
                <w:szCs w:val="21"/>
              </w:rPr>
              <w:t>期环</w:t>
            </w:r>
          </w:p>
          <w:p>
            <w:pPr>
              <w:adjustRightInd w:val="0"/>
              <w:snapToGrid w:val="0"/>
              <w:jc w:val="center"/>
              <w:rPr>
                <w:bCs/>
                <w:sz w:val="24"/>
                <w:szCs w:val="21"/>
              </w:rPr>
            </w:pPr>
            <w:r>
              <w:rPr>
                <w:bCs/>
                <w:sz w:val="24"/>
                <w:szCs w:val="21"/>
              </w:rPr>
              <w:t>境影</w:t>
            </w:r>
          </w:p>
          <w:p>
            <w:pPr>
              <w:adjustRightInd w:val="0"/>
              <w:snapToGrid w:val="0"/>
              <w:jc w:val="center"/>
              <w:rPr>
                <w:bCs/>
                <w:sz w:val="24"/>
                <w:szCs w:val="21"/>
              </w:rPr>
            </w:pPr>
            <w:r>
              <w:rPr>
                <w:bCs/>
                <w:sz w:val="24"/>
                <w:szCs w:val="21"/>
              </w:rPr>
              <w:t>响和</w:t>
            </w:r>
          </w:p>
          <w:p>
            <w:pPr>
              <w:adjustRightInd w:val="0"/>
              <w:snapToGrid w:val="0"/>
              <w:jc w:val="center"/>
              <w:rPr>
                <w:bCs/>
                <w:sz w:val="24"/>
                <w:szCs w:val="21"/>
              </w:rPr>
            </w:pPr>
            <w:r>
              <w:rPr>
                <w:bCs/>
                <w:sz w:val="24"/>
                <w:szCs w:val="21"/>
              </w:rPr>
              <w:t>保护</w:t>
            </w:r>
          </w:p>
          <w:p>
            <w:pPr>
              <w:adjustRightInd w:val="0"/>
              <w:snapToGrid w:val="0"/>
              <w:jc w:val="center"/>
              <w:rPr>
                <w:bCs/>
                <w:szCs w:val="21"/>
              </w:rPr>
            </w:pPr>
            <w:r>
              <w:rPr>
                <w:bCs/>
                <w:sz w:val="24"/>
                <w:szCs w:val="21"/>
              </w:rPr>
              <w:t>措施</w:t>
            </w:r>
          </w:p>
        </w:tc>
        <w:tc>
          <w:tcPr>
            <w:tcW w:w="8674" w:type="dxa"/>
            <w:vAlign w:val="center"/>
          </w:tcPr>
          <w:p>
            <w:pPr>
              <w:tabs>
                <w:tab w:val="center" w:pos="4736"/>
              </w:tabs>
              <w:spacing w:line="480" w:lineRule="exact"/>
              <w:ind w:firstLine="482" w:firstLineChars="200"/>
              <w:rPr>
                <w:b/>
                <w:sz w:val="24"/>
              </w:rPr>
            </w:pPr>
            <w:r>
              <w:rPr>
                <w:b/>
                <w:sz w:val="24"/>
              </w:rPr>
              <w:t>1、</w:t>
            </w:r>
            <w:r>
              <w:rPr>
                <w:rFonts w:hint="eastAsia"/>
                <w:b/>
                <w:sz w:val="24"/>
              </w:rPr>
              <w:t>运营期大气环境影响和保护措施</w:t>
            </w:r>
          </w:p>
          <w:p>
            <w:pPr>
              <w:tabs>
                <w:tab w:val="center" w:pos="4736"/>
              </w:tabs>
              <w:spacing w:line="480" w:lineRule="exact"/>
              <w:ind w:firstLine="480" w:firstLineChars="200"/>
              <w:rPr>
                <w:bCs/>
                <w:sz w:val="24"/>
              </w:rPr>
            </w:pPr>
            <w:r>
              <w:rPr>
                <w:rFonts w:hint="eastAsia"/>
                <w:bCs/>
                <w:sz w:val="24"/>
              </w:rPr>
              <w:t>（1）污染工序及源强分析</w:t>
            </w:r>
          </w:p>
          <w:p>
            <w:pPr>
              <w:tabs>
                <w:tab w:val="center" w:pos="4736"/>
              </w:tabs>
              <w:spacing w:line="480" w:lineRule="exact"/>
              <w:ind w:firstLine="480" w:firstLineChars="200"/>
              <w:rPr>
                <w:bCs/>
                <w:sz w:val="24"/>
              </w:rPr>
            </w:pPr>
            <w:r>
              <w:rPr>
                <w:rFonts w:hint="eastAsia"/>
                <w:bCs/>
                <w:sz w:val="24"/>
              </w:rPr>
              <w:t>①混料粉尘</w:t>
            </w:r>
          </w:p>
          <w:p>
            <w:pPr>
              <w:tabs>
                <w:tab w:val="center" w:pos="4736"/>
              </w:tabs>
              <w:spacing w:line="480" w:lineRule="exact"/>
              <w:ind w:firstLine="480" w:firstLineChars="200"/>
              <w:rPr>
                <w:bCs/>
                <w:sz w:val="24"/>
              </w:rPr>
            </w:pPr>
            <w:r>
              <w:rPr>
                <w:rFonts w:hint="eastAsia"/>
                <w:bCs/>
                <w:sz w:val="24"/>
              </w:rPr>
              <w:t>本项目塑料果蔬筐生产混料工序采用原料为颗粒状，塑料果蔬筐使用外购聚丙烯颗粒作为主要原料，生产过程中所添加的其他辅料均为颗粒物，混料机布置于厂房内，混料过程保持均匀慢速操作，基本无混料粉尘产生。</w:t>
            </w:r>
          </w:p>
          <w:p>
            <w:pPr>
              <w:tabs>
                <w:tab w:val="center" w:pos="4736"/>
              </w:tabs>
              <w:spacing w:line="480" w:lineRule="exact"/>
              <w:ind w:firstLine="480" w:firstLineChars="200"/>
              <w:rPr>
                <w:bCs/>
                <w:sz w:val="24"/>
              </w:rPr>
            </w:pPr>
            <w:r>
              <w:rPr>
                <w:rFonts w:hint="eastAsia"/>
                <w:bCs/>
                <w:sz w:val="24"/>
              </w:rPr>
              <w:t>②有机废气</w:t>
            </w:r>
          </w:p>
          <w:p>
            <w:pPr>
              <w:tabs>
                <w:tab w:val="center" w:pos="4736"/>
              </w:tabs>
              <w:spacing w:line="480" w:lineRule="exact"/>
              <w:ind w:firstLine="480" w:firstLineChars="200"/>
              <w:rPr>
                <w:bCs/>
                <w:color w:val="000000" w:themeColor="text1"/>
                <w:sz w:val="24"/>
              </w:rPr>
            </w:pPr>
            <w:r>
              <w:rPr>
                <w:rFonts w:hint="eastAsia"/>
                <w:bCs/>
                <w:color w:val="000000" w:themeColor="text1"/>
                <w:sz w:val="24"/>
              </w:rPr>
              <w:t>本项目设置15条塑料果蔬筐生产线，塑料果蔬筐熔融注模工序会产生有机废气，主要污染物为非甲烷总烃。拟采取每条生产线注塑设备上方设置集气罩（集气罩口面积为0.8m×0.8m，集气罩四边设置软帘，将集气罩至注塑设备密封），逸散的废气经集气罩收集，风机通过引风管道连接到主风管，注塑工序废气汇集后通过二级活性炭吸附装置处理，处理后通过1根15m高排气筒排放。</w:t>
            </w:r>
          </w:p>
          <w:p>
            <w:pPr>
              <w:tabs>
                <w:tab w:val="center" w:pos="4736"/>
              </w:tabs>
              <w:spacing w:line="480" w:lineRule="exact"/>
              <w:ind w:firstLine="480" w:firstLineChars="200"/>
              <w:rPr>
                <w:bCs/>
                <w:color w:val="000000" w:themeColor="text1"/>
                <w:sz w:val="24"/>
              </w:rPr>
            </w:pPr>
            <w:r>
              <w:rPr>
                <w:rFonts w:hint="eastAsia"/>
                <w:bCs/>
                <w:color w:val="000000" w:themeColor="text1"/>
                <w:sz w:val="24"/>
              </w:rPr>
              <w:t>根据《大气污染控制工程》（第三版）中集气罩风量计算公式：</w:t>
            </w:r>
          </w:p>
          <w:p>
            <w:pPr>
              <w:tabs>
                <w:tab w:val="center" w:pos="4736"/>
              </w:tabs>
              <w:spacing w:line="480" w:lineRule="exact"/>
              <w:ind w:firstLine="480" w:firstLineChars="200"/>
              <w:rPr>
                <w:bCs/>
                <w:color w:val="000000" w:themeColor="text1"/>
                <w:sz w:val="24"/>
              </w:rPr>
            </w:pPr>
            <w:r>
              <w:rPr>
                <w:rFonts w:hint="eastAsia"/>
                <w:bCs/>
                <w:color w:val="000000" w:themeColor="text1"/>
                <w:sz w:val="24"/>
              </w:rPr>
              <w:t>Q=0.75（10X</w:t>
            </w:r>
            <w:r>
              <w:rPr>
                <w:rFonts w:hint="eastAsia"/>
                <w:bCs/>
                <w:color w:val="000000" w:themeColor="text1"/>
                <w:sz w:val="24"/>
                <w:vertAlign w:val="superscript"/>
              </w:rPr>
              <w:t>2</w:t>
            </w:r>
            <w:r>
              <w:rPr>
                <w:rFonts w:hint="eastAsia"/>
                <w:bCs/>
                <w:color w:val="000000" w:themeColor="text1"/>
                <w:sz w:val="24"/>
              </w:rPr>
              <w:t>+A）×V</w:t>
            </w:r>
            <w:r>
              <w:rPr>
                <w:rFonts w:hint="eastAsia"/>
                <w:bCs/>
                <w:color w:val="000000" w:themeColor="text1"/>
                <w:sz w:val="24"/>
                <w:vertAlign w:val="subscript"/>
              </w:rPr>
              <w:t>X</w:t>
            </w:r>
          </w:p>
          <w:p>
            <w:pPr>
              <w:tabs>
                <w:tab w:val="center" w:pos="4736"/>
              </w:tabs>
              <w:spacing w:line="480" w:lineRule="exact"/>
              <w:ind w:firstLine="480" w:firstLineChars="200"/>
              <w:rPr>
                <w:bCs/>
                <w:color w:val="000000" w:themeColor="text1"/>
                <w:sz w:val="24"/>
              </w:rPr>
            </w:pPr>
            <w:r>
              <w:rPr>
                <w:rFonts w:hint="eastAsia"/>
                <w:bCs/>
                <w:color w:val="000000" w:themeColor="text1"/>
                <w:sz w:val="24"/>
              </w:rPr>
              <w:t>式中：Q---集气罩排风量，m</w:t>
            </w:r>
            <w:r>
              <w:rPr>
                <w:rFonts w:hint="eastAsia"/>
                <w:bCs/>
                <w:color w:val="000000" w:themeColor="text1"/>
                <w:sz w:val="24"/>
                <w:vertAlign w:val="superscript"/>
              </w:rPr>
              <w:t>3</w:t>
            </w:r>
            <w:r>
              <w:rPr>
                <w:rFonts w:hint="eastAsia"/>
                <w:bCs/>
                <w:color w:val="000000" w:themeColor="text1"/>
                <w:sz w:val="24"/>
              </w:rPr>
              <w:t>/s；</w:t>
            </w:r>
          </w:p>
          <w:p>
            <w:pPr>
              <w:tabs>
                <w:tab w:val="center" w:pos="4736"/>
              </w:tabs>
              <w:spacing w:line="480" w:lineRule="exact"/>
              <w:ind w:firstLine="480" w:firstLineChars="200"/>
              <w:rPr>
                <w:bCs/>
                <w:color w:val="000000" w:themeColor="text1"/>
                <w:sz w:val="24"/>
              </w:rPr>
            </w:pPr>
            <w:r>
              <w:rPr>
                <w:rFonts w:hint="eastAsia"/>
                <w:bCs/>
                <w:color w:val="000000" w:themeColor="text1"/>
                <w:sz w:val="24"/>
              </w:rPr>
              <w:t>X---污染物产生点至集气罩口的距离，m，本项目取0（集气罩四边设置软帘，将集气罩至注塑设备密封）；</w:t>
            </w:r>
          </w:p>
          <w:p>
            <w:pPr>
              <w:tabs>
                <w:tab w:val="center" w:pos="4736"/>
              </w:tabs>
              <w:spacing w:line="480" w:lineRule="exact"/>
              <w:ind w:firstLine="480" w:firstLineChars="200"/>
              <w:rPr>
                <w:bCs/>
                <w:color w:val="000000" w:themeColor="text1"/>
                <w:sz w:val="24"/>
              </w:rPr>
            </w:pPr>
            <w:r>
              <w:rPr>
                <w:rFonts w:hint="eastAsia"/>
                <w:bCs/>
                <w:color w:val="000000" w:themeColor="text1"/>
                <w:sz w:val="24"/>
              </w:rPr>
              <w:t>A---集气罩口面积，m</w:t>
            </w:r>
            <w:r>
              <w:rPr>
                <w:rFonts w:hint="eastAsia"/>
                <w:bCs/>
                <w:color w:val="000000" w:themeColor="text1"/>
                <w:sz w:val="24"/>
                <w:vertAlign w:val="superscript"/>
              </w:rPr>
              <w:t>2</w:t>
            </w:r>
            <w:r>
              <w:rPr>
                <w:rFonts w:hint="eastAsia"/>
                <w:bCs/>
                <w:color w:val="000000" w:themeColor="text1"/>
                <w:sz w:val="24"/>
              </w:rPr>
              <w:t>，单个集气罩口面积为0.8m×0.8m；</w:t>
            </w:r>
          </w:p>
          <w:p>
            <w:pPr>
              <w:tabs>
                <w:tab w:val="center" w:pos="4736"/>
              </w:tabs>
              <w:spacing w:line="480" w:lineRule="exact"/>
              <w:ind w:firstLine="480" w:firstLineChars="200"/>
              <w:rPr>
                <w:bCs/>
                <w:color w:val="000000" w:themeColor="text1"/>
                <w:sz w:val="24"/>
              </w:rPr>
            </w:pPr>
            <w:r>
              <w:rPr>
                <w:rFonts w:hint="eastAsia"/>
                <w:bCs/>
                <w:color w:val="000000" w:themeColor="text1"/>
                <w:sz w:val="24"/>
              </w:rPr>
              <w:t>V</w:t>
            </w:r>
            <w:r>
              <w:rPr>
                <w:rFonts w:hint="eastAsia"/>
                <w:bCs/>
                <w:color w:val="000000" w:themeColor="text1"/>
                <w:sz w:val="24"/>
                <w:vertAlign w:val="subscript"/>
              </w:rPr>
              <w:t>X</w:t>
            </w:r>
            <w:r>
              <w:rPr>
                <w:rFonts w:hint="eastAsia"/>
                <w:bCs/>
                <w:color w:val="000000" w:themeColor="text1"/>
                <w:sz w:val="24"/>
              </w:rPr>
              <w:t>---最小控制风速，m/s，本项目污染物放散情况为以很缓慢的速度放散到相当平静的空气中，一般取0.25-0.5m/s，本项目取0.5m /s。</w:t>
            </w:r>
          </w:p>
          <w:p>
            <w:pPr>
              <w:tabs>
                <w:tab w:val="center" w:pos="4736"/>
              </w:tabs>
              <w:spacing w:line="480" w:lineRule="exact"/>
              <w:ind w:firstLine="480" w:firstLineChars="200"/>
              <w:rPr>
                <w:bCs/>
                <w:color w:val="000000" w:themeColor="text1"/>
                <w:sz w:val="24"/>
              </w:rPr>
            </w:pPr>
            <w:r>
              <w:rPr>
                <w:rFonts w:hint="eastAsia"/>
                <w:bCs/>
                <w:color w:val="000000" w:themeColor="text1"/>
                <w:sz w:val="24"/>
              </w:rPr>
              <w:t>由此计算</w:t>
            </w:r>
            <w:r>
              <w:rPr>
                <w:rFonts w:hint="eastAsia"/>
                <w:bCs/>
                <w:color w:val="000000" w:themeColor="text1"/>
                <w:sz w:val="24"/>
                <w:lang w:eastAsia="zh-CN"/>
              </w:rPr>
              <w:t>出</w:t>
            </w:r>
            <w:r>
              <w:rPr>
                <w:rFonts w:hint="eastAsia"/>
                <w:bCs/>
                <w:color w:val="000000" w:themeColor="text1"/>
                <w:sz w:val="24"/>
              </w:rPr>
              <w:t>集气罩的风量为864m</w:t>
            </w:r>
            <w:r>
              <w:rPr>
                <w:rFonts w:hint="eastAsia"/>
                <w:bCs/>
                <w:color w:val="000000" w:themeColor="text1"/>
                <w:sz w:val="24"/>
                <w:vertAlign w:val="superscript"/>
              </w:rPr>
              <w:t>3</w:t>
            </w:r>
            <w:r>
              <w:rPr>
                <w:rFonts w:hint="eastAsia"/>
                <w:bCs/>
                <w:color w:val="000000" w:themeColor="text1"/>
                <w:sz w:val="24"/>
              </w:rPr>
              <w:t>/h，15条塑料果蔬筐生产线均设置集气罩，即集气罩总风量为12960m</w:t>
            </w:r>
            <w:r>
              <w:rPr>
                <w:rFonts w:hint="eastAsia"/>
                <w:bCs/>
                <w:color w:val="000000" w:themeColor="text1"/>
                <w:sz w:val="24"/>
                <w:vertAlign w:val="superscript"/>
              </w:rPr>
              <w:t>3</w:t>
            </w:r>
            <w:r>
              <w:rPr>
                <w:rFonts w:hint="eastAsia"/>
                <w:bCs/>
                <w:color w:val="000000" w:themeColor="text1"/>
                <w:sz w:val="24"/>
              </w:rPr>
              <w:t>/h，设置风机风量为15000m</w:t>
            </w:r>
            <w:r>
              <w:rPr>
                <w:rFonts w:hint="eastAsia"/>
                <w:bCs/>
                <w:color w:val="000000" w:themeColor="text1"/>
                <w:sz w:val="24"/>
                <w:vertAlign w:val="superscript"/>
              </w:rPr>
              <w:t>3</w:t>
            </w:r>
            <w:r>
              <w:rPr>
                <w:rFonts w:hint="eastAsia"/>
                <w:bCs/>
                <w:color w:val="000000" w:themeColor="text1"/>
                <w:sz w:val="24"/>
              </w:rPr>
              <w:t>/h，满足要求。</w:t>
            </w:r>
          </w:p>
          <w:p>
            <w:pPr>
              <w:tabs>
                <w:tab w:val="center" w:pos="4736"/>
              </w:tabs>
              <w:spacing w:line="480" w:lineRule="exact"/>
              <w:ind w:firstLine="480" w:firstLineChars="200"/>
              <w:rPr>
                <w:bCs/>
                <w:sz w:val="24"/>
              </w:rPr>
            </w:pPr>
            <w:r>
              <w:rPr>
                <w:rFonts w:hint="eastAsia"/>
                <w:bCs/>
                <w:color w:val="000000" w:themeColor="text1"/>
                <w:sz w:val="24"/>
              </w:rPr>
              <w:t>根据《</w:t>
            </w:r>
            <w:r>
              <w:rPr>
                <w:sz w:val="24"/>
              </w:rPr>
              <w:t>排放源统计调查产排污核算方法和系数手册</w:t>
            </w:r>
            <w:r>
              <w:rPr>
                <w:rFonts w:hint="eastAsia"/>
                <w:bCs/>
                <w:color w:val="000000" w:themeColor="text1"/>
                <w:sz w:val="24"/>
              </w:rPr>
              <w:t>》</w:t>
            </w:r>
            <w:r>
              <w:rPr>
                <w:sz w:val="24"/>
              </w:rPr>
              <w:t>（公告2021年第24</w:t>
            </w:r>
            <w:r>
              <w:rPr>
                <w:bCs/>
                <w:color w:val="000000" w:themeColor="text1"/>
                <w:sz w:val="24"/>
              </w:rPr>
              <w:t>号）》中292 塑料制品行业系数手册</w:t>
            </w:r>
            <w:r>
              <w:rPr>
                <w:rFonts w:hint="eastAsia"/>
                <w:bCs/>
                <w:color w:val="000000" w:themeColor="text1"/>
                <w:sz w:val="24"/>
              </w:rPr>
              <w:t>中有关系数，塑料包装箱及容器挥发性有机物的产污系数为</w:t>
            </w:r>
            <w:r>
              <w:rPr>
                <w:sz w:val="24"/>
              </w:rPr>
              <w:t>2</w:t>
            </w:r>
            <w:r>
              <w:rPr>
                <w:rFonts w:hint="eastAsia"/>
                <w:sz w:val="24"/>
              </w:rPr>
              <w:t>.7kg/t（产品）</w:t>
            </w:r>
            <w:r>
              <w:rPr>
                <w:rFonts w:hint="eastAsia"/>
                <w:bCs/>
                <w:color w:val="000000" w:themeColor="text1"/>
                <w:sz w:val="24"/>
              </w:rPr>
              <w:t>，本项目年产塑料果蔬筐800吨，</w:t>
            </w:r>
            <w:r>
              <w:rPr>
                <w:bCs/>
                <w:sz w:val="24"/>
              </w:rPr>
              <w:t>集气罩废气收集效率按照90%计，剩余10%废气呈无组织排放。</w:t>
            </w:r>
            <w:r>
              <w:rPr>
                <w:rFonts w:hint="eastAsia"/>
                <w:bCs/>
                <w:color w:val="000000" w:themeColor="text1"/>
                <w:sz w:val="24"/>
              </w:rPr>
              <w:t>挥发性有机物产生量为2.16吨，无组织排放为0.216吨，二级活性炭去除效率按40%计，挥发性有机物去除量为0.7776吨，排放量为1.1664吨。</w:t>
            </w:r>
            <w:r>
              <w:rPr>
                <w:sz w:val="24"/>
              </w:rPr>
              <w:t>产生的挥发性有机物经过集气装置负压抽风收集，风机风量为</w:t>
            </w:r>
            <w:r>
              <w:rPr>
                <w:rFonts w:hint="eastAsia"/>
                <w:sz w:val="24"/>
                <w:lang w:val="en-US" w:eastAsia="zh-CN"/>
              </w:rPr>
              <w:t>15</w:t>
            </w:r>
            <w:r>
              <w:rPr>
                <w:rFonts w:hint="eastAsia"/>
                <w:sz w:val="24"/>
              </w:rPr>
              <w:t>0</w:t>
            </w:r>
            <w:r>
              <w:rPr>
                <w:sz w:val="24"/>
              </w:rPr>
              <w:t>00m³/h</w:t>
            </w:r>
            <w:r>
              <w:rPr>
                <w:rFonts w:hint="eastAsia"/>
                <w:sz w:val="24"/>
              </w:rPr>
              <w:t>，项目</w:t>
            </w:r>
            <w:r>
              <w:rPr>
                <w:bCs/>
                <w:sz w:val="24"/>
              </w:rPr>
              <w:t>年生产4320h。</w:t>
            </w:r>
          </w:p>
          <w:p>
            <w:pPr>
              <w:tabs>
                <w:tab w:val="center" w:pos="4736"/>
              </w:tabs>
              <w:spacing w:line="480" w:lineRule="exact"/>
              <w:ind w:firstLine="480" w:firstLineChars="200"/>
              <w:rPr>
                <w:bCs/>
                <w:sz w:val="24"/>
              </w:rPr>
            </w:pPr>
            <w:r>
              <w:rPr>
                <w:rFonts w:hint="eastAsia"/>
                <w:bCs/>
                <w:sz w:val="24"/>
              </w:rPr>
              <w:t>③</w:t>
            </w:r>
            <w:r>
              <w:rPr>
                <w:bCs/>
                <w:sz w:val="24"/>
              </w:rPr>
              <w:t>破碎粉尘</w:t>
            </w:r>
          </w:p>
          <w:p>
            <w:pPr>
              <w:tabs>
                <w:tab w:val="center" w:pos="4736"/>
              </w:tabs>
              <w:spacing w:line="480" w:lineRule="exact"/>
              <w:ind w:firstLine="480" w:firstLineChars="200"/>
              <w:rPr>
                <w:bCs/>
                <w:sz w:val="24"/>
              </w:rPr>
            </w:pPr>
            <w:r>
              <w:rPr>
                <w:bCs/>
                <w:sz w:val="24"/>
              </w:rPr>
              <w:t>项目生产过程产生的注塑次品经破碎后回用于注塑工序，根据企业提供的资料，注塑次品率按原料的</w:t>
            </w:r>
            <w:r>
              <w:rPr>
                <w:rFonts w:hint="eastAsia"/>
                <w:bCs/>
                <w:sz w:val="24"/>
              </w:rPr>
              <w:t>2</w:t>
            </w:r>
            <w:r>
              <w:rPr>
                <w:bCs/>
                <w:sz w:val="24"/>
              </w:rPr>
              <w:t>%计算，项目塑料颗粒总用量为</w:t>
            </w:r>
            <w:r>
              <w:rPr>
                <w:rFonts w:hint="eastAsia"/>
                <w:bCs/>
                <w:sz w:val="24"/>
              </w:rPr>
              <w:t>816</w:t>
            </w:r>
            <w:r>
              <w:rPr>
                <w:bCs/>
                <w:sz w:val="24"/>
              </w:rPr>
              <w:t xml:space="preserve">t/a，则注塑次品产生量为 </w:t>
            </w:r>
            <w:r>
              <w:rPr>
                <w:rFonts w:hint="eastAsia"/>
                <w:bCs/>
                <w:sz w:val="24"/>
              </w:rPr>
              <w:t>16.3</w:t>
            </w:r>
            <w:r>
              <w:rPr>
                <w:bCs/>
                <w:sz w:val="24"/>
              </w:rPr>
              <w:t xml:space="preserve">t/a。则破碎量合计为 </w:t>
            </w:r>
            <w:r>
              <w:rPr>
                <w:rFonts w:hint="eastAsia"/>
                <w:bCs/>
                <w:sz w:val="24"/>
              </w:rPr>
              <w:t>16.3</w:t>
            </w:r>
            <w:r>
              <w:rPr>
                <w:bCs/>
                <w:sz w:val="24"/>
              </w:rPr>
              <w:t>t/a。由于破碎后的颗粒粒径较大，破碎精度不高，破碎过程产生的颗粒物较少，按原料量 1%计算，则颗粒物产生量为</w:t>
            </w:r>
            <w:r>
              <w:rPr>
                <w:rFonts w:hint="eastAsia"/>
                <w:bCs/>
                <w:sz w:val="24"/>
              </w:rPr>
              <w:t>0.163</w:t>
            </w:r>
            <w:r>
              <w:rPr>
                <w:bCs/>
                <w:sz w:val="24"/>
              </w:rPr>
              <w:t>t/a，产生的颗粒物比重较大，约有80%于车间内沉降，其余</w:t>
            </w:r>
            <w:r>
              <w:rPr>
                <w:rFonts w:hint="eastAsia"/>
                <w:bCs/>
                <w:sz w:val="24"/>
              </w:rPr>
              <w:t>2</w:t>
            </w:r>
            <w:r>
              <w:rPr>
                <w:bCs/>
                <w:sz w:val="24"/>
              </w:rPr>
              <w:t>0%随厂房自然通风向外</w:t>
            </w:r>
            <w:r>
              <w:rPr>
                <w:rFonts w:hint="eastAsia"/>
                <w:bCs/>
                <w:sz w:val="24"/>
              </w:rPr>
              <w:t>无组织排放</w:t>
            </w:r>
            <w:r>
              <w:rPr>
                <w:bCs/>
                <w:sz w:val="24"/>
              </w:rPr>
              <w:t>。</w:t>
            </w:r>
          </w:p>
          <w:p>
            <w:pPr>
              <w:tabs>
                <w:tab w:val="center" w:pos="4736"/>
              </w:tabs>
              <w:spacing w:line="480" w:lineRule="exact"/>
              <w:ind w:firstLine="480" w:firstLineChars="200"/>
              <w:rPr>
                <w:sz w:val="24"/>
              </w:rPr>
            </w:pPr>
            <w:r>
              <w:rPr>
                <w:rFonts w:hint="eastAsia"/>
                <w:sz w:val="24"/>
              </w:rPr>
              <w:t>本项目废气排放情况一览详见表4-1。</w:t>
            </w:r>
          </w:p>
          <w:p>
            <w:pPr>
              <w:tabs>
                <w:tab w:val="center" w:pos="4736"/>
              </w:tabs>
              <w:ind w:firstLine="420" w:firstLineChars="200"/>
              <w:rPr>
                <w:rFonts w:ascii="黑体" w:hAnsi="黑体" w:eastAsia="黑体"/>
                <w:szCs w:val="21"/>
              </w:rPr>
            </w:pPr>
            <w:r>
              <w:rPr>
                <w:rFonts w:hint="eastAsia" w:ascii="黑体" w:hAnsi="黑体" w:eastAsia="黑体"/>
                <w:szCs w:val="21"/>
              </w:rPr>
              <w:t>表4-1                      项目废气排放情况一览表</w:t>
            </w:r>
          </w:p>
          <w:tbl>
            <w:tblPr>
              <w:tblStyle w:val="26"/>
              <w:tblW w:w="845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761"/>
              <w:gridCol w:w="969"/>
              <w:gridCol w:w="944"/>
              <w:gridCol w:w="783"/>
              <w:gridCol w:w="898"/>
              <w:gridCol w:w="624"/>
              <w:gridCol w:w="831"/>
              <w:gridCol w:w="944"/>
              <w:gridCol w:w="8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jc w:val="center"/>
              </w:trPr>
              <w:tc>
                <w:tcPr>
                  <w:tcW w:w="876" w:type="dxa"/>
                  <w:vMerge w:val="restart"/>
                  <w:tcBorders>
                    <w:top w:val="single" w:color="auto" w:sz="12" w:space="0"/>
                  </w:tcBorders>
                  <w:vAlign w:val="center"/>
                </w:tcPr>
                <w:p>
                  <w:pPr>
                    <w:tabs>
                      <w:tab w:val="center" w:pos="4736"/>
                    </w:tabs>
                    <w:jc w:val="center"/>
                    <w:rPr>
                      <w:color w:val="1909E7"/>
                      <w:szCs w:val="21"/>
                    </w:rPr>
                  </w:pPr>
                  <w:r>
                    <w:rPr>
                      <w:rFonts w:hAnsi="宋体"/>
                      <w:color w:val="1909E7"/>
                      <w:szCs w:val="21"/>
                    </w:rPr>
                    <w:t>污染物排放位置</w:t>
                  </w:r>
                </w:p>
              </w:tc>
              <w:tc>
                <w:tcPr>
                  <w:tcW w:w="761" w:type="dxa"/>
                  <w:vMerge w:val="restart"/>
                  <w:tcBorders>
                    <w:top w:val="single" w:color="auto" w:sz="12" w:space="0"/>
                  </w:tcBorders>
                  <w:vAlign w:val="center"/>
                </w:tcPr>
                <w:p>
                  <w:pPr>
                    <w:tabs>
                      <w:tab w:val="center" w:pos="4736"/>
                    </w:tabs>
                    <w:jc w:val="center"/>
                    <w:rPr>
                      <w:color w:val="1909E7"/>
                      <w:szCs w:val="21"/>
                    </w:rPr>
                  </w:pPr>
                  <w:r>
                    <w:rPr>
                      <w:rFonts w:hAnsi="宋体"/>
                      <w:color w:val="1909E7"/>
                      <w:szCs w:val="21"/>
                    </w:rPr>
                    <w:t>污染物名称</w:t>
                  </w:r>
                </w:p>
              </w:tc>
              <w:tc>
                <w:tcPr>
                  <w:tcW w:w="2696" w:type="dxa"/>
                  <w:gridSpan w:val="3"/>
                  <w:tcBorders>
                    <w:top w:val="single" w:color="auto" w:sz="12" w:space="0"/>
                  </w:tcBorders>
                  <w:vAlign w:val="center"/>
                </w:tcPr>
                <w:p>
                  <w:pPr>
                    <w:tabs>
                      <w:tab w:val="center" w:pos="4736"/>
                    </w:tabs>
                    <w:jc w:val="center"/>
                    <w:rPr>
                      <w:color w:val="1909E7"/>
                      <w:szCs w:val="21"/>
                    </w:rPr>
                  </w:pPr>
                  <w:r>
                    <w:rPr>
                      <w:rFonts w:hint="eastAsia" w:hAnsi="宋体"/>
                      <w:color w:val="1909E7"/>
                      <w:szCs w:val="21"/>
                    </w:rPr>
                    <w:t>污染物产生情况</w:t>
                  </w:r>
                </w:p>
              </w:tc>
              <w:tc>
                <w:tcPr>
                  <w:tcW w:w="898" w:type="dxa"/>
                  <w:vMerge w:val="restart"/>
                  <w:tcBorders>
                    <w:top w:val="single" w:color="auto" w:sz="12" w:space="0"/>
                  </w:tcBorders>
                  <w:vAlign w:val="center"/>
                </w:tcPr>
                <w:p>
                  <w:pPr>
                    <w:tabs>
                      <w:tab w:val="center" w:pos="4736"/>
                    </w:tabs>
                    <w:jc w:val="center"/>
                    <w:rPr>
                      <w:rFonts w:hAnsi="宋体"/>
                      <w:color w:val="1909E7"/>
                      <w:szCs w:val="21"/>
                    </w:rPr>
                  </w:pPr>
                  <w:r>
                    <w:rPr>
                      <w:rFonts w:hint="eastAsia" w:hAnsi="宋体"/>
                      <w:color w:val="1909E7"/>
                      <w:szCs w:val="21"/>
                    </w:rPr>
                    <w:t>处理措施</w:t>
                  </w:r>
                </w:p>
              </w:tc>
              <w:tc>
                <w:tcPr>
                  <w:tcW w:w="624" w:type="dxa"/>
                  <w:vMerge w:val="restart"/>
                  <w:tcBorders>
                    <w:top w:val="single" w:color="auto" w:sz="12" w:space="0"/>
                  </w:tcBorders>
                  <w:vAlign w:val="center"/>
                </w:tcPr>
                <w:p>
                  <w:pPr>
                    <w:tabs>
                      <w:tab w:val="center" w:pos="4736"/>
                    </w:tabs>
                    <w:jc w:val="center"/>
                    <w:rPr>
                      <w:rFonts w:hAnsi="宋体"/>
                      <w:color w:val="1909E7"/>
                      <w:szCs w:val="21"/>
                    </w:rPr>
                  </w:pPr>
                  <w:r>
                    <w:rPr>
                      <w:rFonts w:hint="eastAsia" w:hAnsi="宋体"/>
                      <w:color w:val="1909E7"/>
                      <w:szCs w:val="21"/>
                    </w:rPr>
                    <w:t>排放形式</w:t>
                  </w:r>
                </w:p>
              </w:tc>
              <w:tc>
                <w:tcPr>
                  <w:tcW w:w="2603" w:type="dxa"/>
                  <w:gridSpan w:val="3"/>
                  <w:tcBorders>
                    <w:top w:val="single" w:color="auto" w:sz="12" w:space="0"/>
                  </w:tcBorders>
                  <w:vAlign w:val="center"/>
                </w:tcPr>
                <w:p>
                  <w:pPr>
                    <w:tabs>
                      <w:tab w:val="center" w:pos="4736"/>
                    </w:tabs>
                    <w:jc w:val="center"/>
                    <w:rPr>
                      <w:color w:val="1909E7"/>
                      <w:szCs w:val="21"/>
                    </w:rPr>
                  </w:pPr>
                  <w:r>
                    <w:rPr>
                      <w:rFonts w:hAnsi="宋体"/>
                      <w:color w:val="1909E7"/>
                      <w:szCs w:val="21"/>
                    </w:rPr>
                    <w:t>污染物排放情况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Merge w:val="continue"/>
                  <w:vAlign w:val="center"/>
                </w:tcPr>
                <w:p>
                  <w:pPr>
                    <w:tabs>
                      <w:tab w:val="center" w:pos="4736"/>
                    </w:tabs>
                    <w:jc w:val="center"/>
                    <w:rPr>
                      <w:color w:val="1909E7"/>
                      <w:szCs w:val="21"/>
                    </w:rPr>
                  </w:pPr>
                </w:p>
              </w:tc>
              <w:tc>
                <w:tcPr>
                  <w:tcW w:w="761" w:type="dxa"/>
                  <w:vMerge w:val="continue"/>
                  <w:vAlign w:val="center"/>
                </w:tcPr>
                <w:p>
                  <w:pPr>
                    <w:tabs>
                      <w:tab w:val="center" w:pos="4736"/>
                    </w:tabs>
                    <w:jc w:val="center"/>
                    <w:rPr>
                      <w:color w:val="1909E7"/>
                      <w:szCs w:val="21"/>
                    </w:rPr>
                  </w:pPr>
                </w:p>
              </w:tc>
              <w:tc>
                <w:tcPr>
                  <w:tcW w:w="969" w:type="dxa"/>
                  <w:vAlign w:val="center"/>
                </w:tcPr>
                <w:p>
                  <w:pPr>
                    <w:tabs>
                      <w:tab w:val="center" w:pos="4736"/>
                    </w:tabs>
                    <w:jc w:val="center"/>
                    <w:rPr>
                      <w:color w:val="1909E7"/>
                      <w:szCs w:val="21"/>
                    </w:rPr>
                  </w:pPr>
                  <w:r>
                    <w:rPr>
                      <w:rFonts w:hAnsi="宋体"/>
                      <w:color w:val="1909E7"/>
                      <w:szCs w:val="21"/>
                    </w:rPr>
                    <w:t>浓度</w:t>
                  </w:r>
                  <w:r>
                    <w:rPr>
                      <w:color w:val="1909E7"/>
                      <w:szCs w:val="21"/>
                    </w:rPr>
                    <w:t>mg/m</w:t>
                  </w:r>
                  <w:r>
                    <w:rPr>
                      <w:color w:val="1909E7"/>
                      <w:szCs w:val="21"/>
                      <w:vertAlign w:val="superscript"/>
                    </w:rPr>
                    <w:t>3</w:t>
                  </w:r>
                </w:p>
              </w:tc>
              <w:tc>
                <w:tcPr>
                  <w:tcW w:w="944" w:type="dxa"/>
                  <w:vAlign w:val="center"/>
                </w:tcPr>
                <w:p>
                  <w:pPr>
                    <w:tabs>
                      <w:tab w:val="center" w:pos="4736"/>
                    </w:tabs>
                    <w:jc w:val="center"/>
                    <w:rPr>
                      <w:color w:val="1909E7"/>
                      <w:szCs w:val="21"/>
                    </w:rPr>
                  </w:pPr>
                  <w:r>
                    <w:rPr>
                      <w:rFonts w:hAnsi="宋体"/>
                      <w:color w:val="1909E7"/>
                      <w:szCs w:val="21"/>
                    </w:rPr>
                    <w:t>速率</w:t>
                  </w:r>
                  <w:r>
                    <w:rPr>
                      <w:color w:val="1909E7"/>
                      <w:szCs w:val="21"/>
                    </w:rPr>
                    <w:t>kg/h</w:t>
                  </w:r>
                </w:p>
              </w:tc>
              <w:tc>
                <w:tcPr>
                  <w:tcW w:w="783" w:type="dxa"/>
                  <w:vAlign w:val="center"/>
                </w:tcPr>
                <w:p>
                  <w:pPr>
                    <w:tabs>
                      <w:tab w:val="center" w:pos="4736"/>
                    </w:tabs>
                    <w:jc w:val="center"/>
                    <w:rPr>
                      <w:color w:val="1909E7"/>
                      <w:szCs w:val="21"/>
                    </w:rPr>
                  </w:pPr>
                  <w:r>
                    <w:rPr>
                      <w:rFonts w:hint="eastAsia" w:hAnsi="宋体"/>
                      <w:color w:val="1909E7"/>
                      <w:szCs w:val="21"/>
                    </w:rPr>
                    <w:t>产生</w:t>
                  </w:r>
                  <w:r>
                    <w:rPr>
                      <w:rFonts w:hAnsi="宋体"/>
                      <w:color w:val="1909E7"/>
                      <w:szCs w:val="21"/>
                    </w:rPr>
                    <w:t>量</w:t>
                  </w:r>
                  <w:r>
                    <w:rPr>
                      <w:color w:val="1909E7"/>
                      <w:szCs w:val="21"/>
                    </w:rPr>
                    <w:t>t/a</w:t>
                  </w:r>
                </w:p>
              </w:tc>
              <w:tc>
                <w:tcPr>
                  <w:tcW w:w="898" w:type="dxa"/>
                  <w:vMerge w:val="continue"/>
                  <w:vAlign w:val="center"/>
                </w:tcPr>
                <w:p>
                  <w:pPr>
                    <w:tabs>
                      <w:tab w:val="center" w:pos="4736"/>
                    </w:tabs>
                    <w:jc w:val="center"/>
                    <w:rPr>
                      <w:rFonts w:hAnsi="宋体"/>
                      <w:color w:val="1909E7"/>
                      <w:szCs w:val="21"/>
                    </w:rPr>
                  </w:pPr>
                </w:p>
              </w:tc>
              <w:tc>
                <w:tcPr>
                  <w:tcW w:w="624" w:type="dxa"/>
                  <w:vMerge w:val="continue"/>
                  <w:vAlign w:val="center"/>
                </w:tcPr>
                <w:p>
                  <w:pPr>
                    <w:tabs>
                      <w:tab w:val="center" w:pos="4736"/>
                    </w:tabs>
                    <w:jc w:val="center"/>
                    <w:rPr>
                      <w:rFonts w:hAnsi="宋体"/>
                      <w:color w:val="1909E7"/>
                      <w:szCs w:val="21"/>
                    </w:rPr>
                  </w:pPr>
                </w:p>
              </w:tc>
              <w:tc>
                <w:tcPr>
                  <w:tcW w:w="831" w:type="dxa"/>
                  <w:vAlign w:val="center"/>
                </w:tcPr>
                <w:p>
                  <w:pPr>
                    <w:tabs>
                      <w:tab w:val="center" w:pos="4736"/>
                    </w:tabs>
                    <w:jc w:val="center"/>
                    <w:rPr>
                      <w:color w:val="1909E7"/>
                      <w:szCs w:val="21"/>
                    </w:rPr>
                  </w:pPr>
                  <w:r>
                    <w:rPr>
                      <w:rFonts w:hAnsi="宋体"/>
                      <w:color w:val="1909E7"/>
                      <w:szCs w:val="21"/>
                    </w:rPr>
                    <w:t>浓度</w:t>
                  </w:r>
                  <w:r>
                    <w:rPr>
                      <w:color w:val="1909E7"/>
                      <w:szCs w:val="21"/>
                    </w:rPr>
                    <w:t>mg/m</w:t>
                  </w:r>
                  <w:r>
                    <w:rPr>
                      <w:color w:val="1909E7"/>
                      <w:szCs w:val="21"/>
                      <w:vertAlign w:val="superscript"/>
                    </w:rPr>
                    <w:t>3</w:t>
                  </w:r>
                </w:p>
              </w:tc>
              <w:tc>
                <w:tcPr>
                  <w:tcW w:w="944" w:type="dxa"/>
                  <w:vAlign w:val="center"/>
                </w:tcPr>
                <w:p>
                  <w:pPr>
                    <w:tabs>
                      <w:tab w:val="center" w:pos="4736"/>
                    </w:tabs>
                    <w:jc w:val="center"/>
                    <w:rPr>
                      <w:color w:val="1909E7"/>
                      <w:szCs w:val="21"/>
                    </w:rPr>
                  </w:pPr>
                  <w:r>
                    <w:rPr>
                      <w:rFonts w:hAnsi="宋体"/>
                      <w:color w:val="1909E7"/>
                      <w:szCs w:val="21"/>
                    </w:rPr>
                    <w:t>速率</w:t>
                  </w:r>
                  <w:r>
                    <w:rPr>
                      <w:color w:val="1909E7"/>
                      <w:szCs w:val="21"/>
                    </w:rPr>
                    <w:t>kg/h</w:t>
                  </w:r>
                </w:p>
              </w:tc>
              <w:tc>
                <w:tcPr>
                  <w:tcW w:w="828" w:type="dxa"/>
                  <w:vAlign w:val="center"/>
                </w:tcPr>
                <w:p>
                  <w:pPr>
                    <w:tabs>
                      <w:tab w:val="center" w:pos="4736"/>
                    </w:tabs>
                    <w:jc w:val="center"/>
                    <w:rPr>
                      <w:color w:val="1909E7"/>
                      <w:szCs w:val="21"/>
                    </w:rPr>
                  </w:pPr>
                  <w:r>
                    <w:rPr>
                      <w:rFonts w:hAnsi="宋体"/>
                      <w:color w:val="1909E7"/>
                      <w:szCs w:val="21"/>
                    </w:rPr>
                    <w:t>排放量</w:t>
                  </w:r>
                  <w:r>
                    <w:rPr>
                      <w:color w:val="1909E7"/>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876" w:type="dxa"/>
                  <w:vAlign w:val="center"/>
                </w:tcPr>
                <w:p>
                  <w:pPr>
                    <w:tabs>
                      <w:tab w:val="center" w:pos="4736"/>
                    </w:tabs>
                    <w:jc w:val="center"/>
                    <w:rPr>
                      <w:rFonts w:hint="eastAsia" w:eastAsia="宋体"/>
                      <w:color w:val="1909E7"/>
                      <w:szCs w:val="21"/>
                      <w:lang w:eastAsia="zh-CN"/>
                    </w:rPr>
                  </w:pPr>
                  <w:r>
                    <w:rPr>
                      <w:rFonts w:hAnsi="宋体"/>
                      <w:bCs/>
                      <w:color w:val="1909E7"/>
                      <w:szCs w:val="21"/>
                    </w:rPr>
                    <w:t>排气筒</w:t>
                  </w:r>
                  <w:r>
                    <w:rPr>
                      <w:rFonts w:hint="eastAsia" w:hAnsi="宋体"/>
                      <w:bCs/>
                      <w:color w:val="1909E7"/>
                      <w:szCs w:val="21"/>
                      <w:lang w:eastAsia="zh-CN"/>
                    </w:rPr>
                    <w:t>DA001</w:t>
                  </w:r>
                </w:p>
              </w:tc>
              <w:tc>
                <w:tcPr>
                  <w:tcW w:w="761" w:type="dxa"/>
                  <w:vAlign w:val="center"/>
                </w:tcPr>
                <w:p>
                  <w:pPr>
                    <w:tabs>
                      <w:tab w:val="center" w:pos="4736"/>
                    </w:tabs>
                    <w:jc w:val="center"/>
                    <w:rPr>
                      <w:color w:val="1909E7"/>
                      <w:szCs w:val="21"/>
                    </w:rPr>
                  </w:pPr>
                  <w:r>
                    <w:rPr>
                      <w:rFonts w:hint="eastAsia"/>
                      <w:color w:val="1909E7"/>
                      <w:szCs w:val="21"/>
                    </w:rPr>
                    <w:t>非甲烷总烃</w:t>
                  </w:r>
                </w:p>
              </w:tc>
              <w:tc>
                <w:tcPr>
                  <w:tcW w:w="969" w:type="dxa"/>
                  <w:vAlign w:val="center"/>
                </w:tcPr>
                <w:p>
                  <w:pPr>
                    <w:tabs>
                      <w:tab w:val="center" w:pos="4736"/>
                    </w:tabs>
                    <w:jc w:val="center"/>
                    <w:rPr>
                      <w:rFonts w:hint="eastAsia" w:eastAsia="宋体"/>
                      <w:color w:val="1909E7"/>
                      <w:szCs w:val="21"/>
                      <w:lang w:eastAsia="zh-CN"/>
                    </w:rPr>
                  </w:pPr>
                  <w:r>
                    <w:rPr>
                      <w:rFonts w:hint="eastAsia"/>
                      <w:color w:val="1909E7"/>
                      <w:szCs w:val="21"/>
                    </w:rPr>
                    <w:t>3</w:t>
                  </w:r>
                  <w:r>
                    <w:rPr>
                      <w:rFonts w:hint="eastAsia"/>
                      <w:color w:val="1909E7"/>
                      <w:szCs w:val="21"/>
                      <w:lang w:val="en-US" w:eastAsia="zh-CN"/>
                    </w:rPr>
                    <w:t>0</w:t>
                  </w:r>
                </w:p>
              </w:tc>
              <w:tc>
                <w:tcPr>
                  <w:tcW w:w="944" w:type="dxa"/>
                  <w:vAlign w:val="center"/>
                </w:tcPr>
                <w:p>
                  <w:pPr>
                    <w:tabs>
                      <w:tab w:val="center" w:pos="4736"/>
                    </w:tabs>
                    <w:jc w:val="center"/>
                    <w:rPr>
                      <w:color w:val="1909E7"/>
                      <w:szCs w:val="21"/>
                    </w:rPr>
                  </w:pPr>
                  <w:r>
                    <w:rPr>
                      <w:rFonts w:hint="eastAsia"/>
                      <w:color w:val="1909E7"/>
                      <w:szCs w:val="21"/>
                    </w:rPr>
                    <w:t>0.</w:t>
                  </w:r>
                  <w:r>
                    <w:rPr>
                      <w:rFonts w:hint="eastAsia"/>
                      <w:color w:val="1909E7"/>
                      <w:szCs w:val="21"/>
                      <w:lang w:val="en-US" w:eastAsia="zh-CN"/>
                    </w:rPr>
                    <w:t>4</w:t>
                  </w:r>
                  <w:r>
                    <w:rPr>
                      <w:rFonts w:hint="eastAsia"/>
                      <w:color w:val="1909E7"/>
                      <w:szCs w:val="21"/>
                    </w:rPr>
                    <w:t>5</w:t>
                  </w:r>
                </w:p>
              </w:tc>
              <w:tc>
                <w:tcPr>
                  <w:tcW w:w="783" w:type="dxa"/>
                  <w:vAlign w:val="center"/>
                </w:tcPr>
                <w:p>
                  <w:pPr>
                    <w:tabs>
                      <w:tab w:val="center" w:pos="4736"/>
                    </w:tabs>
                    <w:jc w:val="center"/>
                    <w:rPr>
                      <w:rFonts w:hint="default" w:eastAsia="宋体"/>
                      <w:color w:val="1909E7"/>
                      <w:szCs w:val="21"/>
                      <w:lang w:val="en-US" w:eastAsia="zh-CN"/>
                    </w:rPr>
                  </w:pPr>
                  <w:r>
                    <w:rPr>
                      <w:rFonts w:hint="eastAsia"/>
                      <w:color w:val="1909E7"/>
                      <w:szCs w:val="21"/>
                      <w:lang w:val="en-US" w:eastAsia="zh-CN"/>
                    </w:rPr>
                    <w:t>1.944</w:t>
                  </w:r>
                </w:p>
              </w:tc>
              <w:tc>
                <w:tcPr>
                  <w:tcW w:w="898" w:type="dxa"/>
                  <w:vAlign w:val="center"/>
                </w:tcPr>
                <w:p>
                  <w:pPr>
                    <w:tabs>
                      <w:tab w:val="center" w:pos="4736"/>
                    </w:tabs>
                    <w:rPr>
                      <w:color w:val="1909E7"/>
                      <w:szCs w:val="21"/>
                    </w:rPr>
                  </w:pPr>
                  <w:r>
                    <w:rPr>
                      <w:rFonts w:hint="eastAsia"/>
                      <w:color w:val="1909E7"/>
                      <w:szCs w:val="21"/>
                    </w:rPr>
                    <w:t>二级活性炭吸附装置+15m高排气筒</w:t>
                  </w:r>
                </w:p>
              </w:tc>
              <w:tc>
                <w:tcPr>
                  <w:tcW w:w="624" w:type="dxa"/>
                  <w:vAlign w:val="center"/>
                </w:tcPr>
                <w:p>
                  <w:pPr>
                    <w:tabs>
                      <w:tab w:val="center" w:pos="4736"/>
                    </w:tabs>
                    <w:jc w:val="center"/>
                    <w:rPr>
                      <w:color w:val="1909E7"/>
                      <w:szCs w:val="21"/>
                    </w:rPr>
                  </w:pPr>
                  <w:r>
                    <w:rPr>
                      <w:rFonts w:hint="eastAsia"/>
                      <w:color w:val="1909E7"/>
                      <w:szCs w:val="21"/>
                    </w:rPr>
                    <w:t>有组织</w:t>
                  </w:r>
                </w:p>
              </w:tc>
              <w:tc>
                <w:tcPr>
                  <w:tcW w:w="831" w:type="dxa"/>
                  <w:vAlign w:val="center"/>
                </w:tcPr>
                <w:p>
                  <w:pPr>
                    <w:tabs>
                      <w:tab w:val="center" w:pos="4736"/>
                    </w:tabs>
                    <w:jc w:val="center"/>
                    <w:rPr>
                      <w:color w:val="1909E7"/>
                      <w:szCs w:val="21"/>
                    </w:rPr>
                  </w:pPr>
                  <w:r>
                    <w:rPr>
                      <w:rFonts w:hint="eastAsia"/>
                      <w:color w:val="1909E7"/>
                      <w:szCs w:val="21"/>
                    </w:rPr>
                    <w:t>18</w:t>
                  </w:r>
                </w:p>
              </w:tc>
              <w:tc>
                <w:tcPr>
                  <w:tcW w:w="944" w:type="dxa"/>
                  <w:vAlign w:val="center"/>
                </w:tcPr>
                <w:p>
                  <w:pPr>
                    <w:tabs>
                      <w:tab w:val="center" w:pos="4736"/>
                    </w:tabs>
                    <w:jc w:val="center"/>
                    <w:rPr>
                      <w:color w:val="1909E7"/>
                      <w:szCs w:val="21"/>
                    </w:rPr>
                  </w:pPr>
                  <w:r>
                    <w:rPr>
                      <w:rFonts w:hint="eastAsia"/>
                      <w:color w:val="1909E7"/>
                      <w:szCs w:val="21"/>
                    </w:rPr>
                    <w:t>0.27</w:t>
                  </w:r>
                </w:p>
              </w:tc>
              <w:tc>
                <w:tcPr>
                  <w:tcW w:w="828" w:type="dxa"/>
                  <w:vAlign w:val="center"/>
                </w:tcPr>
                <w:p>
                  <w:pPr>
                    <w:tabs>
                      <w:tab w:val="center" w:pos="4736"/>
                    </w:tabs>
                    <w:jc w:val="center"/>
                    <w:rPr>
                      <w:color w:val="1909E7"/>
                      <w:szCs w:val="21"/>
                    </w:rPr>
                  </w:pPr>
                  <w:r>
                    <w:rPr>
                      <w:rFonts w:hint="eastAsia"/>
                      <w:color w:val="1909E7"/>
                      <w:szCs w:val="21"/>
                    </w:rPr>
                    <w:t>1.1664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876" w:type="dxa"/>
                  <w:vMerge w:val="restart"/>
                  <w:vAlign w:val="center"/>
                </w:tcPr>
                <w:p>
                  <w:pPr>
                    <w:tabs>
                      <w:tab w:val="center" w:pos="4736"/>
                    </w:tabs>
                    <w:jc w:val="center"/>
                    <w:rPr>
                      <w:rFonts w:hAnsi="宋体"/>
                      <w:bCs/>
                      <w:color w:val="1909E7"/>
                      <w:szCs w:val="21"/>
                    </w:rPr>
                  </w:pPr>
                  <w:r>
                    <w:rPr>
                      <w:rFonts w:hint="eastAsia" w:hAnsi="宋体"/>
                      <w:bCs/>
                      <w:color w:val="1909E7"/>
                      <w:szCs w:val="21"/>
                    </w:rPr>
                    <w:t>塑料果蔬筐生产车间</w:t>
                  </w:r>
                </w:p>
              </w:tc>
              <w:tc>
                <w:tcPr>
                  <w:tcW w:w="761" w:type="dxa"/>
                  <w:vAlign w:val="center"/>
                </w:tcPr>
                <w:p>
                  <w:pPr>
                    <w:tabs>
                      <w:tab w:val="center" w:pos="4736"/>
                    </w:tabs>
                    <w:jc w:val="center"/>
                    <w:rPr>
                      <w:color w:val="1909E7"/>
                      <w:szCs w:val="21"/>
                    </w:rPr>
                  </w:pPr>
                  <w:r>
                    <w:rPr>
                      <w:rFonts w:hint="eastAsia"/>
                      <w:color w:val="1909E7"/>
                      <w:szCs w:val="21"/>
                    </w:rPr>
                    <w:t>非甲烷总烃</w:t>
                  </w:r>
                </w:p>
              </w:tc>
              <w:tc>
                <w:tcPr>
                  <w:tcW w:w="969" w:type="dxa"/>
                  <w:vAlign w:val="center"/>
                </w:tcPr>
                <w:p>
                  <w:pPr>
                    <w:tabs>
                      <w:tab w:val="center" w:pos="4736"/>
                    </w:tabs>
                    <w:jc w:val="center"/>
                    <w:rPr>
                      <w:color w:val="1909E7"/>
                      <w:szCs w:val="21"/>
                    </w:rPr>
                  </w:pPr>
                  <w:r>
                    <w:rPr>
                      <w:rFonts w:hint="eastAsia"/>
                      <w:color w:val="1909E7"/>
                      <w:szCs w:val="21"/>
                    </w:rPr>
                    <w:t>/</w:t>
                  </w:r>
                </w:p>
              </w:tc>
              <w:tc>
                <w:tcPr>
                  <w:tcW w:w="944" w:type="dxa"/>
                  <w:vAlign w:val="center"/>
                </w:tcPr>
                <w:p>
                  <w:pPr>
                    <w:tabs>
                      <w:tab w:val="center" w:pos="4736"/>
                    </w:tabs>
                    <w:jc w:val="center"/>
                    <w:rPr>
                      <w:color w:val="1909E7"/>
                      <w:szCs w:val="21"/>
                    </w:rPr>
                  </w:pPr>
                  <w:r>
                    <w:rPr>
                      <w:rFonts w:hint="eastAsia"/>
                      <w:color w:val="1909E7"/>
                      <w:szCs w:val="21"/>
                    </w:rPr>
                    <w:t>0.05</w:t>
                  </w:r>
                </w:p>
              </w:tc>
              <w:tc>
                <w:tcPr>
                  <w:tcW w:w="783" w:type="dxa"/>
                  <w:vAlign w:val="center"/>
                </w:tcPr>
                <w:p>
                  <w:pPr>
                    <w:tabs>
                      <w:tab w:val="center" w:pos="4736"/>
                    </w:tabs>
                    <w:jc w:val="center"/>
                    <w:rPr>
                      <w:color w:val="1909E7"/>
                      <w:szCs w:val="21"/>
                    </w:rPr>
                  </w:pPr>
                  <w:r>
                    <w:rPr>
                      <w:rFonts w:hint="eastAsia"/>
                      <w:color w:val="1909E7"/>
                      <w:szCs w:val="21"/>
                    </w:rPr>
                    <w:t>0.216</w:t>
                  </w:r>
                </w:p>
              </w:tc>
              <w:tc>
                <w:tcPr>
                  <w:tcW w:w="898" w:type="dxa"/>
                  <w:vAlign w:val="center"/>
                </w:tcPr>
                <w:p>
                  <w:pPr>
                    <w:tabs>
                      <w:tab w:val="center" w:pos="4736"/>
                    </w:tabs>
                    <w:jc w:val="center"/>
                    <w:rPr>
                      <w:color w:val="1909E7"/>
                      <w:szCs w:val="21"/>
                    </w:rPr>
                  </w:pPr>
                  <w:r>
                    <w:rPr>
                      <w:rFonts w:hint="eastAsia"/>
                      <w:color w:val="1909E7"/>
                      <w:szCs w:val="21"/>
                    </w:rPr>
                    <w:t>车间通风</w:t>
                  </w:r>
                </w:p>
              </w:tc>
              <w:tc>
                <w:tcPr>
                  <w:tcW w:w="624" w:type="dxa"/>
                  <w:vAlign w:val="center"/>
                </w:tcPr>
                <w:p>
                  <w:pPr>
                    <w:tabs>
                      <w:tab w:val="center" w:pos="4736"/>
                    </w:tabs>
                    <w:jc w:val="center"/>
                    <w:rPr>
                      <w:color w:val="1909E7"/>
                      <w:szCs w:val="21"/>
                    </w:rPr>
                  </w:pPr>
                  <w:r>
                    <w:rPr>
                      <w:rFonts w:hint="eastAsia"/>
                      <w:color w:val="1909E7"/>
                      <w:szCs w:val="21"/>
                    </w:rPr>
                    <w:t>无组织</w:t>
                  </w:r>
                </w:p>
              </w:tc>
              <w:tc>
                <w:tcPr>
                  <w:tcW w:w="831" w:type="dxa"/>
                  <w:vAlign w:val="center"/>
                </w:tcPr>
                <w:p>
                  <w:pPr>
                    <w:tabs>
                      <w:tab w:val="center" w:pos="4736"/>
                    </w:tabs>
                    <w:jc w:val="center"/>
                    <w:rPr>
                      <w:color w:val="1909E7"/>
                      <w:szCs w:val="21"/>
                    </w:rPr>
                  </w:pPr>
                  <w:r>
                    <w:rPr>
                      <w:rFonts w:hint="eastAsia"/>
                      <w:color w:val="1909E7"/>
                      <w:szCs w:val="21"/>
                    </w:rPr>
                    <w:t>/</w:t>
                  </w:r>
                </w:p>
              </w:tc>
              <w:tc>
                <w:tcPr>
                  <w:tcW w:w="944" w:type="dxa"/>
                  <w:vAlign w:val="center"/>
                </w:tcPr>
                <w:p>
                  <w:pPr>
                    <w:tabs>
                      <w:tab w:val="center" w:pos="4736"/>
                    </w:tabs>
                    <w:jc w:val="center"/>
                    <w:rPr>
                      <w:color w:val="1909E7"/>
                      <w:szCs w:val="21"/>
                    </w:rPr>
                  </w:pPr>
                  <w:r>
                    <w:rPr>
                      <w:rFonts w:hint="eastAsia"/>
                      <w:color w:val="1909E7"/>
                      <w:szCs w:val="21"/>
                    </w:rPr>
                    <w:t>0.05</w:t>
                  </w:r>
                </w:p>
              </w:tc>
              <w:tc>
                <w:tcPr>
                  <w:tcW w:w="828" w:type="dxa"/>
                  <w:vAlign w:val="center"/>
                </w:tcPr>
                <w:p>
                  <w:pPr>
                    <w:tabs>
                      <w:tab w:val="center" w:pos="4736"/>
                    </w:tabs>
                    <w:jc w:val="center"/>
                    <w:rPr>
                      <w:color w:val="1909E7"/>
                      <w:szCs w:val="21"/>
                    </w:rPr>
                  </w:pPr>
                  <w:r>
                    <w:rPr>
                      <w:rFonts w:hint="eastAsia"/>
                      <w:color w:val="1909E7"/>
                      <w:szCs w:val="21"/>
                    </w:rPr>
                    <w:t>0.216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876" w:type="dxa"/>
                  <w:vMerge w:val="continue"/>
                  <w:vAlign w:val="center"/>
                </w:tcPr>
                <w:p>
                  <w:pPr>
                    <w:tabs>
                      <w:tab w:val="center" w:pos="4736"/>
                    </w:tabs>
                    <w:jc w:val="center"/>
                    <w:rPr>
                      <w:rFonts w:hAnsi="宋体"/>
                      <w:bCs/>
                      <w:color w:val="1909E7"/>
                      <w:szCs w:val="21"/>
                    </w:rPr>
                  </w:pPr>
                </w:p>
              </w:tc>
              <w:tc>
                <w:tcPr>
                  <w:tcW w:w="761" w:type="dxa"/>
                  <w:vAlign w:val="center"/>
                </w:tcPr>
                <w:p>
                  <w:pPr>
                    <w:tabs>
                      <w:tab w:val="center" w:pos="4736"/>
                    </w:tabs>
                    <w:jc w:val="center"/>
                    <w:rPr>
                      <w:color w:val="1909E7"/>
                      <w:szCs w:val="21"/>
                    </w:rPr>
                  </w:pPr>
                  <w:r>
                    <w:rPr>
                      <w:rFonts w:hint="eastAsia"/>
                      <w:color w:val="1909E7"/>
                      <w:szCs w:val="21"/>
                    </w:rPr>
                    <w:t>颗粒物</w:t>
                  </w:r>
                </w:p>
              </w:tc>
              <w:tc>
                <w:tcPr>
                  <w:tcW w:w="969" w:type="dxa"/>
                  <w:vAlign w:val="center"/>
                </w:tcPr>
                <w:p>
                  <w:pPr>
                    <w:tabs>
                      <w:tab w:val="center" w:pos="4736"/>
                    </w:tabs>
                    <w:jc w:val="center"/>
                    <w:rPr>
                      <w:color w:val="1909E7"/>
                      <w:szCs w:val="21"/>
                    </w:rPr>
                  </w:pPr>
                  <w:r>
                    <w:rPr>
                      <w:rFonts w:hint="eastAsia"/>
                      <w:color w:val="1909E7"/>
                      <w:szCs w:val="21"/>
                    </w:rPr>
                    <w:t>/</w:t>
                  </w:r>
                </w:p>
              </w:tc>
              <w:tc>
                <w:tcPr>
                  <w:tcW w:w="944" w:type="dxa"/>
                  <w:vAlign w:val="center"/>
                </w:tcPr>
                <w:p>
                  <w:pPr>
                    <w:tabs>
                      <w:tab w:val="center" w:pos="4736"/>
                    </w:tabs>
                    <w:jc w:val="center"/>
                    <w:rPr>
                      <w:color w:val="1909E7"/>
                      <w:szCs w:val="21"/>
                    </w:rPr>
                  </w:pPr>
                  <w:r>
                    <w:rPr>
                      <w:rFonts w:hint="eastAsia"/>
                      <w:color w:val="1909E7"/>
                      <w:szCs w:val="21"/>
                    </w:rPr>
                    <w:t>0.037</w:t>
                  </w:r>
                </w:p>
              </w:tc>
              <w:tc>
                <w:tcPr>
                  <w:tcW w:w="783" w:type="dxa"/>
                  <w:vAlign w:val="center"/>
                </w:tcPr>
                <w:p>
                  <w:pPr>
                    <w:tabs>
                      <w:tab w:val="center" w:pos="4736"/>
                    </w:tabs>
                    <w:jc w:val="center"/>
                    <w:rPr>
                      <w:color w:val="1909E7"/>
                      <w:szCs w:val="21"/>
                    </w:rPr>
                  </w:pPr>
                  <w:r>
                    <w:rPr>
                      <w:rFonts w:hint="eastAsia"/>
                      <w:color w:val="1909E7"/>
                      <w:szCs w:val="21"/>
                    </w:rPr>
                    <w:t>0.163</w:t>
                  </w:r>
                </w:p>
              </w:tc>
              <w:tc>
                <w:tcPr>
                  <w:tcW w:w="898" w:type="dxa"/>
                  <w:vAlign w:val="center"/>
                </w:tcPr>
                <w:p>
                  <w:pPr>
                    <w:tabs>
                      <w:tab w:val="center" w:pos="4736"/>
                    </w:tabs>
                    <w:jc w:val="center"/>
                    <w:rPr>
                      <w:color w:val="1909E7"/>
                      <w:szCs w:val="21"/>
                    </w:rPr>
                  </w:pPr>
                  <w:r>
                    <w:rPr>
                      <w:rFonts w:hint="eastAsia"/>
                      <w:color w:val="1909E7"/>
                      <w:szCs w:val="21"/>
                    </w:rPr>
                    <w:t>车间通风</w:t>
                  </w:r>
                </w:p>
              </w:tc>
              <w:tc>
                <w:tcPr>
                  <w:tcW w:w="624" w:type="dxa"/>
                  <w:vAlign w:val="center"/>
                </w:tcPr>
                <w:p>
                  <w:pPr>
                    <w:tabs>
                      <w:tab w:val="center" w:pos="4736"/>
                    </w:tabs>
                    <w:jc w:val="center"/>
                    <w:rPr>
                      <w:color w:val="1909E7"/>
                      <w:szCs w:val="21"/>
                    </w:rPr>
                  </w:pPr>
                  <w:r>
                    <w:rPr>
                      <w:rFonts w:hint="eastAsia"/>
                      <w:color w:val="1909E7"/>
                      <w:szCs w:val="21"/>
                    </w:rPr>
                    <w:t>无组织</w:t>
                  </w:r>
                </w:p>
              </w:tc>
              <w:tc>
                <w:tcPr>
                  <w:tcW w:w="831" w:type="dxa"/>
                  <w:vAlign w:val="center"/>
                </w:tcPr>
                <w:p>
                  <w:pPr>
                    <w:tabs>
                      <w:tab w:val="center" w:pos="4736"/>
                    </w:tabs>
                    <w:jc w:val="center"/>
                    <w:rPr>
                      <w:color w:val="1909E7"/>
                      <w:szCs w:val="21"/>
                    </w:rPr>
                  </w:pPr>
                  <w:r>
                    <w:rPr>
                      <w:rFonts w:hint="eastAsia"/>
                      <w:color w:val="1909E7"/>
                      <w:szCs w:val="21"/>
                    </w:rPr>
                    <w:t>/</w:t>
                  </w:r>
                </w:p>
              </w:tc>
              <w:tc>
                <w:tcPr>
                  <w:tcW w:w="944" w:type="dxa"/>
                  <w:vAlign w:val="center"/>
                </w:tcPr>
                <w:p>
                  <w:pPr>
                    <w:tabs>
                      <w:tab w:val="center" w:pos="4736"/>
                    </w:tabs>
                    <w:jc w:val="center"/>
                    <w:rPr>
                      <w:color w:val="1909E7"/>
                      <w:szCs w:val="21"/>
                    </w:rPr>
                  </w:pPr>
                  <w:r>
                    <w:rPr>
                      <w:rFonts w:hint="eastAsia"/>
                      <w:color w:val="1909E7"/>
                      <w:szCs w:val="21"/>
                    </w:rPr>
                    <w:t>0.037</w:t>
                  </w:r>
                </w:p>
              </w:tc>
              <w:tc>
                <w:tcPr>
                  <w:tcW w:w="828" w:type="dxa"/>
                  <w:vAlign w:val="center"/>
                </w:tcPr>
                <w:p>
                  <w:pPr>
                    <w:tabs>
                      <w:tab w:val="center" w:pos="4736"/>
                    </w:tabs>
                    <w:jc w:val="center"/>
                    <w:rPr>
                      <w:color w:val="1909E7"/>
                      <w:szCs w:val="21"/>
                    </w:rPr>
                  </w:pPr>
                  <w:r>
                    <w:rPr>
                      <w:rFonts w:hint="eastAsia"/>
                      <w:color w:val="1909E7"/>
                      <w:szCs w:val="21"/>
                    </w:rPr>
                    <w:t>0.163</w:t>
                  </w:r>
                </w:p>
              </w:tc>
            </w:tr>
          </w:tbl>
          <w:p>
            <w:pPr>
              <w:tabs>
                <w:tab w:val="center" w:pos="4736"/>
              </w:tabs>
              <w:spacing w:line="480" w:lineRule="exact"/>
              <w:ind w:firstLine="480" w:firstLineChars="200"/>
              <w:rPr>
                <w:bCs/>
                <w:sz w:val="24"/>
              </w:rPr>
            </w:pPr>
            <w:r>
              <w:rPr>
                <w:rFonts w:hint="eastAsia"/>
                <w:bCs/>
                <w:sz w:val="24"/>
              </w:rPr>
              <w:t>（2）防治措施可行性分析</w:t>
            </w:r>
          </w:p>
          <w:p>
            <w:pPr>
              <w:spacing w:line="480" w:lineRule="exact"/>
              <w:ind w:firstLine="480" w:firstLineChars="200"/>
              <w:rPr>
                <w:rFonts w:hAnsi="宋体"/>
                <w:sz w:val="24"/>
              </w:rPr>
            </w:pPr>
            <w:r>
              <w:rPr>
                <w:rFonts w:hAnsi="宋体"/>
                <w:sz w:val="24"/>
              </w:rPr>
              <w:t>活性炭吸附原理</w:t>
            </w:r>
          </w:p>
          <w:p>
            <w:pPr>
              <w:spacing w:line="480" w:lineRule="exact"/>
              <w:ind w:firstLine="480" w:firstLineChars="200"/>
              <w:rPr>
                <w:rFonts w:hAnsi="宋体"/>
                <w:sz w:val="24"/>
              </w:rPr>
            </w:pPr>
            <w:r>
              <w:rPr>
                <w:rFonts w:hAnsi="宋体"/>
                <w:sz w:val="24"/>
              </w:rPr>
              <w:t>活性炭是一种很细小的炭粒有很大的表面积，而且炭粒中还有更细小的孔——毛细管。这种毛细管具有很强的吸附能力，由于炭粒的表面积很大，所以能与气体（杂质）充分接触。当这些气体（杂质）碰到毛细管被吸附，起净化作用。</w:t>
            </w:r>
          </w:p>
          <w:p>
            <w:pPr>
              <w:spacing w:line="480" w:lineRule="exact"/>
              <w:ind w:firstLine="480" w:firstLineChars="200"/>
              <w:rPr>
                <w:rFonts w:hAnsi="宋体"/>
                <w:sz w:val="24"/>
              </w:rPr>
            </w:pPr>
            <w:r>
              <w:rPr>
                <w:rFonts w:hAnsi="宋体"/>
                <w:sz w:val="24"/>
              </w:rPr>
              <w:t>活性碳比表面积一般在700~1500m</w:t>
            </w:r>
            <w:r>
              <w:rPr>
                <w:rFonts w:hAnsi="宋体"/>
                <w:sz w:val="24"/>
                <w:vertAlign w:val="superscript"/>
              </w:rPr>
              <w:t>2</w:t>
            </w:r>
            <w:r>
              <w:rPr>
                <w:rFonts w:hAnsi="宋体"/>
                <w:sz w:val="24"/>
              </w:rPr>
              <w:t>/g，故活性碳常常被用来吸附回收空气中的有机溶剂和恶臭气体。活性碳吸附的实质是利用活性碳吸附的特性把低浓度大风量废气中的有机溶剂吸附到活性碳中并浓缩，经活性碳吸附净化后的气体直接排空，其实质是一个吸附浓缩的过程，并没有把有机溶剂处理掉，是一个物理过程。</w:t>
            </w:r>
          </w:p>
          <w:p>
            <w:pPr>
              <w:spacing w:line="480" w:lineRule="exact"/>
              <w:ind w:firstLine="480" w:firstLineChars="200"/>
              <w:rPr>
                <w:rFonts w:hAnsi="宋体"/>
                <w:sz w:val="24"/>
              </w:rPr>
            </w:pPr>
            <w:r>
              <w:rPr>
                <w:rFonts w:hint="eastAsia" w:hAnsi="宋体"/>
                <w:sz w:val="24"/>
              </w:rPr>
              <w:t>（</w:t>
            </w:r>
            <w:r>
              <w:rPr>
                <w:rFonts w:hAnsi="宋体"/>
                <w:sz w:val="24"/>
              </w:rPr>
              <w:t>3）技术特点</w:t>
            </w:r>
          </w:p>
          <w:p>
            <w:pPr>
              <w:spacing w:line="480" w:lineRule="exact"/>
              <w:ind w:firstLine="480" w:firstLineChars="200"/>
              <w:rPr>
                <w:rFonts w:hAnsi="宋体"/>
                <w:color w:val="000000" w:themeColor="text1"/>
                <w:sz w:val="24"/>
              </w:rPr>
            </w:pPr>
            <w:r>
              <w:rPr>
                <w:rFonts w:hAnsi="宋体"/>
                <w:color w:val="000000" w:themeColor="text1"/>
                <w:sz w:val="24"/>
              </w:rPr>
              <w:t>适应性强：可适应绝大部分高浓度，大气量，不同有机气体物质的净化处理，通过合理的模块配置可广泛应用于：炼油厂、橡胶厂、化工厂、制药厂、污水处理厂、垃圾转运站、污水泵房、中央空调等气体的脱臭灭菌净化处理。可每天24小时连续工作，运行稳定可靠。</w:t>
            </w:r>
          </w:p>
          <w:p>
            <w:pPr>
              <w:spacing w:line="480" w:lineRule="exact"/>
              <w:ind w:firstLine="480" w:firstLineChars="200"/>
              <w:rPr>
                <w:rFonts w:hAnsi="宋体"/>
                <w:color w:val="000000" w:themeColor="text1"/>
                <w:sz w:val="24"/>
              </w:rPr>
            </w:pPr>
            <w:r>
              <w:rPr>
                <w:rFonts w:hint="eastAsia" w:hAnsi="宋体"/>
                <w:color w:val="000000" w:themeColor="text1"/>
                <w:sz w:val="24"/>
              </w:rPr>
              <w:t>去除效果</w:t>
            </w:r>
            <w:r>
              <w:rPr>
                <w:rFonts w:hAnsi="宋体"/>
                <w:color w:val="000000" w:themeColor="text1"/>
                <w:sz w:val="24"/>
              </w:rPr>
              <w:t>好：能高效去除挥发性有机物（VOC）及硫化氢、氨气等无机物类污染物，采用</w:t>
            </w:r>
            <w:r>
              <w:rPr>
                <w:rFonts w:hint="eastAsia" w:hAnsi="宋体"/>
                <w:color w:val="000000" w:themeColor="text1"/>
                <w:sz w:val="24"/>
              </w:rPr>
              <w:t>二级</w:t>
            </w:r>
            <w:r>
              <w:rPr>
                <w:rFonts w:hAnsi="宋体"/>
                <w:color w:val="000000" w:themeColor="text1"/>
                <w:sz w:val="24"/>
              </w:rPr>
              <w:t>活性炭吸附处置后有机废气排放浓度可满足</w:t>
            </w:r>
            <w:r>
              <w:rPr>
                <w:rFonts w:hAnsi="宋体"/>
                <w:bCs/>
                <w:color w:val="000000" w:themeColor="text1"/>
                <w:sz w:val="24"/>
              </w:rPr>
              <w:t>《合成树脂工业污染物排放标准》（GB 31572-2015）中表5大气污染物特别排放限值中要求</w:t>
            </w:r>
            <w:r>
              <w:rPr>
                <w:rFonts w:hAnsi="宋体"/>
                <w:color w:val="000000" w:themeColor="text1"/>
                <w:sz w:val="24"/>
              </w:rPr>
              <w:t>。</w:t>
            </w:r>
          </w:p>
          <w:p>
            <w:pPr>
              <w:spacing w:line="480" w:lineRule="exact"/>
              <w:ind w:firstLine="480" w:firstLineChars="200"/>
              <w:rPr>
                <w:rFonts w:hAnsi="宋体"/>
                <w:sz w:val="24"/>
              </w:rPr>
            </w:pPr>
            <w:r>
              <w:rPr>
                <w:rFonts w:hAnsi="宋体"/>
                <w:sz w:val="24"/>
              </w:rPr>
              <w:t>运行成本低：本设备只需作定期检查维护，维护和能耗低，风阻极低，可节约大量排风动力能耗。</w:t>
            </w:r>
          </w:p>
          <w:p>
            <w:pPr>
              <w:spacing w:line="480" w:lineRule="exact"/>
              <w:ind w:firstLine="480" w:firstLineChars="200"/>
              <w:rPr>
                <w:rFonts w:hAnsi="宋体"/>
                <w:sz w:val="24"/>
              </w:rPr>
            </w:pPr>
            <w:r>
              <w:rPr>
                <w:rFonts w:hAnsi="宋体"/>
                <w:sz w:val="24"/>
              </w:rPr>
              <w:t>安全可靠：模块采取隔爆处理，消除了安全隐患，防火、防爆、防腐蚀性能高，设备性能安全稳定，特别适用于高浓度易燃易爆废气的场合。</w:t>
            </w:r>
          </w:p>
          <w:p>
            <w:pPr>
              <w:spacing w:line="480" w:lineRule="exact"/>
              <w:ind w:firstLine="480" w:firstLineChars="200"/>
              <w:rPr>
                <w:rFonts w:hAnsi="宋体"/>
                <w:sz w:val="24"/>
              </w:rPr>
            </w:pPr>
            <w:r>
              <w:rPr>
                <w:rFonts w:hAnsi="宋体"/>
                <w:sz w:val="24"/>
              </w:rPr>
              <w:t>无需预处理：有机气体无需进行特殊的预处理，如加温、加湿等,设备工作环境温度在-30</w:t>
            </w:r>
            <w:r>
              <w:rPr>
                <w:rFonts w:hint="eastAsia" w:hAnsi="宋体"/>
                <w:sz w:val="24"/>
              </w:rPr>
              <w:t>℃</w:t>
            </w:r>
            <w:r>
              <w:rPr>
                <w:rFonts w:hAnsi="宋体"/>
                <w:sz w:val="24"/>
              </w:rPr>
              <w:t>～95</w:t>
            </w:r>
            <w:r>
              <w:rPr>
                <w:rFonts w:hint="eastAsia" w:hAnsi="宋体"/>
                <w:sz w:val="24"/>
              </w:rPr>
              <w:t>℃</w:t>
            </w:r>
            <w:r>
              <w:rPr>
                <w:rFonts w:hAnsi="宋体"/>
                <w:sz w:val="24"/>
              </w:rPr>
              <w:t>之间，湿度在30%～98%、pH值在2～13范围均可正常工作，无需添加其他物质及药剂参与处理。</w:t>
            </w:r>
          </w:p>
          <w:p>
            <w:pPr>
              <w:spacing w:line="480" w:lineRule="exact"/>
              <w:ind w:firstLine="480" w:firstLineChars="200"/>
              <w:rPr>
                <w:rFonts w:hAnsi="宋体"/>
                <w:sz w:val="24"/>
              </w:rPr>
            </w:pPr>
            <w:r>
              <w:rPr>
                <w:rFonts w:hint="eastAsia" w:hAnsi="宋体"/>
                <w:sz w:val="24"/>
              </w:rPr>
              <w:t>根据《排污许可证</w:t>
            </w:r>
            <w:r>
              <w:rPr>
                <w:rFonts w:hAnsi="宋体"/>
                <w:sz w:val="24"/>
              </w:rPr>
              <w:t>申请与核发技术</w:t>
            </w:r>
            <w:r>
              <w:rPr>
                <w:rFonts w:hint="eastAsia" w:hAnsi="宋体"/>
                <w:sz w:val="24"/>
              </w:rPr>
              <w:t>规范 橡胶</w:t>
            </w:r>
            <w:r>
              <w:rPr>
                <w:rFonts w:hAnsi="宋体"/>
                <w:sz w:val="24"/>
              </w:rPr>
              <w:t>和塑料制品</w:t>
            </w:r>
            <w:r>
              <w:rPr>
                <w:rFonts w:hint="eastAsia" w:hAnsi="宋体"/>
                <w:sz w:val="24"/>
              </w:rPr>
              <w:t>工</w:t>
            </w:r>
            <w:r>
              <w:rPr>
                <w:rFonts w:hAnsi="宋体"/>
                <w:sz w:val="24"/>
              </w:rPr>
              <w:t>业</w:t>
            </w:r>
            <w:r>
              <w:rPr>
                <w:rFonts w:hint="eastAsia" w:hAnsi="宋体"/>
                <w:sz w:val="24"/>
              </w:rPr>
              <w:t>》（HJ</w:t>
            </w:r>
            <w:r>
              <w:rPr>
                <w:rFonts w:hAnsi="宋体"/>
                <w:sz w:val="24"/>
              </w:rPr>
              <w:t>1122-2020</w:t>
            </w:r>
            <w:r>
              <w:rPr>
                <w:rFonts w:hint="eastAsia" w:hAnsi="宋体"/>
                <w:sz w:val="24"/>
              </w:rPr>
              <w:t>），“二级活性炭</w:t>
            </w:r>
            <w:r>
              <w:rPr>
                <w:rFonts w:hAnsi="宋体"/>
                <w:sz w:val="24"/>
              </w:rPr>
              <w:t>吸附装置</w:t>
            </w:r>
            <w:r>
              <w:rPr>
                <w:rFonts w:hint="eastAsia" w:hAnsi="宋体"/>
                <w:sz w:val="24"/>
              </w:rPr>
              <w:t>”为</w:t>
            </w:r>
            <w:r>
              <w:rPr>
                <w:rFonts w:hAnsi="宋体"/>
                <w:sz w:val="24"/>
              </w:rPr>
              <w:t>可行技术，</w:t>
            </w:r>
            <w:r>
              <w:rPr>
                <w:rFonts w:hint="eastAsia" w:hAnsi="宋体"/>
                <w:sz w:val="24"/>
              </w:rPr>
              <w:t>根据</w:t>
            </w:r>
            <w:r>
              <w:rPr>
                <w:rFonts w:hAnsi="宋体"/>
                <w:sz w:val="24"/>
              </w:rPr>
              <w:t>《</w:t>
            </w:r>
            <w:r>
              <w:rPr>
                <w:rFonts w:hint="eastAsia" w:hAnsi="宋体"/>
                <w:sz w:val="24"/>
              </w:rPr>
              <w:t>挥发性</w:t>
            </w:r>
            <w:r>
              <w:rPr>
                <w:rFonts w:hAnsi="宋体"/>
                <w:sz w:val="24"/>
              </w:rPr>
              <w:t>有机物无组织排放控制</w:t>
            </w:r>
            <w:r>
              <w:rPr>
                <w:rFonts w:hint="eastAsia" w:hAnsi="宋体"/>
                <w:sz w:val="24"/>
              </w:rPr>
              <w:t>标准</w:t>
            </w:r>
            <w:r>
              <w:rPr>
                <w:rFonts w:hAnsi="宋体"/>
                <w:sz w:val="24"/>
              </w:rPr>
              <w:t>》</w:t>
            </w:r>
            <w:r>
              <w:rPr>
                <w:rFonts w:hint="eastAsia" w:hAnsi="宋体"/>
                <w:sz w:val="24"/>
              </w:rPr>
              <w:t>（GB37822-</w:t>
            </w:r>
            <w:r>
              <w:rPr>
                <w:rFonts w:hAnsi="宋体"/>
                <w:sz w:val="24"/>
              </w:rPr>
              <w:t>2019</w:t>
            </w:r>
            <w:r>
              <w:rPr>
                <w:rFonts w:hint="eastAsia" w:hAnsi="宋体"/>
                <w:sz w:val="24"/>
              </w:rPr>
              <w:t>），本项目产生</w:t>
            </w:r>
            <w:r>
              <w:rPr>
                <w:rFonts w:hAnsi="宋体"/>
                <w:sz w:val="24"/>
              </w:rPr>
              <w:t>的挥发性有机废气</w:t>
            </w:r>
            <w:r>
              <w:rPr>
                <w:rFonts w:hint="eastAsia" w:hAnsi="宋体"/>
                <w:sz w:val="24"/>
              </w:rPr>
              <w:t>均设置</w:t>
            </w:r>
            <w:r>
              <w:rPr>
                <w:rFonts w:hAnsi="宋体"/>
                <w:sz w:val="24"/>
              </w:rPr>
              <w:t>集气罩进行收集，</w:t>
            </w:r>
            <w:r>
              <w:rPr>
                <w:rFonts w:hint="eastAsia" w:hAnsi="宋体"/>
                <w:sz w:val="24"/>
              </w:rPr>
              <w:t>且</w:t>
            </w:r>
            <w:r>
              <w:rPr>
                <w:rFonts w:hAnsi="宋体"/>
                <w:sz w:val="24"/>
              </w:rPr>
              <w:t>控制风速均不低于</w:t>
            </w:r>
            <w:r>
              <w:rPr>
                <w:rFonts w:hint="eastAsia" w:hAnsi="宋体"/>
                <w:sz w:val="24"/>
              </w:rPr>
              <w:t>0.3</w:t>
            </w:r>
            <w:r>
              <w:rPr>
                <w:rFonts w:hAnsi="宋体"/>
                <w:sz w:val="24"/>
              </w:rPr>
              <w:t>m/s</w:t>
            </w:r>
            <w:r>
              <w:rPr>
                <w:rFonts w:hint="eastAsia" w:hAnsi="宋体"/>
                <w:sz w:val="24"/>
              </w:rPr>
              <w:t>。</w:t>
            </w:r>
            <w:r>
              <w:rPr>
                <w:rFonts w:hAnsi="宋体"/>
                <w:sz w:val="24"/>
              </w:rPr>
              <w:t>根据《挥发性有机物无组织排放控制标准》（GB37822-2019）中关于有机聚合物产品用于制品生产过程的要求，加工成型等工序需要在密闭设备或密闭空间内操作，废气排至VOCs废气收集处理系统，无法密闭的，应采取局部气体收集措施，废气排至VOCs废气收集处理系统。本项目设置集气罩收集废气，经收集后的废气通过通风管道进入治理设施统一处理。车间按照工程设计要求加强车间通风，制定运行控制要求，保证生产车间无组织废气满足《挥发性有机物无组织排放控制标准》（GB37822-2019）要求</w:t>
            </w:r>
            <w:r>
              <w:rPr>
                <w:rFonts w:hint="eastAsia" w:hAnsi="宋体"/>
                <w:sz w:val="24"/>
              </w:rPr>
              <w:t>。</w:t>
            </w:r>
          </w:p>
          <w:p>
            <w:pPr>
              <w:spacing w:line="480" w:lineRule="exact"/>
              <w:ind w:firstLine="480" w:firstLineChars="200"/>
              <w:rPr>
                <w:rFonts w:hAnsi="宋体"/>
                <w:sz w:val="24"/>
              </w:rPr>
            </w:pPr>
            <w:r>
              <w:rPr>
                <w:rFonts w:hint="eastAsia" w:hAnsi="宋体"/>
                <w:sz w:val="24"/>
              </w:rPr>
              <w:t>综上</w:t>
            </w:r>
            <w:r>
              <w:rPr>
                <w:rFonts w:hAnsi="宋体"/>
                <w:sz w:val="24"/>
              </w:rPr>
              <w:t>所述</w:t>
            </w:r>
            <w:r>
              <w:rPr>
                <w:rFonts w:hint="eastAsia" w:hAnsi="宋体"/>
                <w:sz w:val="24"/>
              </w:rPr>
              <w:t>，本项目</w:t>
            </w:r>
            <w:r>
              <w:rPr>
                <w:rFonts w:hAnsi="宋体"/>
                <w:sz w:val="24"/>
              </w:rPr>
              <w:t>废气处理措施可行。</w:t>
            </w:r>
          </w:p>
          <w:p>
            <w:pPr>
              <w:spacing w:line="480" w:lineRule="exact"/>
              <w:ind w:firstLine="480" w:firstLineChars="200"/>
              <w:rPr>
                <w:rFonts w:hAnsi="宋体"/>
                <w:sz w:val="24"/>
              </w:rPr>
            </w:pPr>
            <w:r>
              <w:rPr>
                <w:rFonts w:hint="eastAsia" w:hAnsi="宋体"/>
                <w:sz w:val="24"/>
              </w:rPr>
              <w:t>（3）废气污染影响分析</w:t>
            </w:r>
          </w:p>
          <w:p>
            <w:pPr>
              <w:spacing w:line="480" w:lineRule="exact"/>
              <w:ind w:firstLine="480" w:firstLineChars="200"/>
              <w:rPr>
                <w:rFonts w:hAnsi="宋体"/>
                <w:sz w:val="24"/>
              </w:rPr>
            </w:pPr>
            <w:r>
              <w:rPr>
                <w:rFonts w:hint="eastAsia" w:hAnsi="宋体"/>
                <w:sz w:val="24"/>
              </w:rPr>
              <w:t>1）废气排放达标性分析</w:t>
            </w:r>
          </w:p>
          <w:p>
            <w:pPr>
              <w:spacing w:line="480" w:lineRule="exact"/>
              <w:ind w:firstLine="480" w:firstLineChars="200"/>
              <w:rPr>
                <w:rFonts w:hAnsi="宋体"/>
                <w:sz w:val="24"/>
              </w:rPr>
            </w:pPr>
            <w:r>
              <w:rPr>
                <w:rFonts w:hint="eastAsia" w:hAnsi="宋体"/>
                <w:sz w:val="24"/>
              </w:rPr>
              <w:t>项目各项废气排放情况达标性分析见表4-2。</w:t>
            </w:r>
          </w:p>
          <w:p>
            <w:pPr>
              <w:pStyle w:val="60"/>
              <w:ind w:firstLine="422" w:firstLineChars="200"/>
              <w:rPr>
                <w:rFonts w:ascii="黑体" w:hAnsi="黑体" w:eastAsia="黑体"/>
                <w:color w:val="auto"/>
                <w:sz w:val="21"/>
              </w:rPr>
            </w:pPr>
            <w:r>
              <w:rPr>
                <w:rFonts w:hint="eastAsia" w:ascii="黑体" w:hAnsi="黑体" w:eastAsia="黑体"/>
                <w:color w:val="auto"/>
                <w:sz w:val="21"/>
              </w:rPr>
              <w:t>表4-2            项目各项废气排放情况达标性分析表</w:t>
            </w:r>
          </w:p>
          <w:tbl>
            <w:tblPr>
              <w:tblStyle w:val="25"/>
              <w:tblW w:w="82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80"/>
              <w:gridCol w:w="1410"/>
              <w:gridCol w:w="2597"/>
              <w:gridCol w:w="1613"/>
              <w:gridCol w:w="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trPr>
              <w:tc>
                <w:tcPr>
                  <w:tcW w:w="980" w:type="dxa"/>
                  <w:vAlign w:val="center"/>
                </w:tcPr>
                <w:p>
                  <w:pPr>
                    <w:jc w:val="center"/>
                    <w:rPr>
                      <w:szCs w:val="21"/>
                    </w:rPr>
                  </w:pPr>
                  <w:r>
                    <w:rPr>
                      <w:rFonts w:hint="eastAsia"/>
                      <w:szCs w:val="21"/>
                    </w:rPr>
                    <w:t>污染源</w:t>
                  </w:r>
                </w:p>
              </w:tc>
              <w:tc>
                <w:tcPr>
                  <w:tcW w:w="980" w:type="dxa"/>
                  <w:vAlign w:val="center"/>
                </w:tcPr>
                <w:p>
                  <w:pPr>
                    <w:jc w:val="center"/>
                    <w:rPr>
                      <w:szCs w:val="21"/>
                    </w:rPr>
                  </w:pPr>
                  <w:r>
                    <w:rPr>
                      <w:rFonts w:hint="eastAsia"/>
                      <w:szCs w:val="21"/>
                    </w:rPr>
                    <w:t>污染物</w:t>
                  </w:r>
                </w:p>
              </w:tc>
              <w:tc>
                <w:tcPr>
                  <w:tcW w:w="1410" w:type="dxa"/>
                  <w:vAlign w:val="center"/>
                </w:tcPr>
                <w:p>
                  <w:pPr>
                    <w:jc w:val="center"/>
                    <w:rPr>
                      <w:szCs w:val="21"/>
                    </w:rPr>
                  </w:pPr>
                  <w:r>
                    <w:rPr>
                      <w:rFonts w:hint="eastAsia"/>
                      <w:szCs w:val="21"/>
                    </w:rPr>
                    <w:t>排放情况</w:t>
                  </w:r>
                </w:p>
              </w:tc>
              <w:tc>
                <w:tcPr>
                  <w:tcW w:w="2597" w:type="dxa"/>
                  <w:vAlign w:val="center"/>
                </w:tcPr>
                <w:p>
                  <w:pPr>
                    <w:jc w:val="center"/>
                    <w:rPr>
                      <w:szCs w:val="21"/>
                    </w:rPr>
                  </w:pPr>
                  <w:r>
                    <w:rPr>
                      <w:rFonts w:hint="eastAsia"/>
                      <w:szCs w:val="21"/>
                    </w:rPr>
                    <w:t>标准来源</w:t>
                  </w:r>
                </w:p>
              </w:tc>
              <w:tc>
                <w:tcPr>
                  <w:tcW w:w="1613" w:type="dxa"/>
                  <w:vAlign w:val="center"/>
                </w:tcPr>
                <w:p>
                  <w:pPr>
                    <w:jc w:val="center"/>
                    <w:rPr>
                      <w:szCs w:val="21"/>
                    </w:rPr>
                  </w:pPr>
                  <w:r>
                    <w:rPr>
                      <w:rFonts w:hint="eastAsia"/>
                      <w:szCs w:val="21"/>
                    </w:rPr>
                    <w:t>标准限值</w:t>
                  </w:r>
                </w:p>
              </w:tc>
              <w:tc>
                <w:tcPr>
                  <w:tcW w:w="654" w:type="dxa"/>
                  <w:vAlign w:val="center"/>
                </w:tcPr>
                <w:p>
                  <w:pPr>
                    <w:jc w:val="center"/>
                    <w:rPr>
                      <w:szCs w:val="21"/>
                    </w:rPr>
                  </w:pPr>
                  <w:r>
                    <w:rPr>
                      <w:rFonts w:hint="eastAsia"/>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80" w:type="dxa"/>
                  <w:shd w:val="clear" w:color="auto" w:fill="auto"/>
                  <w:vAlign w:val="center"/>
                </w:tcPr>
                <w:p>
                  <w:pPr>
                    <w:widowControl/>
                    <w:jc w:val="center"/>
                    <w:textAlignment w:val="center"/>
                    <w:rPr>
                      <w:szCs w:val="21"/>
                    </w:rPr>
                  </w:pPr>
                  <w:r>
                    <w:rPr>
                      <w:rFonts w:hint="eastAsia"/>
                      <w:szCs w:val="21"/>
                    </w:rPr>
                    <w:t>排气筒DA001</w:t>
                  </w:r>
                </w:p>
              </w:tc>
              <w:tc>
                <w:tcPr>
                  <w:tcW w:w="980" w:type="dxa"/>
                  <w:vAlign w:val="center"/>
                </w:tcPr>
                <w:p>
                  <w:pPr>
                    <w:pStyle w:val="59"/>
                    <w:widowControl w:val="0"/>
                    <w:adjustRightInd w:val="0"/>
                    <w:spacing w:line="240" w:lineRule="auto"/>
                    <w:rPr>
                      <w:lang w:eastAsia="zh-CN"/>
                    </w:rPr>
                  </w:pPr>
                  <w:r>
                    <w:rPr>
                      <w:rFonts w:hint="eastAsia"/>
                      <w:lang w:eastAsia="zh-CN"/>
                    </w:rPr>
                    <w:t>非甲烷总烃</w:t>
                  </w:r>
                </w:p>
              </w:tc>
              <w:tc>
                <w:tcPr>
                  <w:tcW w:w="1410" w:type="dxa"/>
                  <w:vAlign w:val="center"/>
                </w:tcPr>
                <w:p>
                  <w:pPr>
                    <w:jc w:val="center"/>
                    <w:rPr>
                      <w:szCs w:val="21"/>
                    </w:rPr>
                  </w:pPr>
                  <w:r>
                    <w:rPr>
                      <w:rFonts w:hint="eastAsia"/>
                      <w:szCs w:val="21"/>
                    </w:rPr>
                    <w:t>18mg/m</w:t>
                  </w:r>
                  <w:r>
                    <w:rPr>
                      <w:rFonts w:hint="eastAsia"/>
                      <w:szCs w:val="21"/>
                      <w:vertAlign w:val="superscript"/>
                    </w:rPr>
                    <w:t>3</w:t>
                  </w:r>
                </w:p>
              </w:tc>
              <w:tc>
                <w:tcPr>
                  <w:tcW w:w="2597" w:type="dxa"/>
                  <w:vAlign w:val="center"/>
                </w:tcPr>
                <w:p>
                  <w:pPr>
                    <w:jc w:val="center"/>
                  </w:pPr>
                  <w:r>
                    <w:rPr>
                      <w:rFonts w:hint="eastAsia"/>
                    </w:rPr>
                    <w:t>《合成树脂工业污染物排放标准》（GB31572-2015）</w:t>
                  </w:r>
                </w:p>
              </w:tc>
              <w:tc>
                <w:tcPr>
                  <w:tcW w:w="1613" w:type="dxa"/>
                  <w:vAlign w:val="center"/>
                </w:tcPr>
                <w:p>
                  <w:pPr>
                    <w:jc w:val="center"/>
                    <w:rPr>
                      <w:szCs w:val="21"/>
                    </w:rPr>
                  </w:pPr>
                  <w:r>
                    <w:rPr>
                      <w:rFonts w:hint="eastAsia"/>
                      <w:szCs w:val="21"/>
                    </w:rPr>
                    <w:t>60mg/m</w:t>
                  </w:r>
                  <w:r>
                    <w:rPr>
                      <w:rFonts w:hint="eastAsia"/>
                      <w:szCs w:val="21"/>
                      <w:vertAlign w:val="superscript"/>
                    </w:rPr>
                    <w:t>3</w:t>
                  </w:r>
                </w:p>
              </w:tc>
              <w:tc>
                <w:tcPr>
                  <w:tcW w:w="654" w:type="dxa"/>
                  <w:vAlign w:val="center"/>
                </w:tcPr>
                <w:p>
                  <w:pPr>
                    <w:jc w:val="center"/>
                    <w:rPr>
                      <w:szCs w:val="21"/>
                    </w:rPr>
                  </w:pPr>
                  <w:r>
                    <w:rPr>
                      <w:rFonts w:hint="eastAsia"/>
                      <w:szCs w:val="21"/>
                    </w:rPr>
                    <w:t>是</w:t>
                  </w:r>
                </w:p>
              </w:tc>
            </w:tr>
          </w:tbl>
          <w:p>
            <w:pPr>
              <w:spacing w:line="480" w:lineRule="exact"/>
              <w:ind w:firstLine="480" w:firstLineChars="200"/>
              <w:rPr>
                <w:rFonts w:hAnsi="宋体"/>
                <w:sz w:val="24"/>
              </w:rPr>
            </w:pPr>
            <w:r>
              <w:rPr>
                <w:rFonts w:hint="eastAsia" w:hAnsi="宋体"/>
                <w:sz w:val="24"/>
              </w:rPr>
              <w:t>2）大气环境影响预测分析</w:t>
            </w:r>
          </w:p>
          <w:p>
            <w:pPr>
              <w:spacing w:line="480" w:lineRule="exact"/>
              <w:ind w:firstLine="480" w:firstLineChars="200"/>
              <w:rPr>
                <w:rFonts w:hAnsi="宋体"/>
                <w:sz w:val="24"/>
              </w:rPr>
            </w:pPr>
            <w:r>
              <w:rPr>
                <w:rFonts w:hAnsi="宋体"/>
                <w:sz w:val="24"/>
              </w:rPr>
              <w:t>本次评价采用《环境影响评价技术导则</w:t>
            </w:r>
            <w:r>
              <w:rPr>
                <w:sz w:val="24"/>
              </w:rPr>
              <w:t xml:space="preserve"> </w:t>
            </w:r>
            <w:r>
              <w:rPr>
                <w:rFonts w:hAnsi="宋体"/>
                <w:sz w:val="24"/>
              </w:rPr>
              <w:t>大气环境》（</w:t>
            </w:r>
            <w:r>
              <w:rPr>
                <w:sz w:val="24"/>
              </w:rPr>
              <w:t>HJ2.2-2018</w:t>
            </w:r>
            <w:r>
              <w:rPr>
                <w:rFonts w:hAnsi="宋体"/>
                <w:sz w:val="24"/>
              </w:rPr>
              <w:t>）推荐的</w:t>
            </w:r>
            <w:r>
              <w:rPr>
                <w:sz w:val="24"/>
              </w:rPr>
              <w:t>AERSCREEN</w:t>
            </w:r>
            <w:r>
              <w:rPr>
                <w:rFonts w:hAnsi="宋体"/>
                <w:sz w:val="24"/>
              </w:rPr>
              <w:t>估算模式，预测</w:t>
            </w:r>
            <w:r>
              <w:rPr>
                <w:rFonts w:hint="eastAsia"/>
                <w:sz w:val="24"/>
              </w:rPr>
              <w:t>各污染物</w:t>
            </w:r>
            <w:r>
              <w:rPr>
                <w:rFonts w:hAnsi="宋体"/>
                <w:sz w:val="24"/>
              </w:rPr>
              <w:t>的最大落地浓度和距离</w:t>
            </w:r>
            <w:r>
              <w:rPr>
                <w:rFonts w:hint="eastAsia" w:hAnsi="宋体"/>
                <w:sz w:val="24"/>
              </w:rPr>
              <w:t>。</w:t>
            </w:r>
          </w:p>
          <w:p>
            <w:pPr>
              <w:spacing w:line="480" w:lineRule="exact"/>
              <w:ind w:firstLine="480" w:firstLineChars="200"/>
              <w:rPr>
                <w:rFonts w:hAnsi="宋体"/>
                <w:sz w:val="24"/>
              </w:rPr>
            </w:pPr>
            <w:r>
              <w:rPr>
                <w:rFonts w:hint="eastAsia" w:hAnsi="宋体"/>
                <w:sz w:val="24"/>
              </w:rPr>
              <w:t>①大气污染物估算模型参数</w:t>
            </w:r>
          </w:p>
          <w:p>
            <w:pPr>
              <w:spacing w:line="480" w:lineRule="exact"/>
              <w:ind w:firstLine="480" w:firstLineChars="200"/>
              <w:rPr>
                <w:rFonts w:hAnsi="宋体"/>
                <w:sz w:val="24"/>
              </w:rPr>
            </w:pPr>
            <w:r>
              <w:rPr>
                <w:rFonts w:hint="eastAsia" w:hAnsi="宋体"/>
                <w:sz w:val="24"/>
              </w:rPr>
              <w:t>建设项目</w:t>
            </w:r>
            <w:r>
              <w:rPr>
                <w:rFonts w:hAnsi="宋体"/>
                <w:sz w:val="24"/>
              </w:rPr>
              <w:t>估算模型参数选取见表</w:t>
            </w:r>
            <w:r>
              <w:rPr>
                <w:rFonts w:hint="eastAsia"/>
                <w:sz w:val="24"/>
              </w:rPr>
              <w:t>4-3</w:t>
            </w:r>
            <w:r>
              <w:rPr>
                <w:rFonts w:hAnsi="宋体"/>
                <w:sz w:val="24"/>
              </w:rPr>
              <w:t>。</w:t>
            </w:r>
          </w:p>
          <w:p>
            <w:pPr>
              <w:autoSpaceDE w:val="0"/>
              <w:autoSpaceDN w:val="0"/>
              <w:ind w:firstLine="420" w:firstLineChars="200"/>
              <w:rPr>
                <w:rFonts w:ascii="黑体" w:hAnsi="黑体" w:eastAsia="黑体"/>
                <w:bCs/>
              </w:rPr>
            </w:pPr>
            <w:r>
              <w:rPr>
                <w:rFonts w:ascii="黑体" w:hAnsi="黑体" w:eastAsia="黑体"/>
              </w:rPr>
              <w:t>表</w:t>
            </w:r>
            <w:r>
              <w:rPr>
                <w:rFonts w:hint="eastAsia" w:ascii="黑体" w:hAnsi="黑体" w:eastAsia="黑体"/>
              </w:rPr>
              <w:t>4-3</w:t>
            </w:r>
            <w:r>
              <w:rPr>
                <w:rFonts w:ascii="黑体" w:hAnsi="黑体" w:eastAsia="黑体"/>
              </w:rPr>
              <w:t xml:space="preserve"> </w:t>
            </w:r>
            <w:r>
              <w:rPr>
                <w:rFonts w:hint="eastAsia" w:ascii="黑体" w:hAnsi="黑体" w:eastAsia="黑体"/>
              </w:rPr>
              <w:t xml:space="preserve">                   </w:t>
            </w:r>
            <w:r>
              <w:rPr>
                <w:rFonts w:ascii="黑体" w:hAnsi="黑体" w:eastAsia="黑体"/>
              </w:rPr>
              <w:t>估算模型参数表</w:t>
            </w:r>
          </w:p>
          <w:tbl>
            <w:tblPr>
              <w:tblStyle w:val="25"/>
              <w:tblW w:w="84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18"/>
              <w:gridCol w:w="2820"/>
              <w:gridCol w:w="28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7" w:hRule="atLeast"/>
              </w:trPr>
              <w:tc>
                <w:tcPr>
                  <w:tcW w:w="5638" w:type="dxa"/>
                  <w:gridSpan w:val="2"/>
                  <w:vAlign w:val="center"/>
                </w:tcPr>
                <w:p>
                  <w:pPr>
                    <w:widowControl/>
                    <w:jc w:val="center"/>
                    <w:rPr>
                      <w:kern w:val="0"/>
                      <w:szCs w:val="21"/>
                    </w:rPr>
                  </w:pPr>
                  <w:r>
                    <w:rPr>
                      <w:rFonts w:hAnsi="宋体"/>
                      <w:kern w:val="0"/>
                      <w:szCs w:val="21"/>
                    </w:rPr>
                    <w:t>参数</w:t>
                  </w:r>
                </w:p>
              </w:tc>
              <w:tc>
                <w:tcPr>
                  <w:tcW w:w="2820" w:type="dxa"/>
                  <w:vAlign w:val="center"/>
                </w:tcPr>
                <w:p>
                  <w:pPr>
                    <w:widowControl/>
                    <w:jc w:val="center"/>
                    <w:rPr>
                      <w:kern w:val="0"/>
                      <w:szCs w:val="21"/>
                    </w:rPr>
                  </w:pPr>
                  <w:r>
                    <w:rPr>
                      <w:rFonts w:hAnsi="宋体"/>
                      <w:kern w:val="0"/>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2818" w:type="dxa"/>
                  <w:vMerge w:val="restart"/>
                  <w:vAlign w:val="center"/>
                </w:tcPr>
                <w:p>
                  <w:pPr>
                    <w:widowControl/>
                    <w:jc w:val="center"/>
                    <w:rPr>
                      <w:kern w:val="0"/>
                      <w:szCs w:val="21"/>
                    </w:rPr>
                  </w:pPr>
                  <w:r>
                    <w:rPr>
                      <w:rFonts w:hAnsi="宋体"/>
                      <w:kern w:val="0"/>
                      <w:szCs w:val="21"/>
                    </w:rPr>
                    <w:t>城市</w:t>
                  </w:r>
                  <w:r>
                    <w:rPr>
                      <w:kern w:val="0"/>
                      <w:szCs w:val="21"/>
                    </w:rPr>
                    <w:t>/</w:t>
                  </w:r>
                  <w:r>
                    <w:rPr>
                      <w:rFonts w:hAnsi="宋体"/>
                      <w:kern w:val="0"/>
                      <w:szCs w:val="21"/>
                    </w:rPr>
                    <w:t>农村选项</w:t>
                  </w:r>
                </w:p>
              </w:tc>
              <w:tc>
                <w:tcPr>
                  <w:tcW w:w="2820" w:type="dxa"/>
                  <w:vAlign w:val="center"/>
                </w:tcPr>
                <w:p>
                  <w:pPr>
                    <w:widowControl/>
                    <w:jc w:val="center"/>
                    <w:rPr>
                      <w:kern w:val="0"/>
                      <w:szCs w:val="21"/>
                    </w:rPr>
                  </w:pPr>
                  <w:r>
                    <w:rPr>
                      <w:rFonts w:hAnsi="宋体"/>
                      <w:kern w:val="0"/>
                      <w:szCs w:val="21"/>
                    </w:rPr>
                    <w:t>城市</w:t>
                  </w:r>
                  <w:r>
                    <w:rPr>
                      <w:kern w:val="0"/>
                      <w:szCs w:val="21"/>
                    </w:rPr>
                    <w:t>/</w:t>
                  </w:r>
                  <w:r>
                    <w:rPr>
                      <w:rFonts w:hAnsi="宋体"/>
                      <w:kern w:val="0"/>
                      <w:szCs w:val="21"/>
                    </w:rPr>
                    <w:t>农村</w:t>
                  </w:r>
                </w:p>
              </w:tc>
              <w:tc>
                <w:tcPr>
                  <w:tcW w:w="2820" w:type="dxa"/>
                  <w:vAlign w:val="center"/>
                </w:tcPr>
                <w:p>
                  <w:pPr>
                    <w:widowControl/>
                    <w:jc w:val="center"/>
                    <w:rPr>
                      <w:kern w:val="0"/>
                      <w:szCs w:val="21"/>
                    </w:rPr>
                  </w:pPr>
                  <w:r>
                    <w:rPr>
                      <w:rFonts w:hint="eastAsia" w:hAnsi="宋体"/>
                      <w:kern w:val="0"/>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2818" w:type="dxa"/>
                  <w:vMerge w:val="continue"/>
                  <w:vAlign w:val="center"/>
                </w:tcPr>
                <w:p>
                  <w:pPr>
                    <w:widowControl/>
                    <w:jc w:val="center"/>
                    <w:rPr>
                      <w:kern w:val="0"/>
                      <w:szCs w:val="21"/>
                    </w:rPr>
                  </w:pPr>
                </w:p>
              </w:tc>
              <w:tc>
                <w:tcPr>
                  <w:tcW w:w="2820" w:type="dxa"/>
                  <w:vAlign w:val="center"/>
                </w:tcPr>
                <w:p>
                  <w:pPr>
                    <w:widowControl/>
                    <w:jc w:val="center"/>
                    <w:rPr>
                      <w:kern w:val="0"/>
                      <w:szCs w:val="21"/>
                    </w:rPr>
                  </w:pPr>
                  <w:r>
                    <w:rPr>
                      <w:rFonts w:hAnsi="宋体"/>
                      <w:kern w:val="0"/>
                      <w:szCs w:val="21"/>
                    </w:rPr>
                    <w:t>人口数（城市选项）</w:t>
                  </w:r>
                </w:p>
              </w:tc>
              <w:tc>
                <w:tcPr>
                  <w:tcW w:w="2820" w:type="dxa"/>
                  <w:vAlign w:val="center"/>
                </w:tcPr>
                <w:p>
                  <w:pPr>
                    <w:widowControl/>
                    <w:jc w:val="center"/>
                    <w:rPr>
                      <w:kern w:val="0"/>
                      <w:szCs w:val="21"/>
                    </w:rPr>
                  </w:pPr>
                  <w:r>
                    <w:rPr>
                      <w:rFonts w:hint="eastAsia"/>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5638" w:type="dxa"/>
                  <w:gridSpan w:val="2"/>
                  <w:vAlign w:val="center"/>
                </w:tcPr>
                <w:p>
                  <w:pPr>
                    <w:widowControl/>
                    <w:jc w:val="center"/>
                    <w:rPr>
                      <w:kern w:val="0"/>
                      <w:szCs w:val="21"/>
                    </w:rPr>
                  </w:pPr>
                  <w:r>
                    <w:rPr>
                      <w:rFonts w:hAnsi="宋体"/>
                      <w:kern w:val="0"/>
                      <w:szCs w:val="21"/>
                    </w:rPr>
                    <w:t>最高环境温度</w:t>
                  </w:r>
                  <w:r>
                    <w:rPr>
                      <w:kern w:val="0"/>
                      <w:szCs w:val="21"/>
                    </w:rPr>
                    <w:t>/</w:t>
                  </w:r>
                  <w:r>
                    <w:rPr>
                      <w:rFonts w:hAnsi="宋体"/>
                      <w:kern w:val="0"/>
                      <w:szCs w:val="21"/>
                    </w:rPr>
                    <w:t>℃</w:t>
                  </w:r>
                </w:p>
              </w:tc>
              <w:tc>
                <w:tcPr>
                  <w:tcW w:w="2820" w:type="dxa"/>
                  <w:vAlign w:val="center"/>
                </w:tcPr>
                <w:p>
                  <w:pPr>
                    <w:widowControl/>
                    <w:jc w:val="center"/>
                    <w:rPr>
                      <w:kern w:val="0"/>
                      <w:szCs w:val="21"/>
                    </w:rPr>
                  </w:pPr>
                  <w:r>
                    <w:rPr>
                      <w:rFonts w:hint="eastAsia"/>
                      <w:kern w:val="0"/>
                      <w:szCs w:val="21"/>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5638" w:type="dxa"/>
                  <w:gridSpan w:val="2"/>
                  <w:vAlign w:val="center"/>
                </w:tcPr>
                <w:p>
                  <w:pPr>
                    <w:widowControl/>
                    <w:jc w:val="center"/>
                    <w:rPr>
                      <w:kern w:val="0"/>
                      <w:szCs w:val="21"/>
                    </w:rPr>
                  </w:pPr>
                  <w:r>
                    <w:rPr>
                      <w:rFonts w:hAnsi="宋体"/>
                      <w:kern w:val="0"/>
                      <w:szCs w:val="21"/>
                    </w:rPr>
                    <w:t>最低环境温度</w:t>
                  </w:r>
                  <w:r>
                    <w:rPr>
                      <w:kern w:val="0"/>
                      <w:szCs w:val="21"/>
                    </w:rPr>
                    <w:t>/</w:t>
                  </w:r>
                  <w:r>
                    <w:rPr>
                      <w:rFonts w:hAnsi="宋体"/>
                      <w:kern w:val="0"/>
                      <w:szCs w:val="21"/>
                    </w:rPr>
                    <w:t>℃</w:t>
                  </w:r>
                </w:p>
              </w:tc>
              <w:tc>
                <w:tcPr>
                  <w:tcW w:w="2820" w:type="dxa"/>
                  <w:vAlign w:val="center"/>
                </w:tcPr>
                <w:p>
                  <w:pPr>
                    <w:widowControl/>
                    <w:jc w:val="center"/>
                    <w:rPr>
                      <w:kern w:val="0"/>
                      <w:szCs w:val="21"/>
                    </w:rPr>
                  </w:pPr>
                  <w:r>
                    <w:rPr>
                      <w:rFonts w:hint="eastAsia"/>
                      <w:kern w:val="0"/>
                      <w:szCs w:val="21"/>
                    </w:rPr>
                    <w:t>-36.6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5638" w:type="dxa"/>
                  <w:gridSpan w:val="2"/>
                  <w:vAlign w:val="center"/>
                </w:tcPr>
                <w:p>
                  <w:pPr>
                    <w:widowControl/>
                    <w:jc w:val="center"/>
                    <w:rPr>
                      <w:kern w:val="0"/>
                      <w:szCs w:val="21"/>
                    </w:rPr>
                  </w:pPr>
                  <w:r>
                    <w:rPr>
                      <w:rFonts w:hAnsi="宋体"/>
                      <w:kern w:val="0"/>
                      <w:szCs w:val="21"/>
                    </w:rPr>
                    <w:t>土地利用条件</w:t>
                  </w:r>
                </w:p>
              </w:tc>
              <w:tc>
                <w:tcPr>
                  <w:tcW w:w="2820" w:type="dxa"/>
                  <w:vAlign w:val="center"/>
                </w:tcPr>
                <w:p>
                  <w:pPr>
                    <w:widowControl/>
                    <w:jc w:val="center"/>
                    <w:rPr>
                      <w:kern w:val="0"/>
                      <w:szCs w:val="21"/>
                    </w:rPr>
                  </w:pPr>
                  <w:r>
                    <w:rPr>
                      <w:rFonts w:hint="eastAsia" w:hAnsi="宋体"/>
                      <w:kern w:val="0"/>
                      <w:szCs w:val="21"/>
                    </w:rPr>
                    <w:t>建设用地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5638" w:type="dxa"/>
                  <w:gridSpan w:val="2"/>
                  <w:vAlign w:val="center"/>
                </w:tcPr>
                <w:p>
                  <w:pPr>
                    <w:widowControl/>
                    <w:jc w:val="center"/>
                    <w:rPr>
                      <w:kern w:val="0"/>
                      <w:szCs w:val="21"/>
                    </w:rPr>
                  </w:pPr>
                  <w:r>
                    <w:rPr>
                      <w:rFonts w:hAnsi="宋体"/>
                      <w:kern w:val="0"/>
                      <w:szCs w:val="21"/>
                    </w:rPr>
                    <w:t>区域湿度条件</w:t>
                  </w:r>
                </w:p>
              </w:tc>
              <w:tc>
                <w:tcPr>
                  <w:tcW w:w="2820" w:type="dxa"/>
                  <w:vAlign w:val="center"/>
                </w:tcPr>
                <w:p>
                  <w:pPr>
                    <w:widowControl/>
                    <w:jc w:val="center"/>
                    <w:rPr>
                      <w:kern w:val="0"/>
                      <w:szCs w:val="21"/>
                    </w:rPr>
                  </w:pPr>
                  <w:r>
                    <w:rPr>
                      <w:rFonts w:hAnsi="宋体"/>
                      <w:kern w:val="0"/>
                      <w:szCs w:val="21"/>
                    </w:rPr>
                    <w:t>干燥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2818" w:type="dxa"/>
                  <w:vMerge w:val="restart"/>
                  <w:vAlign w:val="center"/>
                </w:tcPr>
                <w:p>
                  <w:pPr>
                    <w:widowControl/>
                    <w:jc w:val="center"/>
                    <w:rPr>
                      <w:kern w:val="0"/>
                      <w:szCs w:val="21"/>
                    </w:rPr>
                  </w:pPr>
                  <w:r>
                    <w:rPr>
                      <w:rFonts w:hAnsi="宋体"/>
                      <w:kern w:val="0"/>
                      <w:szCs w:val="21"/>
                    </w:rPr>
                    <w:t>是否考虑地形</w:t>
                  </w:r>
                </w:p>
              </w:tc>
              <w:tc>
                <w:tcPr>
                  <w:tcW w:w="2820" w:type="dxa"/>
                  <w:vAlign w:val="center"/>
                </w:tcPr>
                <w:p>
                  <w:pPr>
                    <w:widowControl/>
                    <w:jc w:val="center"/>
                    <w:rPr>
                      <w:kern w:val="0"/>
                      <w:szCs w:val="21"/>
                    </w:rPr>
                  </w:pPr>
                  <w:r>
                    <w:rPr>
                      <w:rFonts w:hAnsi="宋体"/>
                      <w:kern w:val="0"/>
                      <w:szCs w:val="21"/>
                    </w:rPr>
                    <w:t>考虑地形</w:t>
                  </w:r>
                </w:p>
              </w:tc>
              <w:tc>
                <w:tcPr>
                  <w:tcW w:w="2820" w:type="dxa"/>
                  <w:vAlign w:val="center"/>
                </w:tcPr>
                <w:p>
                  <w:pPr>
                    <w:widowControl/>
                    <w:jc w:val="center"/>
                    <w:rPr>
                      <w:kern w:val="0"/>
                      <w:szCs w:val="21"/>
                    </w:rPr>
                  </w:pPr>
                  <w:r>
                    <w:rPr>
                      <w:rFonts w:hAnsi="宋体"/>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2818" w:type="dxa"/>
                  <w:vMerge w:val="continue"/>
                  <w:vAlign w:val="center"/>
                </w:tcPr>
                <w:p>
                  <w:pPr>
                    <w:widowControl/>
                    <w:jc w:val="center"/>
                    <w:rPr>
                      <w:kern w:val="0"/>
                      <w:szCs w:val="21"/>
                    </w:rPr>
                  </w:pPr>
                </w:p>
              </w:tc>
              <w:tc>
                <w:tcPr>
                  <w:tcW w:w="2820" w:type="dxa"/>
                  <w:vAlign w:val="center"/>
                </w:tcPr>
                <w:p>
                  <w:pPr>
                    <w:widowControl/>
                    <w:jc w:val="center"/>
                    <w:rPr>
                      <w:kern w:val="0"/>
                      <w:szCs w:val="21"/>
                    </w:rPr>
                  </w:pPr>
                  <w:r>
                    <w:rPr>
                      <w:rFonts w:hAnsi="宋体"/>
                      <w:kern w:val="0"/>
                      <w:szCs w:val="21"/>
                    </w:rPr>
                    <w:t>地形数据分辨率</w:t>
                  </w:r>
                  <w:r>
                    <w:rPr>
                      <w:kern w:val="0"/>
                      <w:szCs w:val="21"/>
                    </w:rPr>
                    <w:t>/m</w:t>
                  </w:r>
                </w:p>
              </w:tc>
              <w:tc>
                <w:tcPr>
                  <w:tcW w:w="2820" w:type="dxa"/>
                  <w:vAlign w:val="center"/>
                </w:tcPr>
                <w:p>
                  <w:pPr>
                    <w:widowControl/>
                    <w:jc w:val="center"/>
                    <w:rPr>
                      <w:kern w:val="0"/>
                      <w:szCs w:val="21"/>
                    </w:rPr>
                  </w:pPr>
                  <w:r>
                    <w:rPr>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2818" w:type="dxa"/>
                  <w:vMerge w:val="restart"/>
                  <w:vAlign w:val="center"/>
                </w:tcPr>
                <w:p>
                  <w:pPr>
                    <w:widowControl/>
                    <w:jc w:val="center"/>
                    <w:rPr>
                      <w:kern w:val="0"/>
                      <w:szCs w:val="21"/>
                    </w:rPr>
                  </w:pPr>
                  <w:r>
                    <w:rPr>
                      <w:rFonts w:hAnsi="宋体"/>
                      <w:kern w:val="0"/>
                      <w:szCs w:val="21"/>
                    </w:rPr>
                    <w:t>是否考虑岸线熏烟</w:t>
                  </w:r>
                </w:p>
              </w:tc>
              <w:tc>
                <w:tcPr>
                  <w:tcW w:w="2820" w:type="dxa"/>
                  <w:vAlign w:val="center"/>
                </w:tcPr>
                <w:p>
                  <w:pPr>
                    <w:widowControl/>
                    <w:jc w:val="center"/>
                    <w:rPr>
                      <w:kern w:val="0"/>
                      <w:szCs w:val="21"/>
                    </w:rPr>
                  </w:pPr>
                  <w:r>
                    <w:rPr>
                      <w:rFonts w:hAnsi="宋体"/>
                      <w:kern w:val="0"/>
                      <w:szCs w:val="21"/>
                    </w:rPr>
                    <w:t>考虑岸线熏烟</w:t>
                  </w:r>
                </w:p>
              </w:tc>
              <w:tc>
                <w:tcPr>
                  <w:tcW w:w="2820" w:type="dxa"/>
                  <w:vAlign w:val="center"/>
                </w:tcPr>
                <w:p>
                  <w:pPr>
                    <w:widowControl/>
                    <w:jc w:val="center"/>
                    <w:rPr>
                      <w:kern w:val="0"/>
                      <w:szCs w:val="21"/>
                    </w:rPr>
                  </w:pPr>
                  <w:r>
                    <w:rPr>
                      <w:rFonts w:hAnsi="宋体"/>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2818" w:type="dxa"/>
                  <w:vMerge w:val="continue"/>
                  <w:vAlign w:val="center"/>
                </w:tcPr>
                <w:p>
                  <w:pPr>
                    <w:widowControl/>
                    <w:jc w:val="center"/>
                  </w:pPr>
                </w:p>
              </w:tc>
              <w:tc>
                <w:tcPr>
                  <w:tcW w:w="2820" w:type="dxa"/>
                  <w:vAlign w:val="center"/>
                </w:tcPr>
                <w:p>
                  <w:pPr>
                    <w:widowControl/>
                    <w:jc w:val="center"/>
                    <w:rPr>
                      <w:szCs w:val="21"/>
                    </w:rPr>
                  </w:pPr>
                  <w:r>
                    <w:rPr>
                      <w:rFonts w:hAnsi="宋体"/>
                      <w:szCs w:val="21"/>
                    </w:rPr>
                    <w:t>岸线距离</w:t>
                  </w:r>
                  <w:r>
                    <w:rPr>
                      <w:szCs w:val="21"/>
                    </w:rPr>
                    <w:t>/km</w:t>
                  </w:r>
                </w:p>
              </w:tc>
              <w:tc>
                <w:tcPr>
                  <w:tcW w:w="2820" w:type="dxa"/>
                  <w:vAlign w:val="center"/>
                </w:tcPr>
                <w:p>
                  <w:pPr>
                    <w:widowControl/>
                    <w:jc w:val="center"/>
                    <w:rPr>
                      <w:kern w:val="0"/>
                      <w:szCs w:val="21"/>
                    </w:rPr>
                  </w:pPr>
                  <w:r>
                    <w:rPr>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2818" w:type="dxa"/>
                  <w:vMerge w:val="continue"/>
                  <w:vAlign w:val="center"/>
                </w:tcPr>
                <w:p>
                  <w:pPr>
                    <w:widowControl/>
                    <w:jc w:val="center"/>
                  </w:pPr>
                </w:p>
              </w:tc>
              <w:tc>
                <w:tcPr>
                  <w:tcW w:w="2820" w:type="dxa"/>
                  <w:vAlign w:val="center"/>
                </w:tcPr>
                <w:p>
                  <w:pPr>
                    <w:widowControl/>
                    <w:jc w:val="center"/>
                    <w:rPr>
                      <w:szCs w:val="21"/>
                    </w:rPr>
                  </w:pPr>
                  <w:r>
                    <w:rPr>
                      <w:rFonts w:hAnsi="宋体"/>
                      <w:szCs w:val="21"/>
                    </w:rPr>
                    <w:t>岸线方向</w:t>
                  </w:r>
                  <w:r>
                    <w:rPr>
                      <w:szCs w:val="21"/>
                    </w:rPr>
                    <w:t>/°</w:t>
                  </w:r>
                </w:p>
              </w:tc>
              <w:tc>
                <w:tcPr>
                  <w:tcW w:w="2820" w:type="dxa"/>
                  <w:vAlign w:val="center"/>
                </w:tcPr>
                <w:p>
                  <w:pPr>
                    <w:widowControl/>
                    <w:jc w:val="center"/>
                    <w:rPr>
                      <w:kern w:val="0"/>
                      <w:szCs w:val="21"/>
                    </w:rPr>
                  </w:pPr>
                  <w:r>
                    <w:rPr>
                      <w:kern w:val="0"/>
                      <w:szCs w:val="21"/>
                    </w:rPr>
                    <w:t>/</w:t>
                  </w:r>
                </w:p>
              </w:tc>
            </w:tr>
          </w:tbl>
          <w:p>
            <w:pPr>
              <w:spacing w:line="480" w:lineRule="exact"/>
              <w:ind w:firstLine="480" w:firstLineChars="200"/>
              <w:rPr>
                <w:rFonts w:hAnsi="宋体"/>
                <w:sz w:val="24"/>
              </w:rPr>
            </w:pPr>
            <w:r>
              <w:rPr>
                <w:rFonts w:hint="eastAsia" w:hAnsi="宋体"/>
                <w:sz w:val="24"/>
              </w:rPr>
              <w:t>③大气污染源排放参数</w:t>
            </w:r>
          </w:p>
          <w:p>
            <w:pPr>
              <w:spacing w:line="480" w:lineRule="exact"/>
              <w:ind w:firstLine="480" w:firstLineChars="200"/>
              <w:rPr>
                <w:sz w:val="24"/>
              </w:rPr>
            </w:pPr>
            <w:r>
              <w:rPr>
                <w:rFonts w:hAnsi="宋体"/>
                <w:sz w:val="24"/>
              </w:rPr>
              <w:t>项目主要废气</w:t>
            </w:r>
            <w:r>
              <w:rPr>
                <w:rFonts w:hint="eastAsia" w:hAnsi="宋体"/>
                <w:sz w:val="24"/>
              </w:rPr>
              <w:t>各</w:t>
            </w:r>
            <w:r>
              <w:rPr>
                <w:rFonts w:hAnsi="宋体"/>
                <w:sz w:val="24"/>
              </w:rPr>
              <w:t>污染源</w:t>
            </w:r>
            <w:r>
              <w:rPr>
                <w:rFonts w:hint="eastAsia" w:hAnsi="宋体"/>
                <w:sz w:val="24"/>
              </w:rPr>
              <w:t>的</w:t>
            </w:r>
            <w:r>
              <w:rPr>
                <w:rFonts w:hAnsi="宋体"/>
                <w:sz w:val="24"/>
              </w:rPr>
              <w:t>排放参数见表</w:t>
            </w:r>
            <w:r>
              <w:rPr>
                <w:rFonts w:hint="eastAsia"/>
                <w:sz w:val="24"/>
              </w:rPr>
              <w:t>4-4和</w:t>
            </w:r>
            <w:r>
              <w:rPr>
                <w:rFonts w:hAnsi="宋体"/>
                <w:sz w:val="24"/>
              </w:rPr>
              <w:t>表</w:t>
            </w:r>
            <w:r>
              <w:rPr>
                <w:rFonts w:hint="eastAsia"/>
                <w:sz w:val="24"/>
              </w:rPr>
              <w:t>4-5</w:t>
            </w:r>
            <w:r>
              <w:rPr>
                <w:rFonts w:hAnsi="宋体"/>
                <w:sz w:val="24"/>
              </w:rPr>
              <w:t>。</w:t>
            </w:r>
          </w:p>
          <w:p>
            <w:pPr>
              <w:autoSpaceDE w:val="0"/>
              <w:autoSpaceDN w:val="0"/>
              <w:ind w:firstLine="420" w:firstLineChars="200"/>
              <w:rPr>
                <w:rFonts w:ascii="黑体" w:hAnsi="黑体" w:eastAsia="黑体"/>
                <w:szCs w:val="21"/>
              </w:rPr>
            </w:pPr>
            <w:r>
              <w:rPr>
                <w:rFonts w:ascii="黑体" w:hAnsi="黑体" w:eastAsia="黑体"/>
                <w:szCs w:val="21"/>
              </w:rPr>
              <w:t>表</w:t>
            </w:r>
            <w:r>
              <w:rPr>
                <w:rFonts w:hint="eastAsia" w:ascii="黑体" w:hAnsi="黑体" w:eastAsia="黑体"/>
                <w:szCs w:val="21"/>
              </w:rPr>
              <w:t xml:space="preserve">4-4 </w:t>
            </w:r>
            <w:r>
              <w:rPr>
                <w:rFonts w:ascii="黑体" w:hAnsi="黑体" w:eastAsia="黑体"/>
                <w:szCs w:val="21"/>
              </w:rPr>
              <w:t xml:space="preserve"> </w:t>
            </w:r>
            <w:r>
              <w:rPr>
                <w:rFonts w:hint="eastAsia" w:ascii="黑体" w:hAnsi="黑体" w:eastAsia="黑体"/>
                <w:szCs w:val="21"/>
              </w:rPr>
              <w:t xml:space="preserve">               </w:t>
            </w:r>
            <w:r>
              <w:rPr>
                <w:rFonts w:ascii="黑体" w:hAnsi="黑体" w:eastAsia="黑体"/>
                <w:szCs w:val="21"/>
              </w:rPr>
              <w:t>项目点源污染物排放参数一览表</w:t>
            </w:r>
          </w:p>
          <w:tbl>
            <w:tblPr>
              <w:tblStyle w:val="25"/>
              <w:tblW w:w="845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40"/>
              <w:gridCol w:w="812"/>
              <w:gridCol w:w="812"/>
              <w:gridCol w:w="817"/>
              <w:gridCol w:w="817"/>
              <w:gridCol w:w="1056"/>
              <w:gridCol w:w="690"/>
              <w:gridCol w:w="750"/>
              <w:gridCol w:w="146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PrEx>
              <w:trPr>
                <w:trHeight w:val="340" w:hRule="atLeast"/>
                <w:jc w:val="center"/>
              </w:trPr>
              <w:tc>
                <w:tcPr>
                  <w:tcW w:w="1240" w:type="dxa"/>
                  <w:vMerge w:val="restart"/>
                  <w:vAlign w:val="center"/>
                </w:tcPr>
                <w:p>
                  <w:pPr>
                    <w:jc w:val="center"/>
                    <w:rPr>
                      <w:szCs w:val="21"/>
                    </w:rPr>
                  </w:pPr>
                  <w:r>
                    <w:rPr>
                      <w:rFonts w:hAnsi="宋体"/>
                      <w:szCs w:val="21"/>
                    </w:rPr>
                    <w:t>名称</w:t>
                  </w:r>
                </w:p>
              </w:tc>
              <w:tc>
                <w:tcPr>
                  <w:tcW w:w="1624" w:type="dxa"/>
                  <w:gridSpan w:val="2"/>
                  <w:vAlign w:val="center"/>
                </w:tcPr>
                <w:p>
                  <w:pPr>
                    <w:jc w:val="center"/>
                    <w:rPr>
                      <w:rFonts w:hAnsi="宋体"/>
                      <w:szCs w:val="21"/>
                    </w:rPr>
                  </w:pPr>
                  <w:r>
                    <w:rPr>
                      <w:rFonts w:hint="eastAsia" w:hAnsi="宋体"/>
                      <w:szCs w:val="21"/>
                    </w:rPr>
                    <w:t>排气筒底部中心坐标/°</w:t>
                  </w:r>
                </w:p>
              </w:tc>
              <w:tc>
                <w:tcPr>
                  <w:tcW w:w="817" w:type="dxa"/>
                  <w:vMerge w:val="restart"/>
                  <w:vAlign w:val="center"/>
                </w:tcPr>
                <w:p>
                  <w:pPr>
                    <w:jc w:val="center"/>
                    <w:rPr>
                      <w:szCs w:val="21"/>
                    </w:rPr>
                  </w:pPr>
                  <w:r>
                    <w:rPr>
                      <w:rFonts w:hAnsi="宋体"/>
                      <w:szCs w:val="21"/>
                    </w:rPr>
                    <w:t>排气筒高度（</w:t>
                  </w:r>
                  <w:r>
                    <w:rPr>
                      <w:szCs w:val="21"/>
                    </w:rPr>
                    <w:t>m</w:t>
                  </w:r>
                  <w:r>
                    <w:rPr>
                      <w:rFonts w:hAnsi="宋体"/>
                      <w:szCs w:val="21"/>
                    </w:rPr>
                    <w:t>）</w:t>
                  </w:r>
                </w:p>
              </w:tc>
              <w:tc>
                <w:tcPr>
                  <w:tcW w:w="817" w:type="dxa"/>
                  <w:vMerge w:val="restart"/>
                  <w:vAlign w:val="center"/>
                </w:tcPr>
                <w:p>
                  <w:pPr>
                    <w:jc w:val="center"/>
                    <w:rPr>
                      <w:szCs w:val="21"/>
                    </w:rPr>
                  </w:pPr>
                  <w:r>
                    <w:rPr>
                      <w:rFonts w:hAnsi="宋体"/>
                      <w:szCs w:val="21"/>
                    </w:rPr>
                    <w:t>排气筒内径（</w:t>
                  </w:r>
                  <w:r>
                    <w:rPr>
                      <w:szCs w:val="21"/>
                    </w:rPr>
                    <w:t>m</w:t>
                  </w:r>
                  <w:r>
                    <w:rPr>
                      <w:rFonts w:hAnsi="宋体"/>
                      <w:szCs w:val="21"/>
                    </w:rPr>
                    <w:t>）</w:t>
                  </w:r>
                </w:p>
              </w:tc>
              <w:tc>
                <w:tcPr>
                  <w:tcW w:w="1056" w:type="dxa"/>
                  <w:vMerge w:val="restart"/>
                  <w:vAlign w:val="center"/>
                </w:tcPr>
                <w:p>
                  <w:pPr>
                    <w:jc w:val="center"/>
                    <w:rPr>
                      <w:szCs w:val="21"/>
                    </w:rPr>
                  </w:pPr>
                  <w:r>
                    <w:rPr>
                      <w:rFonts w:hAnsi="宋体"/>
                      <w:szCs w:val="21"/>
                    </w:rPr>
                    <w:t>烟气流速</w:t>
                  </w:r>
                  <w:r>
                    <w:rPr>
                      <w:rFonts w:hint="eastAsia" w:hAnsi="宋体"/>
                      <w:szCs w:val="21"/>
                    </w:rPr>
                    <w:t>（m</w:t>
                  </w:r>
                  <w:r>
                    <w:rPr>
                      <w:rFonts w:hint="eastAsia" w:hAnsi="宋体"/>
                      <w:szCs w:val="21"/>
                      <w:vertAlign w:val="superscript"/>
                    </w:rPr>
                    <w:t>3</w:t>
                  </w:r>
                  <w:r>
                    <w:rPr>
                      <w:rFonts w:hint="eastAsia" w:hAnsi="宋体"/>
                      <w:szCs w:val="21"/>
                    </w:rPr>
                    <w:t>/h）</w:t>
                  </w:r>
                </w:p>
              </w:tc>
              <w:tc>
                <w:tcPr>
                  <w:tcW w:w="690" w:type="dxa"/>
                  <w:vMerge w:val="restart"/>
                  <w:vAlign w:val="center"/>
                </w:tcPr>
                <w:p>
                  <w:pPr>
                    <w:jc w:val="center"/>
                    <w:rPr>
                      <w:szCs w:val="21"/>
                    </w:rPr>
                  </w:pPr>
                  <w:r>
                    <w:rPr>
                      <w:rFonts w:hAnsi="宋体"/>
                      <w:szCs w:val="21"/>
                    </w:rPr>
                    <w:t>烟气温度</w:t>
                  </w:r>
                  <w:r>
                    <w:rPr>
                      <w:rFonts w:hint="eastAsia" w:hAnsi="宋体"/>
                      <w:sz w:val="24"/>
                    </w:rPr>
                    <w:t>(℃)</w:t>
                  </w:r>
                </w:p>
              </w:tc>
              <w:tc>
                <w:tcPr>
                  <w:tcW w:w="750" w:type="dxa"/>
                  <w:vMerge w:val="restart"/>
                  <w:vAlign w:val="center"/>
                </w:tcPr>
                <w:p>
                  <w:pPr>
                    <w:jc w:val="center"/>
                    <w:rPr>
                      <w:szCs w:val="21"/>
                    </w:rPr>
                  </w:pPr>
                  <w:r>
                    <w:rPr>
                      <w:rFonts w:hAnsi="宋体"/>
                      <w:szCs w:val="21"/>
                    </w:rPr>
                    <w:t>年排放小时数</w:t>
                  </w:r>
                  <w:r>
                    <w:rPr>
                      <w:szCs w:val="21"/>
                    </w:rPr>
                    <w:t>/h</w:t>
                  </w:r>
                </w:p>
              </w:tc>
              <w:tc>
                <w:tcPr>
                  <w:tcW w:w="1464" w:type="dxa"/>
                  <w:vMerge w:val="restart"/>
                  <w:vAlign w:val="center"/>
                </w:tcPr>
                <w:p>
                  <w:pPr>
                    <w:jc w:val="center"/>
                    <w:rPr>
                      <w:szCs w:val="21"/>
                    </w:rPr>
                  </w:pPr>
                  <w:r>
                    <w:rPr>
                      <w:rFonts w:hAnsi="宋体"/>
                      <w:szCs w:val="21"/>
                    </w:rPr>
                    <w:t>污染物排放速率（</w:t>
                  </w:r>
                  <w:r>
                    <w:rPr>
                      <w:rFonts w:hint="eastAsia" w:hAnsi="宋体"/>
                      <w:szCs w:val="21"/>
                    </w:rPr>
                    <w:t>kg/h</w:t>
                  </w:r>
                  <w:r>
                    <w:rPr>
                      <w:rFonts w:hAnsi="宋体"/>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PrEx>
              <w:trPr>
                <w:trHeight w:val="340" w:hRule="atLeast"/>
                <w:jc w:val="center"/>
              </w:trPr>
              <w:tc>
                <w:tcPr>
                  <w:tcW w:w="1240" w:type="dxa"/>
                  <w:vMerge w:val="continue"/>
                  <w:vAlign w:val="center"/>
                </w:tcPr>
                <w:p>
                  <w:pPr>
                    <w:jc w:val="center"/>
                    <w:rPr>
                      <w:szCs w:val="21"/>
                    </w:rPr>
                  </w:pPr>
                </w:p>
              </w:tc>
              <w:tc>
                <w:tcPr>
                  <w:tcW w:w="812" w:type="dxa"/>
                  <w:vAlign w:val="center"/>
                </w:tcPr>
                <w:p>
                  <w:pPr>
                    <w:jc w:val="center"/>
                    <w:rPr>
                      <w:szCs w:val="21"/>
                    </w:rPr>
                  </w:pPr>
                  <w:r>
                    <w:rPr>
                      <w:rFonts w:hint="eastAsia"/>
                      <w:szCs w:val="21"/>
                    </w:rPr>
                    <w:t>经度</w:t>
                  </w:r>
                </w:p>
              </w:tc>
              <w:tc>
                <w:tcPr>
                  <w:tcW w:w="812" w:type="dxa"/>
                  <w:vAlign w:val="center"/>
                </w:tcPr>
                <w:p>
                  <w:pPr>
                    <w:jc w:val="center"/>
                    <w:rPr>
                      <w:szCs w:val="21"/>
                    </w:rPr>
                  </w:pPr>
                  <w:r>
                    <w:rPr>
                      <w:rFonts w:hint="eastAsia"/>
                      <w:szCs w:val="21"/>
                    </w:rPr>
                    <w:t>纬度</w:t>
                  </w:r>
                </w:p>
              </w:tc>
              <w:tc>
                <w:tcPr>
                  <w:tcW w:w="817" w:type="dxa"/>
                  <w:vMerge w:val="continue"/>
                  <w:vAlign w:val="center"/>
                </w:tcPr>
                <w:p>
                  <w:pPr>
                    <w:jc w:val="center"/>
                    <w:rPr>
                      <w:szCs w:val="21"/>
                    </w:rPr>
                  </w:pPr>
                </w:p>
              </w:tc>
              <w:tc>
                <w:tcPr>
                  <w:tcW w:w="817" w:type="dxa"/>
                  <w:vMerge w:val="continue"/>
                  <w:vAlign w:val="center"/>
                </w:tcPr>
                <w:p>
                  <w:pPr>
                    <w:jc w:val="center"/>
                    <w:rPr>
                      <w:szCs w:val="21"/>
                    </w:rPr>
                  </w:pPr>
                </w:p>
              </w:tc>
              <w:tc>
                <w:tcPr>
                  <w:tcW w:w="1056" w:type="dxa"/>
                  <w:vMerge w:val="continue"/>
                  <w:vAlign w:val="center"/>
                </w:tcPr>
                <w:p>
                  <w:pPr>
                    <w:jc w:val="center"/>
                    <w:rPr>
                      <w:szCs w:val="21"/>
                    </w:rPr>
                  </w:pPr>
                </w:p>
              </w:tc>
              <w:tc>
                <w:tcPr>
                  <w:tcW w:w="690" w:type="dxa"/>
                  <w:vMerge w:val="continue"/>
                  <w:vAlign w:val="center"/>
                </w:tcPr>
                <w:p>
                  <w:pPr>
                    <w:jc w:val="center"/>
                    <w:rPr>
                      <w:szCs w:val="21"/>
                    </w:rPr>
                  </w:pPr>
                </w:p>
              </w:tc>
              <w:tc>
                <w:tcPr>
                  <w:tcW w:w="750" w:type="dxa"/>
                  <w:vMerge w:val="continue"/>
                  <w:vAlign w:val="center"/>
                </w:tcPr>
                <w:p>
                  <w:pPr>
                    <w:jc w:val="center"/>
                    <w:rPr>
                      <w:szCs w:val="21"/>
                    </w:rPr>
                  </w:pPr>
                </w:p>
              </w:tc>
              <w:tc>
                <w:tcPr>
                  <w:tcW w:w="1464"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13" w:hRule="atLeast"/>
                <w:jc w:val="center"/>
              </w:trPr>
              <w:tc>
                <w:tcPr>
                  <w:tcW w:w="1240" w:type="dxa"/>
                  <w:vAlign w:val="center"/>
                </w:tcPr>
                <w:p>
                  <w:pPr>
                    <w:jc w:val="center"/>
                    <w:rPr>
                      <w:szCs w:val="21"/>
                    </w:rPr>
                  </w:pPr>
                  <w:r>
                    <w:rPr>
                      <w:rFonts w:hint="eastAsia" w:hAnsi="宋体"/>
                      <w:szCs w:val="21"/>
                    </w:rPr>
                    <w:t>排气筒DA001</w:t>
                  </w:r>
                </w:p>
              </w:tc>
              <w:tc>
                <w:tcPr>
                  <w:tcW w:w="812" w:type="dxa"/>
                  <w:vAlign w:val="center"/>
                </w:tcPr>
                <w:p>
                  <w:pPr>
                    <w:jc w:val="center"/>
                    <w:rPr>
                      <w:szCs w:val="21"/>
                    </w:rPr>
                  </w:pPr>
                  <w:r>
                    <w:rPr>
                      <w:rFonts w:hint="eastAsia"/>
                      <w:szCs w:val="21"/>
                    </w:rPr>
                    <w:t>87.229</w:t>
                  </w:r>
                </w:p>
              </w:tc>
              <w:tc>
                <w:tcPr>
                  <w:tcW w:w="812" w:type="dxa"/>
                  <w:vAlign w:val="center"/>
                </w:tcPr>
                <w:p>
                  <w:pPr>
                    <w:jc w:val="center"/>
                    <w:rPr>
                      <w:szCs w:val="21"/>
                    </w:rPr>
                  </w:pPr>
                  <w:r>
                    <w:rPr>
                      <w:rFonts w:hint="eastAsia"/>
                      <w:szCs w:val="21"/>
                    </w:rPr>
                    <w:t>43.929</w:t>
                  </w:r>
                </w:p>
              </w:tc>
              <w:tc>
                <w:tcPr>
                  <w:tcW w:w="817" w:type="dxa"/>
                  <w:vAlign w:val="center"/>
                </w:tcPr>
                <w:p>
                  <w:pPr>
                    <w:jc w:val="center"/>
                    <w:rPr>
                      <w:szCs w:val="21"/>
                    </w:rPr>
                  </w:pPr>
                  <w:r>
                    <w:rPr>
                      <w:szCs w:val="21"/>
                    </w:rPr>
                    <w:t>1</w:t>
                  </w:r>
                  <w:r>
                    <w:rPr>
                      <w:rFonts w:hint="eastAsia"/>
                      <w:szCs w:val="21"/>
                    </w:rPr>
                    <w:t>5</w:t>
                  </w:r>
                </w:p>
              </w:tc>
              <w:tc>
                <w:tcPr>
                  <w:tcW w:w="817" w:type="dxa"/>
                  <w:vAlign w:val="center"/>
                </w:tcPr>
                <w:p>
                  <w:pPr>
                    <w:jc w:val="center"/>
                    <w:rPr>
                      <w:rFonts w:hint="eastAsia" w:eastAsia="宋体"/>
                      <w:szCs w:val="21"/>
                      <w:lang w:eastAsia="zh-CN"/>
                    </w:rPr>
                  </w:pPr>
                  <w:r>
                    <w:rPr>
                      <w:rFonts w:hint="eastAsia"/>
                      <w:szCs w:val="21"/>
                    </w:rPr>
                    <w:t>0.</w:t>
                  </w:r>
                  <w:r>
                    <w:rPr>
                      <w:rFonts w:hint="eastAsia"/>
                      <w:szCs w:val="21"/>
                      <w:lang w:val="en-US" w:eastAsia="zh-CN"/>
                    </w:rPr>
                    <w:t>4</w:t>
                  </w:r>
                </w:p>
              </w:tc>
              <w:tc>
                <w:tcPr>
                  <w:tcW w:w="1056" w:type="dxa"/>
                  <w:vAlign w:val="center"/>
                </w:tcPr>
                <w:p>
                  <w:pPr>
                    <w:jc w:val="center"/>
                    <w:rPr>
                      <w:szCs w:val="21"/>
                    </w:rPr>
                  </w:pPr>
                  <w:r>
                    <w:rPr>
                      <w:rFonts w:hint="eastAsia"/>
                      <w:szCs w:val="21"/>
                    </w:rPr>
                    <w:t>15000</w:t>
                  </w:r>
                </w:p>
              </w:tc>
              <w:tc>
                <w:tcPr>
                  <w:tcW w:w="690" w:type="dxa"/>
                  <w:vAlign w:val="center"/>
                </w:tcPr>
                <w:p>
                  <w:pPr>
                    <w:jc w:val="center"/>
                    <w:rPr>
                      <w:szCs w:val="21"/>
                    </w:rPr>
                  </w:pPr>
                  <w:r>
                    <w:rPr>
                      <w:rFonts w:hint="eastAsia"/>
                      <w:szCs w:val="21"/>
                    </w:rPr>
                    <w:t>100</w:t>
                  </w:r>
                </w:p>
              </w:tc>
              <w:tc>
                <w:tcPr>
                  <w:tcW w:w="750" w:type="dxa"/>
                  <w:vAlign w:val="center"/>
                </w:tcPr>
                <w:p>
                  <w:pPr>
                    <w:jc w:val="center"/>
                    <w:rPr>
                      <w:szCs w:val="21"/>
                    </w:rPr>
                  </w:pPr>
                  <w:r>
                    <w:rPr>
                      <w:rFonts w:hint="eastAsia"/>
                      <w:szCs w:val="21"/>
                    </w:rPr>
                    <w:t>4320</w:t>
                  </w:r>
                </w:p>
              </w:tc>
              <w:tc>
                <w:tcPr>
                  <w:tcW w:w="1464" w:type="dxa"/>
                  <w:vAlign w:val="center"/>
                </w:tcPr>
                <w:p>
                  <w:pPr>
                    <w:pStyle w:val="12"/>
                    <w:jc w:val="left"/>
                  </w:pPr>
                  <w:r>
                    <w:rPr>
                      <w:rFonts w:hint="eastAsia"/>
                    </w:rPr>
                    <w:t>非甲烷总烃:</w:t>
                  </w:r>
                  <w:r>
                    <w:rPr>
                      <w:rFonts w:ascii="Times New Roman" w:hAnsi="Times New Roman"/>
                    </w:rPr>
                    <w:t>0.</w:t>
                  </w:r>
                  <w:r>
                    <w:rPr>
                      <w:rFonts w:hint="eastAsia" w:ascii="Times New Roman" w:hAnsi="Times New Roman"/>
                    </w:rPr>
                    <w:t>27</w:t>
                  </w:r>
                </w:p>
              </w:tc>
            </w:tr>
          </w:tbl>
          <w:p>
            <w:pPr>
              <w:autoSpaceDE w:val="0"/>
              <w:autoSpaceDN w:val="0"/>
              <w:ind w:firstLine="420" w:firstLineChars="200"/>
              <w:rPr>
                <w:rFonts w:ascii="黑体" w:hAnsi="黑体" w:eastAsia="黑体"/>
                <w:szCs w:val="21"/>
              </w:rPr>
            </w:pPr>
            <w:r>
              <w:rPr>
                <w:rFonts w:ascii="黑体" w:hAnsi="黑体" w:eastAsia="黑体"/>
                <w:szCs w:val="21"/>
              </w:rPr>
              <w:t>表</w:t>
            </w:r>
            <w:r>
              <w:rPr>
                <w:rFonts w:hint="eastAsia" w:ascii="黑体" w:hAnsi="黑体" w:eastAsia="黑体"/>
                <w:szCs w:val="21"/>
              </w:rPr>
              <w:t xml:space="preserve">4-5 </w:t>
            </w:r>
            <w:r>
              <w:rPr>
                <w:rFonts w:ascii="黑体" w:hAnsi="黑体" w:eastAsia="黑体"/>
                <w:szCs w:val="21"/>
              </w:rPr>
              <w:t xml:space="preserve"> </w:t>
            </w:r>
            <w:r>
              <w:rPr>
                <w:rFonts w:hint="eastAsia" w:ascii="黑体" w:hAnsi="黑体" w:eastAsia="黑体"/>
                <w:szCs w:val="21"/>
              </w:rPr>
              <w:t xml:space="preserve">             </w:t>
            </w:r>
            <w:r>
              <w:rPr>
                <w:rFonts w:ascii="黑体" w:hAnsi="黑体" w:eastAsia="黑体"/>
                <w:szCs w:val="21"/>
              </w:rPr>
              <w:t>项目面源污染物、排放参数一览表</w:t>
            </w:r>
          </w:p>
          <w:tbl>
            <w:tblPr>
              <w:tblStyle w:val="25"/>
              <w:tblW w:w="845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82"/>
              <w:gridCol w:w="794"/>
              <w:gridCol w:w="1067"/>
              <w:gridCol w:w="899"/>
              <w:gridCol w:w="800"/>
              <w:gridCol w:w="800"/>
              <w:gridCol w:w="712"/>
              <w:gridCol w:w="680"/>
              <w:gridCol w:w="637"/>
              <w:gridCol w:w="138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682" w:type="dxa"/>
                  <w:vMerge w:val="restart"/>
                  <w:vAlign w:val="center"/>
                </w:tcPr>
                <w:p>
                  <w:pPr>
                    <w:jc w:val="center"/>
                    <w:rPr>
                      <w:szCs w:val="21"/>
                    </w:rPr>
                  </w:pPr>
                  <w:r>
                    <w:rPr>
                      <w:rFonts w:hAnsi="宋体"/>
                      <w:szCs w:val="21"/>
                    </w:rPr>
                    <w:t>名称</w:t>
                  </w:r>
                </w:p>
              </w:tc>
              <w:tc>
                <w:tcPr>
                  <w:tcW w:w="1861" w:type="dxa"/>
                  <w:gridSpan w:val="2"/>
                  <w:vAlign w:val="center"/>
                </w:tcPr>
                <w:p>
                  <w:pPr>
                    <w:jc w:val="center"/>
                    <w:rPr>
                      <w:rFonts w:hAnsi="宋体"/>
                      <w:szCs w:val="21"/>
                    </w:rPr>
                  </w:pPr>
                  <w:r>
                    <w:rPr>
                      <w:rFonts w:hint="eastAsia" w:hAnsi="宋体"/>
                      <w:szCs w:val="21"/>
                    </w:rPr>
                    <w:t>面源中心坐标/°</w:t>
                  </w:r>
                </w:p>
              </w:tc>
              <w:tc>
                <w:tcPr>
                  <w:tcW w:w="899" w:type="dxa"/>
                  <w:vMerge w:val="restart"/>
                  <w:vAlign w:val="center"/>
                </w:tcPr>
                <w:p>
                  <w:pPr>
                    <w:jc w:val="center"/>
                    <w:rPr>
                      <w:szCs w:val="21"/>
                    </w:rPr>
                  </w:pPr>
                  <w:r>
                    <w:rPr>
                      <w:rFonts w:hAnsi="宋体"/>
                      <w:szCs w:val="21"/>
                    </w:rPr>
                    <w:t>面源海拔高度（</w:t>
                  </w:r>
                  <w:r>
                    <w:rPr>
                      <w:szCs w:val="21"/>
                    </w:rPr>
                    <w:t>m</w:t>
                  </w:r>
                  <w:r>
                    <w:rPr>
                      <w:rFonts w:hAnsi="宋体"/>
                      <w:szCs w:val="21"/>
                    </w:rPr>
                    <w:t>）</w:t>
                  </w:r>
                </w:p>
              </w:tc>
              <w:tc>
                <w:tcPr>
                  <w:tcW w:w="800" w:type="dxa"/>
                  <w:vMerge w:val="restart"/>
                  <w:vAlign w:val="center"/>
                </w:tcPr>
                <w:p>
                  <w:pPr>
                    <w:jc w:val="center"/>
                    <w:rPr>
                      <w:szCs w:val="21"/>
                    </w:rPr>
                  </w:pPr>
                  <w:r>
                    <w:rPr>
                      <w:rFonts w:hAnsi="宋体"/>
                      <w:szCs w:val="21"/>
                    </w:rPr>
                    <w:t>面源长度（</w:t>
                  </w:r>
                  <w:r>
                    <w:rPr>
                      <w:szCs w:val="21"/>
                    </w:rPr>
                    <w:t>m</w:t>
                  </w:r>
                  <w:r>
                    <w:rPr>
                      <w:rFonts w:hAnsi="宋体"/>
                      <w:szCs w:val="21"/>
                    </w:rPr>
                    <w:t>）</w:t>
                  </w:r>
                </w:p>
              </w:tc>
              <w:tc>
                <w:tcPr>
                  <w:tcW w:w="800" w:type="dxa"/>
                  <w:vMerge w:val="restart"/>
                  <w:vAlign w:val="center"/>
                </w:tcPr>
                <w:p>
                  <w:pPr>
                    <w:jc w:val="center"/>
                    <w:rPr>
                      <w:szCs w:val="21"/>
                    </w:rPr>
                  </w:pPr>
                  <w:r>
                    <w:rPr>
                      <w:rFonts w:hAnsi="宋体"/>
                      <w:szCs w:val="21"/>
                    </w:rPr>
                    <w:t>面源宽度（</w:t>
                  </w:r>
                  <w:r>
                    <w:rPr>
                      <w:szCs w:val="21"/>
                    </w:rPr>
                    <w:t>m</w:t>
                  </w:r>
                  <w:r>
                    <w:rPr>
                      <w:rFonts w:hAnsi="宋体"/>
                      <w:szCs w:val="21"/>
                    </w:rPr>
                    <w:t>）</w:t>
                  </w:r>
                </w:p>
              </w:tc>
              <w:tc>
                <w:tcPr>
                  <w:tcW w:w="712" w:type="dxa"/>
                  <w:vMerge w:val="restart"/>
                  <w:vAlign w:val="center"/>
                </w:tcPr>
                <w:p>
                  <w:pPr>
                    <w:jc w:val="center"/>
                    <w:rPr>
                      <w:szCs w:val="21"/>
                    </w:rPr>
                  </w:pPr>
                  <w:r>
                    <w:rPr>
                      <w:rFonts w:hAnsi="宋体"/>
                      <w:szCs w:val="21"/>
                    </w:rPr>
                    <w:t>与正北向夹角</w:t>
                  </w:r>
                  <w:r>
                    <w:rPr>
                      <w:szCs w:val="21"/>
                    </w:rPr>
                    <w:t>/°</w:t>
                  </w:r>
                </w:p>
              </w:tc>
              <w:tc>
                <w:tcPr>
                  <w:tcW w:w="680" w:type="dxa"/>
                  <w:vMerge w:val="restart"/>
                  <w:vAlign w:val="center"/>
                </w:tcPr>
                <w:p>
                  <w:pPr>
                    <w:jc w:val="center"/>
                    <w:rPr>
                      <w:szCs w:val="21"/>
                    </w:rPr>
                  </w:pPr>
                  <w:r>
                    <w:rPr>
                      <w:rFonts w:hAnsi="宋体"/>
                      <w:szCs w:val="21"/>
                    </w:rPr>
                    <w:t>面源有效排放高度</w:t>
                  </w:r>
                  <w:r>
                    <w:rPr>
                      <w:szCs w:val="21"/>
                    </w:rPr>
                    <w:t>/m</w:t>
                  </w:r>
                </w:p>
              </w:tc>
              <w:tc>
                <w:tcPr>
                  <w:tcW w:w="637" w:type="dxa"/>
                  <w:vMerge w:val="restart"/>
                  <w:vAlign w:val="center"/>
                </w:tcPr>
                <w:p>
                  <w:pPr>
                    <w:jc w:val="center"/>
                    <w:rPr>
                      <w:szCs w:val="21"/>
                    </w:rPr>
                  </w:pPr>
                  <w:r>
                    <w:rPr>
                      <w:rFonts w:hAnsi="宋体"/>
                      <w:szCs w:val="21"/>
                    </w:rPr>
                    <w:t>年排放小时数</w:t>
                  </w:r>
                  <w:r>
                    <w:rPr>
                      <w:szCs w:val="21"/>
                    </w:rPr>
                    <w:t>/h</w:t>
                  </w:r>
                </w:p>
              </w:tc>
              <w:tc>
                <w:tcPr>
                  <w:tcW w:w="1387" w:type="dxa"/>
                  <w:vMerge w:val="restart"/>
                  <w:vAlign w:val="center"/>
                </w:tcPr>
                <w:p>
                  <w:pPr>
                    <w:jc w:val="center"/>
                    <w:rPr>
                      <w:szCs w:val="21"/>
                    </w:rPr>
                  </w:pPr>
                  <w:r>
                    <w:rPr>
                      <w:rFonts w:hAnsi="宋体"/>
                      <w:szCs w:val="21"/>
                    </w:rPr>
                    <w:t>污染物排放</w:t>
                  </w:r>
                  <w:r>
                    <w:rPr>
                      <w:rFonts w:hint="eastAsia" w:hAnsi="宋体"/>
                      <w:szCs w:val="21"/>
                    </w:rPr>
                    <w:t>速率</w:t>
                  </w:r>
                  <w:r>
                    <w:rPr>
                      <w:rFonts w:hAnsi="宋体"/>
                      <w:szCs w:val="21"/>
                    </w:rPr>
                    <w:t>（</w:t>
                  </w:r>
                  <w:r>
                    <w:rPr>
                      <w:rFonts w:hint="eastAsia"/>
                      <w:szCs w:val="21"/>
                    </w:rPr>
                    <w:t>kg/h</w:t>
                  </w:r>
                  <w:r>
                    <w:rPr>
                      <w:rFonts w:hAnsi="宋体"/>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055" w:hRule="atLeast"/>
                <w:jc w:val="center"/>
              </w:trPr>
              <w:tc>
                <w:tcPr>
                  <w:tcW w:w="682" w:type="dxa"/>
                  <w:vMerge w:val="continue"/>
                  <w:vAlign w:val="center"/>
                </w:tcPr>
                <w:p>
                  <w:pPr>
                    <w:jc w:val="center"/>
                    <w:rPr>
                      <w:szCs w:val="21"/>
                    </w:rPr>
                  </w:pPr>
                </w:p>
              </w:tc>
              <w:tc>
                <w:tcPr>
                  <w:tcW w:w="794" w:type="dxa"/>
                  <w:vAlign w:val="center"/>
                </w:tcPr>
                <w:p>
                  <w:pPr>
                    <w:jc w:val="center"/>
                    <w:rPr>
                      <w:szCs w:val="21"/>
                    </w:rPr>
                  </w:pPr>
                  <w:r>
                    <w:rPr>
                      <w:rFonts w:hint="eastAsia"/>
                      <w:szCs w:val="21"/>
                    </w:rPr>
                    <w:t>经度</w:t>
                  </w:r>
                </w:p>
              </w:tc>
              <w:tc>
                <w:tcPr>
                  <w:tcW w:w="1067" w:type="dxa"/>
                  <w:vAlign w:val="center"/>
                </w:tcPr>
                <w:p>
                  <w:pPr>
                    <w:jc w:val="center"/>
                    <w:rPr>
                      <w:szCs w:val="21"/>
                    </w:rPr>
                  </w:pPr>
                  <w:r>
                    <w:rPr>
                      <w:rFonts w:hint="eastAsia"/>
                      <w:szCs w:val="21"/>
                    </w:rPr>
                    <w:t>纬度</w:t>
                  </w:r>
                </w:p>
              </w:tc>
              <w:tc>
                <w:tcPr>
                  <w:tcW w:w="899" w:type="dxa"/>
                  <w:vMerge w:val="continue"/>
                  <w:vAlign w:val="center"/>
                </w:tcPr>
                <w:p>
                  <w:pPr>
                    <w:jc w:val="center"/>
                    <w:rPr>
                      <w:szCs w:val="21"/>
                    </w:rPr>
                  </w:pPr>
                </w:p>
              </w:tc>
              <w:tc>
                <w:tcPr>
                  <w:tcW w:w="800" w:type="dxa"/>
                  <w:vMerge w:val="continue"/>
                  <w:vAlign w:val="center"/>
                </w:tcPr>
                <w:p>
                  <w:pPr>
                    <w:jc w:val="center"/>
                    <w:rPr>
                      <w:szCs w:val="21"/>
                    </w:rPr>
                  </w:pPr>
                </w:p>
              </w:tc>
              <w:tc>
                <w:tcPr>
                  <w:tcW w:w="800" w:type="dxa"/>
                  <w:vMerge w:val="continue"/>
                  <w:vAlign w:val="center"/>
                </w:tcPr>
                <w:p>
                  <w:pPr>
                    <w:jc w:val="center"/>
                    <w:rPr>
                      <w:szCs w:val="21"/>
                    </w:rPr>
                  </w:pPr>
                </w:p>
              </w:tc>
              <w:tc>
                <w:tcPr>
                  <w:tcW w:w="712" w:type="dxa"/>
                  <w:vMerge w:val="continue"/>
                  <w:vAlign w:val="center"/>
                </w:tcPr>
                <w:p>
                  <w:pPr>
                    <w:jc w:val="center"/>
                    <w:rPr>
                      <w:szCs w:val="21"/>
                    </w:rPr>
                  </w:pPr>
                </w:p>
              </w:tc>
              <w:tc>
                <w:tcPr>
                  <w:tcW w:w="680" w:type="dxa"/>
                  <w:vMerge w:val="continue"/>
                  <w:vAlign w:val="center"/>
                </w:tcPr>
                <w:p>
                  <w:pPr>
                    <w:jc w:val="center"/>
                    <w:rPr>
                      <w:szCs w:val="21"/>
                    </w:rPr>
                  </w:pPr>
                </w:p>
              </w:tc>
              <w:tc>
                <w:tcPr>
                  <w:tcW w:w="637" w:type="dxa"/>
                  <w:vMerge w:val="continue"/>
                  <w:vAlign w:val="center"/>
                </w:tcPr>
                <w:p>
                  <w:pPr>
                    <w:jc w:val="center"/>
                    <w:rPr>
                      <w:szCs w:val="21"/>
                    </w:rPr>
                  </w:pPr>
                </w:p>
              </w:tc>
              <w:tc>
                <w:tcPr>
                  <w:tcW w:w="1387"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843" w:hRule="atLeast"/>
                <w:jc w:val="center"/>
              </w:trPr>
              <w:tc>
                <w:tcPr>
                  <w:tcW w:w="682" w:type="dxa"/>
                  <w:vAlign w:val="center"/>
                </w:tcPr>
                <w:p>
                  <w:pPr>
                    <w:jc w:val="center"/>
                    <w:rPr>
                      <w:rFonts w:hAnsi="宋体"/>
                      <w:szCs w:val="21"/>
                    </w:rPr>
                  </w:pPr>
                  <w:r>
                    <w:rPr>
                      <w:rFonts w:hint="eastAsia" w:hAnsi="宋体"/>
                      <w:szCs w:val="21"/>
                    </w:rPr>
                    <w:t>塑料果蔬筐生产车间</w:t>
                  </w:r>
                </w:p>
              </w:tc>
              <w:tc>
                <w:tcPr>
                  <w:tcW w:w="794" w:type="dxa"/>
                  <w:vAlign w:val="center"/>
                </w:tcPr>
                <w:p>
                  <w:pPr>
                    <w:jc w:val="center"/>
                    <w:rPr>
                      <w:szCs w:val="21"/>
                    </w:rPr>
                  </w:pPr>
                  <w:r>
                    <w:rPr>
                      <w:rFonts w:hint="eastAsia"/>
                      <w:szCs w:val="21"/>
                    </w:rPr>
                    <w:t>87.228</w:t>
                  </w:r>
                </w:p>
              </w:tc>
              <w:tc>
                <w:tcPr>
                  <w:tcW w:w="1067" w:type="dxa"/>
                  <w:vAlign w:val="center"/>
                </w:tcPr>
                <w:p>
                  <w:pPr>
                    <w:jc w:val="center"/>
                    <w:rPr>
                      <w:szCs w:val="21"/>
                    </w:rPr>
                  </w:pPr>
                  <w:r>
                    <w:rPr>
                      <w:rFonts w:hint="eastAsia"/>
                      <w:szCs w:val="21"/>
                    </w:rPr>
                    <w:t>43.929</w:t>
                  </w:r>
                </w:p>
              </w:tc>
              <w:tc>
                <w:tcPr>
                  <w:tcW w:w="899" w:type="dxa"/>
                  <w:vAlign w:val="center"/>
                </w:tcPr>
                <w:p>
                  <w:pPr>
                    <w:jc w:val="center"/>
                    <w:rPr>
                      <w:szCs w:val="21"/>
                    </w:rPr>
                  </w:pPr>
                  <w:r>
                    <w:rPr>
                      <w:szCs w:val="21"/>
                    </w:rPr>
                    <w:t>3</w:t>
                  </w:r>
                  <w:r>
                    <w:rPr>
                      <w:rFonts w:hint="eastAsia"/>
                      <w:szCs w:val="21"/>
                    </w:rPr>
                    <w:t>86.52</w:t>
                  </w:r>
                </w:p>
              </w:tc>
              <w:tc>
                <w:tcPr>
                  <w:tcW w:w="800" w:type="dxa"/>
                  <w:vAlign w:val="center"/>
                </w:tcPr>
                <w:p>
                  <w:pPr>
                    <w:jc w:val="center"/>
                    <w:rPr>
                      <w:szCs w:val="21"/>
                    </w:rPr>
                  </w:pPr>
                  <w:r>
                    <w:rPr>
                      <w:rFonts w:hint="eastAsia"/>
                      <w:szCs w:val="21"/>
                    </w:rPr>
                    <w:t>30</w:t>
                  </w:r>
                </w:p>
              </w:tc>
              <w:tc>
                <w:tcPr>
                  <w:tcW w:w="800" w:type="dxa"/>
                  <w:vAlign w:val="center"/>
                </w:tcPr>
                <w:p>
                  <w:pPr>
                    <w:jc w:val="center"/>
                    <w:rPr>
                      <w:szCs w:val="21"/>
                    </w:rPr>
                  </w:pPr>
                  <w:r>
                    <w:rPr>
                      <w:rFonts w:hint="eastAsia"/>
                      <w:szCs w:val="21"/>
                    </w:rPr>
                    <w:t>20</w:t>
                  </w:r>
                </w:p>
              </w:tc>
              <w:tc>
                <w:tcPr>
                  <w:tcW w:w="712" w:type="dxa"/>
                  <w:vAlign w:val="center"/>
                </w:tcPr>
                <w:p>
                  <w:pPr>
                    <w:jc w:val="center"/>
                    <w:rPr>
                      <w:szCs w:val="21"/>
                    </w:rPr>
                  </w:pPr>
                  <w:r>
                    <w:rPr>
                      <w:szCs w:val="21"/>
                    </w:rPr>
                    <w:t>0</w:t>
                  </w:r>
                </w:p>
              </w:tc>
              <w:tc>
                <w:tcPr>
                  <w:tcW w:w="680" w:type="dxa"/>
                  <w:vAlign w:val="center"/>
                </w:tcPr>
                <w:p>
                  <w:pPr>
                    <w:jc w:val="center"/>
                    <w:rPr>
                      <w:szCs w:val="21"/>
                    </w:rPr>
                  </w:pPr>
                  <w:r>
                    <w:rPr>
                      <w:rFonts w:hint="eastAsia"/>
                      <w:szCs w:val="21"/>
                    </w:rPr>
                    <w:t>6</w:t>
                  </w:r>
                </w:p>
              </w:tc>
              <w:tc>
                <w:tcPr>
                  <w:tcW w:w="637" w:type="dxa"/>
                  <w:vAlign w:val="center"/>
                </w:tcPr>
                <w:p>
                  <w:pPr>
                    <w:jc w:val="center"/>
                    <w:rPr>
                      <w:szCs w:val="21"/>
                    </w:rPr>
                  </w:pPr>
                  <w:r>
                    <w:rPr>
                      <w:rFonts w:hint="eastAsia"/>
                      <w:szCs w:val="21"/>
                    </w:rPr>
                    <w:t>4320</w:t>
                  </w:r>
                </w:p>
              </w:tc>
              <w:tc>
                <w:tcPr>
                  <w:tcW w:w="1387" w:type="dxa"/>
                  <w:vAlign w:val="center"/>
                </w:tcPr>
                <w:p>
                  <w:pPr>
                    <w:jc w:val="center"/>
                    <w:rPr>
                      <w:rFonts w:hAnsi="宋体"/>
                      <w:szCs w:val="21"/>
                    </w:rPr>
                  </w:pPr>
                  <w:r>
                    <w:rPr>
                      <w:rFonts w:hint="eastAsia" w:hAnsi="宋体"/>
                      <w:szCs w:val="21"/>
                    </w:rPr>
                    <w:t>非甲烷总烃：0.05</w:t>
                  </w:r>
                </w:p>
                <w:p>
                  <w:pPr>
                    <w:jc w:val="center"/>
                    <w:rPr>
                      <w:rFonts w:hAnsi="宋体"/>
                      <w:szCs w:val="21"/>
                    </w:rPr>
                  </w:pPr>
                  <w:r>
                    <w:rPr>
                      <w:rFonts w:hint="eastAsia" w:hAnsi="宋体"/>
                      <w:szCs w:val="21"/>
                    </w:rPr>
                    <w:t>颗粒物：0.037</w:t>
                  </w:r>
                </w:p>
              </w:tc>
            </w:tr>
          </w:tbl>
          <w:p>
            <w:pPr>
              <w:tabs>
                <w:tab w:val="center" w:pos="4736"/>
              </w:tabs>
              <w:spacing w:line="480" w:lineRule="exact"/>
              <w:ind w:firstLine="480" w:firstLineChars="200"/>
              <w:rPr>
                <w:bCs/>
                <w:sz w:val="24"/>
              </w:rPr>
            </w:pPr>
            <w:r>
              <w:rPr>
                <w:rFonts w:hint="eastAsia"/>
                <w:bCs/>
                <w:sz w:val="24"/>
              </w:rPr>
              <w:t>④估算结果、</w:t>
            </w:r>
          </w:p>
          <w:p>
            <w:pPr>
              <w:tabs>
                <w:tab w:val="center" w:pos="4736"/>
              </w:tabs>
              <w:spacing w:line="480" w:lineRule="exact"/>
              <w:ind w:firstLine="480" w:firstLineChars="200"/>
              <w:rPr>
                <w:rFonts w:hAnsi="宋体"/>
                <w:sz w:val="24"/>
              </w:rPr>
            </w:pPr>
            <w:r>
              <w:rPr>
                <w:rFonts w:hint="eastAsia" w:hAnsi="宋体"/>
                <w:sz w:val="24"/>
              </w:rPr>
              <w:t>非甲烷总烃最大落地浓度为2.75</w:t>
            </w:r>
            <w:r>
              <w:rPr>
                <w:rFonts w:hAnsi="宋体"/>
                <w:sz w:val="24"/>
              </w:rPr>
              <w:t>ug/m</w:t>
            </w:r>
            <w:r>
              <w:rPr>
                <w:rFonts w:hAnsi="宋体"/>
                <w:sz w:val="24"/>
                <w:vertAlign w:val="superscript"/>
              </w:rPr>
              <w:t>3</w:t>
            </w:r>
            <w:r>
              <w:rPr>
                <w:rFonts w:hint="eastAsia" w:hAnsi="宋体"/>
                <w:sz w:val="24"/>
              </w:rPr>
              <w:t>，满足《合成树脂工业污染物排放标准》（GB31572-2015）中浓度限值。</w:t>
            </w:r>
          </w:p>
          <w:p>
            <w:pPr>
              <w:tabs>
                <w:tab w:val="center" w:pos="4736"/>
              </w:tabs>
              <w:spacing w:line="460" w:lineRule="exact"/>
              <w:ind w:firstLine="480" w:firstLineChars="200"/>
              <w:rPr>
                <w:sz w:val="24"/>
              </w:rPr>
            </w:pPr>
            <w:r>
              <w:rPr>
                <w:rFonts w:hint="eastAsia"/>
                <w:sz w:val="24"/>
              </w:rPr>
              <w:t>项目大气污染物有组织排放量核算结果见表4-6，无组织排放量核算结果见表4-7，项目大气污染物非正常排放量核算见表4-8。</w:t>
            </w:r>
          </w:p>
          <w:p>
            <w:pPr>
              <w:ind w:firstLine="420" w:firstLineChars="200"/>
              <w:rPr>
                <w:rFonts w:ascii="黑体" w:hAnsi="黑体" w:eastAsia="黑体" w:cs="黑体"/>
                <w:szCs w:val="21"/>
              </w:rPr>
            </w:pPr>
            <w:r>
              <w:rPr>
                <w:rFonts w:hint="eastAsia" w:ascii="黑体" w:hAnsi="黑体" w:eastAsia="黑体" w:cs="黑体"/>
                <w:szCs w:val="21"/>
              </w:rPr>
              <w:t>表4-6                   项目大气有组织污染物核算表</w:t>
            </w:r>
          </w:p>
          <w:tbl>
            <w:tblPr>
              <w:tblStyle w:val="26"/>
              <w:tblW w:w="83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4"/>
              <w:gridCol w:w="2308"/>
              <w:gridCol w:w="1289"/>
              <w:gridCol w:w="1391"/>
              <w:gridCol w:w="1613"/>
              <w:gridCol w:w="11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4" w:type="dxa"/>
                  <w:vAlign w:val="center"/>
                </w:tcPr>
                <w:p>
                  <w:pPr>
                    <w:jc w:val="center"/>
                    <w:rPr>
                      <w:szCs w:val="21"/>
                    </w:rPr>
                  </w:pPr>
                  <w:r>
                    <w:rPr>
                      <w:rFonts w:hint="eastAsia"/>
                      <w:szCs w:val="21"/>
                    </w:rPr>
                    <w:t>序号</w:t>
                  </w:r>
                </w:p>
              </w:tc>
              <w:tc>
                <w:tcPr>
                  <w:tcW w:w="2308" w:type="dxa"/>
                  <w:vAlign w:val="center"/>
                </w:tcPr>
                <w:p>
                  <w:pPr>
                    <w:jc w:val="center"/>
                    <w:rPr>
                      <w:szCs w:val="21"/>
                    </w:rPr>
                  </w:pPr>
                  <w:r>
                    <w:rPr>
                      <w:rFonts w:hint="eastAsia"/>
                      <w:szCs w:val="21"/>
                    </w:rPr>
                    <w:t>排放口编号</w:t>
                  </w:r>
                </w:p>
              </w:tc>
              <w:tc>
                <w:tcPr>
                  <w:tcW w:w="1289" w:type="dxa"/>
                  <w:vAlign w:val="center"/>
                </w:tcPr>
                <w:p>
                  <w:pPr>
                    <w:jc w:val="center"/>
                    <w:rPr>
                      <w:szCs w:val="21"/>
                    </w:rPr>
                  </w:pPr>
                  <w:r>
                    <w:rPr>
                      <w:rFonts w:hint="eastAsia"/>
                      <w:szCs w:val="21"/>
                    </w:rPr>
                    <w:t>污染物</w:t>
                  </w:r>
                </w:p>
              </w:tc>
              <w:tc>
                <w:tcPr>
                  <w:tcW w:w="1391" w:type="dxa"/>
                  <w:vAlign w:val="center"/>
                </w:tcPr>
                <w:p>
                  <w:pPr>
                    <w:jc w:val="center"/>
                    <w:rPr>
                      <w:szCs w:val="21"/>
                    </w:rPr>
                  </w:pPr>
                  <w:r>
                    <w:rPr>
                      <w:rFonts w:hint="eastAsia"/>
                      <w:szCs w:val="21"/>
                    </w:rPr>
                    <w:t>核算排放浓度mg/m</w:t>
                  </w:r>
                  <w:r>
                    <w:rPr>
                      <w:rFonts w:hint="eastAsia"/>
                      <w:szCs w:val="21"/>
                      <w:vertAlign w:val="superscript"/>
                    </w:rPr>
                    <w:t>3</w:t>
                  </w:r>
                </w:p>
              </w:tc>
              <w:tc>
                <w:tcPr>
                  <w:tcW w:w="1613" w:type="dxa"/>
                  <w:vAlign w:val="center"/>
                </w:tcPr>
                <w:p>
                  <w:pPr>
                    <w:jc w:val="center"/>
                    <w:rPr>
                      <w:szCs w:val="21"/>
                    </w:rPr>
                  </w:pPr>
                  <w:r>
                    <w:rPr>
                      <w:rFonts w:hint="eastAsia"/>
                      <w:szCs w:val="21"/>
                    </w:rPr>
                    <w:t>核算排放速率</w:t>
                  </w:r>
                </w:p>
                <w:p>
                  <w:pPr>
                    <w:jc w:val="center"/>
                    <w:rPr>
                      <w:szCs w:val="21"/>
                    </w:rPr>
                  </w:pPr>
                  <w:r>
                    <w:rPr>
                      <w:rFonts w:hint="eastAsia"/>
                      <w:szCs w:val="21"/>
                    </w:rPr>
                    <w:t>kg/h</w:t>
                  </w:r>
                </w:p>
              </w:tc>
              <w:tc>
                <w:tcPr>
                  <w:tcW w:w="1187" w:type="dxa"/>
                  <w:vAlign w:val="center"/>
                </w:tcPr>
                <w:p>
                  <w:pPr>
                    <w:jc w:val="center"/>
                    <w:rPr>
                      <w:szCs w:val="21"/>
                    </w:rPr>
                  </w:pPr>
                  <w:r>
                    <w:rPr>
                      <w:rFonts w:hint="eastAsia"/>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312" w:type="dxa"/>
                  <w:gridSpan w:val="6"/>
                  <w:vAlign w:val="center"/>
                </w:tcPr>
                <w:p>
                  <w:pPr>
                    <w:jc w:val="center"/>
                    <w:rPr>
                      <w:kern w:val="0"/>
                      <w:szCs w:val="21"/>
                    </w:rPr>
                  </w:pPr>
                  <w:r>
                    <w:rPr>
                      <w:rFonts w:hint="eastAsia"/>
                      <w:kern w:val="0"/>
                      <w:szCs w:val="21"/>
                    </w:rPr>
                    <w:t>主要排放口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4" w:type="dxa"/>
                  <w:vAlign w:val="center"/>
                </w:tcPr>
                <w:p>
                  <w:pPr>
                    <w:jc w:val="center"/>
                    <w:rPr>
                      <w:szCs w:val="21"/>
                    </w:rPr>
                  </w:pPr>
                  <w:r>
                    <w:rPr>
                      <w:rFonts w:hint="eastAsia"/>
                      <w:szCs w:val="21"/>
                    </w:rPr>
                    <w:t>1</w:t>
                  </w:r>
                </w:p>
              </w:tc>
              <w:tc>
                <w:tcPr>
                  <w:tcW w:w="2308" w:type="dxa"/>
                  <w:shd w:val="clear" w:color="auto" w:fill="auto"/>
                  <w:vAlign w:val="center"/>
                </w:tcPr>
                <w:p>
                  <w:pPr>
                    <w:widowControl/>
                    <w:jc w:val="center"/>
                    <w:textAlignment w:val="center"/>
                    <w:rPr>
                      <w:szCs w:val="21"/>
                    </w:rPr>
                  </w:pPr>
                  <w:r>
                    <w:rPr>
                      <w:rFonts w:hint="eastAsia"/>
                      <w:kern w:val="0"/>
                      <w:szCs w:val="21"/>
                    </w:rPr>
                    <w:t>排气筒DA001</w:t>
                  </w:r>
                </w:p>
              </w:tc>
              <w:tc>
                <w:tcPr>
                  <w:tcW w:w="1289" w:type="dxa"/>
                  <w:vAlign w:val="center"/>
                </w:tcPr>
                <w:p>
                  <w:pPr>
                    <w:jc w:val="center"/>
                    <w:rPr>
                      <w:szCs w:val="21"/>
                    </w:rPr>
                  </w:pPr>
                  <w:r>
                    <w:rPr>
                      <w:rFonts w:hint="eastAsia"/>
                      <w:szCs w:val="21"/>
                    </w:rPr>
                    <w:t>非甲烷总烃</w:t>
                  </w:r>
                </w:p>
              </w:tc>
              <w:tc>
                <w:tcPr>
                  <w:tcW w:w="1391" w:type="dxa"/>
                  <w:vAlign w:val="center"/>
                </w:tcPr>
                <w:p>
                  <w:pPr>
                    <w:tabs>
                      <w:tab w:val="center" w:pos="4736"/>
                    </w:tabs>
                    <w:jc w:val="center"/>
                    <w:rPr>
                      <w:szCs w:val="21"/>
                    </w:rPr>
                  </w:pPr>
                  <w:r>
                    <w:rPr>
                      <w:rFonts w:hint="eastAsia"/>
                      <w:szCs w:val="21"/>
                    </w:rPr>
                    <w:t>18</w:t>
                  </w:r>
                </w:p>
              </w:tc>
              <w:tc>
                <w:tcPr>
                  <w:tcW w:w="1613" w:type="dxa"/>
                  <w:vAlign w:val="center"/>
                </w:tcPr>
                <w:p>
                  <w:pPr>
                    <w:tabs>
                      <w:tab w:val="center" w:pos="4736"/>
                    </w:tabs>
                    <w:jc w:val="center"/>
                    <w:rPr>
                      <w:szCs w:val="21"/>
                    </w:rPr>
                  </w:pPr>
                  <w:r>
                    <w:rPr>
                      <w:rFonts w:hint="eastAsia"/>
                      <w:szCs w:val="21"/>
                    </w:rPr>
                    <w:t>0.27</w:t>
                  </w:r>
                </w:p>
              </w:tc>
              <w:tc>
                <w:tcPr>
                  <w:tcW w:w="1187" w:type="dxa"/>
                  <w:vAlign w:val="center"/>
                </w:tcPr>
                <w:p>
                  <w:pPr>
                    <w:tabs>
                      <w:tab w:val="center" w:pos="4736"/>
                    </w:tabs>
                    <w:jc w:val="center"/>
                    <w:rPr>
                      <w:szCs w:val="21"/>
                    </w:rPr>
                  </w:pPr>
                  <w:r>
                    <w:rPr>
                      <w:rFonts w:hint="eastAsia"/>
                      <w:szCs w:val="21"/>
                    </w:rPr>
                    <w:t>1.1664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832" w:type="dxa"/>
                  <w:gridSpan w:val="2"/>
                  <w:vAlign w:val="center"/>
                </w:tcPr>
                <w:p>
                  <w:pPr>
                    <w:jc w:val="center"/>
                    <w:rPr>
                      <w:szCs w:val="21"/>
                    </w:rPr>
                  </w:pPr>
                  <w:r>
                    <w:rPr>
                      <w:rFonts w:hint="eastAsia"/>
                      <w:szCs w:val="21"/>
                    </w:rPr>
                    <w:t>主要排放口合计</w:t>
                  </w:r>
                </w:p>
              </w:tc>
              <w:tc>
                <w:tcPr>
                  <w:tcW w:w="4293" w:type="dxa"/>
                  <w:gridSpan w:val="3"/>
                  <w:vAlign w:val="center"/>
                </w:tcPr>
                <w:p>
                  <w:pPr>
                    <w:jc w:val="center"/>
                    <w:rPr>
                      <w:szCs w:val="21"/>
                    </w:rPr>
                  </w:pPr>
                  <w:r>
                    <w:rPr>
                      <w:rFonts w:hint="eastAsia"/>
                      <w:szCs w:val="21"/>
                    </w:rPr>
                    <w:t>非甲烷总烃</w:t>
                  </w:r>
                </w:p>
              </w:tc>
              <w:tc>
                <w:tcPr>
                  <w:tcW w:w="1187" w:type="dxa"/>
                  <w:vAlign w:val="center"/>
                </w:tcPr>
                <w:p>
                  <w:pPr>
                    <w:jc w:val="center"/>
                    <w:rPr>
                      <w:szCs w:val="21"/>
                    </w:rPr>
                  </w:pPr>
                  <w:r>
                    <w:rPr>
                      <w:rFonts w:hint="eastAsia"/>
                      <w:szCs w:val="21"/>
                    </w:rPr>
                    <w:t>1.1664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312" w:type="dxa"/>
                  <w:gridSpan w:val="6"/>
                  <w:vAlign w:val="center"/>
                </w:tcPr>
                <w:p>
                  <w:pPr>
                    <w:jc w:val="center"/>
                    <w:rPr>
                      <w:szCs w:val="21"/>
                    </w:rPr>
                  </w:pPr>
                  <w:r>
                    <w:rPr>
                      <w:rFonts w:hint="eastAsia"/>
                      <w:szCs w:val="21"/>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4" w:type="dxa"/>
                  <w:vAlign w:val="center"/>
                </w:tcPr>
                <w:p>
                  <w:pPr>
                    <w:jc w:val="center"/>
                    <w:rPr>
                      <w:szCs w:val="21"/>
                    </w:rPr>
                  </w:pPr>
                  <w:r>
                    <w:rPr>
                      <w:rFonts w:hint="eastAsia"/>
                      <w:szCs w:val="21"/>
                    </w:rPr>
                    <w:t>1</w:t>
                  </w:r>
                </w:p>
              </w:tc>
              <w:tc>
                <w:tcPr>
                  <w:tcW w:w="2308" w:type="dxa"/>
                  <w:shd w:val="clear" w:color="auto" w:fill="auto"/>
                  <w:vAlign w:val="center"/>
                </w:tcPr>
                <w:p>
                  <w:pPr>
                    <w:widowControl/>
                    <w:jc w:val="center"/>
                    <w:textAlignment w:val="center"/>
                    <w:rPr>
                      <w:szCs w:val="21"/>
                    </w:rPr>
                  </w:pPr>
                  <w:r>
                    <w:rPr>
                      <w:rFonts w:hint="eastAsia"/>
                      <w:kern w:val="0"/>
                      <w:szCs w:val="21"/>
                    </w:rPr>
                    <w:t>/</w:t>
                  </w:r>
                </w:p>
              </w:tc>
              <w:tc>
                <w:tcPr>
                  <w:tcW w:w="1289" w:type="dxa"/>
                  <w:vAlign w:val="center"/>
                </w:tcPr>
                <w:p>
                  <w:pPr>
                    <w:widowControl/>
                    <w:jc w:val="center"/>
                    <w:rPr>
                      <w:szCs w:val="21"/>
                    </w:rPr>
                  </w:pPr>
                  <w:r>
                    <w:rPr>
                      <w:rFonts w:hint="eastAsia"/>
                      <w:szCs w:val="21"/>
                    </w:rPr>
                    <w:t>/</w:t>
                  </w:r>
                </w:p>
              </w:tc>
              <w:tc>
                <w:tcPr>
                  <w:tcW w:w="1391" w:type="dxa"/>
                  <w:vAlign w:val="center"/>
                </w:tcPr>
                <w:p>
                  <w:pPr>
                    <w:jc w:val="center"/>
                    <w:rPr>
                      <w:szCs w:val="21"/>
                    </w:rPr>
                  </w:pPr>
                  <w:r>
                    <w:rPr>
                      <w:rFonts w:hint="eastAsia"/>
                      <w:szCs w:val="21"/>
                    </w:rPr>
                    <w:t>/</w:t>
                  </w:r>
                </w:p>
              </w:tc>
              <w:tc>
                <w:tcPr>
                  <w:tcW w:w="1613" w:type="dxa"/>
                  <w:vAlign w:val="center"/>
                </w:tcPr>
                <w:p>
                  <w:pPr>
                    <w:jc w:val="center"/>
                    <w:rPr>
                      <w:szCs w:val="21"/>
                    </w:rPr>
                  </w:pPr>
                  <w:r>
                    <w:rPr>
                      <w:rFonts w:hint="eastAsia"/>
                      <w:szCs w:val="21"/>
                    </w:rPr>
                    <w:t>/</w:t>
                  </w:r>
                </w:p>
              </w:tc>
              <w:tc>
                <w:tcPr>
                  <w:tcW w:w="1187" w:type="dxa"/>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832" w:type="dxa"/>
                  <w:gridSpan w:val="2"/>
                  <w:vAlign w:val="center"/>
                </w:tcPr>
                <w:p>
                  <w:pPr>
                    <w:jc w:val="center"/>
                    <w:rPr>
                      <w:szCs w:val="21"/>
                    </w:rPr>
                  </w:pPr>
                  <w:r>
                    <w:rPr>
                      <w:rFonts w:hint="eastAsia"/>
                      <w:szCs w:val="21"/>
                    </w:rPr>
                    <w:t>一般排放口合计</w:t>
                  </w:r>
                </w:p>
              </w:tc>
              <w:tc>
                <w:tcPr>
                  <w:tcW w:w="4293" w:type="dxa"/>
                  <w:gridSpan w:val="3"/>
                  <w:vAlign w:val="center"/>
                </w:tcPr>
                <w:p>
                  <w:pPr>
                    <w:jc w:val="center"/>
                    <w:rPr>
                      <w:szCs w:val="21"/>
                    </w:rPr>
                  </w:pPr>
                  <w:r>
                    <w:rPr>
                      <w:rFonts w:hint="eastAsia"/>
                      <w:szCs w:val="21"/>
                    </w:rPr>
                    <w:t>/</w:t>
                  </w:r>
                </w:p>
              </w:tc>
              <w:tc>
                <w:tcPr>
                  <w:tcW w:w="1187" w:type="dxa"/>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312" w:type="dxa"/>
                  <w:gridSpan w:val="6"/>
                  <w:vAlign w:val="center"/>
                </w:tcPr>
                <w:p>
                  <w:pPr>
                    <w:jc w:val="center"/>
                    <w:rPr>
                      <w:szCs w:val="21"/>
                    </w:rPr>
                  </w:pPr>
                  <w:r>
                    <w:rPr>
                      <w:rFonts w:hint="eastAsia"/>
                      <w:szCs w:val="21"/>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832" w:type="dxa"/>
                  <w:gridSpan w:val="2"/>
                  <w:vAlign w:val="center"/>
                </w:tcPr>
                <w:p>
                  <w:pPr>
                    <w:jc w:val="center"/>
                    <w:rPr>
                      <w:szCs w:val="21"/>
                    </w:rPr>
                  </w:pPr>
                  <w:r>
                    <w:rPr>
                      <w:rFonts w:hint="eastAsia"/>
                      <w:szCs w:val="21"/>
                    </w:rPr>
                    <w:t>有组织排放总计</w:t>
                  </w:r>
                </w:p>
              </w:tc>
              <w:tc>
                <w:tcPr>
                  <w:tcW w:w="4293" w:type="dxa"/>
                  <w:gridSpan w:val="3"/>
                  <w:vAlign w:val="center"/>
                </w:tcPr>
                <w:p>
                  <w:pPr>
                    <w:jc w:val="center"/>
                    <w:rPr>
                      <w:szCs w:val="21"/>
                    </w:rPr>
                  </w:pPr>
                  <w:r>
                    <w:rPr>
                      <w:rFonts w:hint="eastAsia"/>
                      <w:szCs w:val="21"/>
                    </w:rPr>
                    <w:t>非甲烷总烃</w:t>
                  </w:r>
                </w:p>
              </w:tc>
              <w:tc>
                <w:tcPr>
                  <w:tcW w:w="1187" w:type="dxa"/>
                  <w:vAlign w:val="center"/>
                </w:tcPr>
                <w:p>
                  <w:pPr>
                    <w:jc w:val="center"/>
                    <w:rPr>
                      <w:szCs w:val="21"/>
                    </w:rPr>
                  </w:pPr>
                  <w:r>
                    <w:rPr>
                      <w:rFonts w:hint="eastAsia"/>
                      <w:szCs w:val="21"/>
                    </w:rPr>
                    <w:t>1.1664</w:t>
                  </w:r>
                </w:p>
              </w:tc>
            </w:tr>
          </w:tbl>
          <w:p>
            <w:pPr>
              <w:pStyle w:val="122"/>
              <w:spacing w:line="240" w:lineRule="auto"/>
              <w:ind w:firstLine="420"/>
              <w:rPr>
                <w:rFonts w:eastAsia="黑体"/>
                <w:szCs w:val="21"/>
              </w:rPr>
            </w:pPr>
            <w:r>
              <w:rPr>
                <w:rFonts w:hint="eastAsia" w:eastAsia="黑体"/>
                <w:szCs w:val="21"/>
              </w:rPr>
              <w:t>表4-7                    大气污染物无组织排放量核算表</w:t>
            </w:r>
          </w:p>
          <w:tbl>
            <w:tblPr>
              <w:tblStyle w:val="26"/>
              <w:tblW w:w="83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58"/>
              <w:gridCol w:w="904"/>
              <w:gridCol w:w="14"/>
              <w:gridCol w:w="1682"/>
              <w:gridCol w:w="2038"/>
              <w:gridCol w:w="1197"/>
              <w:gridCol w:w="9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9" w:type="dxa"/>
                  <w:vMerge w:val="restart"/>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序号</w:t>
                  </w:r>
                </w:p>
              </w:tc>
              <w:tc>
                <w:tcPr>
                  <w:tcW w:w="858" w:type="dxa"/>
                  <w:vMerge w:val="restart"/>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产污环节</w:t>
                  </w:r>
                </w:p>
              </w:tc>
              <w:tc>
                <w:tcPr>
                  <w:tcW w:w="918" w:type="dxa"/>
                  <w:gridSpan w:val="2"/>
                  <w:vMerge w:val="restart"/>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污染物</w:t>
                  </w:r>
                </w:p>
              </w:tc>
              <w:tc>
                <w:tcPr>
                  <w:tcW w:w="1682" w:type="dxa"/>
                  <w:vMerge w:val="restart"/>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主要防治措施</w:t>
                  </w:r>
                </w:p>
              </w:tc>
              <w:tc>
                <w:tcPr>
                  <w:tcW w:w="3235" w:type="dxa"/>
                  <w:gridSpan w:val="2"/>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国家或地方污染物排放标准</w:t>
                  </w:r>
                </w:p>
              </w:tc>
              <w:tc>
                <w:tcPr>
                  <w:tcW w:w="940" w:type="dxa"/>
                  <w:vMerge w:val="restart"/>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9" w:type="dxa"/>
                  <w:vMerge w:val="continue"/>
                  <w:vAlign w:val="center"/>
                </w:tcPr>
                <w:p>
                  <w:pPr>
                    <w:pStyle w:val="100"/>
                    <w:adjustRightInd w:val="0"/>
                    <w:snapToGrid w:val="0"/>
                    <w:spacing w:before="0" w:after="0" w:line="240" w:lineRule="auto"/>
                    <w:ind w:left="0" w:right="0"/>
                    <w:rPr>
                      <w:color w:val="auto"/>
                      <w:kern w:val="0"/>
                      <w:sz w:val="21"/>
                      <w:szCs w:val="21"/>
                    </w:rPr>
                  </w:pPr>
                </w:p>
              </w:tc>
              <w:tc>
                <w:tcPr>
                  <w:tcW w:w="858" w:type="dxa"/>
                  <w:vMerge w:val="continue"/>
                  <w:vAlign w:val="center"/>
                </w:tcPr>
                <w:p>
                  <w:pPr>
                    <w:pStyle w:val="100"/>
                    <w:adjustRightInd w:val="0"/>
                    <w:snapToGrid w:val="0"/>
                    <w:spacing w:before="0" w:after="0" w:line="240" w:lineRule="auto"/>
                    <w:ind w:left="0" w:right="0"/>
                    <w:rPr>
                      <w:color w:val="auto"/>
                      <w:kern w:val="0"/>
                      <w:sz w:val="21"/>
                      <w:szCs w:val="21"/>
                    </w:rPr>
                  </w:pPr>
                </w:p>
              </w:tc>
              <w:tc>
                <w:tcPr>
                  <w:tcW w:w="918" w:type="dxa"/>
                  <w:gridSpan w:val="2"/>
                  <w:vMerge w:val="continue"/>
                  <w:vAlign w:val="center"/>
                </w:tcPr>
                <w:p>
                  <w:pPr>
                    <w:pStyle w:val="100"/>
                    <w:adjustRightInd w:val="0"/>
                    <w:snapToGrid w:val="0"/>
                    <w:spacing w:before="0" w:after="0" w:line="240" w:lineRule="auto"/>
                    <w:ind w:left="0" w:right="0"/>
                    <w:rPr>
                      <w:color w:val="auto"/>
                      <w:kern w:val="0"/>
                      <w:sz w:val="21"/>
                      <w:szCs w:val="21"/>
                    </w:rPr>
                  </w:pPr>
                </w:p>
              </w:tc>
              <w:tc>
                <w:tcPr>
                  <w:tcW w:w="1682" w:type="dxa"/>
                  <w:vMerge w:val="continue"/>
                  <w:vAlign w:val="center"/>
                </w:tcPr>
                <w:p>
                  <w:pPr>
                    <w:pStyle w:val="100"/>
                    <w:adjustRightInd w:val="0"/>
                    <w:snapToGrid w:val="0"/>
                    <w:spacing w:before="0" w:after="0" w:line="240" w:lineRule="auto"/>
                    <w:ind w:left="0" w:right="0"/>
                    <w:rPr>
                      <w:color w:val="auto"/>
                      <w:kern w:val="0"/>
                      <w:sz w:val="21"/>
                      <w:szCs w:val="21"/>
                    </w:rPr>
                  </w:pPr>
                </w:p>
              </w:tc>
              <w:tc>
                <w:tcPr>
                  <w:tcW w:w="2038" w:type="dxa"/>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标准名称</w:t>
                  </w:r>
                </w:p>
              </w:tc>
              <w:tc>
                <w:tcPr>
                  <w:tcW w:w="1197" w:type="dxa"/>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浓度限值（mg/m</w:t>
                  </w:r>
                  <w:r>
                    <w:rPr>
                      <w:color w:val="auto"/>
                      <w:kern w:val="0"/>
                      <w:sz w:val="21"/>
                      <w:szCs w:val="21"/>
                      <w:vertAlign w:val="superscript"/>
                    </w:rPr>
                    <w:t>3</w:t>
                  </w:r>
                  <w:r>
                    <w:rPr>
                      <w:color w:val="auto"/>
                      <w:kern w:val="0"/>
                      <w:sz w:val="21"/>
                      <w:szCs w:val="21"/>
                    </w:rPr>
                    <w:t>）</w:t>
                  </w:r>
                </w:p>
              </w:tc>
              <w:tc>
                <w:tcPr>
                  <w:tcW w:w="940" w:type="dxa"/>
                  <w:vMerge w:val="continue"/>
                  <w:vAlign w:val="center"/>
                </w:tcPr>
                <w:p>
                  <w:pPr>
                    <w:pStyle w:val="100"/>
                    <w:adjustRightInd w:val="0"/>
                    <w:snapToGrid w:val="0"/>
                    <w:spacing w:before="0" w:after="0" w:line="240" w:lineRule="auto"/>
                    <w:ind w:left="0" w:right="0"/>
                    <w:rPr>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9" w:type="dxa"/>
                  <w:vMerge w:val="restart"/>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1</w:t>
                  </w:r>
                </w:p>
              </w:tc>
              <w:tc>
                <w:tcPr>
                  <w:tcW w:w="858" w:type="dxa"/>
                  <w:vMerge w:val="restart"/>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塑料果蔬筐生产车间</w:t>
                  </w:r>
                </w:p>
              </w:tc>
              <w:tc>
                <w:tcPr>
                  <w:tcW w:w="918" w:type="dxa"/>
                  <w:gridSpan w:val="2"/>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非甲烷总烃</w:t>
                  </w:r>
                </w:p>
              </w:tc>
              <w:tc>
                <w:tcPr>
                  <w:tcW w:w="1682" w:type="dxa"/>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厂房加强通风</w:t>
                  </w:r>
                </w:p>
              </w:tc>
              <w:tc>
                <w:tcPr>
                  <w:tcW w:w="2038" w:type="dxa"/>
                  <w:vMerge w:val="restart"/>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《合成树脂工业污染物排放标准》（GB31572-2015）</w:t>
                  </w:r>
                </w:p>
              </w:tc>
              <w:tc>
                <w:tcPr>
                  <w:tcW w:w="1197" w:type="dxa"/>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4.0</w:t>
                  </w:r>
                </w:p>
              </w:tc>
              <w:tc>
                <w:tcPr>
                  <w:tcW w:w="940" w:type="dxa"/>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9" w:type="dxa"/>
                  <w:vMerge w:val="continue"/>
                  <w:vAlign w:val="center"/>
                </w:tcPr>
                <w:p>
                  <w:pPr>
                    <w:pStyle w:val="100"/>
                    <w:adjustRightInd w:val="0"/>
                    <w:snapToGrid w:val="0"/>
                    <w:spacing w:before="0" w:after="0" w:line="240" w:lineRule="auto"/>
                    <w:ind w:left="0" w:right="0"/>
                    <w:rPr>
                      <w:color w:val="auto"/>
                      <w:kern w:val="0"/>
                      <w:sz w:val="21"/>
                      <w:szCs w:val="21"/>
                    </w:rPr>
                  </w:pPr>
                </w:p>
              </w:tc>
              <w:tc>
                <w:tcPr>
                  <w:tcW w:w="858" w:type="dxa"/>
                  <w:vMerge w:val="continue"/>
                  <w:vAlign w:val="center"/>
                </w:tcPr>
                <w:p>
                  <w:pPr>
                    <w:pStyle w:val="100"/>
                    <w:adjustRightInd w:val="0"/>
                    <w:snapToGrid w:val="0"/>
                    <w:spacing w:before="0" w:after="0" w:line="240" w:lineRule="auto"/>
                    <w:ind w:left="0" w:right="0"/>
                    <w:rPr>
                      <w:color w:val="auto"/>
                      <w:kern w:val="0"/>
                      <w:sz w:val="21"/>
                      <w:szCs w:val="21"/>
                    </w:rPr>
                  </w:pPr>
                </w:p>
              </w:tc>
              <w:tc>
                <w:tcPr>
                  <w:tcW w:w="918" w:type="dxa"/>
                  <w:gridSpan w:val="2"/>
                  <w:vAlign w:val="center"/>
                </w:tcPr>
                <w:p>
                  <w:pPr>
                    <w:jc w:val="center"/>
                    <w:rPr>
                      <w:szCs w:val="21"/>
                    </w:rPr>
                  </w:pPr>
                  <w:r>
                    <w:rPr>
                      <w:rFonts w:hint="eastAsia"/>
                      <w:szCs w:val="21"/>
                    </w:rPr>
                    <w:t>颗粒物</w:t>
                  </w:r>
                </w:p>
              </w:tc>
              <w:tc>
                <w:tcPr>
                  <w:tcW w:w="1682" w:type="dxa"/>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厂房加强通风</w:t>
                  </w:r>
                </w:p>
              </w:tc>
              <w:tc>
                <w:tcPr>
                  <w:tcW w:w="2038" w:type="dxa"/>
                  <w:vMerge w:val="continue"/>
                  <w:vAlign w:val="center"/>
                </w:tcPr>
                <w:p>
                  <w:pPr>
                    <w:pStyle w:val="100"/>
                    <w:adjustRightInd w:val="0"/>
                    <w:snapToGrid w:val="0"/>
                    <w:spacing w:before="0" w:after="0" w:line="240" w:lineRule="auto"/>
                    <w:ind w:left="0" w:right="0"/>
                    <w:rPr>
                      <w:color w:val="auto"/>
                      <w:kern w:val="0"/>
                      <w:sz w:val="21"/>
                      <w:szCs w:val="21"/>
                    </w:rPr>
                  </w:pPr>
                </w:p>
              </w:tc>
              <w:tc>
                <w:tcPr>
                  <w:tcW w:w="1197" w:type="dxa"/>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1.0</w:t>
                  </w:r>
                </w:p>
              </w:tc>
              <w:tc>
                <w:tcPr>
                  <w:tcW w:w="940" w:type="dxa"/>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0.163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312" w:type="dxa"/>
                  <w:gridSpan w:val="8"/>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441" w:type="dxa"/>
                  <w:gridSpan w:val="3"/>
                  <w:vMerge w:val="restart"/>
                  <w:vAlign w:val="center"/>
                </w:tcPr>
                <w:p>
                  <w:pPr>
                    <w:pStyle w:val="100"/>
                    <w:adjustRightInd w:val="0"/>
                    <w:snapToGrid w:val="0"/>
                    <w:spacing w:before="0" w:after="0" w:line="240" w:lineRule="auto"/>
                    <w:ind w:left="0" w:right="0"/>
                    <w:rPr>
                      <w:color w:val="auto"/>
                      <w:kern w:val="0"/>
                      <w:sz w:val="21"/>
                      <w:szCs w:val="21"/>
                    </w:rPr>
                  </w:pPr>
                  <w:r>
                    <w:rPr>
                      <w:color w:val="auto"/>
                      <w:kern w:val="0"/>
                      <w:sz w:val="21"/>
                      <w:szCs w:val="21"/>
                    </w:rPr>
                    <w:t>无组织排放总计</w:t>
                  </w:r>
                </w:p>
              </w:tc>
              <w:tc>
                <w:tcPr>
                  <w:tcW w:w="4931" w:type="dxa"/>
                  <w:gridSpan w:val="4"/>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非甲烷总烃</w:t>
                  </w:r>
                </w:p>
              </w:tc>
              <w:tc>
                <w:tcPr>
                  <w:tcW w:w="940" w:type="dxa"/>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441" w:type="dxa"/>
                  <w:gridSpan w:val="3"/>
                  <w:vMerge w:val="continue"/>
                  <w:vAlign w:val="center"/>
                </w:tcPr>
                <w:p>
                  <w:pPr>
                    <w:pStyle w:val="100"/>
                    <w:adjustRightInd w:val="0"/>
                    <w:snapToGrid w:val="0"/>
                    <w:spacing w:before="0" w:after="0" w:line="240" w:lineRule="auto"/>
                    <w:ind w:left="0" w:right="0"/>
                    <w:rPr>
                      <w:color w:val="auto"/>
                      <w:kern w:val="0"/>
                      <w:sz w:val="21"/>
                      <w:szCs w:val="21"/>
                    </w:rPr>
                  </w:pPr>
                </w:p>
              </w:tc>
              <w:tc>
                <w:tcPr>
                  <w:tcW w:w="4931" w:type="dxa"/>
                  <w:gridSpan w:val="4"/>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颗粒物</w:t>
                  </w:r>
                </w:p>
              </w:tc>
              <w:tc>
                <w:tcPr>
                  <w:tcW w:w="940" w:type="dxa"/>
                  <w:vAlign w:val="center"/>
                </w:tcPr>
                <w:p>
                  <w:pPr>
                    <w:pStyle w:val="100"/>
                    <w:adjustRightInd w:val="0"/>
                    <w:snapToGrid w:val="0"/>
                    <w:spacing w:before="0" w:after="0" w:line="240" w:lineRule="auto"/>
                    <w:ind w:left="0" w:right="0"/>
                    <w:rPr>
                      <w:color w:val="auto"/>
                      <w:kern w:val="0"/>
                      <w:sz w:val="21"/>
                      <w:szCs w:val="21"/>
                    </w:rPr>
                  </w:pPr>
                  <w:r>
                    <w:rPr>
                      <w:rFonts w:hint="eastAsia"/>
                      <w:color w:val="auto"/>
                      <w:kern w:val="0"/>
                      <w:sz w:val="21"/>
                      <w:szCs w:val="21"/>
                    </w:rPr>
                    <w:t>0.163</w:t>
                  </w:r>
                </w:p>
              </w:tc>
            </w:tr>
          </w:tbl>
          <w:p>
            <w:pPr>
              <w:pStyle w:val="84"/>
              <w:rPr>
                <w:color w:val="auto"/>
              </w:rPr>
            </w:pPr>
            <w:r>
              <w:rPr>
                <w:rFonts w:hint="eastAsia"/>
                <w:color w:val="auto"/>
              </w:rPr>
              <w:t>表4-8               污染源非正常排放量核算表</w:t>
            </w:r>
          </w:p>
          <w:tbl>
            <w:tblPr>
              <w:tblStyle w:val="26"/>
              <w:tblW w:w="845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
              <w:gridCol w:w="929"/>
              <w:gridCol w:w="894"/>
              <w:gridCol w:w="894"/>
              <w:gridCol w:w="1136"/>
              <w:gridCol w:w="1010"/>
              <w:gridCol w:w="894"/>
              <w:gridCol w:w="894"/>
              <w:gridCol w:w="9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94" w:type="dxa"/>
                  <w:tcBorders>
                    <w:top w:val="single" w:color="auto" w:sz="12" w:space="0"/>
                  </w:tcBorders>
                  <w:vAlign w:val="center"/>
                </w:tcPr>
                <w:p>
                  <w:pPr>
                    <w:pStyle w:val="123"/>
                  </w:pPr>
                  <w:r>
                    <w:rPr>
                      <w:rFonts w:hint="eastAsia"/>
                    </w:rPr>
                    <w:t>序号</w:t>
                  </w:r>
                </w:p>
              </w:tc>
              <w:tc>
                <w:tcPr>
                  <w:tcW w:w="929" w:type="dxa"/>
                  <w:tcBorders>
                    <w:top w:val="single" w:color="auto" w:sz="12" w:space="0"/>
                  </w:tcBorders>
                  <w:vAlign w:val="center"/>
                </w:tcPr>
                <w:p>
                  <w:pPr>
                    <w:pStyle w:val="123"/>
                  </w:pPr>
                  <w:r>
                    <w:rPr>
                      <w:rFonts w:hint="eastAsia"/>
                    </w:rPr>
                    <w:t>污染源</w:t>
                  </w:r>
                </w:p>
              </w:tc>
              <w:tc>
                <w:tcPr>
                  <w:tcW w:w="894" w:type="dxa"/>
                  <w:tcBorders>
                    <w:top w:val="single" w:color="auto" w:sz="12" w:space="0"/>
                  </w:tcBorders>
                  <w:vAlign w:val="center"/>
                </w:tcPr>
                <w:p>
                  <w:pPr>
                    <w:pStyle w:val="123"/>
                  </w:pPr>
                  <w:r>
                    <w:rPr>
                      <w:rFonts w:hint="eastAsia"/>
                    </w:rPr>
                    <w:t>非正常排放原因</w:t>
                  </w:r>
                </w:p>
              </w:tc>
              <w:tc>
                <w:tcPr>
                  <w:tcW w:w="894" w:type="dxa"/>
                  <w:tcBorders>
                    <w:top w:val="single" w:color="auto" w:sz="12" w:space="0"/>
                  </w:tcBorders>
                  <w:vAlign w:val="center"/>
                </w:tcPr>
                <w:p>
                  <w:pPr>
                    <w:pStyle w:val="123"/>
                  </w:pPr>
                  <w:r>
                    <w:rPr>
                      <w:rFonts w:hint="eastAsia"/>
                    </w:rPr>
                    <w:t>污染物</w:t>
                  </w:r>
                </w:p>
              </w:tc>
              <w:tc>
                <w:tcPr>
                  <w:tcW w:w="1136" w:type="dxa"/>
                  <w:tcBorders>
                    <w:top w:val="single" w:color="auto" w:sz="12" w:space="0"/>
                  </w:tcBorders>
                  <w:vAlign w:val="center"/>
                </w:tcPr>
                <w:p>
                  <w:pPr>
                    <w:pStyle w:val="123"/>
                  </w:pPr>
                  <w:r>
                    <w:rPr>
                      <w:rFonts w:hint="eastAsia"/>
                    </w:rPr>
                    <w:t>非正常排放浓度/（m</w:t>
                  </w:r>
                  <w:r>
                    <w:t>g/m</w:t>
                  </w:r>
                  <w:r>
                    <w:rPr>
                      <w:vertAlign w:val="superscript"/>
                    </w:rPr>
                    <w:t>3</w:t>
                  </w:r>
                  <w:r>
                    <w:rPr>
                      <w:rFonts w:hint="eastAsia"/>
                    </w:rPr>
                    <w:t>）</w:t>
                  </w:r>
                </w:p>
              </w:tc>
              <w:tc>
                <w:tcPr>
                  <w:tcW w:w="1010" w:type="dxa"/>
                  <w:tcBorders>
                    <w:top w:val="single" w:color="auto" w:sz="12" w:space="0"/>
                  </w:tcBorders>
                  <w:vAlign w:val="center"/>
                </w:tcPr>
                <w:p>
                  <w:pPr>
                    <w:pStyle w:val="123"/>
                  </w:pPr>
                  <w:r>
                    <w:rPr>
                      <w:rFonts w:hint="eastAsia"/>
                    </w:rPr>
                    <w:t>非正常排放速率/（kg/h）</w:t>
                  </w:r>
                </w:p>
              </w:tc>
              <w:tc>
                <w:tcPr>
                  <w:tcW w:w="894" w:type="dxa"/>
                  <w:tcBorders>
                    <w:top w:val="single" w:color="auto" w:sz="12" w:space="0"/>
                  </w:tcBorders>
                  <w:vAlign w:val="center"/>
                </w:tcPr>
                <w:p>
                  <w:pPr>
                    <w:pStyle w:val="123"/>
                  </w:pPr>
                  <w:r>
                    <w:rPr>
                      <w:rFonts w:hint="eastAsia"/>
                    </w:rPr>
                    <w:t>单次持续时间/h</w:t>
                  </w:r>
                </w:p>
              </w:tc>
              <w:tc>
                <w:tcPr>
                  <w:tcW w:w="894" w:type="dxa"/>
                  <w:tcBorders>
                    <w:top w:val="single" w:color="auto" w:sz="12" w:space="0"/>
                  </w:tcBorders>
                  <w:vAlign w:val="center"/>
                </w:tcPr>
                <w:p>
                  <w:pPr>
                    <w:pStyle w:val="123"/>
                  </w:pPr>
                  <w:r>
                    <w:rPr>
                      <w:rFonts w:hint="eastAsia"/>
                    </w:rPr>
                    <w:t>年发生频次/次</w:t>
                  </w:r>
                </w:p>
              </w:tc>
              <w:tc>
                <w:tcPr>
                  <w:tcW w:w="913" w:type="dxa"/>
                  <w:tcBorders>
                    <w:top w:val="single" w:color="auto" w:sz="12" w:space="0"/>
                  </w:tcBorders>
                  <w:vAlign w:val="center"/>
                </w:tcPr>
                <w:p>
                  <w:pPr>
                    <w:pStyle w:val="123"/>
                  </w:pPr>
                  <w:r>
                    <w:rPr>
                      <w:rFonts w:hint="eastAsia"/>
                    </w:rPr>
                    <w:t>应对措施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94" w:type="dxa"/>
                  <w:tcBorders>
                    <w:bottom w:val="single" w:color="auto" w:sz="12" w:space="0"/>
                  </w:tcBorders>
                  <w:vAlign w:val="center"/>
                </w:tcPr>
                <w:p>
                  <w:pPr>
                    <w:pStyle w:val="123"/>
                  </w:pPr>
                  <w:r>
                    <w:rPr>
                      <w:rFonts w:hint="eastAsia"/>
                    </w:rPr>
                    <w:t>1</w:t>
                  </w:r>
                </w:p>
              </w:tc>
              <w:tc>
                <w:tcPr>
                  <w:tcW w:w="929" w:type="dxa"/>
                  <w:tcBorders>
                    <w:bottom w:val="single" w:color="auto" w:sz="12" w:space="0"/>
                  </w:tcBorders>
                  <w:vAlign w:val="center"/>
                </w:tcPr>
                <w:p>
                  <w:pPr>
                    <w:pStyle w:val="123"/>
                  </w:pPr>
                  <w:r>
                    <w:rPr>
                      <w:rFonts w:hint="eastAsia"/>
                      <w:kern w:val="0"/>
                    </w:rPr>
                    <w:t>排气筒DA001</w:t>
                  </w:r>
                </w:p>
              </w:tc>
              <w:tc>
                <w:tcPr>
                  <w:tcW w:w="894" w:type="dxa"/>
                  <w:tcBorders>
                    <w:bottom w:val="single" w:color="auto" w:sz="12" w:space="0"/>
                  </w:tcBorders>
                  <w:vAlign w:val="center"/>
                </w:tcPr>
                <w:p>
                  <w:pPr>
                    <w:pStyle w:val="123"/>
                  </w:pPr>
                  <w:r>
                    <w:rPr>
                      <w:rFonts w:hint="eastAsia"/>
                    </w:rPr>
                    <w:t>废气处理设施故障</w:t>
                  </w:r>
                </w:p>
              </w:tc>
              <w:tc>
                <w:tcPr>
                  <w:tcW w:w="894" w:type="dxa"/>
                  <w:tcBorders>
                    <w:bottom w:val="single" w:color="auto" w:sz="12" w:space="0"/>
                  </w:tcBorders>
                  <w:vAlign w:val="center"/>
                </w:tcPr>
                <w:p>
                  <w:pPr>
                    <w:pStyle w:val="123"/>
                  </w:pPr>
                  <w:r>
                    <w:rPr>
                      <w:rFonts w:hint="eastAsia"/>
                    </w:rPr>
                    <w:t>非甲烷总烃</w:t>
                  </w:r>
                </w:p>
              </w:tc>
              <w:tc>
                <w:tcPr>
                  <w:tcW w:w="1136" w:type="dxa"/>
                  <w:tcBorders>
                    <w:bottom w:val="single" w:color="auto" w:sz="12" w:space="0"/>
                  </w:tcBorders>
                  <w:vAlign w:val="center"/>
                </w:tcPr>
                <w:p>
                  <w:pPr>
                    <w:pStyle w:val="123"/>
                  </w:pPr>
                  <w:r>
                    <w:rPr>
                      <w:rFonts w:hint="eastAsia"/>
                    </w:rPr>
                    <w:t>33.3</w:t>
                  </w:r>
                </w:p>
              </w:tc>
              <w:tc>
                <w:tcPr>
                  <w:tcW w:w="1010" w:type="dxa"/>
                  <w:tcBorders>
                    <w:bottom w:val="single" w:color="auto" w:sz="12" w:space="0"/>
                  </w:tcBorders>
                  <w:vAlign w:val="center"/>
                </w:tcPr>
                <w:p>
                  <w:pPr>
                    <w:pStyle w:val="123"/>
                  </w:pPr>
                  <w:r>
                    <w:rPr>
                      <w:rFonts w:hint="eastAsia"/>
                    </w:rPr>
                    <w:t>0.5</w:t>
                  </w:r>
                </w:p>
              </w:tc>
              <w:tc>
                <w:tcPr>
                  <w:tcW w:w="894" w:type="dxa"/>
                  <w:tcBorders>
                    <w:bottom w:val="single" w:color="auto" w:sz="12" w:space="0"/>
                  </w:tcBorders>
                  <w:vAlign w:val="center"/>
                </w:tcPr>
                <w:p>
                  <w:pPr>
                    <w:pStyle w:val="123"/>
                  </w:pPr>
                  <w:r>
                    <w:rPr>
                      <w:rFonts w:hint="eastAsia"/>
                    </w:rPr>
                    <w:t>2</w:t>
                  </w:r>
                </w:p>
              </w:tc>
              <w:tc>
                <w:tcPr>
                  <w:tcW w:w="894" w:type="dxa"/>
                  <w:tcBorders>
                    <w:bottom w:val="single" w:color="auto" w:sz="12" w:space="0"/>
                  </w:tcBorders>
                  <w:vAlign w:val="center"/>
                </w:tcPr>
                <w:p>
                  <w:pPr>
                    <w:pStyle w:val="123"/>
                  </w:pPr>
                  <w:r>
                    <w:rPr>
                      <w:rFonts w:hint="eastAsia"/>
                    </w:rPr>
                    <w:t>1</w:t>
                  </w:r>
                </w:p>
              </w:tc>
              <w:tc>
                <w:tcPr>
                  <w:tcW w:w="913" w:type="dxa"/>
                  <w:tcBorders>
                    <w:bottom w:val="single" w:color="auto" w:sz="12" w:space="0"/>
                  </w:tcBorders>
                  <w:vAlign w:val="center"/>
                </w:tcPr>
                <w:p>
                  <w:pPr>
                    <w:pStyle w:val="123"/>
                  </w:pPr>
                  <w:r>
                    <w:rPr>
                      <w:rFonts w:hint="eastAsia"/>
                    </w:rPr>
                    <w:t>停止生产，联系厂家修理设备</w:t>
                  </w:r>
                </w:p>
              </w:tc>
            </w:tr>
          </w:tbl>
          <w:p>
            <w:pPr>
              <w:tabs>
                <w:tab w:val="center" w:pos="4736"/>
              </w:tabs>
              <w:spacing w:line="480" w:lineRule="exact"/>
              <w:ind w:firstLine="480" w:firstLineChars="200"/>
              <w:rPr>
                <w:bCs/>
                <w:sz w:val="24"/>
              </w:rPr>
            </w:pPr>
            <w:r>
              <w:rPr>
                <w:rFonts w:hint="eastAsia"/>
                <w:bCs/>
                <w:sz w:val="24"/>
              </w:rPr>
              <w:t>⑤大气环境防护距离</w:t>
            </w:r>
          </w:p>
          <w:p>
            <w:pPr>
              <w:spacing w:line="480" w:lineRule="exact"/>
              <w:ind w:firstLine="480" w:firstLineChars="200"/>
              <w:rPr>
                <w:rFonts w:hAnsi="宋体"/>
                <w:sz w:val="24"/>
              </w:rPr>
            </w:pPr>
            <w:r>
              <w:rPr>
                <w:rFonts w:hint="eastAsia" w:hAnsi="宋体"/>
                <w:sz w:val="24"/>
              </w:rPr>
              <w:t>根据《环境影响评价技术导则 大气环境》（HJ/T2.2-2018）中对大气环境防护距离的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spacing w:line="480" w:lineRule="exact"/>
              <w:ind w:firstLine="480" w:firstLineChars="200"/>
              <w:rPr>
                <w:rFonts w:hAnsi="宋体"/>
                <w:sz w:val="24"/>
              </w:rPr>
            </w:pPr>
            <w:r>
              <w:rPr>
                <w:rFonts w:hint="eastAsia" w:hAnsi="宋体"/>
                <w:sz w:val="24"/>
              </w:rPr>
              <w:t>根据大气污染物估算模型计算结果可知，本项目排放的大气污染物最大地面浓度均低于环境质量浓度限值，故本项目不设大气环境防护距离。</w:t>
            </w:r>
          </w:p>
          <w:p>
            <w:pPr>
              <w:tabs>
                <w:tab w:val="center" w:pos="4736"/>
              </w:tabs>
              <w:spacing w:line="480" w:lineRule="exact"/>
              <w:ind w:firstLine="482" w:firstLineChars="200"/>
              <w:rPr>
                <w:b/>
                <w:bCs/>
                <w:sz w:val="24"/>
              </w:rPr>
            </w:pPr>
            <w:r>
              <w:rPr>
                <w:b/>
                <w:bCs/>
                <w:sz w:val="24"/>
              </w:rPr>
              <w:t>2、</w:t>
            </w:r>
            <w:r>
              <w:rPr>
                <w:rFonts w:hint="eastAsia"/>
                <w:b/>
                <w:bCs/>
                <w:sz w:val="24"/>
              </w:rPr>
              <w:t>运营期</w:t>
            </w:r>
            <w:r>
              <w:rPr>
                <w:b/>
                <w:bCs/>
                <w:sz w:val="24"/>
              </w:rPr>
              <w:t>废水</w:t>
            </w:r>
            <w:r>
              <w:rPr>
                <w:rFonts w:hint="eastAsia"/>
                <w:b/>
                <w:bCs/>
                <w:sz w:val="24"/>
              </w:rPr>
              <w:t>环境影响和保护措施</w:t>
            </w:r>
          </w:p>
          <w:p>
            <w:pPr>
              <w:tabs>
                <w:tab w:val="center" w:pos="4736"/>
              </w:tabs>
              <w:spacing w:line="480" w:lineRule="exact"/>
              <w:ind w:firstLine="480" w:firstLineChars="200"/>
              <w:rPr>
                <w:sz w:val="24"/>
              </w:rPr>
            </w:pPr>
            <w:r>
              <w:rPr>
                <w:rFonts w:hint="eastAsia"/>
                <w:sz w:val="24"/>
              </w:rPr>
              <w:t>（1）废水产生情况及处置措施</w:t>
            </w:r>
          </w:p>
          <w:p>
            <w:pPr>
              <w:tabs>
                <w:tab w:val="center" w:pos="4736"/>
              </w:tabs>
              <w:spacing w:line="480" w:lineRule="exact"/>
              <w:ind w:firstLine="480" w:firstLineChars="200"/>
              <w:rPr>
                <w:sz w:val="24"/>
              </w:rPr>
            </w:pPr>
            <w:r>
              <w:rPr>
                <w:rFonts w:hint="eastAsia"/>
                <w:sz w:val="24"/>
              </w:rPr>
              <w:t>①塑料果蔬筐生产冷却用水</w:t>
            </w:r>
          </w:p>
          <w:p>
            <w:pPr>
              <w:adjustRightInd w:val="0"/>
              <w:snapToGrid w:val="0"/>
              <w:spacing w:line="480" w:lineRule="exact"/>
              <w:ind w:firstLine="480" w:firstLineChars="200"/>
              <w:rPr>
                <w:sz w:val="24"/>
              </w:rPr>
            </w:pPr>
            <w:r>
              <w:rPr>
                <w:rFonts w:hint="eastAsia"/>
                <w:sz w:val="24"/>
              </w:rPr>
              <w:t>本项目</w:t>
            </w:r>
            <w:r>
              <w:rPr>
                <w:rFonts w:hint="eastAsia"/>
                <w:sz w:val="24"/>
                <w:lang w:bidi="en-US"/>
              </w:rPr>
              <w:t>塑料果蔬筐冷却用水量为242.4m</w:t>
            </w:r>
            <w:r>
              <w:rPr>
                <w:rFonts w:hint="eastAsia"/>
                <w:sz w:val="24"/>
                <w:vertAlign w:val="superscript"/>
                <w:lang w:bidi="en-US"/>
              </w:rPr>
              <w:t>3</w:t>
            </w:r>
            <w:r>
              <w:rPr>
                <w:rFonts w:hint="eastAsia"/>
                <w:sz w:val="24"/>
                <w:lang w:bidi="en-US"/>
              </w:rPr>
              <w:t>/d（43632m</w:t>
            </w:r>
            <w:r>
              <w:rPr>
                <w:rFonts w:hint="eastAsia"/>
                <w:sz w:val="24"/>
                <w:vertAlign w:val="superscript"/>
                <w:lang w:bidi="en-US"/>
              </w:rPr>
              <w:t>3</w:t>
            </w:r>
            <w:r>
              <w:rPr>
                <w:rFonts w:hint="eastAsia"/>
                <w:sz w:val="24"/>
                <w:lang w:bidi="en-US"/>
              </w:rPr>
              <w:t>/a），循环量为240m</w:t>
            </w:r>
            <w:r>
              <w:rPr>
                <w:rFonts w:hint="eastAsia"/>
                <w:sz w:val="24"/>
                <w:vertAlign w:val="superscript"/>
                <w:lang w:bidi="en-US"/>
              </w:rPr>
              <w:t>3</w:t>
            </w:r>
            <w:r>
              <w:rPr>
                <w:rFonts w:hint="eastAsia"/>
                <w:sz w:val="24"/>
                <w:lang w:bidi="en-US"/>
              </w:rPr>
              <w:t>/d（43200m</w:t>
            </w:r>
            <w:r>
              <w:rPr>
                <w:rFonts w:hint="eastAsia"/>
                <w:sz w:val="24"/>
                <w:vertAlign w:val="superscript"/>
                <w:lang w:bidi="en-US"/>
              </w:rPr>
              <w:t>3</w:t>
            </w:r>
            <w:r>
              <w:rPr>
                <w:rFonts w:hint="eastAsia"/>
                <w:sz w:val="24"/>
                <w:lang w:bidi="en-US"/>
              </w:rPr>
              <w:t>/a），损耗量为2.4m</w:t>
            </w:r>
            <w:r>
              <w:rPr>
                <w:rFonts w:hint="eastAsia"/>
                <w:sz w:val="24"/>
                <w:vertAlign w:val="superscript"/>
                <w:lang w:bidi="en-US"/>
              </w:rPr>
              <w:t>3</w:t>
            </w:r>
            <w:r>
              <w:rPr>
                <w:rFonts w:hint="eastAsia"/>
                <w:sz w:val="24"/>
                <w:lang w:bidi="en-US"/>
              </w:rPr>
              <w:t>/d（432m</w:t>
            </w:r>
            <w:r>
              <w:rPr>
                <w:rFonts w:hint="eastAsia"/>
                <w:sz w:val="24"/>
                <w:vertAlign w:val="superscript"/>
                <w:lang w:bidi="en-US"/>
              </w:rPr>
              <w:t>3</w:t>
            </w:r>
            <w:r>
              <w:rPr>
                <w:rFonts w:hint="eastAsia"/>
                <w:sz w:val="24"/>
                <w:lang w:bidi="en-US"/>
              </w:rPr>
              <w:t>/a）。</w:t>
            </w:r>
            <w:r>
              <w:rPr>
                <w:rFonts w:hint="eastAsia"/>
                <w:sz w:val="24"/>
              </w:rPr>
              <w:t>项目生产废水经冷却水池收集后循环利用，不外排。</w:t>
            </w:r>
          </w:p>
          <w:p>
            <w:pPr>
              <w:adjustRightInd w:val="0"/>
              <w:snapToGrid w:val="0"/>
              <w:spacing w:line="480" w:lineRule="exact"/>
              <w:ind w:firstLine="480" w:firstLineChars="200"/>
              <w:rPr>
                <w:sz w:val="24"/>
              </w:rPr>
            </w:pPr>
            <w:r>
              <w:rPr>
                <w:rFonts w:hint="eastAsia"/>
                <w:sz w:val="24"/>
              </w:rPr>
              <w:t>②生活用水</w:t>
            </w:r>
          </w:p>
          <w:p>
            <w:pPr>
              <w:adjustRightInd w:val="0"/>
              <w:snapToGrid w:val="0"/>
              <w:spacing w:line="460" w:lineRule="exact"/>
              <w:ind w:firstLine="480" w:firstLineChars="200"/>
              <w:rPr>
                <w:sz w:val="24"/>
              </w:rPr>
            </w:pPr>
            <w:r>
              <w:rPr>
                <w:rFonts w:hint="eastAsia"/>
                <w:sz w:val="24"/>
              </w:rPr>
              <w:t>项目新增劳动定员16人，结合</w:t>
            </w:r>
            <w:r>
              <w:rPr>
                <w:sz w:val="24"/>
              </w:rPr>
              <w:t>现场调查</w:t>
            </w:r>
            <w:r>
              <w:rPr>
                <w:rFonts w:hint="eastAsia"/>
                <w:sz w:val="24"/>
              </w:rPr>
              <w:t>，本项目新增人员生活用水量为192m</w:t>
            </w:r>
            <w:r>
              <w:rPr>
                <w:rFonts w:hint="eastAsia"/>
                <w:sz w:val="24"/>
                <w:vertAlign w:val="superscript"/>
              </w:rPr>
              <w:t>3</w:t>
            </w:r>
            <w:r>
              <w:rPr>
                <w:rFonts w:hint="eastAsia"/>
                <w:sz w:val="24"/>
              </w:rPr>
              <w:t>/a，生活污水产生量为用水量的80%，则生活污水产生量为153.6m</w:t>
            </w:r>
            <w:r>
              <w:rPr>
                <w:rFonts w:hint="eastAsia"/>
                <w:sz w:val="24"/>
                <w:vertAlign w:val="superscript"/>
              </w:rPr>
              <w:t>3</w:t>
            </w:r>
            <w:r>
              <w:rPr>
                <w:rFonts w:hint="eastAsia"/>
                <w:sz w:val="24"/>
              </w:rPr>
              <w:t>/a。</w:t>
            </w:r>
          </w:p>
          <w:p>
            <w:pPr>
              <w:tabs>
                <w:tab w:val="center" w:pos="4736"/>
              </w:tabs>
              <w:spacing w:line="480" w:lineRule="exact"/>
              <w:ind w:firstLine="480" w:firstLineChars="200"/>
              <w:rPr>
                <w:sz w:val="24"/>
              </w:rPr>
            </w:pPr>
            <w:r>
              <w:rPr>
                <w:rFonts w:hint="eastAsia"/>
                <w:sz w:val="24"/>
              </w:rPr>
              <w:t>本项目污水处置及排放去向表情况见表4-9。</w:t>
            </w:r>
          </w:p>
          <w:p>
            <w:pPr>
              <w:tabs>
                <w:tab w:val="center" w:pos="4736"/>
              </w:tabs>
              <w:ind w:firstLine="420" w:firstLineChars="200"/>
              <w:rPr>
                <w:rFonts w:ascii="黑体" w:hAnsi="黑体" w:eastAsia="黑体"/>
                <w:szCs w:val="21"/>
              </w:rPr>
            </w:pPr>
            <w:r>
              <w:rPr>
                <w:rFonts w:ascii="黑体" w:hAnsi="黑体" w:eastAsia="黑体"/>
                <w:szCs w:val="21"/>
              </w:rPr>
              <w:t>表</w:t>
            </w:r>
            <w:r>
              <w:rPr>
                <w:rFonts w:hint="eastAsia" w:ascii="黑体" w:hAnsi="黑体" w:eastAsia="黑体"/>
                <w:szCs w:val="21"/>
              </w:rPr>
              <w:t xml:space="preserve">4-9            </w:t>
            </w:r>
            <w:r>
              <w:rPr>
                <w:rFonts w:ascii="黑体" w:hAnsi="黑体" w:eastAsia="黑体"/>
                <w:szCs w:val="21"/>
              </w:rPr>
              <w:t xml:space="preserve">  </w:t>
            </w:r>
            <w:r>
              <w:rPr>
                <w:rFonts w:hint="eastAsia" w:ascii="黑体" w:hAnsi="黑体" w:eastAsia="黑体"/>
                <w:szCs w:val="21"/>
              </w:rPr>
              <w:t xml:space="preserve">   </w:t>
            </w:r>
            <w:r>
              <w:rPr>
                <w:rFonts w:hint="eastAsia" w:ascii="黑体" w:hAnsi="黑体" w:eastAsia="黑体" w:cs="黑体"/>
                <w:szCs w:val="21"/>
              </w:rPr>
              <w:t>项目污水处置及排放去向表</w:t>
            </w:r>
          </w:p>
          <w:tbl>
            <w:tblPr>
              <w:tblStyle w:val="25"/>
              <w:tblW w:w="82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413"/>
              <w:gridCol w:w="1364"/>
              <w:gridCol w:w="1222"/>
              <w:gridCol w:w="1713"/>
              <w:gridCol w:w="13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0" w:type="dxa"/>
                  <w:vAlign w:val="center"/>
                </w:tcPr>
                <w:p>
                  <w:pPr>
                    <w:snapToGrid w:val="0"/>
                    <w:jc w:val="center"/>
                    <w:rPr>
                      <w:spacing w:val="-6"/>
                      <w:szCs w:val="21"/>
                    </w:rPr>
                  </w:pPr>
                  <w:r>
                    <w:rPr>
                      <w:rFonts w:hint="eastAsia"/>
                      <w:spacing w:val="-6"/>
                      <w:szCs w:val="21"/>
                    </w:rPr>
                    <w:t>废水类别</w:t>
                  </w:r>
                </w:p>
              </w:tc>
              <w:tc>
                <w:tcPr>
                  <w:tcW w:w="1413" w:type="dxa"/>
                  <w:vAlign w:val="center"/>
                </w:tcPr>
                <w:p>
                  <w:pPr>
                    <w:snapToGrid w:val="0"/>
                    <w:jc w:val="center"/>
                    <w:rPr>
                      <w:spacing w:val="-6"/>
                      <w:szCs w:val="21"/>
                    </w:rPr>
                  </w:pPr>
                  <w:r>
                    <w:rPr>
                      <w:rFonts w:hint="eastAsia"/>
                      <w:spacing w:val="-6"/>
                      <w:szCs w:val="21"/>
                    </w:rPr>
                    <w:t>排放量</w:t>
                  </w:r>
                  <w:r>
                    <w:rPr>
                      <w:rFonts w:hint="eastAsia"/>
                      <w:szCs w:val="21"/>
                    </w:rPr>
                    <w:t>m</w:t>
                  </w:r>
                  <w:r>
                    <w:rPr>
                      <w:rFonts w:hint="eastAsia"/>
                      <w:szCs w:val="21"/>
                      <w:vertAlign w:val="superscript"/>
                    </w:rPr>
                    <w:t>3</w:t>
                  </w:r>
                  <w:r>
                    <w:rPr>
                      <w:rFonts w:hint="eastAsia"/>
                      <w:szCs w:val="21"/>
                    </w:rPr>
                    <w:t>/a</w:t>
                  </w:r>
                </w:p>
              </w:tc>
              <w:tc>
                <w:tcPr>
                  <w:tcW w:w="1364" w:type="dxa"/>
                  <w:vAlign w:val="center"/>
                </w:tcPr>
                <w:p>
                  <w:pPr>
                    <w:snapToGrid w:val="0"/>
                    <w:jc w:val="center"/>
                    <w:rPr>
                      <w:spacing w:val="-6"/>
                      <w:szCs w:val="21"/>
                    </w:rPr>
                  </w:pPr>
                  <w:r>
                    <w:rPr>
                      <w:rFonts w:hint="eastAsia"/>
                      <w:spacing w:val="-6"/>
                      <w:szCs w:val="21"/>
                    </w:rPr>
                    <w:t>污染物名称</w:t>
                  </w:r>
                </w:p>
              </w:tc>
              <w:tc>
                <w:tcPr>
                  <w:tcW w:w="1222" w:type="dxa"/>
                  <w:vAlign w:val="center"/>
                </w:tcPr>
                <w:p>
                  <w:pPr>
                    <w:snapToGrid w:val="0"/>
                    <w:jc w:val="center"/>
                    <w:rPr>
                      <w:spacing w:val="-6"/>
                      <w:szCs w:val="21"/>
                    </w:rPr>
                  </w:pPr>
                  <w:r>
                    <w:rPr>
                      <w:rFonts w:hint="eastAsia"/>
                      <w:spacing w:val="-6"/>
                      <w:szCs w:val="21"/>
                    </w:rPr>
                    <w:t>浓度mg/L</w:t>
                  </w:r>
                </w:p>
              </w:tc>
              <w:tc>
                <w:tcPr>
                  <w:tcW w:w="1713" w:type="dxa"/>
                  <w:vAlign w:val="center"/>
                </w:tcPr>
                <w:p>
                  <w:pPr>
                    <w:snapToGrid w:val="0"/>
                    <w:jc w:val="center"/>
                    <w:rPr>
                      <w:spacing w:val="-6"/>
                      <w:szCs w:val="21"/>
                    </w:rPr>
                  </w:pPr>
                  <w:r>
                    <w:rPr>
                      <w:rFonts w:hint="eastAsia"/>
                      <w:spacing w:val="-6"/>
                      <w:szCs w:val="21"/>
                    </w:rPr>
                    <w:t>污染物产生量t/a</w:t>
                  </w:r>
                </w:p>
              </w:tc>
              <w:tc>
                <w:tcPr>
                  <w:tcW w:w="1342" w:type="dxa"/>
                  <w:vAlign w:val="center"/>
                </w:tcPr>
                <w:p>
                  <w:pPr>
                    <w:snapToGrid w:val="0"/>
                    <w:jc w:val="center"/>
                    <w:rPr>
                      <w:spacing w:val="-6"/>
                      <w:szCs w:val="21"/>
                    </w:rPr>
                  </w:pPr>
                  <w:r>
                    <w:rPr>
                      <w:rFonts w:hint="eastAsia"/>
                      <w:spacing w:val="-6"/>
                      <w:szCs w:val="21"/>
                    </w:rPr>
                    <w:t>处置去向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0" w:type="dxa"/>
                  <w:vMerge w:val="restart"/>
                  <w:vAlign w:val="center"/>
                </w:tcPr>
                <w:p>
                  <w:pPr>
                    <w:snapToGrid w:val="0"/>
                    <w:jc w:val="center"/>
                    <w:rPr>
                      <w:spacing w:val="-6"/>
                      <w:szCs w:val="21"/>
                    </w:rPr>
                  </w:pPr>
                  <w:r>
                    <w:rPr>
                      <w:rFonts w:hint="eastAsia"/>
                      <w:spacing w:val="-6"/>
                      <w:szCs w:val="21"/>
                    </w:rPr>
                    <w:t>生活污水</w:t>
                  </w:r>
                </w:p>
              </w:tc>
              <w:tc>
                <w:tcPr>
                  <w:tcW w:w="1413" w:type="dxa"/>
                  <w:vMerge w:val="restart"/>
                  <w:vAlign w:val="center"/>
                </w:tcPr>
                <w:p>
                  <w:pPr>
                    <w:snapToGrid w:val="0"/>
                    <w:jc w:val="center"/>
                    <w:rPr>
                      <w:spacing w:val="-6"/>
                      <w:szCs w:val="21"/>
                    </w:rPr>
                  </w:pPr>
                  <w:r>
                    <w:rPr>
                      <w:rFonts w:hint="eastAsia"/>
                      <w:spacing w:val="-6"/>
                      <w:szCs w:val="21"/>
                    </w:rPr>
                    <w:t>153.6</w:t>
                  </w:r>
                </w:p>
              </w:tc>
              <w:tc>
                <w:tcPr>
                  <w:tcW w:w="1364" w:type="dxa"/>
                  <w:vAlign w:val="center"/>
                </w:tcPr>
                <w:p>
                  <w:pPr>
                    <w:snapToGrid w:val="0"/>
                    <w:jc w:val="center"/>
                    <w:rPr>
                      <w:spacing w:val="-6"/>
                      <w:szCs w:val="21"/>
                    </w:rPr>
                  </w:pPr>
                  <w:r>
                    <w:rPr>
                      <w:rFonts w:hint="eastAsia"/>
                      <w:spacing w:val="-6"/>
                      <w:szCs w:val="21"/>
                    </w:rPr>
                    <w:t>CODcr</w:t>
                  </w:r>
                </w:p>
              </w:tc>
              <w:tc>
                <w:tcPr>
                  <w:tcW w:w="1222" w:type="dxa"/>
                  <w:vAlign w:val="center"/>
                </w:tcPr>
                <w:p>
                  <w:pPr>
                    <w:snapToGrid w:val="0"/>
                    <w:jc w:val="center"/>
                    <w:rPr>
                      <w:spacing w:val="-6"/>
                      <w:szCs w:val="21"/>
                    </w:rPr>
                  </w:pPr>
                  <w:r>
                    <w:rPr>
                      <w:rFonts w:hint="eastAsia"/>
                      <w:spacing w:val="-6"/>
                      <w:szCs w:val="21"/>
                    </w:rPr>
                    <w:t>350</w:t>
                  </w:r>
                </w:p>
              </w:tc>
              <w:tc>
                <w:tcPr>
                  <w:tcW w:w="1713" w:type="dxa"/>
                  <w:vAlign w:val="center"/>
                </w:tcPr>
                <w:p>
                  <w:pPr>
                    <w:snapToGrid w:val="0"/>
                    <w:jc w:val="center"/>
                    <w:rPr>
                      <w:spacing w:val="-6"/>
                      <w:szCs w:val="21"/>
                    </w:rPr>
                  </w:pPr>
                  <w:r>
                    <w:rPr>
                      <w:rFonts w:hint="eastAsia"/>
                      <w:spacing w:val="-6"/>
                      <w:szCs w:val="21"/>
                    </w:rPr>
                    <w:t>0.054</w:t>
                  </w:r>
                </w:p>
              </w:tc>
              <w:tc>
                <w:tcPr>
                  <w:tcW w:w="1342" w:type="dxa"/>
                  <w:vMerge w:val="restart"/>
                  <w:vAlign w:val="center"/>
                </w:tcPr>
                <w:p>
                  <w:pPr>
                    <w:snapToGrid w:val="0"/>
                    <w:jc w:val="center"/>
                    <w:rPr>
                      <w:spacing w:val="-6"/>
                      <w:szCs w:val="21"/>
                    </w:rPr>
                  </w:pPr>
                  <w:r>
                    <w:rPr>
                      <w:rFonts w:hint="eastAsia"/>
                      <w:spacing w:val="-6"/>
                      <w:szCs w:val="21"/>
                    </w:rPr>
                    <w:t>排入污水管网进入昌吉市污水处理厂处理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0" w:type="dxa"/>
                  <w:vMerge w:val="continue"/>
                  <w:vAlign w:val="center"/>
                </w:tcPr>
                <w:p>
                  <w:pPr>
                    <w:snapToGrid w:val="0"/>
                    <w:jc w:val="center"/>
                    <w:rPr>
                      <w:spacing w:val="-6"/>
                      <w:szCs w:val="21"/>
                    </w:rPr>
                  </w:pPr>
                </w:p>
              </w:tc>
              <w:tc>
                <w:tcPr>
                  <w:tcW w:w="1413" w:type="dxa"/>
                  <w:vMerge w:val="continue"/>
                  <w:vAlign w:val="center"/>
                </w:tcPr>
                <w:p>
                  <w:pPr>
                    <w:snapToGrid w:val="0"/>
                    <w:jc w:val="center"/>
                    <w:rPr>
                      <w:szCs w:val="21"/>
                    </w:rPr>
                  </w:pPr>
                </w:p>
              </w:tc>
              <w:tc>
                <w:tcPr>
                  <w:tcW w:w="1364" w:type="dxa"/>
                  <w:vAlign w:val="center"/>
                </w:tcPr>
                <w:p>
                  <w:pPr>
                    <w:snapToGrid w:val="0"/>
                    <w:jc w:val="center"/>
                    <w:rPr>
                      <w:spacing w:val="-6"/>
                      <w:szCs w:val="21"/>
                    </w:rPr>
                  </w:pPr>
                  <w:r>
                    <w:rPr>
                      <w:rFonts w:hint="eastAsia"/>
                      <w:spacing w:val="-6"/>
                      <w:szCs w:val="21"/>
                    </w:rPr>
                    <w:t>BOD</w:t>
                  </w:r>
                  <w:r>
                    <w:rPr>
                      <w:rFonts w:hint="eastAsia"/>
                      <w:spacing w:val="-6"/>
                      <w:szCs w:val="21"/>
                      <w:vertAlign w:val="subscript"/>
                    </w:rPr>
                    <w:t>5</w:t>
                  </w:r>
                </w:p>
              </w:tc>
              <w:tc>
                <w:tcPr>
                  <w:tcW w:w="1222" w:type="dxa"/>
                  <w:vAlign w:val="center"/>
                </w:tcPr>
                <w:p>
                  <w:pPr>
                    <w:snapToGrid w:val="0"/>
                    <w:jc w:val="center"/>
                    <w:rPr>
                      <w:szCs w:val="21"/>
                    </w:rPr>
                  </w:pPr>
                  <w:r>
                    <w:rPr>
                      <w:rFonts w:hint="eastAsia"/>
                      <w:szCs w:val="21"/>
                    </w:rPr>
                    <w:t>200</w:t>
                  </w:r>
                </w:p>
              </w:tc>
              <w:tc>
                <w:tcPr>
                  <w:tcW w:w="1713" w:type="dxa"/>
                  <w:vAlign w:val="center"/>
                </w:tcPr>
                <w:p>
                  <w:pPr>
                    <w:snapToGrid w:val="0"/>
                    <w:jc w:val="center"/>
                    <w:rPr>
                      <w:szCs w:val="21"/>
                    </w:rPr>
                  </w:pPr>
                  <w:r>
                    <w:rPr>
                      <w:rFonts w:hint="eastAsia"/>
                      <w:szCs w:val="21"/>
                    </w:rPr>
                    <w:t>0.031</w:t>
                  </w:r>
                </w:p>
              </w:tc>
              <w:tc>
                <w:tcPr>
                  <w:tcW w:w="1342" w:type="dxa"/>
                  <w:vMerge w:val="continue"/>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0" w:type="dxa"/>
                  <w:vMerge w:val="continue"/>
                  <w:vAlign w:val="center"/>
                </w:tcPr>
                <w:p>
                  <w:pPr>
                    <w:snapToGrid w:val="0"/>
                    <w:jc w:val="center"/>
                    <w:rPr>
                      <w:spacing w:val="-6"/>
                      <w:szCs w:val="21"/>
                    </w:rPr>
                  </w:pPr>
                </w:p>
              </w:tc>
              <w:tc>
                <w:tcPr>
                  <w:tcW w:w="1413" w:type="dxa"/>
                  <w:vMerge w:val="continue"/>
                  <w:vAlign w:val="center"/>
                </w:tcPr>
                <w:p>
                  <w:pPr>
                    <w:snapToGrid w:val="0"/>
                    <w:jc w:val="center"/>
                    <w:rPr>
                      <w:szCs w:val="21"/>
                    </w:rPr>
                  </w:pPr>
                </w:p>
              </w:tc>
              <w:tc>
                <w:tcPr>
                  <w:tcW w:w="1364" w:type="dxa"/>
                  <w:vAlign w:val="center"/>
                </w:tcPr>
                <w:p>
                  <w:pPr>
                    <w:snapToGrid w:val="0"/>
                    <w:jc w:val="center"/>
                    <w:rPr>
                      <w:spacing w:val="-6"/>
                      <w:szCs w:val="21"/>
                    </w:rPr>
                  </w:pPr>
                  <w:r>
                    <w:rPr>
                      <w:rFonts w:hint="eastAsia"/>
                      <w:spacing w:val="-6"/>
                      <w:szCs w:val="21"/>
                    </w:rPr>
                    <w:t>NH</w:t>
                  </w:r>
                  <w:r>
                    <w:rPr>
                      <w:rFonts w:hint="eastAsia"/>
                      <w:spacing w:val="-6"/>
                      <w:szCs w:val="21"/>
                      <w:vertAlign w:val="subscript"/>
                    </w:rPr>
                    <w:t>3</w:t>
                  </w:r>
                  <w:r>
                    <w:rPr>
                      <w:rFonts w:hint="eastAsia"/>
                      <w:spacing w:val="-6"/>
                      <w:szCs w:val="21"/>
                    </w:rPr>
                    <w:t>-N</w:t>
                  </w:r>
                </w:p>
              </w:tc>
              <w:tc>
                <w:tcPr>
                  <w:tcW w:w="1222" w:type="dxa"/>
                  <w:vAlign w:val="center"/>
                </w:tcPr>
                <w:p>
                  <w:pPr>
                    <w:snapToGrid w:val="0"/>
                    <w:jc w:val="center"/>
                    <w:rPr>
                      <w:szCs w:val="21"/>
                    </w:rPr>
                  </w:pPr>
                  <w:r>
                    <w:rPr>
                      <w:rFonts w:hint="eastAsia"/>
                      <w:szCs w:val="21"/>
                    </w:rPr>
                    <w:t>25</w:t>
                  </w:r>
                </w:p>
              </w:tc>
              <w:tc>
                <w:tcPr>
                  <w:tcW w:w="1713" w:type="dxa"/>
                  <w:vAlign w:val="center"/>
                </w:tcPr>
                <w:p>
                  <w:pPr>
                    <w:snapToGrid w:val="0"/>
                    <w:jc w:val="center"/>
                    <w:rPr>
                      <w:szCs w:val="21"/>
                    </w:rPr>
                  </w:pPr>
                  <w:r>
                    <w:rPr>
                      <w:rFonts w:hint="eastAsia"/>
                      <w:szCs w:val="21"/>
                    </w:rPr>
                    <w:t>0.004</w:t>
                  </w:r>
                </w:p>
              </w:tc>
              <w:tc>
                <w:tcPr>
                  <w:tcW w:w="1342" w:type="dxa"/>
                  <w:vMerge w:val="continue"/>
                  <w:vAlign w:val="center"/>
                </w:tcPr>
                <w:p>
                  <w:pPr>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0" w:type="dxa"/>
                  <w:vMerge w:val="continue"/>
                  <w:vAlign w:val="center"/>
                </w:tcPr>
                <w:p>
                  <w:pPr>
                    <w:snapToGrid w:val="0"/>
                    <w:jc w:val="center"/>
                    <w:rPr>
                      <w:spacing w:val="-6"/>
                      <w:szCs w:val="21"/>
                    </w:rPr>
                  </w:pPr>
                </w:p>
              </w:tc>
              <w:tc>
                <w:tcPr>
                  <w:tcW w:w="1413" w:type="dxa"/>
                  <w:vMerge w:val="continue"/>
                  <w:vAlign w:val="center"/>
                </w:tcPr>
                <w:p>
                  <w:pPr>
                    <w:snapToGrid w:val="0"/>
                    <w:jc w:val="center"/>
                    <w:rPr>
                      <w:szCs w:val="21"/>
                    </w:rPr>
                  </w:pPr>
                </w:p>
              </w:tc>
              <w:tc>
                <w:tcPr>
                  <w:tcW w:w="1364" w:type="dxa"/>
                  <w:vAlign w:val="center"/>
                </w:tcPr>
                <w:p>
                  <w:pPr>
                    <w:snapToGrid w:val="0"/>
                    <w:jc w:val="center"/>
                    <w:rPr>
                      <w:spacing w:val="-6"/>
                      <w:szCs w:val="21"/>
                    </w:rPr>
                  </w:pPr>
                  <w:r>
                    <w:rPr>
                      <w:rFonts w:hint="eastAsia"/>
                      <w:spacing w:val="-6"/>
                      <w:szCs w:val="21"/>
                    </w:rPr>
                    <w:t>SS</w:t>
                  </w:r>
                </w:p>
              </w:tc>
              <w:tc>
                <w:tcPr>
                  <w:tcW w:w="1222" w:type="dxa"/>
                  <w:vAlign w:val="center"/>
                </w:tcPr>
                <w:p>
                  <w:pPr>
                    <w:snapToGrid w:val="0"/>
                    <w:jc w:val="center"/>
                    <w:rPr>
                      <w:szCs w:val="21"/>
                    </w:rPr>
                  </w:pPr>
                  <w:r>
                    <w:rPr>
                      <w:rFonts w:hint="eastAsia"/>
                      <w:szCs w:val="21"/>
                    </w:rPr>
                    <w:t>180</w:t>
                  </w:r>
                </w:p>
              </w:tc>
              <w:tc>
                <w:tcPr>
                  <w:tcW w:w="1713" w:type="dxa"/>
                  <w:vAlign w:val="center"/>
                </w:tcPr>
                <w:p>
                  <w:pPr>
                    <w:snapToGrid w:val="0"/>
                    <w:jc w:val="center"/>
                    <w:rPr>
                      <w:szCs w:val="21"/>
                    </w:rPr>
                  </w:pPr>
                  <w:r>
                    <w:rPr>
                      <w:rFonts w:hint="eastAsia"/>
                      <w:szCs w:val="21"/>
                    </w:rPr>
                    <w:t>0.028</w:t>
                  </w:r>
                </w:p>
              </w:tc>
              <w:tc>
                <w:tcPr>
                  <w:tcW w:w="1342" w:type="dxa"/>
                  <w:vMerge w:val="continue"/>
                  <w:vAlign w:val="center"/>
                </w:tcPr>
                <w:p>
                  <w:pPr>
                    <w:snapToGrid w:val="0"/>
                    <w:jc w:val="center"/>
                    <w:rPr>
                      <w:szCs w:val="21"/>
                    </w:rPr>
                  </w:pPr>
                </w:p>
              </w:tc>
            </w:tr>
          </w:tbl>
          <w:p>
            <w:pPr>
              <w:adjustRightInd w:val="0"/>
              <w:snapToGrid w:val="0"/>
              <w:spacing w:line="460" w:lineRule="exact"/>
              <w:ind w:firstLine="480" w:firstLineChars="200"/>
              <w:rPr>
                <w:sz w:val="24"/>
              </w:rPr>
            </w:pPr>
            <w:r>
              <w:rPr>
                <w:rFonts w:hint="eastAsia"/>
                <w:sz w:val="24"/>
              </w:rPr>
              <w:t>（2）污水处理措施依托可行性分析</w:t>
            </w:r>
          </w:p>
          <w:p>
            <w:pPr>
              <w:pStyle w:val="88"/>
              <w:spacing w:line="460" w:lineRule="exact"/>
              <w:ind w:firstLine="480"/>
              <w:rPr>
                <w:rFonts w:ascii="宋体" w:hAnsi="宋体" w:cs="宋体"/>
                <w:color w:val="000000" w:themeColor="text1"/>
              </w:rPr>
            </w:pPr>
            <w:r>
              <w:rPr>
                <w:rFonts w:hint="eastAsia" w:ascii="宋体" w:hAnsi="宋体" w:cs="宋体"/>
              </w:rPr>
              <w:t>昌吉排水有限公司</w:t>
            </w:r>
            <w:r>
              <w:rPr>
                <w:rFonts w:hint="eastAsia"/>
              </w:rPr>
              <w:t>污水处理厂</w:t>
            </w:r>
            <w:r>
              <w:rPr>
                <w:rFonts w:hint="eastAsia" w:ascii="宋体" w:hAnsi="宋体" w:cs="宋体"/>
                <w:color w:val="000000" w:themeColor="text1"/>
              </w:rPr>
              <w:t>于2001年正式运行，日处理规模60000m</w:t>
            </w:r>
            <w:r>
              <w:rPr>
                <w:rFonts w:hint="eastAsia" w:ascii="宋体" w:hAnsi="宋体" w:cs="宋体"/>
                <w:color w:val="000000" w:themeColor="text1"/>
                <w:vertAlign w:val="superscript"/>
              </w:rPr>
              <w:t>3</w:t>
            </w:r>
            <w:r>
              <w:rPr>
                <w:rFonts w:hint="eastAsia" w:ascii="宋体" w:hAnsi="宋体" w:cs="宋体"/>
                <w:color w:val="000000" w:themeColor="text1"/>
              </w:rPr>
              <w:t>。该污水处理厂采用改良型A</w:t>
            </w:r>
            <w:r>
              <w:rPr>
                <w:rFonts w:hint="eastAsia" w:ascii="宋体" w:hAnsi="宋体" w:cs="宋体"/>
                <w:color w:val="000000" w:themeColor="text1"/>
                <w:vertAlign w:val="superscript"/>
              </w:rPr>
              <w:t>2</w:t>
            </w:r>
            <w:r>
              <w:rPr>
                <w:rFonts w:hint="eastAsia" w:ascii="宋体" w:hAnsi="宋体" w:cs="宋体"/>
                <w:color w:val="000000" w:themeColor="text1"/>
              </w:rPr>
              <w:t>O工艺，出水水质达到《城镇污水处理厂污染物排放标准》一级A标准。原污水由管道进入粗格栅去除较大粒径悬浮物，经提升泵进入细格栅后进入改良A-A-O池由厌氧菌和好氧菌进一步去除COD、BOD、氨氮和少量磷，然后进入二沉池进行污泥分离，部分污泥回流至好氧池。二沉池出水进入除磷池进行脱磷处理，最后经过接触消毒池消毒后达标。目前，该污水处理厂运行状况良好，出水水质达标。本项目废水排水水质符合污水处理厂纳污标准。本项目日排水量较小，平时仅为职工生活污水，排水量为0.8m</w:t>
            </w:r>
            <w:r>
              <w:rPr>
                <w:rFonts w:hint="eastAsia" w:ascii="宋体" w:hAnsi="宋体" w:cs="宋体"/>
                <w:color w:val="000000" w:themeColor="text1"/>
                <w:vertAlign w:val="superscript"/>
              </w:rPr>
              <w:t>3</w:t>
            </w:r>
            <w:r>
              <w:rPr>
                <w:rFonts w:hint="eastAsia" w:ascii="宋体" w:hAnsi="宋体" w:cs="宋体"/>
                <w:color w:val="000000" w:themeColor="text1"/>
              </w:rPr>
              <w:t>/d，满足污水处理厂处理负荷。因此，本项目排水方案可行。</w:t>
            </w:r>
          </w:p>
          <w:p>
            <w:pPr>
              <w:tabs>
                <w:tab w:val="center" w:pos="4736"/>
              </w:tabs>
              <w:ind w:firstLine="480" w:firstLineChars="200"/>
              <w:rPr>
                <w:sz w:val="24"/>
              </w:rPr>
            </w:pPr>
            <w:r>
              <w:rPr>
                <w:sz w:val="24"/>
              </w:rPr>
              <w:t>3、噪声</w:t>
            </w:r>
          </w:p>
          <w:p>
            <w:pPr>
              <w:tabs>
                <w:tab w:val="center" w:pos="4736"/>
              </w:tabs>
              <w:spacing w:line="480" w:lineRule="exact"/>
              <w:ind w:firstLine="480" w:firstLineChars="200"/>
              <w:rPr>
                <w:sz w:val="24"/>
              </w:rPr>
            </w:pPr>
            <w:r>
              <w:rPr>
                <w:rFonts w:hint="eastAsia"/>
                <w:sz w:val="24"/>
              </w:rPr>
              <w:t>（1）噪声源强分析</w:t>
            </w:r>
          </w:p>
          <w:p>
            <w:pPr>
              <w:tabs>
                <w:tab w:val="center" w:pos="4736"/>
              </w:tabs>
              <w:spacing w:line="480" w:lineRule="exact"/>
              <w:ind w:firstLine="480" w:firstLineChars="200"/>
              <w:rPr>
                <w:sz w:val="24"/>
              </w:rPr>
            </w:pPr>
            <w:r>
              <w:rPr>
                <w:sz w:val="24"/>
              </w:rPr>
              <w:t>项目投运后主要噪声源为</w:t>
            </w:r>
            <w:r>
              <w:rPr>
                <w:rFonts w:hint="eastAsia"/>
                <w:sz w:val="24"/>
              </w:rPr>
              <w:t>注塑机、混料机和破碎机</w:t>
            </w:r>
            <w:r>
              <w:rPr>
                <w:sz w:val="24"/>
              </w:rPr>
              <w:t>等，其噪声源强见表</w:t>
            </w:r>
            <w:r>
              <w:rPr>
                <w:rFonts w:hint="eastAsia"/>
                <w:sz w:val="24"/>
              </w:rPr>
              <w:t>4-10</w:t>
            </w:r>
            <w:r>
              <w:rPr>
                <w:sz w:val="24"/>
              </w:rPr>
              <w:t>。</w:t>
            </w:r>
          </w:p>
          <w:p>
            <w:pPr>
              <w:tabs>
                <w:tab w:val="center" w:pos="4736"/>
              </w:tabs>
              <w:ind w:firstLine="420" w:firstLineChars="200"/>
              <w:rPr>
                <w:rFonts w:hint="eastAsia" w:ascii="黑体" w:hAnsi="黑体" w:eastAsia="黑体"/>
                <w:lang w:eastAsia="zh-CN"/>
              </w:rPr>
            </w:pPr>
            <w:r>
              <w:rPr>
                <w:rFonts w:ascii="黑体" w:hAnsi="黑体" w:eastAsia="黑体"/>
              </w:rPr>
              <w:t>表</w:t>
            </w:r>
            <w:r>
              <w:rPr>
                <w:rFonts w:hint="eastAsia" w:ascii="黑体" w:hAnsi="黑体" w:eastAsia="黑体"/>
              </w:rPr>
              <w:t xml:space="preserve">4-10                 </w:t>
            </w:r>
            <w:r>
              <w:rPr>
                <w:rFonts w:ascii="黑体" w:hAnsi="黑体" w:eastAsia="黑体"/>
              </w:rPr>
              <w:t xml:space="preserve"> </w:t>
            </w:r>
            <w:r>
              <w:rPr>
                <w:rFonts w:hint="eastAsia" w:ascii="黑体" w:hAnsi="黑体" w:eastAsia="黑体"/>
              </w:rPr>
              <w:t xml:space="preserve"> </w:t>
            </w:r>
            <w:r>
              <w:rPr>
                <w:rFonts w:ascii="黑体" w:hAnsi="黑体" w:eastAsia="黑体"/>
              </w:rPr>
              <w:t xml:space="preserve"> 主要设备噪声源强</w:t>
            </w:r>
            <w:r>
              <w:rPr>
                <w:rFonts w:hint="eastAsia" w:ascii="黑体" w:hAnsi="黑体" w:eastAsia="黑体"/>
                <w:lang w:eastAsia="zh-CN"/>
              </w:rPr>
              <w:t>调查清单</w:t>
            </w:r>
          </w:p>
          <w:tbl>
            <w:tblPr>
              <w:tblStyle w:val="25"/>
              <w:tblW w:w="861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29"/>
              <w:gridCol w:w="757"/>
              <w:gridCol w:w="1220"/>
              <w:gridCol w:w="929"/>
              <w:gridCol w:w="2050"/>
              <w:gridCol w:w="474"/>
              <w:gridCol w:w="531"/>
              <w:gridCol w:w="529"/>
              <w:gridCol w:w="843"/>
              <w:gridCol w:w="95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jc w:val="center"/>
              </w:trPr>
              <w:tc>
                <w:tcPr>
                  <w:tcW w:w="329" w:type="dxa"/>
                  <w:vMerge w:val="restart"/>
                  <w:vAlign w:val="center"/>
                </w:tcPr>
                <w:p>
                  <w:pPr>
                    <w:pStyle w:val="127"/>
                    <w:rPr>
                      <w:color w:val="000000" w:themeColor="text1"/>
                    </w:rPr>
                  </w:pPr>
                  <w:r>
                    <w:rPr>
                      <w:rFonts w:hint="eastAsia"/>
                      <w:color w:val="000000" w:themeColor="text1"/>
                    </w:rPr>
                    <w:t>序号</w:t>
                  </w:r>
                </w:p>
              </w:tc>
              <w:tc>
                <w:tcPr>
                  <w:tcW w:w="757" w:type="dxa"/>
                  <w:vMerge w:val="restart"/>
                  <w:vAlign w:val="center"/>
                </w:tcPr>
                <w:p>
                  <w:pPr>
                    <w:pStyle w:val="127"/>
                    <w:rPr>
                      <w:color w:val="000000" w:themeColor="text1"/>
                    </w:rPr>
                  </w:pPr>
                  <w:r>
                    <w:rPr>
                      <w:rFonts w:hint="eastAsia"/>
                      <w:color w:val="000000" w:themeColor="text1"/>
                    </w:rPr>
                    <w:t>建筑物名称</w:t>
                  </w:r>
                </w:p>
              </w:tc>
              <w:tc>
                <w:tcPr>
                  <w:tcW w:w="1220" w:type="dxa"/>
                  <w:vMerge w:val="restart"/>
                  <w:vAlign w:val="center"/>
                </w:tcPr>
                <w:p>
                  <w:pPr>
                    <w:pStyle w:val="127"/>
                    <w:rPr>
                      <w:color w:val="000000" w:themeColor="text1"/>
                    </w:rPr>
                  </w:pPr>
                  <w:r>
                    <w:rPr>
                      <w:rFonts w:hint="eastAsia"/>
                      <w:color w:val="000000" w:themeColor="text1"/>
                    </w:rPr>
                    <w:t>声源名称</w:t>
                  </w:r>
                </w:p>
              </w:tc>
              <w:tc>
                <w:tcPr>
                  <w:tcW w:w="929" w:type="dxa"/>
                  <w:vMerge w:val="restart"/>
                  <w:vAlign w:val="center"/>
                </w:tcPr>
                <w:p>
                  <w:pPr>
                    <w:pStyle w:val="127"/>
                    <w:rPr>
                      <w:color w:val="000000" w:themeColor="text1"/>
                    </w:rPr>
                  </w:pPr>
                  <w:r>
                    <w:rPr>
                      <w:rFonts w:hint="eastAsia"/>
                      <w:color w:val="000000" w:themeColor="text1"/>
                    </w:rPr>
                    <w:t>声功率级/</w:t>
                  </w:r>
                  <w:r>
                    <w:rPr>
                      <w:color w:val="000000" w:themeColor="text1"/>
                    </w:rPr>
                    <w:t>dB（A）</w:t>
                  </w:r>
                </w:p>
              </w:tc>
              <w:tc>
                <w:tcPr>
                  <w:tcW w:w="2050" w:type="dxa"/>
                  <w:vMerge w:val="restart"/>
                  <w:vAlign w:val="center"/>
                </w:tcPr>
                <w:p>
                  <w:pPr>
                    <w:pStyle w:val="127"/>
                    <w:rPr>
                      <w:color w:val="000000" w:themeColor="text1"/>
                    </w:rPr>
                  </w:pPr>
                  <w:r>
                    <w:rPr>
                      <w:rFonts w:hint="eastAsia"/>
                      <w:color w:val="000000" w:themeColor="text1"/>
                    </w:rPr>
                    <w:t>声源控制措施</w:t>
                  </w:r>
                </w:p>
              </w:tc>
              <w:tc>
                <w:tcPr>
                  <w:tcW w:w="1534" w:type="dxa"/>
                  <w:gridSpan w:val="3"/>
                  <w:vAlign w:val="center"/>
                </w:tcPr>
                <w:p>
                  <w:pPr>
                    <w:pStyle w:val="127"/>
                    <w:rPr>
                      <w:color w:val="000000" w:themeColor="text1"/>
                    </w:rPr>
                  </w:pPr>
                  <w:r>
                    <w:rPr>
                      <w:rFonts w:hint="eastAsia"/>
                      <w:color w:val="000000" w:themeColor="text1"/>
                    </w:rPr>
                    <w:t>空间相对位置</w:t>
                  </w:r>
                  <w:r>
                    <w:rPr>
                      <w:color w:val="000000" w:themeColor="text1"/>
                    </w:rPr>
                    <w:t>/m</w:t>
                  </w:r>
                </w:p>
              </w:tc>
              <w:tc>
                <w:tcPr>
                  <w:tcW w:w="843" w:type="dxa"/>
                  <w:vMerge w:val="restart"/>
                  <w:vAlign w:val="center"/>
                </w:tcPr>
                <w:p>
                  <w:pPr>
                    <w:pStyle w:val="127"/>
                    <w:rPr>
                      <w:color w:val="000000" w:themeColor="text1"/>
                    </w:rPr>
                  </w:pPr>
                  <w:r>
                    <w:rPr>
                      <w:rFonts w:hint="eastAsia"/>
                      <w:color w:val="000000" w:themeColor="text1"/>
                    </w:rPr>
                    <w:t>距室内边界距离/m</w:t>
                  </w:r>
                </w:p>
              </w:tc>
              <w:tc>
                <w:tcPr>
                  <w:tcW w:w="952" w:type="dxa"/>
                  <w:vMerge w:val="restart"/>
                  <w:vAlign w:val="center"/>
                </w:tcPr>
                <w:p>
                  <w:pPr>
                    <w:pStyle w:val="127"/>
                    <w:rPr>
                      <w:color w:val="000000" w:themeColor="text1"/>
                    </w:rPr>
                  </w:pPr>
                  <w:r>
                    <w:rPr>
                      <w:rFonts w:hint="eastAsia"/>
                      <w:color w:val="000000" w:themeColor="text1"/>
                    </w:rPr>
                    <w:t>降噪效果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jc w:val="center"/>
              </w:trPr>
              <w:tc>
                <w:tcPr>
                  <w:tcW w:w="329" w:type="dxa"/>
                  <w:vMerge w:val="continue"/>
                  <w:vAlign w:val="center"/>
                </w:tcPr>
                <w:p>
                  <w:pPr>
                    <w:pStyle w:val="127"/>
                    <w:rPr>
                      <w:color w:val="000000" w:themeColor="text1"/>
                    </w:rPr>
                  </w:pPr>
                </w:p>
              </w:tc>
              <w:tc>
                <w:tcPr>
                  <w:tcW w:w="757" w:type="dxa"/>
                  <w:vMerge w:val="continue"/>
                  <w:vAlign w:val="center"/>
                </w:tcPr>
                <w:p>
                  <w:pPr>
                    <w:pStyle w:val="127"/>
                    <w:rPr>
                      <w:color w:val="000000" w:themeColor="text1"/>
                    </w:rPr>
                  </w:pPr>
                </w:p>
              </w:tc>
              <w:tc>
                <w:tcPr>
                  <w:tcW w:w="1220" w:type="dxa"/>
                  <w:vMerge w:val="continue"/>
                  <w:vAlign w:val="center"/>
                </w:tcPr>
                <w:p>
                  <w:pPr>
                    <w:pStyle w:val="127"/>
                    <w:rPr>
                      <w:color w:val="000000" w:themeColor="text1"/>
                      <w:sz w:val="18"/>
                      <w:szCs w:val="18"/>
                    </w:rPr>
                  </w:pPr>
                </w:p>
              </w:tc>
              <w:tc>
                <w:tcPr>
                  <w:tcW w:w="929" w:type="dxa"/>
                  <w:vMerge w:val="continue"/>
                  <w:vAlign w:val="center"/>
                </w:tcPr>
                <w:p>
                  <w:pPr>
                    <w:pStyle w:val="127"/>
                    <w:rPr>
                      <w:color w:val="000000" w:themeColor="text1"/>
                      <w:sz w:val="18"/>
                      <w:szCs w:val="18"/>
                    </w:rPr>
                  </w:pPr>
                </w:p>
              </w:tc>
              <w:tc>
                <w:tcPr>
                  <w:tcW w:w="2050" w:type="dxa"/>
                  <w:vMerge w:val="continue"/>
                  <w:vAlign w:val="center"/>
                </w:tcPr>
                <w:p>
                  <w:pPr>
                    <w:pStyle w:val="127"/>
                    <w:rPr>
                      <w:color w:val="000000" w:themeColor="text1"/>
                      <w:sz w:val="18"/>
                      <w:szCs w:val="18"/>
                    </w:rPr>
                  </w:pPr>
                </w:p>
              </w:tc>
              <w:tc>
                <w:tcPr>
                  <w:tcW w:w="474" w:type="dxa"/>
                  <w:vAlign w:val="center"/>
                </w:tcPr>
                <w:p>
                  <w:pPr>
                    <w:pStyle w:val="127"/>
                    <w:rPr>
                      <w:color w:val="000000" w:themeColor="text1"/>
                      <w:sz w:val="18"/>
                      <w:szCs w:val="18"/>
                    </w:rPr>
                  </w:pPr>
                  <w:r>
                    <w:rPr>
                      <w:color w:val="000000" w:themeColor="text1"/>
                      <w:sz w:val="18"/>
                      <w:szCs w:val="18"/>
                    </w:rPr>
                    <w:t>X</w:t>
                  </w:r>
                </w:p>
              </w:tc>
              <w:tc>
                <w:tcPr>
                  <w:tcW w:w="531" w:type="dxa"/>
                  <w:vAlign w:val="center"/>
                </w:tcPr>
                <w:p>
                  <w:pPr>
                    <w:pStyle w:val="127"/>
                    <w:rPr>
                      <w:color w:val="000000" w:themeColor="text1"/>
                      <w:sz w:val="18"/>
                      <w:szCs w:val="18"/>
                    </w:rPr>
                  </w:pPr>
                  <w:r>
                    <w:rPr>
                      <w:rFonts w:hint="eastAsia"/>
                      <w:color w:val="000000" w:themeColor="text1"/>
                      <w:sz w:val="18"/>
                      <w:szCs w:val="18"/>
                    </w:rPr>
                    <w:t>Y</w:t>
                  </w:r>
                </w:p>
              </w:tc>
              <w:tc>
                <w:tcPr>
                  <w:tcW w:w="529" w:type="dxa"/>
                  <w:vAlign w:val="center"/>
                </w:tcPr>
                <w:p>
                  <w:pPr>
                    <w:pStyle w:val="127"/>
                    <w:rPr>
                      <w:color w:val="000000" w:themeColor="text1"/>
                      <w:sz w:val="18"/>
                      <w:szCs w:val="18"/>
                    </w:rPr>
                  </w:pPr>
                  <w:r>
                    <w:rPr>
                      <w:rFonts w:hint="eastAsia"/>
                      <w:color w:val="000000" w:themeColor="text1"/>
                      <w:sz w:val="18"/>
                      <w:szCs w:val="18"/>
                    </w:rPr>
                    <w:t>Z</w:t>
                  </w:r>
                </w:p>
              </w:tc>
              <w:tc>
                <w:tcPr>
                  <w:tcW w:w="843" w:type="dxa"/>
                  <w:vMerge w:val="continue"/>
                  <w:vAlign w:val="center"/>
                </w:tcPr>
                <w:p>
                  <w:pPr>
                    <w:pStyle w:val="127"/>
                    <w:rPr>
                      <w:color w:val="000000" w:themeColor="text1"/>
                    </w:rPr>
                  </w:pPr>
                </w:p>
              </w:tc>
              <w:tc>
                <w:tcPr>
                  <w:tcW w:w="952" w:type="dxa"/>
                  <w:vMerge w:val="continue"/>
                  <w:vAlign w:val="center"/>
                </w:tcPr>
                <w:p>
                  <w:pPr>
                    <w:pStyle w:val="127"/>
                    <w:rPr>
                      <w:color w:val="000000" w:themeColor="text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jc w:val="center"/>
              </w:trPr>
              <w:tc>
                <w:tcPr>
                  <w:tcW w:w="329" w:type="dxa"/>
                  <w:vAlign w:val="center"/>
                </w:tcPr>
                <w:p>
                  <w:pPr>
                    <w:pStyle w:val="127"/>
                    <w:rPr>
                      <w:color w:val="000000" w:themeColor="text1"/>
                    </w:rPr>
                  </w:pPr>
                  <w:r>
                    <w:rPr>
                      <w:rFonts w:hint="eastAsia"/>
                      <w:color w:val="000000" w:themeColor="text1"/>
                    </w:rPr>
                    <w:t>1</w:t>
                  </w:r>
                </w:p>
              </w:tc>
              <w:tc>
                <w:tcPr>
                  <w:tcW w:w="757" w:type="dxa"/>
                  <w:vMerge w:val="restart"/>
                  <w:vAlign w:val="center"/>
                </w:tcPr>
                <w:p>
                  <w:pPr>
                    <w:pStyle w:val="127"/>
                    <w:rPr>
                      <w:rFonts w:hint="default" w:eastAsia="宋体"/>
                      <w:color w:val="000000" w:themeColor="text1"/>
                      <w:lang w:val="en-US" w:eastAsia="zh-CN"/>
                    </w:rPr>
                  </w:pPr>
                  <w:r>
                    <w:rPr>
                      <w:rFonts w:hint="eastAsia"/>
                      <w:color w:val="000000" w:themeColor="text1"/>
                      <w:lang w:val="en-US" w:eastAsia="zh-CN"/>
                    </w:rPr>
                    <w:t>生产厂房</w:t>
                  </w:r>
                </w:p>
              </w:tc>
              <w:tc>
                <w:tcPr>
                  <w:tcW w:w="1220" w:type="dxa"/>
                  <w:vAlign w:val="center"/>
                </w:tcPr>
                <w:p>
                  <w:pPr>
                    <w:pStyle w:val="127"/>
                    <w:rPr>
                      <w:rFonts w:hint="eastAsia" w:eastAsia="宋体"/>
                      <w:color w:val="000000" w:themeColor="text1"/>
                      <w:lang w:eastAsia="zh-CN"/>
                    </w:rPr>
                  </w:pPr>
                  <w:r>
                    <w:rPr>
                      <w:rFonts w:hint="eastAsia" w:ascii="Times New Roman" w:hAnsi="Times New Roman" w:eastAsia="宋体" w:cs="Times New Roman"/>
                      <w:color w:val="000000" w:themeColor="text1"/>
                      <w:szCs w:val="21"/>
                      <w:lang w:eastAsia="zh-CN"/>
                    </w:rPr>
                    <w:t>注塑机</w:t>
                  </w:r>
                </w:p>
              </w:tc>
              <w:tc>
                <w:tcPr>
                  <w:tcW w:w="929" w:type="dxa"/>
                  <w:vAlign w:val="center"/>
                </w:tcPr>
                <w:p>
                  <w:pPr>
                    <w:pStyle w:val="127"/>
                    <w:rPr>
                      <w:rFonts w:hint="default" w:eastAsia="宋体"/>
                      <w:color w:val="000000" w:themeColor="text1"/>
                      <w:lang w:val="en-US" w:eastAsia="zh-CN"/>
                    </w:rPr>
                  </w:pPr>
                  <w:r>
                    <w:rPr>
                      <w:rFonts w:hint="eastAsia"/>
                      <w:color w:val="000000" w:themeColor="text1"/>
                      <w:lang w:val="en-US" w:eastAsia="zh-CN"/>
                    </w:rPr>
                    <w:t>70</w:t>
                  </w:r>
                </w:p>
              </w:tc>
              <w:tc>
                <w:tcPr>
                  <w:tcW w:w="2050" w:type="dxa"/>
                  <w:vMerge w:val="restart"/>
                  <w:vAlign w:val="center"/>
                </w:tcPr>
                <w:p>
                  <w:pPr>
                    <w:pStyle w:val="127"/>
                    <w:rPr>
                      <w:rFonts w:hint="eastAsia"/>
                      <w:color w:val="000000" w:themeColor="text1"/>
                    </w:rPr>
                  </w:pPr>
                  <w:r>
                    <w:rPr>
                      <w:rFonts w:hint="eastAsia"/>
                      <w:color w:val="000000" w:themeColor="text1"/>
                    </w:rPr>
                    <w:t>车间隔声、基础减振等</w:t>
                  </w:r>
                </w:p>
                <w:p>
                  <w:pPr>
                    <w:pStyle w:val="127"/>
                    <w:rPr>
                      <w:color w:val="000000" w:themeColor="text1"/>
                    </w:rPr>
                  </w:pPr>
                  <w:r>
                    <w:rPr>
                      <w:rFonts w:hint="eastAsia"/>
                      <w:color w:val="000000" w:themeColor="text1"/>
                    </w:rPr>
                    <w:t>选用低噪声设备</w:t>
                  </w:r>
                </w:p>
              </w:tc>
              <w:tc>
                <w:tcPr>
                  <w:tcW w:w="474" w:type="dxa"/>
                  <w:vAlign w:val="center"/>
                </w:tcPr>
                <w:p>
                  <w:pPr>
                    <w:pStyle w:val="127"/>
                    <w:rPr>
                      <w:rFonts w:hint="default" w:eastAsia="宋体"/>
                      <w:color w:val="000000" w:themeColor="text1"/>
                      <w:lang w:val="en-US" w:eastAsia="zh-CN"/>
                    </w:rPr>
                  </w:pPr>
                  <w:r>
                    <w:rPr>
                      <w:rFonts w:hint="eastAsia"/>
                      <w:color w:val="000000" w:themeColor="text1"/>
                      <w:lang w:val="en-US" w:eastAsia="zh-CN"/>
                    </w:rPr>
                    <w:t>60</w:t>
                  </w:r>
                </w:p>
              </w:tc>
              <w:tc>
                <w:tcPr>
                  <w:tcW w:w="531" w:type="dxa"/>
                  <w:vAlign w:val="center"/>
                </w:tcPr>
                <w:p>
                  <w:pPr>
                    <w:pStyle w:val="127"/>
                    <w:rPr>
                      <w:rFonts w:hint="eastAsia" w:eastAsia="宋体"/>
                      <w:color w:val="000000" w:themeColor="text1"/>
                      <w:lang w:eastAsia="zh-CN"/>
                    </w:rPr>
                  </w:pPr>
                  <w:r>
                    <w:rPr>
                      <w:rFonts w:hint="eastAsia"/>
                      <w:color w:val="000000" w:themeColor="text1"/>
                    </w:rPr>
                    <w:t>1</w:t>
                  </w:r>
                  <w:r>
                    <w:rPr>
                      <w:rFonts w:hint="eastAsia"/>
                      <w:color w:val="000000" w:themeColor="text1"/>
                      <w:lang w:val="en-US" w:eastAsia="zh-CN"/>
                    </w:rPr>
                    <w:t>0</w:t>
                  </w:r>
                </w:p>
              </w:tc>
              <w:tc>
                <w:tcPr>
                  <w:tcW w:w="529" w:type="dxa"/>
                  <w:vAlign w:val="center"/>
                </w:tcPr>
                <w:p>
                  <w:pPr>
                    <w:pStyle w:val="127"/>
                    <w:rPr>
                      <w:color w:val="000000" w:themeColor="text1"/>
                    </w:rPr>
                  </w:pPr>
                  <w:r>
                    <w:rPr>
                      <w:rFonts w:hint="eastAsia"/>
                      <w:color w:val="000000" w:themeColor="text1"/>
                    </w:rPr>
                    <w:t>1</w:t>
                  </w:r>
                </w:p>
              </w:tc>
              <w:tc>
                <w:tcPr>
                  <w:tcW w:w="843" w:type="dxa"/>
                  <w:vAlign w:val="center"/>
                </w:tcPr>
                <w:p>
                  <w:pPr>
                    <w:pStyle w:val="127"/>
                    <w:rPr>
                      <w:rFonts w:hint="eastAsia" w:eastAsia="宋体"/>
                      <w:color w:val="000000" w:themeColor="text1"/>
                      <w:lang w:eastAsia="zh-CN"/>
                    </w:rPr>
                  </w:pPr>
                  <w:r>
                    <w:rPr>
                      <w:rFonts w:hint="eastAsia"/>
                      <w:color w:val="000000" w:themeColor="text1"/>
                      <w:lang w:val="en-US" w:eastAsia="zh-CN"/>
                    </w:rPr>
                    <w:t>3</w:t>
                  </w:r>
                </w:p>
              </w:tc>
              <w:tc>
                <w:tcPr>
                  <w:tcW w:w="952" w:type="dxa"/>
                  <w:vAlign w:val="center"/>
                </w:tcPr>
                <w:p>
                  <w:pPr>
                    <w:pStyle w:val="127"/>
                    <w:rPr>
                      <w:color w:val="000000" w:themeColor="text1"/>
                    </w:rPr>
                  </w:pPr>
                  <w:r>
                    <w:rPr>
                      <w:color w:val="000000" w:themeColor="text1"/>
                    </w:rPr>
                    <w:t>15</w:t>
                  </w:r>
                  <w:r>
                    <w:rPr>
                      <w:rFonts w:hint="default" w:ascii="Times New Roman" w:hAnsi="Times New Roman" w:cs="Times New Roman"/>
                      <w:color w:val="000000" w:themeColor="text1"/>
                    </w:rPr>
                    <w:t>~</w:t>
                  </w:r>
                  <w:r>
                    <w:rPr>
                      <w:color w:val="000000" w:themeColor="text1"/>
                    </w:rPr>
                    <w:t>20dB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jc w:val="center"/>
              </w:trPr>
              <w:tc>
                <w:tcPr>
                  <w:tcW w:w="329" w:type="dxa"/>
                  <w:vAlign w:val="center"/>
                </w:tcPr>
                <w:p>
                  <w:pPr>
                    <w:pStyle w:val="127"/>
                    <w:rPr>
                      <w:color w:val="000000" w:themeColor="text1"/>
                    </w:rPr>
                  </w:pPr>
                  <w:r>
                    <w:rPr>
                      <w:rFonts w:hint="eastAsia"/>
                      <w:color w:val="000000" w:themeColor="text1"/>
                    </w:rPr>
                    <w:t>2</w:t>
                  </w:r>
                </w:p>
              </w:tc>
              <w:tc>
                <w:tcPr>
                  <w:tcW w:w="757" w:type="dxa"/>
                  <w:vMerge w:val="continue"/>
                  <w:vAlign w:val="center"/>
                </w:tcPr>
                <w:p>
                  <w:pPr>
                    <w:pStyle w:val="127"/>
                    <w:rPr>
                      <w:color w:val="000000" w:themeColor="text1"/>
                    </w:rPr>
                  </w:pPr>
                </w:p>
              </w:tc>
              <w:tc>
                <w:tcPr>
                  <w:tcW w:w="1220" w:type="dxa"/>
                  <w:vAlign w:val="center"/>
                </w:tcPr>
                <w:p>
                  <w:pPr>
                    <w:pStyle w:val="127"/>
                    <w:rPr>
                      <w:color w:val="000000" w:themeColor="text1"/>
                    </w:rPr>
                  </w:pPr>
                  <w:r>
                    <w:rPr>
                      <w:rFonts w:hint="eastAsia" w:ascii="Times New Roman" w:hAnsi="Times New Roman" w:eastAsia="宋体" w:cs="Times New Roman"/>
                      <w:color w:val="000000" w:themeColor="text1"/>
                      <w:szCs w:val="21"/>
                      <w:lang w:val="en-US" w:eastAsia="zh-CN"/>
                    </w:rPr>
                    <w:t>混料机</w:t>
                  </w:r>
                </w:p>
              </w:tc>
              <w:tc>
                <w:tcPr>
                  <w:tcW w:w="929" w:type="dxa"/>
                  <w:vAlign w:val="center"/>
                </w:tcPr>
                <w:p>
                  <w:pPr>
                    <w:pStyle w:val="127"/>
                    <w:rPr>
                      <w:rFonts w:hint="default" w:eastAsia="宋体"/>
                      <w:color w:val="000000" w:themeColor="text1"/>
                      <w:lang w:val="en-US" w:eastAsia="zh-CN"/>
                    </w:rPr>
                  </w:pPr>
                  <w:r>
                    <w:rPr>
                      <w:rFonts w:hint="eastAsia"/>
                      <w:color w:val="000000" w:themeColor="text1"/>
                      <w:lang w:val="en-US" w:eastAsia="zh-CN"/>
                    </w:rPr>
                    <w:t>65</w:t>
                  </w:r>
                </w:p>
              </w:tc>
              <w:tc>
                <w:tcPr>
                  <w:tcW w:w="2050" w:type="dxa"/>
                  <w:vMerge w:val="continue"/>
                  <w:vAlign w:val="center"/>
                </w:tcPr>
                <w:p>
                  <w:pPr>
                    <w:pStyle w:val="127"/>
                    <w:rPr>
                      <w:color w:val="000000" w:themeColor="text1"/>
                    </w:rPr>
                  </w:pPr>
                </w:p>
              </w:tc>
              <w:tc>
                <w:tcPr>
                  <w:tcW w:w="474" w:type="dxa"/>
                  <w:vAlign w:val="center"/>
                </w:tcPr>
                <w:p>
                  <w:pPr>
                    <w:pStyle w:val="127"/>
                    <w:rPr>
                      <w:rFonts w:hint="default" w:eastAsia="宋体"/>
                      <w:color w:val="000000" w:themeColor="text1"/>
                      <w:lang w:val="en-US" w:eastAsia="zh-CN"/>
                    </w:rPr>
                  </w:pPr>
                  <w:r>
                    <w:rPr>
                      <w:rFonts w:hint="eastAsia" w:eastAsia="宋体"/>
                      <w:color w:val="000000" w:themeColor="text1"/>
                      <w:lang w:val="en-US" w:eastAsia="zh-CN"/>
                    </w:rPr>
                    <w:t>52</w:t>
                  </w:r>
                </w:p>
              </w:tc>
              <w:tc>
                <w:tcPr>
                  <w:tcW w:w="531" w:type="dxa"/>
                  <w:vAlign w:val="center"/>
                </w:tcPr>
                <w:p>
                  <w:pPr>
                    <w:pStyle w:val="127"/>
                    <w:rPr>
                      <w:rFonts w:hint="eastAsia" w:eastAsia="宋体"/>
                      <w:color w:val="000000" w:themeColor="text1"/>
                      <w:lang w:eastAsia="zh-CN"/>
                    </w:rPr>
                  </w:pPr>
                  <w:r>
                    <w:rPr>
                      <w:rFonts w:hint="eastAsia"/>
                      <w:color w:val="000000" w:themeColor="text1"/>
                    </w:rPr>
                    <w:t>1</w:t>
                  </w:r>
                  <w:r>
                    <w:rPr>
                      <w:rFonts w:hint="eastAsia"/>
                      <w:color w:val="000000" w:themeColor="text1"/>
                      <w:lang w:val="en-US" w:eastAsia="zh-CN"/>
                    </w:rPr>
                    <w:t>0</w:t>
                  </w:r>
                </w:p>
              </w:tc>
              <w:tc>
                <w:tcPr>
                  <w:tcW w:w="529" w:type="dxa"/>
                  <w:vAlign w:val="center"/>
                </w:tcPr>
                <w:p>
                  <w:pPr>
                    <w:pStyle w:val="127"/>
                    <w:rPr>
                      <w:color w:val="000000" w:themeColor="text1"/>
                    </w:rPr>
                  </w:pPr>
                  <w:r>
                    <w:rPr>
                      <w:rFonts w:hint="eastAsia"/>
                      <w:color w:val="000000" w:themeColor="text1"/>
                    </w:rPr>
                    <w:t>1</w:t>
                  </w:r>
                </w:p>
              </w:tc>
              <w:tc>
                <w:tcPr>
                  <w:tcW w:w="843" w:type="dxa"/>
                  <w:vAlign w:val="center"/>
                </w:tcPr>
                <w:p>
                  <w:pPr>
                    <w:pStyle w:val="127"/>
                    <w:rPr>
                      <w:rFonts w:hint="eastAsia" w:eastAsia="宋体"/>
                      <w:color w:val="000000" w:themeColor="text1"/>
                      <w:lang w:eastAsia="zh-CN"/>
                    </w:rPr>
                  </w:pPr>
                  <w:r>
                    <w:rPr>
                      <w:rFonts w:hint="eastAsia"/>
                      <w:color w:val="000000" w:themeColor="text1"/>
                      <w:lang w:val="en-US" w:eastAsia="zh-CN"/>
                    </w:rPr>
                    <w:t>5</w:t>
                  </w:r>
                </w:p>
              </w:tc>
              <w:tc>
                <w:tcPr>
                  <w:tcW w:w="952" w:type="dxa"/>
                  <w:vAlign w:val="center"/>
                </w:tcPr>
                <w:p>
                  <w:pPr>
                    <w:pStyle w:val="127"/>
                    <w:rPr>
                      <w:color w:val="000000" w:themeColor="text1"/>
                    </w:rPr>
                  </w:pPr>
                  <w:r>
                    <w:rPr>
                      <w:color w:val="000000" w:themeColor="text1"/>
                    </w:rPr>
                    <w:t>15</w:t>
                  </w:r>
                  <w:r>
                    <w:rPr>
                      <w:rFonts w:hint="default" w:ascii="Times New Roman" w:hAnsi="Times New Roman" w:cs="Times New Roman"/>
                      <w:color w:val="000000" w:themeColor="text1"/>
                    </w:rPr>
                    <w:t>~</w:t>
                  </w:r>
                  <w:r>
                    <w:rPr>
                      <w:color w:val="000000" w:themeColor="text1"/>
                    </w:rPr>
                    <w:t>20dB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jc w:val="center"/>
              </w:trPr>
              <w:tc>
                <w:tcPr>
                  <w:tcW w:w="329" w:type="dxa"/>
                  <w:vAlign w:val="center"/>
                </w:tcPr>
                <w:p>
                  <w:pPr>
                    <w:pStyle w:val="127"/>
                    <w:rPr>
                      <w:rFonts w:hint="eastAsia" w:eastAsia="宋体"/>
                      <w:color w:val="000000" w:themeColor="text1"/>
                      <w:lang w:val="en-US" w:eastAsia="zh-CN"/>
                    </w:rPr>
                  </w:pPr>
                  <w:r>
                    <w:rPr>
                      <w:rFonts w:hint="eastAsia"/>
                      <w:color w:val="000000" w:themeColor="text1"/>
                      <w:lang w:val="en-US" w:eastAsia="zh-CN"/>
                    </w:rPr>
                    <w:t>3</w:t>
                  </w:r>
                </w:p>
              </w:tc>
              <w:tc>
                <w:tcPr>
                  <w:tcW w:w="757" w:type="dxa"/>
                  <w:vMerge w:val="continue"/>
                  <w:vAlign w:val="center"/>
                </w:tcPr>
                <w:p>
                  <w:pPr>
                    <w:pStyle w:val="127"/>
                    <w:rPr>
                      <w:color w:val="000000" w:themeColor="text1"/>
                    </w:rPr>
                  </w:pPr>
                </w:p>
              </w:tc>
              <w:tc>
                <w:tcPr>
                  <w:tcW w:w="1220" w:type="dxa"/>
                  <w:vAlign w:val="center"/>
                </w:tcPr>
                <w:p>
                  <w:pPr>
                    <w:pStyle w:val="127"/>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破碎机</w:t>
                  </w:r>
                </w:p>
              </w:tc>
              <w:tc>
                <w:tcPr>
                  <w:tcW w:w="929" w:type="dxa"/>
                  <w:vAlign w:val="center"/>
                </w:tcPr>
                <w:p>
                  <w:pPr>
                    <w:pStyle w:val="127"/>
                    <w:rPr>
                      <w:rFonts w:hint="default"/>
                      <w:color w:val="000000" w:themeColor="text1"/>
                      <w:lang w:val="en-US" w:eastAsia="zh-CN"/>
                    </w:rPr>
                  </w:pPr>
                  <w:r>
                    <w:rPr>
                      <w:rFonts w:hint="eastAsia"/>
                      <w:color w:val="000000" w:themeColor="text1"/>
                      <w:lang w:val="en-US" w:eastAsia="zh-CN"/>
                    </w:rPr>
                    <w:t>75</w:t>
                  </w:r>
                </w:p>
              </w:tc>
              <w:tc>
                <w:tcPr>
                  <w:tcW w:w="2050" w:type="dxa"/>
                  <w:vMerge w:val="continue"/>
                  <w:vAlign w:val="center"/>
                </w:tcPr>
                <w:p>
                  <w:pPr>
                    <w:pStyle w:val="127"/>
                    <w:rPr>
                      <w:color w:val="000000" w:themeColor="text1"/>
                    </w:rPr>
                  </w:pPr>
                </w:p>
              </w:tc>
              <w:tc>
                <w:tcPr>
                  <w:tcW w:w="474" w:type="dxa"/>
                  <w:vAlign w:val="center"/>
                </w:tcPr>
                <w:p>
                  <w:pPr>
                    <w:pStyle w:val="127"/>
                    <w:rPr>
                      <w:rFonts w:hint="default" w:eastAsia="宋体"/>
                      <w:color w:val="000000" w:themeColor="text1"/>
                      <w:lang w:val="en-US" w:eastAsia="zh-CN"/>
                    </w:rPr>
                  </w:pPr>
                  <w:r>
                    <w:rPr>
                      <w:rFonts w:hint="eastAsia"/>
                      <w:color w:val="000000" w:themeColor="text1"/>
                      <w:lang w:val="en-US" w:eastAsia="zh-CN"/>
                    </w:rPr>
                    <w:t>48</w:t>
                  </w:r>
                </w:p>
              </w:tc>
              <w:tc>
                <w:tcPr>
                  <w:tcW w:w="531" w:type="dxa"/>
                  <w:vAlign w:val="center"/>
                </w:tcPr>
                <w:p>
                  <w:pPr>
                    <w:pStyle w:val="127"/>
                    <w:rPr>
                      <w:rFonts w:hint="default" w:eastAsia="宋体"/>
                      <w:color w:val="000000" w:themeColor="text1"/>
                      <w:lang w:val="en-US" w:eastAsia="zh-CN"/>
                    </w:rPr>
                  </w:pPr>
                  <w:r>
                    <w:rPr>
                      <w:rFonts w:hint="eastAsia"/>
                      <w:color w:val="000000" w:themeColor="text1"/>
                      <w:lang w:val="en-US" w:eastAsia="zh-CN"/>
                    </w:rPr>
                    <w:t>12</w:t>
                  </w:r>
                </w:p>
              </w:tc>
              <w:tc>
                <w:tcPr>
                  <w:tcW w:w="529" w:type="dxa"/>
                  <w:vAlign w:val="center"/>
                </w:tcPr>
                <w:p>
                  <w:pPr>
                    <w:pStyle w:val="127"/>
                    <w:rPr>
                      <w:rFonts w:hint="eastAsia" w:eastAsia="宋体"/>
                      <w:color w:val="000000" w:themeColor="text1"/>
                      <w:lang w:val="en-US" w:eastAsia="zh-CN"/>
                    </w:rPr>
                  </w:pPr>
                  <w:r>
                    <w:rPr>
                      <w:rFonts w:hint="eastAsia"/>
                      <w:color w:val="000000" w:themeColor="text1"/>
                      <w:lang w:val="en-US" w:eastAsia="zh-CN"/>
                    </w:rPr>
                    <w:t>1</w:t>
                  </w:r>
                </w:p>
              </w:tc>
              <w:tc>
                <w:tcPr>
                  <w:tcW w:w="843" w:type="dxa"/>
                  <w:vAlign w:val="center"/>
                </w:tcPr>
                <w:p>
                  <w:pPr>
                    <w:pStyle w:val="127"/>
                    <w:rPr>
                      <w:rFonts w:hint="default"/>
                      <w:color w:val="000000" w:themeColor="text1"/>
                      <w:lang w:val="en-US" w:eastAsia="zh-CN"/>
                    </w:rPr>
                  </w:pPr>
                  <w:r>
                    <w:rPr>
                      <w:rFonts w:hint="eastAsia"/>
                      <w:color w:val="000000" w:themeColor="text1"/>
                      <w:lang w:val="en-US" w:eastAsia="zh-CN"/>
                    </w:rPr>
                    <w:t>4</w:t>
                  </w:r>
                </w:p>
              </w:tc>
              <w:tc>
                <w:tcPr>
                  <w:tcW w:w="952" w:type="dxa"/>
                  <w:vAlign w:val="center"/>
                </w:tcPr>
                <w:p>
                  <w:pPr>
                    <w:pStyle w:val="127"/>
                    <w:rPr>
                      <w:color w:val="000000" w:themeColor="text1"/>
                    </w:rPr>
                  </w:pPr>
                  <w:r>
                    <w:rPr>
                      <w:color w:val="000000" w:themeColor="text1"/>
                    </w:rPr>
                    <w:t>15</w:t>
                  </w:r>
                  <w:r>
                    <w:rPr>
                      <w:rFonts w:hint="default" w:ascii="Times New Roman" w:hAnsi="Times New Roman" w:cs="Times New Roman"/>
                      <w:color w:val="000000" w:themeColor="text1"/>
                    </w:rPr>
                    <w:t>~</w:t>
                  </w:r>
                  <w:r>
                    <w:rPr>
                      <w:color w:val="000000" w:themeColor="text1"/>
                    </w:rPr>
                    <w:t>20dB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jc w:val="center"/>
              </w:trPr>
              <w:tc>
                <w:tcPr>
                  <w:tcW w:w="329" w:type="dxa"/>
                  <w:vAlign w:val="center"/>
                </w:tcPr>
                <w:p>
                  <w:pPr>
                    <w:pStyle w:val="127"/>
                    <w:rPr>
                      <w:rFonts w:hint="eastAsia" w:eastAsia="宋体"/>
                      <w:color w:val="000000" w:themeColor="text1"/>
                      <w:lang w:val="en-US" w:eastAsia="zh-CN"/>
                    </w:rPr>
                  </w:pPr>
                  <w:r>
                    <w:rPr>
                      <w:rFonts w:hint="eastAsia"/>
                      <w:color w:val="000000" w:themeColor="text1"/>
                      <w:lang w:val="en-US" w:eastAsia="zh-CN"/>
                    </w:rPr>
                    <w:t>4</w:t>
                  </w:r>
                </w:p>
              </w:tc>
              <w:tc>
                <w:tcPr>
                  <w:tcW w:w="757" w:type="dxa"/>
                  <w:vMerge w:val="continue"/>
                  <w:vAlign w:val="center"/>
                </w:tcPr>
                <w:p>
                  <w:pPr>
                    <w:pStyle w:val="127"/>
                    <w:rPr>
                      <w:color w:val="000000" w:themeColor="text1"/>
                    </w:rPr>
                  </w:pPr>
                </w:p>
              </w:tc>
              <w:tc>
                <w:tcPr>
                  <w:tcW w:w="1220" w:type="dxa"/>
                  <w:vAlign w:val="center"/>
                </w:tcPr>
                <w:p>
                  <w:pPr>
                    <w:pStyle w:val="127"/>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风机</w:t>
                  </w:r>
                </w:p>
              </w:tc>
              <w:tc>
                <w:tcPr>
                  <w:tcW w:w="929" w:type="dxa"/>
                  <w:vAlign w:val="center"/>
                </w:tcPr>
                <w:p>
                  <w:pPr>
                    <w:pStyle w:val="127"/>
                    <w:rPr>
                      <w:rFonts w:hint="default"/>
                      <w:color w:val="000000" w:themeColor="text1"/>
                      <w:lang w:val="en-US" w:eastAsia="zh-CN"/>
                    </w:rPr>
                  </w:pPr>
                  <w:r>
                    <w:rPr>
                      <w:rFonts w:hint="eastAsia"/>
                      <w:color w:val="000000" w:themeColor="text1"/>
                      <w:lang w:val="en-US" w:eastAsia="zh-CN"/>
                    </w:rPr>
                    <w:t>80</w:t>
                  </w:r>
                </w:p>
              </w:tc>
              <w:tc>
                <w:tcPr>
                  <w:tcW w:w="2050" w:type="dxa"/>
                  <w:vMerge w:val="continue"/>
                  <w:vAlign w:val="center"/>
                </w:tcPr>
                <w:p>
                  <w:pPr>
                    <w:pStyle w:val="127"/>
                    <w:rPr>
                      <w:color w:val="000000" w:themeColor="text1"/>
                    </w:rPr>
                  </w:pPr>
                </w:p>
              </w:tc>
              <w:tc>
                <w:tcPr>
                  <w:tcW w:w="474" w:type="dxa"/>
                  <w:vAlign w:val="center"/>
                </w:tcPr>
                <w:p>
                  <w:pPr>
                    <w:pStyle w:val="127"/>
                    <w:rPr>
                      <w:rFonts w:hint="default" w:eastAsia="宋体"/>
                      <w:color w:val="000000" w:themeColor="text1"/>
                      <w:lang w:val="en-US" w:eastAsia="zh-CN"/>
                    </w:rPr>
                  </w:pPr>
                  <w:r>
                    <w:rPr>
                      <w:rFonts w:hint="eastAsia"/>
                      <w:color w:val="000000" w:themeColor="text1"/>
                      <w:lang w:val="en-US" w:eastAsia="zh-CN"/>
                    </w:rPr>
                    <w:t>51</w:t>
                  </w:r>
                </w:p>
              </w:tc>
              <w:tc>
                <w:tcPr>
                  <w:tcW w:w="531" w:type="dxa"/>
                  <w:vAlign w:val="center"/>
                </w:tcPr>
                <w:p>
                  <w:pPr>
                    <w:pStyle w:val="127"/>
                    <w:rPr>
                      <w:rFonts w:hint="default" w:eastAsia="宋体"/>
                      <w:color w:val="000000" w:themeColor="text1"/>
                      <w:lang w:val="en-US" w:eastAsia="zh-CN"/>
                    </w:rPr>
                  </w:pPr>
                  <w:r>
                    <w:rPr>
                      <w:rFonts w:hint="eastAsia"/>
                      <w:color w:val="000000" w:themeColor="text1"/>
                      <w:lang w:val="en-US" w:eastAsia="zh-CN"/>
                    </w:rPr>
                    <w:t>13</w:t>
                  </w:r>
                </w:p>
              </w:tc>
              <w:tc>
                <w:tcPr>
                  <w:tcW w:w="529" w:type="dxa"/>
                  <w:vAlign w:val="center"/>
                </w:tcPr>
                <w:p>
                  <w:pPr>
                    <w:pStyle w:val="127"/>
                    <w:rPr>
                      <w:rFonts w:hint="eastAsia" w:eastAsia="宋体"/>
                      <w:color w:val="000000" w:themeColor="text1"/>
                      <w:lang w:val="en-US" w:eastAsia="zh-CN"/>
                    </w:rPr>
                  </w:pPr>
                  <w:r>
                    <w:rPr>
                      <w:rFonts w:hint="eastAsia"/>
                      <w:color w:val="000000" w:themeColor="text1"/>
                      <w:lang w:val="en-US" w:eastAsia="zh-CN"/>
                    </w:rPr>
                    <w:t>1</w:t>
                  </w:r>
                </w:p>
              </w:tc>
              <w:tc>
                <w:tcPr>
                  <w:tcW w:w="843" w:type="dxa"/>
                  <w:vAlign w:val="center"/>
                </w:tcPr>
                <w:p>
                  <w:pPr>
                    <w:pStyle w:val="127"/>
                    <w:rPr>
                      <w:rFonts w:hint="default"/>
                      <w:color w:val="000000" w:themeColor="text1"/>
                      <w:lang w:val="en-US" w:eastAsia="zh-CN"/>
                    </w:rPr>
                  </w:pPr>
                  <w:r>
                    <w:rPr>
                      <w:rFonts w:hint="eastAsia"/>
                      <w:color w:val="000000" w:themeColor="text1"/>
                      <w:lang w:val="en-US" w:eastAsia="zh-CN"/>
                    </w:rPr>
                    <w:t>6</w:t>
                  </w:r>
                </w:p>
              </w:tc>
              <w:tc>
                <w:tcPr>
                  <w:tcW w:w="952" w:type="dxa"/>
                  <w:vAlign w:val="center"/>
                </w:tcPr>
                <w:p>
                  <w:pPr>
                    <w:pStyle w:val="127"/>
                    <w:rPr>
                      <w:color w:val="000000" w:themeColor="text1"/>
                    </w:rPr>
                  </w:pPr>
                  <w:r>
                    <w:rPr>
                      <w:color w:val="000000" w:themeColor="text1"/>
                    </w:rPr>
                    <w:t>15</w:t>
                  </w:r>
                  <w:r>
                    <w:rPr>
                      <w:rFonts w:hint="default" w:ascii="Times New Roman" w:hAnsi="Times New Roman" w:cs="Times New Roman"/>
                      <w:color w:val="000000" w:themeColor="text1"/>
                    </w:rPr>
                    <w:t>~</w:t>
                  </w:r>
                  <w:r>
                    <w:rPr>
                      <w:color w:val="000000" w:themeColor="text1"/>
                    </w:rPr>
                    <w:t>20dB</w:t>
                  </w:r>
                </w:p>
              </w:tc>
            </w:tr>
          </w:tbl>
          <w:p>
            <w:pPr>
              <w:spacing w:line="480" w:lineRule="exact"/>
              <w:ind w:firstLine="480" w:firstLineChars="200"/>
              <w:rPr>
                <w:rFonts w:hAnsi="宋体"/>
                <w:sz w:val="24"/>
              </w:rPr>
            </w:pPr>
            <w:r>
              <w:rPr>
                <w:rFonts w:hint="eastAsia" w:hAnsi="宋体"/>
                <w:sz w:val="24"/>
              </w:rPr>
              <w:t>（2）噪声环境影响分析</w:t>
            </w:r>
          </w:p>
          <w:p>
            <w:pPr>
              <w:spacing w:line="480" w:lineRule="exact"/>
              <w:ind w:firstLine="436" w:firstLineChars="182"/>
              <w:rPr>
                <w:sz w:val="24"/>
              </w:rPr>
            </w:pPr>
            <w:r>
              <w:rPr>
                <w:rFonts w:hAnsi="宋体"/>
                <w:sz w:val="24"/>
              </w:rPr>
              <w:t>本项目主要的噪声源为</w:t>
            </w:r>
            <w:r>
              <w:rPr>
                <w:rFonts w:hint="eastAsia"/>
                <w:sz w:val="24"/>
              </w:rPr>
              <w:t>注塑机、混料机和破碎机</w:t>
            </w:r>
            <w:r>
              <w:rPr>
                <w:sz w:val="24"/>
              </w:rPr>
              <w:t>等</w:t>
            </w:r>
            <w:r>
              <w:rPr>
                <w:rFonts w:hAnsi="宋体"/>
                <w:spacing w:val="-6"/>
                <w:sz w:val="24"/>
              </w:rPr>
              <w:t>，这些设备在运行时将产生噪声，设备</w:t>
            </w:r>
            <w:r>
              <w:rPr>
                <w:rFonts w:hAnsi="宋体"/>
                <w:sz w:val="24"/>
              </w:rPr>
              <w:t>噪声值在</w:t>
            </w:r>
            <w:r>
              <w:rPr>
                <w:sz w:val="24"/>
              </w:rPr>
              <w:t>8</w:t>
            </w:r>
            <w:r>
              <w:rPr>
                <w:rFonts w:hint="eastAsia"/>
                <w:sz w:val="24"/>
              </w:rPr>
              <w:t>0</w:t>
            </w:r>
            <w:r>
              <w:rPr>
                <w:sz w:val="24"/>
              </w:rPr>
              <w:t>~95dB</w:t>
            </w:r>
            <w:r>
              <w:rPr>
                <w:rFonts w:hAnsi="宋体"/>
                <w:sz w:val="24"/>
              </w:rPr>
              <w:t>（</w:t>
            </w:r>
            <w:r>
              <w:rPr>
                <w:sz w:val="24"/>
              </w:rPr>
              <w:t>A</w:t>
            </w:r>
            <w:r>
              <w:rPr>
                <w:rFonts w:hAnsi="宋体"/>
                <w:sz w:val="24"/>
              </w:rPr>
              <w:t>）</w:t>
            </w:r>
            <w:r>
              <w:rPr>
                <w:rFonts w:hAnsi="宋体"/>
                <w:spacing w:val="-6"/>
                <w:sz w:val="24"/>
              </w:rPr>
              <w:t>。本次评价标准采用</w:t>
            </w:r>
            <w:r>
              <w:rPr>
                <w:rFonts w:hAnsi="宋体"/>
                <w:sz w:val="24"/>
              </w:rPr>
              <w:t>《工业企业厂界环境噪声排放标准》（</w:t>
            </w:r>
            <w:r>
              <w:rPr>
                <w:sz w:val="24"/>
              </w:rPr>
              <w:t>GB12348-2008</w:t>
            </w:r>
            <w:r>
              <w:rPr>
                <w:rFonts w:hAnsi="宋体"/>
                <w:sz w:val="24"/>
              </w:rPr>
              <w:t>）</w:t>
            </w:r>
            <w:r>
              <w:rPr>
                <w:rFonts w:hAnsi="宋体"/>
                <w:spacing w:val="-6"/>
                <w:sz w:val="24"/>
              </w:rPr>
              <w:t>中</w:t>
            </w:r>
            <w:r>
              <w:rPr>
                <w:rFonts w:hint="eastAsia"/>
                <w:spacing w:val="-6"/>
                <w:sz w:val="24"/>
              </w:rPr>
              <w:t>2</w:t>
            </w:r>
            <w:r>
              <w:rPr>
                <w:rFonts w:hAnsi="宋体"/>
                <w:spacing w:val="-6"/>
                <w:sz w:val="24"/>
              </w:rPr>
              <w:t>类标准，即</w:t>
            </w:r>
            <w:r>
              <w:rPr>
                <w:rFonts w:hAnsi="宋体"/>
                <w:sz w:val="24"/>
              </w:rPr>
              <w:t>昼间：</w:t>
            </w:r>
            <w:r>
              <w:rPr>
                <w:sz w:val="24"/>
              </w:rPr>
              <w:t>6</w:t>
            </w:r>
            <w:r>
              <w:rPr>
                <w:rFonts w:hint="eastAsia"/>
                <w:sz w:val="24"/>
              </w:rPr>
              <w:t>0</w:t>
            </w:r>
            <w:r>
              <w:rPr>
                <w:sz w:val="24"/>
              </w:rPr>
              <w:t>dB</w:t>
            </w:r>
            <w:r>
              <w:rPr>
                <w:rFonts w:hAnsi="宋体"/>
                <w:sz w:val="24"/>
              </w:rPr>
              <w:t>（</w:t>
            </w:r>
            <w:r>
              <w:rPr>
                <w:sz w:val="24"/>
              </w:rPr>
              <w:t>A</w:t>
            </w:r>
            <w:r>
              <w:rPr>
                <w:rFonts w:hAnsi="宋体"/>
                <w:sz w:val="24"/>
              </w:rPr>
              <w:t>）、夜间：</w:t>
            </w:r>
            <w:r>
              <w:rPr>
                <w:sz w:val="24"/>
              </w:rPr>
              <w:t>5</w:t>
            </w:r>
            <w:r>
              <w:rPr>
                <w:rFonts w:hint="eastAsia"/>
                <w:sz w:val="24"/>
              </w:rPr>
              <w:t>0</w:t>
            </w:r>
            <w:r>
              <w:rPr>
                <w:sz w:val="24"/>
              </w:rPr>
              <w:t>dB</w:t>
            </w:r>
            <w:r>
              <w:rPr>
                <w:rFonts w:hAnsi="宋体"/>
                <w:sz w:val="24"/>
              </w:rPr>
              <w:t>（</w:t>
            </w:r>
            <w:r>
              <w:rPr>
                <w:sz w:val="24"/>
              </w:rPr>
              <w:t>A</w:t>
            </w:r>
            <w:r>
              <w:rPr>
                <w:rFonts w:hAnsi="宋体"/>
                <w:sz w:val="24"/>
              </w:rPr>
              <w:t>）。</w:t>
            </w:r>
          </w:p>
          <w:p>
            <w:pPr>
              <w:spacing w:line="480" w:lineRule="exact"/>
              <w:ind w:firstLine="436" w:firstLineChars="182"/>
              <w:rPr>
                <w:sz w:val="24"/>
              </w:rPr>
            </w:pPr>
            <w:r>
              <w:rPr>
                <w:rFonts w:hAnsi="宋体"/>
                <w:sz w:val="24"/>
              </w:rPr>
              <w:t>项目各噪声源可视为点声源，根据点声源噪声衰减模式，各设备产生的影响采用以下预测模式：</w:t>
            </w:r>
          </w:p>
          <w:p>
            <w:pPr>
              <w:spacing w:line="480" w:lineRule="exact"/>
              <w:ind w:firstLine="480" w:firstLineChars="200"/>
              <w:rPr>
                <w:sz w:val="24"/>
              </w:rPr>
            </w:pPr>
            <w:r>
              <w:rPr>
                <w:rFonts w:hAnsi="宋体"/>
                <w:sz w:val="24"/>
              </w:rPr>
              <w:t>项目声源在预测点产生的等效声级贡献值（</w:t>
            </w:r>
            <w:r>
              <w:rPr>
                <w:i/>
                <w:iCs/>
                <w:sz w:val="24"/>
              </w:rPr>
              <w:t>L</w:t>
            </w:r>
            <w:r>
              <w:rPr>
                <w:i/>
                <w:iCs/>
                <w:sz w:val="24"/>
                <w:vertAlign w:val="subscript"/>
              </w:rPr>
              <w:t>eqg</w:t>
            </w:r>
            <w:r>
              <w:rPr>
                <w:rFonts w:hAnsi="宋体"/>
                <w:sz w:val="24"/>
              </w:rPr>
              <w:t>）计算公式：</w:t>
            </w:r>
          </w:p>
          <w:p>
            <w:pPr>
              <w:spacing w:line="480" w:lineRule="exact"/>
              <w:ind w:firstLine="480" w:firstLineChars="200"/>
              <w:rPr>
                <w:sz w:val="24"/>
              </w:rPr>
            </w:pPr>
            <w:r>
              <w:rPr>
                <w:position w:val="-30"/>
                <w:sz w:val="24"/>
              </w:rPr>
              <w:pict>
                <v:shape id="_x0000_s2051" o:spid="_x0000_s2051" o:spt="75" type="#_x0000_t75" style="position:absolute;left:0pt;margin-left:99.75pt;margin-top:6.65pt;height:37.9pt;width:136.8pt;mso-wrap-distance-bottom:0pt;mso-wrap-distance-top:0pt;z-index:251660288;mso-width-relative:page;mso-height-relative:page;" o:ole="t" filled="f" o:preferrelative="t" stroked="f" coordsize="21600,21600">
                  <v:path/>
                  <v:fill on="f" focussize="0,0"/>
                  <v:stroke on="f" joinstyle="miter"/>
                  <v:imagedata r:id="rId18" o:title=""/>
                  <o:lock v:ext="edit" aspectratio="t"/>
                  <w10:wrap type="topAndBottom"/>
                </v:shape>
                <o:OLEObject Type="Embed" ProgID="Equation.3" ShapeID="_x0000_s2051" DrawAspect="Content" ObjectID="_1468075727" r:id="rId17">
                  <o:LockedField>false</o:LockedField>
                </o:OLEObject>
              </w:pict>
            </w:r>
            <w:r>
              <w:rPr>
                <w:rFonts w:hAnsi="宋体"/>
                <w:sz w:val="24"/>
              </w:rPr>
              <w:t>式中：</w:t>
            </w:r>
          </w:p>
          <w:p>
            <w:pPr>
              <w:spacing w:line="480" w:lineRule="exact"/>
              <w:ind w:firstLine="480" w:firstLineChars="200"/>
              <w:rPr>
                <w:sz w:val="24"/>
              </w:rPr>
            </w:pPr>
            <w:r>
              <w:rPr>
                <w:i/>
                <w:iCs/>
                <w:sz w:val="24"/>
              </w:rPr>
              <w:t>L</w:t>
            </w:r>
            <w:r>
              <w:rPr>
                <w:i/>
                <w:iCs/>
                <w:sz w:val="24"/>
                <w:vertAlign w:val="subscript"/>
              </w:rPr>
              <w:t>eqg</w:t>
            </w:r>
            <w:r>
              <w:rPr>
                <w:sz w:val="24"/>
              </w:rPr>
              <w:t>—</w:t>
            </w:r>
            <w:r>
              <w:rPr>
                <w:rFonts w:hAnsi="宋体"/>
                <w:sz w:val="24"/>
              </w:rPr>
              <w:t>项目声源在预测点的等效声级贡献值，</w:t>
            </w:r>
            <w:r>
              <w:rPr>
                <w:sz w:val="24"/>
              </w:rPr>
              <w:t>dB</w:t>
            </w:r>
            <w:r>
              <w:rPr>
                <w:rFonts w:hAnsi="宋体"/>
                <w:sz w:val="24"/>
              </w:rPr>
              <w:t>（</w:t>
            </w:r>
            <w:r>
              <w:rPr>
                <w:sz w:val="24"/>
              </w:rPr>
              <w:t>A</w:t>
            </w:r>
            <w:r>
              <w:rPr>
                <w:rFonts w:hAnsi="宋体"/>
                <w:sz w:val="24"/>
              </w:rPr>
              <w:t>）；</w:t>
            </w:r>
          </w:p>
          <w:p>
            <w:pPr>
              <w:spacing w:line="480" w:lineRule="exact"/>
              <w:ind w:firstLine="480" w:firstLineChars="200"/>
              <w:rPr>
                <w:sz w:val="24"/>
              </w:rPr>
            </w:pPr>
            <w:r>
              <w:rPr>
                <w:i/>
                <w:iCs/>
                <w:sz w:val="24"/>
              </w:rPr>
              <w:t>L</w:t>
            </w:r>
            <w:r>
              <w:rPr>
                <w:i/>
                <w:iCs/>
                <w:sz w:val="24"/>
                <w:vertAlign w:val="subscript"/>
              </w:rPr>
              <w:t>Ai</w:t>
            </w:r>
            <w:r>
              <w:rPr>
                <w:sz w:val="24"/>
              </w:rPr>
              <w:t>—</w:t>
            </w:r>
            <w:r>
              <w:rPr>
                <w:i/>
                <w:iCs/>
                <w:sz w:val="24"/>
              </w:rPr>
              <w:t>i</w:t>
            </w:r>
            <w:r>
              <w:rPr>
                <w:rFonts w:hAnsi="宋体"/>
                <w:sz w:val="24"/>
              </w:rPr>
              <w:t>声源在预测点产生的</w:t>
            </w:r>
            <w:r>
              <w:rPr>
                <w:sz w:val="24"/>
              </w:rPr>
              <w:t>A</w:t>
            </w:r>
            <w:r>
              <w:rPr>
                <w:rFonts w:hAnsi="宋体"/>
                <w:sz w:val="24"/>
              </w:rPr>
              <w:t>声级，</w:t>
            </w:r>
            <w:r>
              <w:rPr>
                <w:sz w:val="24"/>
              </w:rPr>
              <w:t>dB</w:t>
            </w:r>
            <w:r>
              <w:rPr>
                <w:rFonts w:hAnsi="宋体"/>
                <w:sz w:val="24"/>
              </w:rPr>
              <w:t>（</w:t>
            </w:r>
            <w:r>
              <w:rPr>
                <w:sz w:val="24"/>
              </w:rPr>
              <w:t>A</w:t>
            </w:r>
            <w:r>
              <w:rPr>
                <w:rFonts w:hAnsi="宋体"/>
                <w:sz w:val="24"/>
              </w:rPr>
              <w:t>）；</w:t>
            </w:r>
          </w:p>
          <w:p>
            <w:pPr>
              <w:spacing w:line="480" w:lineRule="exact"/>
              <w:ind w:firstLine="480" w:firstLineChars="200"/>
              <w:rPr>
                <w:sz w:val="24"/>
              </w:rPr>
            </w:pPr>
            <w:r>
              <w:rPr>
                <w:i/>
                <w:iCs/>
                <w:sz w:val="24"/>
              </w:rPr>
              <w:t>T</w:t>
            </w:r>
            <w:r>
              <w:rPr>
                <w:sz w:val="24"/>
              </w:rPr>
              <w:t>—</w:t>
            </w:r>
            <w:r>
              <w:rPr>
                <w:rFonts w:hAnsi="宋体"/>
                <w:sz w:val="24"/>
              </w:rPr>
              <w:t>预测计算的时间段，</w:t>
            </w:r>
            <w:r>
              <w:rPr>
                <w:sz w:val="24"/>
              </w:rPr>
              <w:t>s</w:t>
            </w:r>
            <w:r>
              <w:rPr>
                <w:rFonts w:hAnsi="宋体"/>
                <w:sz w:val="24"/>
              </w:rPr>
              <w:t>；</w:t>
            </w:r>
          </w:p>
          <w:p>
            <w:pPr>
              <w:spacing w:line="480" w:lineRule="exact"/>
              <w:ind w:firstLine="480" w:firstLineChars="200"/>
              <w:rPr>
                <w:sz w:val="24"/>
              </w:rPr>
            </w:pPr>
            <w:r>
              <w:rPr>
                <w:i/>
                <w:iCs/>
                <w:sz w:val="24"/>
              </w:rPr>
              <w:t>T</w:t>
            </w:r>
            <w:r>
              <w:rPr>
                <w:i/>
                <w:iCs/>
                <w:sz w:val="24"/>
                <w:vertAlign w:val="subscript"/>
              </w:rPr>
              <w:t>i</w:t>
            </w:r>
            <w:r>
              <w:rPr>
                <w:sz w:val="24"/>
              </w:rPr>
              <w:t>—</w:t>
            </w:r>
            <w:r>
              <w:rPr>
                <w:i/>
                <w:iCs/>
                <w:sz w:val="24"/>
              </w:rPr>
              <w:t>i</w:t>
            </w:r>
            <w:r>
              <w:rPr>
                <w:rFonts w:hAnsi="宋体"/>
                <w:sz w:val="24"/>
              </w:rPr>
              <w:t>声源在</w:t>
            </w:r>
            <w:r>
              <w:rPr>
                <w:i/>
                <w:iCs/>
                <w:sz w:val="24"/>
              </w:rPr>
              <w:t>T</w:t>
            </w:r>
            <w:r>
              <w:rPr>
                <w:rFonts w:hAnsi="宋体"/>
                <w:sz w:val="24"/>
              </w:rPr>
              <w:t>时段内的运行时间，</w:t>
            </w:r>
            <w:r>
              <w:rPr>
                <w:sz w:val="24"/>
              </w:rPr>
              <w:t>s</w:t>
            </w:r>
            <w:r>
              <w:rPr>
                <w:rFonts w:hAnsi="宋体"/>
                <w:sz w:val="24"/>
              </w:rPr>
              <w:t>。</w:t>
            </w:r>
          </w:p>
          <w:p>
            <w:pPr>
              <w:spacing w:line="480" w:lineRule="exact"/>
              <w:ind w:left="437"/>
              <w:rPr>
                <w:rFonts w:hAnsi="宋体"/>
                <w:sz w:val="24"/>
              </w:rPr>
            </w:pPr>
            <w:r>
              <w:rPr>
                <w:rFonts w:hAnsi="宋体"/>
                <w:sz w:val="24"/>
              </w:rPr>
              <w:t>预测点的预测等效声级（</w:t>
            </w:r>
            <w:r>
              <w:rPr>
                <w:i/>
                <w:iCs/>
                <w:sz w:val="24"/>
              </w:rPr>
              <w:t>L</w:t>
            </w:r>
            <w:r>
              <w:rPr>
                <w:i/>
                <w:iCs/>
                <w:sz w:val="24"/>
                <w:vertAlign w:val="subscript"/>
              </w:rPr>
              <w:t>eq</w:t>
            </w:r>
            <w:r>
              <w:rPr>
                <w:rFonts w:hAnsi="宋体"/>
                <w:sz w:val="24"/>
              </w:rPr>
              <w:t>）计算公式：</w:t>
            </w:r>
          </w:p>
          <w:p>
            <w:pPr>
              <w:spacing w:line="480" w:lineRule="exact"/>
              <w:ind w:firstLine="480" w:firstLineChars="200"/>
              <w:rPr>
                <w:sz w:val="24"/>
              </w:rPr>
            </w:pPr>
            <w:r>
              <w:rPr>
                <w:position w:val="-14"/>
                <w:sz w:val="24"/>
              </w:rPr>
              <w:pict>
                <v:shape id="_x0000_s2052" o:spid="_x0000_s2052" o:spt="75" type="#_x0000_t75" style="position:absolute;left:0pt;margin-left:132.8pt;margin-top:6.45pt;height:26.9pt;width:175.45pt;mso-wrap-distance-bottom:0pt;mso-wrap-distance-top:0pt;z-index:251661312;mso-width-relative:page;mso-height-relative:page;" o:ole="t" filled="f" o:preferrelative="t" stroked="f" coordsize="21600,21600">
                  <v:path/>
                  <v:fill on="f" focussize="0,0"/>
                  <v:stroke on="f" joinstyle="miter"/>
                  <v:imagedata r:id="rId20" o:title=""/>
                  <o:lock v:ext="edit" aspectratio="t"/>
                  <w10:wrap type="topAndBottom"/>
                </v:shape>
                <o:OLEObject Type="Embed" ProgID="Equation.3" ShapeID="_x0000_s2052" DrawAspect="Content" ObjectID="_1468075728" r:id="rId19">
                  <o:LockedField>false</o:LockedField>
                </o:OLEObject>
              </w:pict>
            </w:r>
            <w:r>
              <w:rPr>
                <w:rFonts w:hAnsi="宋体"/>
                <w:sz w:val="24"/>
              </w:rPr>
              <w:t>式中：</w:t>
            </w:r>
          </w:p>
          <w:p>
            <w:pPr>
              <w:spacing w:line="480" w:lineRule="exact"/>
              <w:ind w:firstLine="480" w:firstLineChars="200"/>
              <w:rPr>
                <w:sz w:val="24"/>
              </w:rPr>
            </w:pPr>
            <w:r>
              <w:rPr>
                <w:i/>
                <w:iCs/>
                <w:sz w:val="24"/>
              </w:rPr>
              <w:t>L</w:t>
            </w:r>
            <w:r>
              <w:rPr>
                <w:i/>
                <w:iCs/>
                <w:sz w:val="24"/>
                <w:vertAlign w:val="subscript"/>
              </w:rPr>
              <w:t>eqg</w:t>
            </w:r>
            <w:r>
              <w:rPr>
                <w:sz w:val="24"/>
              </w:rPr>
              <w:t>—</w:t>
            </w:r>
            <w:r>
              <w:rPr>
                <w:rFonts w:hAnsi="宋体"/>
                <w:sz w:val="24"/>
              </w:rPr>
              <w:t>项目声源在预测点的等效声级贡献值，</w:t>
            </w:r>
            <w:r>
              <w:rPr>
                <w:sz w:val="24"/>
              </w:rPr>
              <w:t>dB</w:t>
            </w:r>
            <w:r>
              <w:rPr>
                <w:rFonts w:hAnsi="宋体"/>
                <w:sz w:val="24"/>
              </w:rPr>
              <w:t>（</w:t>
            </w:r>
            <w:r>
              <w:rPr>
                <w:sz w:val="24"/>
              </w:rPr>
              <w:t>A</w:t>
            </w:r>
            <w:r>
              <w:rPr>
                <w:rFonts w:hAnsi="宋体"/>
                <w:sz w:val="24"/>
              </w:rPr>
              <w:t>）；</w:t>
            </w:r>
          </w:p>
          <w:p>
            <w:pPr>
              <w:spacing w:line="480" w:lineRule="exact"/>
              <w:ind w:firstLine="480" w:firstLineChars="200"/>
              <w:rPr>
                <w:sz w:val="24"/>
              </w:rPr>
            </w:pPr>
            <w:r>
              <w:rPr>
                <w:i/>
                <w:iCs/>
                <w:sz w:val="24"/>
              </w:rPr>
              <w:t>L</w:t>
            </w:r>
            <w:r>
              <w:rPr>
                <w:i/>
                <w:iCs/>
                <w:sz w:val="24"/>
                <w:vertAlign w:val="subscript"/>
              </w:rPr>
              <w:t>eqb</w:t>
            </w:r>
            <w:r>
              <w:rPr>
                <w:sz w:val="24"/>
              </w:rPr>
              <w:t>—</w:t>
            </w:r>
            <w:r>
              <w:rPr>
                <w:rFonts w:hAnsi="宋体"/>
                <w:sz w:val="24"/>
              </w:rPr>
              <w:t>预测点的背景值，</w:t>
            </w:r>
            <w:r>
              <w:rPr>
                <w:sz w:val="24"/>
              </w:rPr>
              <w:t>dB</w:t>
            </w:r>
            <w:r>
              <w:rPr>
                <w:rFonts w:hAnsi="宋体"/>
                <w:sz w:val="24"/>
              </w:rPr>
              <w:t>（</w:t>
            </w:r>
            <w:r>
              <w:rPr>
                <w:sz w:val="24"/>
              </w:rPr>
              <w:t>A</w:t>
            </w:r>
            <w:r>
              <w:rPr>
                <w:rFonts w:hAnsi="宋体"/>
                <w:sz w:val="24"/>
              </w:rPr>
              <w:t>）。</w:t>
            </w:r>
          </w:p>
          <w:p>
            <w:pPr>
              <w:spacing w:line="480" w:lineRule="exact"/>
              <w:ind w:firstLine="480" w:firstLineChars="200"/>
              <w:rPr>
                <w:rFonts w:hAnsi="宋体"/>
                <w:sz w:val="24"/>
              </w:rPr>
            </w:pPr>
            <w:r>
              <w:rPr>
                <w:rFonts w:hAnsi="宋体"/>
                <w:sz w:val="24"/>
              </w:rPr>
              <w:t>利用公式对项目区域内各设备运行状态时的厂界噪声值进行叠加预测，结果见表</w:t>
            </w:r>
            <w:r>
              <w:rPr>
                <w:rFonts w:hint="eastAsia"/>
                <w:sz w:val="24"/>
              </w:rPr>
              <w:t>4-11</w:t>
            </w:r>
            <w:r>
              <w:rPr>
                <w:rFonts w:hAnsi="宋体"/>
                <w:sz w:val="24"/>
              </w:rPr>
              <w:t>。</w:t>
            </w:r>
          </w:p>
          <w:p>
            <w:pPr>
              <w:ind w:firstLine="420" w:firstLineChars="200"/>
              <w:rPr>
                <w:rFonts w:ascii="黑体" w:hAnsi="黑体" w:eastAsia="黑体"/>
                <w:szCs w:val="21"/>
              </w:rPr>
            </w:pPr>
            <w:r>
              <w:rPr>
                <w:rFonts w:ascii="黑体" w:hAnsi="黑体" w:eastAsia="黑体"/>
                <w:szCs w:val="21"/>
              </w:rPr>
              <w:t>表</w:t>
            </w:r>
            <w:r>
              <w:rPr>
                <w:rFonts w:hint="eastAsia" w:ascii="黑体" w:hAnsi="黑体" w:eastAsia="黑体"/>
                <w:szCs w:val="21"/>
              </w:rPr>
              <w:t xml:space="preserve">4-11                  </w:t>
            </w:r>
            <w:r>
              <w:rPr>
                <w:rFonts w:ascii="黑体" w:hAnsi="黑体" w:eastAsia="黑体"/>
                <w:szCs w:val="21"/>
              </w:rPr>
              <w:t xml:space="preserve">  噪声影响预测结果          </w:t>
            </w:r>
            <w:r>
              <w:rPr>
                <w:rFonts w:hint="eastAsia" w:ascii="黑体" w:hAnsi="黑体" w:eastAsia="黑体"/>
                <w:szCs w:val="21"/>
              </w:rPr>
              <w:t xml:space="preserve"> </w:t>
            </w:r>
            <w:r>
              <w:rPr>
                <w:rFonts w:ascii="黑体" w:hAnsi="黑体" w:eastAsia="黑体"/>
                <w:szCs w:val="21"/>
              </w:rPr>
              <w:t xml:space="preserve">    单位：dB（A）</w:t>
            </w:r>
          </w:p>
          <w:tbl>
            <w:tblPr>
              <w:tblStyle w:val="25"/>
              <w:tblW w:w="84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171"/>
              <w:gridCol w:w="1409"/>
              <w:gridCol w:w="1409"/>
              <w:gridCol w:w="1409"/>
              <w:gridCol w:w="1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21" w:type="dxa"/>
                  <w:gridSpan w:val="2"/>
                  <w:vAlign w:val="center"/>
                </w:tcPr>
                <w:p>
                  <w:pPr>
                    <w:snapToGrid w:val="0"/>
                    <w:jc w:val="center"/>
                    <w:rPr>
                      <w:spacing w:val="-6"/>
                      <w:szCs w:val="21"/>
                    </w:rPr>
                  </w:pPr>
                  <w:r>
                    <w:rPr>
                      <w:rFonts w:hAnsi="宋体"/>
                      <w:spacing w:val="-6"/>
                      <w:szCs w:val="21"/>
                    </w:rPr>
                    <w:t>项目</w:t>
                  </w:r>
                </w:p>
              </w:tc>
              <w:tc>
                <w:tcPr>
                  <w:tcW w:w="1409" w:type="dxa"/>
                  <w:vAlign w:val="center"/>
                </w:tcPr>
                <w:p>
                  <w:pPr>
                    <w:snapToGrid w:val="0"/>
                    <w:jc w:val="center"/>
                    <w:rPr>
                      <w:spacing w:val="-6"/>
                      <w:szCs w:val="21"/>
                    </w:rPr>
                  </w:pPr>
                  <w:r>
                    <w:rPr>
                      <w:rFonts w:hAnsi="宋体"/>
                      <w:spacing w:val="-6"/>
                      <w:szCs w:val="21"/>
                    </w:rPr>
                    <w:t>东</w:t>
                  </w:r>
                  <w:r>
                    <w:rPr>
                      <w:rFonts w:hint="eastAsia" w:hAnsi="宋体"/>
                      <w:spacing w:val="-6"/>
                      <w:szCs w:val="21"/>
                    </w:rPr>
                    <w:t>南</w:t>
                  </w:r>
                  <w:r>
                    <w:rPr>
                      <w:rFonts w:hAnsi="宋体"/>
                      <w:spacing w:val="-6"/>
                      <w:szCs w:val="21"/>
                    </w:rPr>
                    <w:t>厂界</w:t>
                  </w:r>
                  <w:r>
                    <w:rPr>
                      <w:spacing w:val="-6"/>
                      <w:szCs w:val="21"/>
                    </w:rPr>
                    <w:t xml:space="preserve"> </w:t>
                  </w:r>
                </w:p>
              </w:tc>
              <w:tc>
                <w:tcPr>
                  <w:tcW w:w="1409" w:type="dxa"/>
                  <w:vAlign w:val="center"/>
                </w:tcPr>
                <w:p>
                  <w:pPr>
                    <w:snapToGrid w:val="0"/>
                    <w:jc w:val="center"/>
                    <w:rPr>
                      <w:spacing w:val="-6"/>
                      <w:szCs w:val="21"/>
                    </w:rPr>
                  </w:pPr>
                  <w:r>
                    <w:rPr>
                      <w:rFonts w:hint="eastAsia" w:hAnsi="宋体"/>
                      <w:spacing w:val="-6"/>
                      <w:szCs w:val="21"/>
                    </w:rPr>
                    <w:t>西</w:t>
                  </w:r>
                  <w:r>
                    <w:rPr>
                      <w:rFonts w:hAnsi="宋体"/>
                      <w:spacing w:val="-6"/>
                      <w:szCs w:val="21"/>
                    </w:rPr>
                    <w:t>南厂界</w:t>
                  </w:r>
                </w:p>
              </w:tc>
              <w:tc>
                <w:tcPr>
                  <w:tcW w:w="1409" w:type="dxa"/>
                  <w:vAlign w:val="center"/>
                </w:tcPr>
                <w:p>
                  <w:pPr>
                    <w:snapToGrid w:val="0"/>
                    <w:jc w:val="center"/>
                    <w:rPr>
                      <w:spacing w:val="-6"/>
                      <w:szCs w:val="21"/>
                    </w:rPr>
                  </w:pPr>
                  <w:r>
                    <w:rPr>
                      <w:rFonts w:hint="eastAsia" w:hAnsi="宋体"/>
                      <w:spacing w:val="-6"/>
                      <w:szCs w:val="21"/>
                    </w:rPr>
                    <w:t>西北</w:t>
                  </w:r>
                  <w:r>
                    <w:rPr>
                      <w:rFonts w:hAnsi="宋体"/>
                      <w:spacing w:val="-6"/>
                      <w:szCs w:val="21"/>
                    </w:rPr>
                    <w:t>厂界</w:t>
                  </w:r>
                </w:p>
              </w:tc>
              <w:tc>
                <w:tcPr>
                  <w:tcW w:w="1410" w:type="dxa"/>
                  <w:vAlign w:val="center"/>
                </w:tcPr>
                <w:p>
                  <w:pPr>
                    <w:snapToGrid w:val="0"/>
                    <w:jc w:val="center"/>
                    <w:rPr>
                      <w:spacing w:val="-6"/>
                      <w:szCs w:val="21"/>
                    </w:rPr>
                  </w:pPr>
                  <w:r>
                    <w:rPr>
                      <w:rFonts w:hint="eastAsia" w:hAnsi="宋体"/>
                      <w:spacing w:val="-6"/>
                      <w:szCs w:val="21"/>
                    </w:rPr>
                    <w:t>东</w:t>
                  </w:r>
                  <w:r>
                    <w:rPr>
                      <w:rFonts w:hAnsi="宋体"/>
                      <w:spacing w:val="-6"/>
                      <w:szCs w:val="21"/>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21" w:type="dxa"/>
                  <w:gridSpan w:val="2"/>
                  <w:vAlign w:val="center"/>
                </w:tcPr>
                <w:p>
                  <w:pPr>
                    <w:snapToGrid w:val="0"/>
                    <w:jc w:val="center"/>
                    <w:rPr>
                      <w:spacing w:val="-6"/>
                      <w:szCs w:val="21"/>
                    </w:rPr>
                  </w:pPr>
                  <w:r>
                    <w:rPr>
                      <w:rFonts w:hAnsi="宋体"/>
                      <w:spacing w:val="-6"/>
                      <w:szCs w:val="21"/>
                    </w:rPr>
                    <w:t>项目噪声厂界贡献值</w:t>
                  </w:r>
                </w:p>
              </w:tc>
              <w:tc>
                <w:tcPr>
                  <w:tcW w:w="1409" w:type="dxa"/>
                  <w:vAlign w:val="center"/>
                </w:tcPr>
                <w:p>
                  <w:pPr>
                    <w:widowControl/>
                    <w:jc w:val="center"/>
                    <w:rPr>
                      <w:spacing w:val="-6"/>
                      <w:szCs w:val="21"/>
                    </w:rPr>
                  </w:pPr>
                  <w:r>
                    <w:rPr>
                      <w:rFonts w:hint="eastAsia"/>
                      <w:spacing w:val="-6"/>
                      <w:szCs w:val="21"/>
                    </w:rPr>
                    <w:t>25.7</w:t>
                  </w:r>
                </w:p>
              </w:tc>
              <w:tc>
                <w:tcPr>
                  <w:tcW w:w="1409" w:type="dxa"/>
                  <w:vAlign w:val="center"/>
                </w:tcPr>
                <w:p>
                  <w:pPr>
                    <w:widowControl/>
                    <w:jc w:val="center"/>
                    <w:rPr>
                      <w:spacing w:val="-6"/>
                      <w:szCs w:val="21"/>
                    </w:rPr>
                  </w:pPr>
                  <w:r>
                    <w:rPr>
                      <w:rFonts w:hint="eastAsia"/>
                      <w:spacing w:val="-6"/>
                      <w:szCs w:val="21"/>
                    </w:rPr>
                    <w:t>31.2</w:t>
                  </w:r>
                </w:p>
              </w:tc>
              <w:tc>
                <w:tcPr>
                  <w:tcW w:w="1409" w:type="dxa"/>
                  <w:vAlign w:val="center"/>
                </w:tcPr>
                <w:p>
                  <w:pPr>
                    <w:snapToGrid w:val="0"/>
                    <w:jc w:val="center"/>
                    <w:rPr>
                      <w:spacing w:val="-6"/>
                      <w:szCs w:val="21"/>
                    </w:rPr>
                  </w:pPr>
                  <w:r>
                    <w:rPr>
                      <w:rFonts w:hint="eastAsia"/>
                      <w:spacing w:val="-6"/>
                      <w:szCs w:val="21"/>
                    </w:rPr>
                    <w:t>34.3</w:t>
                  </w:r>
                </w:p>
              </w:tc>
              <w:tc>
                <w:tcPr>
                  <w:tcW w:w="1410" w:type="dxa"/>
                  <w:vAlign w:val="center"/>
                </w:tcPr>
                <w:p>
                  <w:pPr>
                    <w:snapToGrid w:val="0"/>
                    <w:jc w:val="center"/>
                    <w:rPr>
                      <w:spacing w:val="-6"/>
                      <w:szCs w:val="21"/>
                    </w:rPr>
                  </w:pPr>
                  <w:r>
                    <w:rPr>
                      <w:rFonts w:hint="eastAsia"/>
                      <w:spacing w:val="-6"/>
                      <w:szCs w:val="21"/>
                    </w:rPr>
                    <w:t>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50" w:type="dxa"/>
                  <w:vMerge w:val="restart"/>
                  <w:vAlign w:val="center"/>
                </w:tcPr>
                <w:p>
                  <w:pPr>
                    <w:snapToGrid w:val="0"/>
                    <w:jc w:val="center"/>
                    <w:rPr>
                      <w:spacing w:val="-6"/>
                      <w:szCs w:val="21"/>
                    </w:rPr>
                  </w:pPr>
                  <w:r>
                    <w:rPr>
                      <w:rFonts w:hAnsi="宋体"/>
                      <w:spacing w:val="-6"/>
                      <w:szCs w:val="21"/>
                    </w:rPr>
                    <w:t>背景值</w:t>
                  </w:r>
                </w:p>
              </w:tc>
              <w:tc>
                <w:tcPr>
                  <w:tcW w:w="1171" w:type="dxa"/>
                  <w:vAlign w:val="center"/>
                </w:tcPr>
                <w:p>
                  <w:pPr>
                    <w:snapToGrid w:val="0"/>
                    <w:jc w:val="center"/>
                    <w:rPr>
                      <w:spacing w:val="-6"/>
                      <w:szCs w:val="21"/>
                    </w:rPr>
                  </w:pPr>
                  <w:r>
                    <w:rPr>
                      <w:rFonts w:hAnsi="宋体"/>
                      <w:spacing w:val="-6"/>
                      <w:szCs w:val="21"/>
                    </w:rPr>
                    <w:t>昼间</w:t>
                  </w:r>
                </w:p>
              </w:tc>
              <w:tc>
                <w:tcPr>
                  <w:tcW w:w="1409" w:type="dxa"/>
                  <w:vAlign w:val="center"/>
                </w:tcPr>
                <w:p>
                  <w:pPr>
                    <w:widowControl/>
                    <w:jc w:val="center"/>
                    <w:rPr>
                      <w:spacing w:val="-6"/>
                      <w:szCs w:val="21"/>
                    </w:rPr>
                  </w:pPr>
                  <w:r>
                    <w:rPr>
                      <w:rFonts w:hint="eastAsia"/>
                      <w:spacing w:val="-6"/>
                      <w:szCs w:val="21"/>
                    </w:rPr>
                    <w:t>47</w:t>
                  </w:r>
                </w:p>
              </w:tc>
              <w:tc>
                <w:tcPr>
                  <w:tcW w:w="1409" w:type="dxa"/>
                  <w:vAlign w:val="center"/>
                </w:tcPr>
                <w:p>
                  <w:pPr>
                    <w:widowControl/>
                    <w:jc w:val="center"/>
                    <w:rPr>
                      <w:spacing w:val="-6"/>
                      <w:szCs w:val="21"/>
                    </w:rPr>
                  </w:pPr>
                  <w:r>
                    <w:rPr>
                      <w:rFonts w:hint="eastAsia"/>
                      <w:spacing w:val="-6"/>
                      <w:szCs w:val="21"/>
                    </w:rPr>
                    <w:t>50</w:t>
                  </w:r>
                </w:p>
              </w:tc>
              <w:tc>
                <w:tcPr>
                  <w:tcW w:w="1409" w:type="dxa"/>
                  <w:vAlign w:val="center"/>
                </w:tcPr>
                <w:p>
                  <w:pPr>
                    <w:jc w:val="center"/>
                    <w:rPr>
                      <w:szCs w:val="21"/>
                    </w:rPr>
                  </w:pPr>
                  <w:r>
                    <w:rPr>
                      <w:rFonts w:hint="eastAsia"/>
                      <w:szCs w:val="21"/>
                    </w:rPr>
                    <w:t>44</w:t>
                  </w:r>
                </w:p>
              </w:tc>
              <w:tc>
                <w:tcPr>
                  <w:tcW w:w="1410" w:type="dxa"/>
                  <w:vAlign w:val="center"/>
                </w:tcPr>
                <w:p>
                  <w:pPr>
                    <w:snapToGrid w:val="0"/>
                    <w:jc w:val="center"/>
                    <w:rPr>
                      <w:spacing w:val="-6"/>
                      <w:szCs w:val="21"/>
                    </w:rPr>
                  </w:pPr>
                  <w:r>
                    <w:rPr>
                      <w:rFonts w:hint="eastAsia"/>
                      <w:spacing w:val="-6"/>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50" w:type="dxa"/>
                  <w:vMerge w:val="continue"/>
                  <w:vAlign w:val="center"/>
                </w:tcPr>
                <w:p>
                  <w:pPr>
                    <w:snapToGrid w:val="0"/>
                    <w:jc w:val="center"/>
                    <w:rPr>
                      <w:spacing w:val="-6"/>
                      <w:szCs w:val="21"/>
                    </w:rPr>
                  </w:pPr>
                </w:p>
              </w:tc>
              <w:tc>
                <w:tcPr>
                  <w:tcW w:w="1171" w:type="dxa"/>
                  <w:vAlign w:val="center"/>
                </w:tcPr>
                <w:p>
                  <w:pPr>
                    <w:snapToGrid w:val="0"/>
                    <w:jc w:val="center"/>
                    <w:rPr>
                      <w:spacing w:val="-6"/>
                      <w:szCs w:val="21"/>
                    </w:rPr>
                  </w:pPr>
                  <w:r>
                    <w:rPr>
                      <w:rFonts w:hAnsi="宋体"/>
                      <w:spacing w:val="-6"/>
                      <w:szCs w:val="21"/>
                    </w:rPr>
                    <w:t>夜间</w:t>
                  </w:r>
                </w:p>
              </w:tc>
              <w:tc>
                <w:tcPr>
                  <w:tcW w:w="1409" w:type="dxa"/>
                  <w:vAlign w:val="center"/>
                </w:tcPr>
                <w:p>
                  <w:pPr>
                    <w:widowControl/>
                    <w:jc w:val="center"/>
                    <w:rPr>
                      <w:spacing w:val="-6"/>
                      <w:szCs w:val="21"/>
                    </w:rPr>
                  </w:pPr>
                  <w:r>
                    <w:rPr>
                      <w:rFonts w:hint="eastAsia"/>
                      <w:spacing w:val="-6"/>
                      <w:szCs w:val="21"/>
                    </w:rPr>
                    <w:t>40</w:t>
                  </w:r>
                </w:p>
              </w:tc>
              <w:tc>
                <w:tcPr>
                  <w:tcW w:w="1409" w:type="dxa"/>
                  <w:vAlign w:val="center"/>
                </w:tcPr>
                <w:p>
                  <w:pPr>
                    <w:widowControl/>
                    <w:jc w:val="center"/>
                    <w:rPr>
                      <w:spacing w:val="-6"/>
                      <w:szCs w:val="21"/>
                    </w:rPr>
                  </w:pPr>
                  <w:r>
                    <w:rPr>
                      <w:rFonts w:hint="eastAsia"/>
                      <w:spacing w:val="-6"/>
                      <w:szCs w:val="21"/>
                    </w:rPr>
                    <w:t>40</w:t>
                  </w:r>
                </w:p>
              </w:tc>
              <w:tc>
                <w:tcPr>
                  <w:tcW w:w="1409" w:type="dxa"/>
                  <w:vAlign w:val="center"/>
                </w:tcPr>
                <w:p>
                  <w:pPr>
                    <w:jc w:val="center"/>
                    <w:rPr>
                      <w:szCs w:val="21"/>
                    </w:rPr>
                  </w:pPr>
                  <w:r>
                    <w:rPr>
                      <w:rFonts w:hint="eastAsia"/>
                      <w:szCs w:val="21"/>
                    </w:rPr>
                    <w:t>40</w:t>
                  </w:r>
                </w:p>
              </w:tc>
              <w:tc>
                <w:tcPr>
                  <w:tcW w:w="1410" w:type="dxa"/>
                  <w:vAlign w:val="center"/>
                </w:tcPr>
                <w:p>
                  <w:pPr>
                    <w:snapToGrid w:val="0"/>
                    <w:jc w:val="center"/>
                    <w:rPr>
                      <w:spacing w:val="-6"/>
                      <w:szCs w:val="21"/>
                    </w:rPr>
                  </w:pPr>
                  <w:r>
                    <w:rPr>
                      <w:rFonts w:hint="eastAsia"/>
                      <w:spacing w:val="-6"/>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650" w:type="dxa"/>
                  <w:vMerge w:val="restart"/>
                  <w:vAlign w:val="center"/>
                </w:tcPr>
                <w:p>
                  <w:pPr>
                    <w:snapToGrid w:val="0"/>
                    <w:jc w:val="center"/>
                    <w:rPr>
                      <w:spacing w:val="-6"/>
                      <w:szCs w:val="21"/>
                    </w:rPr>
                  </w:pPr>
                  <w:r>
                    <w:rPr>
                      <w:rFonts w:hAnsi="宋体"/>
                      <w:spacing w:val="-6"/>
                      <w:szCs w:val="21"/>
                    </w:rPr>
                    <w:t>叠加值</w:t>
                  </w:r>
                </w:p>
              </w:tc>
              <w:tc>
                <w:tcPr>
                  <w:tcW w:w="1171" w:type="dxa"/>
                  <w:vAlign w:val="center"/>
                </w:tcPr>
                <w:p>
                  <w:pPr>
                    <w:snapToGrid w:val="0"/>
                    <w:jc w:val="center"/>
                    <w:rPr>
                      <w:spacing w:val="-6"/>
                      <w:szCs w:val="21"/>
                    </w:rPr>
                  </w:pPr>
                  <w:r>
                    <w:rPr>
                      <w:rFonts w:hAnsi="宋体"/>
                      <w:spacing w:val="-6"/>
                      <w:szCs w:val="21"/>
                    </w:rPr>
                    <w:t>昼间</w:t>
                  </w:r>
                </w:p>
              </w:tc>
              <w:tc>
                <w:tcPr>
                  <w:tcW w:w="1409" w:type="dxa"/>
                  <w:vAlign w:val="center"/>
                </w:tcPr>
                <w:p>
                  <w:pPr>
                    <w:widowControl/>
                    <w:jc w:val="center"/>
                    <w:rPr>
                      <w:spacing w:val="-6"/>
                      <w:szCs w:val="21"/>
                    </w:rPr>
                  </w:pPr>
                  <w:r>
                    <w:rPr>
                      <w:rFonts w:hint="eastAsia"/>
                      <w:spacing w:val="-6"/>
                      <w:szCs w:val="21"/>
                    </w:rPr>
                    <w:t>47</w:t>
                  </w:r>
                </w:p>
              </w:tc>
              <w:tc>
                <w:tcPr>
                  <w:tcW w:w="1409" w:type="dxa"/>
                  <w:vAlign w:val="center"/>
                </w:tcPr>
                <w:p>
                  <w:pPr>
                    <w:widowControl/>
                    <w:jc w:val="center"/>
                    <w:rPr>
                      <w:spacing w:val="-6"/>
                      <w:szCs w:val="21"/>
                    </w:rPr>
                  </w:pPr>
                  <w:r>
                    <w:rPr>
                      <w:rFonts w:hint="eastAsia"/>
                      <w:spacing w:val="-6"/>
                      <w:szCs w:val="21"/>
                    </w:rPr>
                    <w:t>50.2</w:t>
                  </w:r>
                </w:p>
              </w:tc>
              <w:tc>
                <w:tcPr>
                  <w:tcW w:w="1409" w:type="dxa"/>
                  <w:vAlign w:val="center"/>
                </w:tcPr>
                <w:p>
                  <w:pPr>
                    <w:jc w:val="center"/>
                    <w:rPr>
                      <w:szCs w:val="21"/>
                    </w:rPr>
                  </w:pPr>
                  <w:r>
                    <w:rPr>
                      <w:rFonts w:hint="eastAsia"/>
                      <w:szCs w:val="21"/>
                    </w:rPr>
                    <w:t>44.4</w:t>
                  </w:r>
                </w:p>
              </w:tc>
              <w:tc>
                <w:tcPr>
                  <w:tcW w:w="1410" w:type="dxa"/>
                  <w:vAlign w:val="center"/>
                </w:tcPr>
                <w:p>
                  <w:pPr>
                    <w:snapToGrid w:val="0"/>
                    <w:jc w:val="center"/>
                    <w:rPr>
                      <w:spacing w:val="-6"/>
                      <w:szCs w:val="21"/>
                    </w:rPr>
                  </w:pPr>
                  <w:r>
                    <w:rPr>
                      <w:rFonts w:hint="eastAsia"/>
                      <w:spacing w:val="-6"/>
                      <w:szCs w:val="21"/>
                    </w:rPr>
                    <w:t>42.8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50" w:type="dxa"/>
                  <w:vMerge w:val="continue"/>
                  <w:vAlign w:val="center"/>
                </w:tcPr>
                <w:p>
                  <w:pPr>
                    <w:snapToGrid w:val="0"/>
                    <w:jc w:val="center"/>
                    <w:rPr>
                      <w:spacing w:val="-6"/>
                      <w:szCs w:val="21"/>
                    </w:rPr>
                  </w:pPr>
                </w:p>
              </w:tc>
              <w:tc>
                <w:tcPr>
                  <w:tcW w:w="1171" w:type="dxa"/>
                  <w:vAlign w:val="center"/>
                </w:tcPr>
                <w:p>
                  <w:pPr>
                    <w:snapToGrid w:val="0"/>
                    <w:jc w:val="center"/>
                    <w:rPr>
                      <w:spacing w:val="-6"/>
                      <w:szCs w:val="21"/>
                    </w:rPr>
                  </w:pPr>
                  <w:r>
                    <w:rPr>
                      <w:rFonts w:hAnsi="宋体"/>
                      <w:spacing w:val="-6"/>
                      <w:szCs w:val="21"/>
                    </w:rPr>
                    <w:t>夜间</w:t>
                  </w:r>
                </w:p>
              </w:tc>
              <w:tc>
                <w:tcPr>
                  <w:tcW w:w="1409" w:type="dxa"/>
                  <w:vAlign w:val="center"/>
                </w:tcPr>
                <w:p>
                  <w:pPr>
                    <w:widowControl/>
                    <w:jc w:val="center"/>
                    <w:rPr>
                      <w:spacing w:val="-6"/>
                      <w:szCs w:val="21"/>
                    </w:rPr>
                  </w:pPr>
                  <w:r>
                    <w:rPr>
                      <w:rFonts w:hint="eastAsia"/>
                      <w:spacing w:val="-6"/>
                      <w:szCs w:val="21"/>
                    </w:rPr>
                    <w:t>40</w:t>
                  </w:r>
                </w:p>
              </w:tc>
              <w:tc>
                <w:tcPr>
                  <w:tcW w:w="1409" w:type="dxa"/>
                  <w:vAlign w:val="center"/>
                </w:tcPr>
                <w:p>
                  <w:pPr>
                    <w:widowControl/>
                    <w:jc w:val="center"/>
                    <w:rPr>
                      <w:spacing w:val="-6"/>
                      <w:szCs w:val="21"/>
                    </w:rPr>
                  </w:pPr>
                  <w:r>
                    <w:rPr>
                      <w:rFonts w:hint="eastAsia"/>
                      <w:spacing w:val="-6"/>
                      <w:szCs w:val="21"/>
                    </w:rPr>
                    <w:t>40.4</w:t>
                  </w:r>
                </w:p>
              </w:tc>
              <w:tc>
                <w:tcPr>
                  <w:tcW w:w="1409" w:type="dxa"/>
                  <w:vAlign w:val="center"/>
                </w:tcPr>
                <w:p>
                  <w:pPr>
                    <w:jc w:val="center"/>
                    <w:rPr>
                      <w:szCs w:val="21"/>
                    </w:rPr>
                  </w:pPr>
                  <w:r>
                    <w:rPr>
                      <w:rFonts w:hint="eastAsia"/>
                      <w:szCs w:val="21"/>
                    </w:rPr>
                    <w:t>40.6</w:t>
                  </w:r>
                </w:p>
              </w:tc>
              <w:tc>
                <w:tcPr>
                  <w:tcW w:w="1410" w:type="dxa"/>
                  <w:vAlign w:val="center"/>
                </w:tcPr>
                <w:p>
                  <w:pPr>
                    <w:snapToGrid w:val="0"/>
                    <w:jc w:val="center"/>
                    <w:rPr>
                      <w:spacing w:val="-6"/>
                      <w:szCs w:val="21"/>
                    </w:rPr>
                  </w:pPr>
                  <w:r>
                    <w:rPr>
                      <w:rFonts w:hint="eastAsia"/>
                      <w:spacing w:val="-6"/>
                      <w:szCs w:val="21"/>
                    </w:rPr>
                    <w:t>40.1</w:t>
                  </w:r>
                </w:p>
              </w:tc>
            </w:tr>
          </w:tbl>
          <w:p>
            <w:pPr>
              <w:spacing w:line="480" w:lineRule="exact"/>
              <w:ind w:firstLine="480" w:firstLineChars="200"/>
              <w:contextualSpacing/>
              <w:rPr>
                <w:sz w:val="24"/>
              </w:rPr>
            </w:pPr>
            <w:r>
              <w:rPr>
                <w:rFonts w:hAnsi="宋体"/>
                <w:sz w:val="24"/>
              </w:rPr>
              <w:t>根据上表预测结果可知，项目厂界四周噪声贡献值均满足满足《工业企业厂界环境噪声排放标准》（</w:t>
            </w:r>
            <w:r>
              <w:rPr>
                <w:sz w:val="24"/>
              </w:rPr>
              <w:t>GB12348-2008</w:t>
            </w:r>
            <w:r>
              <w:rPr>
                <w:rFonts w:hAnsi="宋体"/>
                <w:sz w:val="24"/>
              </w:rPr>
              <w:t>）</w:t>
            </w:r>
            <w:r>
              <w:rPr>
                <w:rFonts w:hint="eastAsia"/>
                <w:sz w:val="24"/>
              </w:rPr>
              <w:t>2</w:t>
            </w:r>
            <w:r>
              <w:rPr>
                <w:rFonts w:hAnsi="宋体"/>
                <w:sz w:val="24"/>
              </w:rPr>
              <w:t>类标准要求，在叠加背景值后项目区</w:t>
            </w:r>
            <w:r>
              <w:rPr>
                <w:rFonts w:hint="eastAsia" w:hAnsi="宋体"/>
                <w:sz w:val="24"/>
              </w:rPr>
              <w:t>四周</w:t>
            </w:r>
            <w:r>
              <w:rPr>
                <w:rFonts w:hAnsi="宋体"/>
                <w:sz w:val="24"/>
              </w:rPr>
              <w:t>噪声能够满足《声环境质量标准》</w:t>
            </w:r>
            <w:r>
              <w:rPr>
                <w:sz w:val="24"/>
              </w:rPr>
              <w:t>(GB3096-2008)</w:t>
            </w:r>
            <w:r>
              <w:rPr>
                <w:rFonts w:hAnsi="宋体"/>
                <w:sz w:val="24"/>
              </w:rPr>
              <w:t>中</w:t>
            </w:r>
            <w:r>
              <w:rPr>
                <w:rFonts w:hint="eastAsia"/>
                <w:sz w:val="24"/>
              </w:rPr>
              <w:t>2</w:t>
            </w:r>
            <w:r>
              <w:rPr>
                <w:rFonts w:hAnsi="宋体"/>
                <w:sz w:val="24"/>
              </w:rPr>
              <w:t>类标准，说明项目建成运营后对周边声环境的影响不大。</w:t>
            </w:r>
          </w:p>
          <w:p>
            <w:pPr>
              <w:tabs>
                <w:tab w:val="center" w:pos="4736"/>
              </w:tabs>
              <w:spacing w:line="480" w:lineRule="exact"/>
              <w:ind w:firstLine="480" w:firstLineChars="200"/>
              <w:rPr>
                <w:sz w:val="24"/>
              </w:rPr>
            </w:pPr>
            <w:r>
              <w:rPr>
                <w:sz w:val="24"/>
              </w:rPr>
              <w:t>4、固体废物</w:t>
            </w:r>
          </w:p>
          <w:p>
            <w:pPr>
              <w:tabs>
                <w:tab w:val="center" w:pos="4736"/>
              </w:tabs>
              <w:spacing w:line="480" w:lineRule="exact"/>
              <w:ind w:firstLine="480" w:firstLineChars="200"/>
              <w:rPr>
                <w:sz w:val="24"/>
              </w:rPr>
            </w:pPr>
            <w:r>
              <w:rPr>
                <w:rFonts w:hint="eastAsia"/>
                <w:sz w:val="24"/>
              </w:rPr>
              <w:t>本项目固体废弃物分为生产固废和生活垃圾，生产固废又包括一般生产固废和危险固废，需分类收集、存放。</w:t>
            </w:r>
          </w:p>
          <w:p>
            <w:pPr>
              <w:tabs>
                <w:tab w:val="center" w:pos="4736"/>
              </w:tabs>
              <w:spacing w:line="480" w:lineRule="exact"/>
              <w:ind w:firstLine="480" w:firstLineChars="200"/>
              <w:rPr>
                <w:sz w:val="24"/>
              </w:rPr>
            </w:pPr>
            <w:r>
              <w:rPr>
                <w:rFonts w:hint="eastAsia"/>
                <w:sz w:val="24"/>
              </w:rPr>
              <w:t>（1）不合格品</w:t>
            </w:r>
          </w:p>
          <w:p>
            <w:pPr>
              <w:tabs>
                <w:tab w:val="center" w:pos="4736"/>
              </w:tabs>
              <w:spacing w:line="480" w:lineRule="exact"/>
              <w:ind w:firstLine="480" w:firstLineChars="200"/>
              <w:rPr>
                <w:sz w:val="24"/>
              </w:rPr>
            </w:pPr>
            <w:r>
              <w:rPr>
                <w:rFonts w:hint="eastAsia"/>
                <w:sz w:val="24"/>
              </w:rPr>
              <w:t>项目生产产生的不合格品量约为16t/a，集中收集后回用于生产。</w:t>
            </w:r>
          </w:p>
          <w:p>
            <w:pPr>
              <w:tabs>
                <w:tab w:val="center" w:pos="4736"/>
              </w:tabs>
              <w:spacing w:line="480" w:lineRule="exact"/>
              <w:ind w:firstLine="480" w:firstLineChars="200"/>
              <w:rPr>
                <w:sz w:val="24"/>
              </w:rPr>
            </w:pPr>
            <w:r>
              <w:rPr>
                <w:rFonts w:hint="eastAsia"/>
                <w:sz w:val="24"/>
              </w:rPr>
              <w:t>（2）危险固废</w:t>
            </w:r>
          </w:p>
          <w:p>
            <w:pPr>
              <w:tabs>
                <w:tab w:val="center" w:pos="4736"/>
              </w:tabs>
              <w:spacing w:line="480" w:lineRule="exact"/>
              <w:ind w:firstLine="480" w:firstLineChars="200"/>
              <w:rPr>
                <w:bCs/>
                <w:sz w:val="24"/>
              </w:rPr>
            </w:pPr>
            <w:r>
              <w:rPr>
                <w:rFonts w:hint="eastAsia"/>
                <w:bCs/>
                <w:sz w:val="24"/>
              </w:rPr>
              <w:t>①废活性炭</w:t>
            </w:r>
          </w:p>
          <w:p>
            <w:pPr>
              <w:tabs>
                <w:tab w:val="center" w:pos="4736"/>
              </w:tabs>
              <w:spacing w:line="480" w:lineRule="exact"/>
              <w:ind w:firstLine="480" w:firstLineChars="200"/>
              <w:rPr>
                <w:bCs/>
                <w:sz w:val="24"/>
              </w:rPr>
            </w:pPr>
            <w:r>
              <w:rPr>
                <w:bCs/>
                <w:sz w:val="24"/>
              </w:rPr>
              <w:t>项目</w:t>
            </w:r>
            <w:r>
              <w:rPr>
                <w:rFonts w:hint="eastAsia"/>
                <w:bCs/>
                <w:sz w:val="24"/>
              </w:rPr>
              <w:t>运行</w:t>
            </w:r>
            <w:r>
              <w:rPr>
                <w:bCs/>
                <w:sz w:val="24"/>
              </w:rPr>
              <w:t>过程产生的非甲烷总烃使用活性炭吸附装置吸附处理，活性炭吸附一定量的废气后会饱和，</w:t>
            </w:r>
            <w:r>
              <w:rPr>
                <w:bCs/>
                <w:color w:val="0000FF"/>
                <w:sz w:val="24"/>
              </w:rPr>
              <w:t>根据资料显示，</w:t>
            </w:r>
            <w:r>
              <w:rPr>
                <w:rFonts w:hint="eastAsia"/>
                <w:bCs/>
                <w:color w:val="0000FF"/>
                <w:sz w:val="24"/>
              </w:rPr>
              <w:t>每吸附1kgVOCs消耗4kg活性炭计算，本项目VOCs经活性炭吸附装置后削减量约为0.7776t/a</w:t>
            </w:r>
            <w:r>
              <w:rPr>
                <w:bCs/>
                <w:color w:val="0000FF"/>
                <w:sz w:val="24"/>
              </w:rPr>
              <w:t>，</w:t>
            </w:r>
            <w:r>
              <w:rPr>
                <w:rFonts w:hint="eastAsia"/>
                <w:bCs/>
                <w:color w:val="0000FF"/>
                <w:sz w:val="24"/>
              </w:rPr>
              <w:t>需消耗活性炭</w:t>
            </w:r>
            <w:r>
              <w:rPr>
                <w:rFonts w:hint="eastAsia"/>
                <w:bCs/>
                <w:color w:val="0000FF"/>
                <w:sz w:val="24"/>
                <w:lang w:val="en-US" w:eastAsia="zh-CN"/>
              </w:rPr>
              <w:t>3.1</w:t>
            </w:r>
            <w:r>
              <w:rPr>
                <w:rFonts w:hint="eastAsia"/>
                <w:bCs/>
                <w:color w:val="0000FF"/>
                <w:sz w:val="24"/>
              </w:rPr>
              <w:t>t/a，</w:t>
            </w:r>
            <w:r>
              <w:rPr>
                <w:bCs/>
                <w:color w:val="0000FF"/>
                <w:sz w:val="24"/>
              </w:rPr>
              <w:t>即项目运营期产生废活性炭</w:t>
            </w:r>
            <w:r>
              <w:rPr>
                <w:rFonts w:hint="eastAsia"/>
                <w:bCs/>
                <w:color w:val="0000FF"/>
                <w:sz w:val="24"/>
                <w:lang w:val="en-US" w:eastAsia="zh-CN"/>
              </w:rPr>
              <w:t>3.1</w:t>
            </w:r>
            <w:r>
              <w:rPr>
                <w:bCs/>
                <w:color w:val="0000FF"/>
                <w:sz w:val="24"/>
              </w:rPr>
              <w:t>t/a</w:t>
            </w:r>
            <w:r>
              <w:rPr>
                <w:bCs/>
                <w:sz w:val="24"/>
              </w:rPr>
              <w:t>，根据《国家危险废物名录》（2021年版），本项目产生废活性炭属于危险废物，危险废物类别为HW49，危险废物代码为900-039-49，需要委托有资质单位处理。</w:t>
            </w:r>
          </w:p>
          <w:p>
            <w:pPr>
              <w:tabs>
                <w:tab w:val="center" w:pos="4736"/>
              </w:tabs>
              <w:spacing w:line="480" w:lineRule="exact"/>
              <w:ind w:firstLine="480" w:firstLineChars="200"/>
              <w:rPr>
                <w:sz w:val="24"/>
              </w:rPr>
            </w:pPr>
            <w:r>
              <w:rPr>
                <w:rFonts w:hint="eastAsia"/>
                <w:bCs/>
                <w:sz w:val="24"/>
              </w:rPr>
              <w:t>②</w:t>
            </w:r>
            <w:r>
              <w:rPr>
                <w:rFonts w:hint="eastAsia"/>
                <w:sz w:val="24"/>
              </w:rPr>
              <w:t>废润滑油</w:t>
            </w:r>
          </w:p>
          <w:p>
            <w:pPr>
              <w:tabs>
                <w:tab w:val="center" w:pos="4736"/>
              </w:tabs>
              <w:spacing w:line="480" w:lineRule="exact"/>
              <w:ind w:firstLine="480" w:firstLineChars="200"/>
              <w:rPr>
                <w:sz w:val="24"/>
              </w:rPr>
            </w:pPr>
            <w:r>
              <w:rPr>
                <w:rFonts w:hint="eastAsia"/>
                <w:sz w:val="24"/>
              </w:rPr>
              <w:t>项目进行设备检修维护时，会产生少量废润滑油，预计每年需更换润滑油0.02</w:t>
            </w:r>
            <w:r>
              <w:rPr>
                <w:sz w:val="24"/>
              </w:rPr>
              <w:t>t</w:t>
            </w:r>
            <w:r>
              <w:rPr>
                <w:rFonts w:hint="eastAsia"/>
                <w:sz w:val="24"/>
              </w:rPr>
              <w:t>。根据《国家危险废物名录》（2021年），废润滑油废物类别为HW08废矿物油与含矿物油废物，废物代码为900-217-08，产生的废润滑油采用桶装收集储存置于危废暂存间，定期委托有资质的单位进行处置。</w:t>
            </w:r>
          </w:p>
          <w:p>
            <w:pPr>
              <w:tabs>
                <w:tab w:val="center" w:pos="4736"/>
              </w:tabs>
              <w:spacing w:line="480" w:lineRule="exact"/>
              <w:ind w:firstLine="480" w:firstLineChars="200"/>
              <w:rPr>
                <w:sz w:val="24"/>
              </w:rPr>
            </w:pPr>
            <w:r>
              <w:rPr>
                <w:rFonts w:hint="eastAsia"/>
                <w:sz w:val="24"/>
              </w:rPr>
              <w:t>（3）</w:t>
            </w:r>
            <w:r>
              <w:rPr>
                <w:sz w:val="24"/>
              </w:rPr>
              <w:t>生活垃圾</w:t>
            </w:r>
          </w:p>
          <w:p>
            <w:pPr>
              <w:tabs>
                <w:tab w:val="center" w:pos="4736"/>
              </w:tabs>
              <w:spacing w:line="480" w:lineRule="exact"/>
              <w:ind w:firstLine="480" w:firstLineChars="200"/>
              <w:rPr>
                <w:sz w:val="24"/>
              </w:rPr>
            </w:pPr>
            <w:r>
              <w:rPr>
                <w:sz w:val="24"/>
              </w:rPr>
              <w:t>本项目</w:t>
            </w:r>
            <w:r>
              <w:rPr>
                <w:rFonts w:hint="eastAsia"/>
                <w:sz w:val="24"/>
              </w:rPr>
              <w:t>新增</w:t>
            </w:r>
            <w:r>
              <w:rPr>
                <w:sz w:val="24"/>
              </w:rPr>
              <w:t>工作人员共</w:t>
            </w:r>
            <w:r>
              <w:rPr>
                <w:rFonts w:hint="eastAsia"/>
                <w:sz w:val="24"/>
              </w:rPr>
              <w:t>16</w:t>
            </w:r>
            <w:r>
              <w:rPr>
                <w:sz w:val="24"/>
              </w:rPr>
              <w:t>人，生活垃圾产生量按每人0.5kg/人·d计，则生活垃圾产生量约为</w:t>
            </w:r>
            <w:r>
              <w:rPr>
                <w:rFonts w:hint="eastAsia"/>
                <w:sz w:val="24"/>
              </w:rPr>
              <w:t>1.44</w:t>
            </w:r>
            <w:r>
              <w:rPr>
                <w:sz w:val="24"/>
              </w:rPr>
              <w:t>t/a。经厂区设置的垃圾箱集中收集后由市政环卫部门统一运送到生活垃圾垃圾填埋场集中处理</w:t>
            </w:r>
            <w:r>
              <w:rPr>
                <w:rFonts w:hint="eastAsia"/>
                <w:sz w:val="24"/>
              </w:rPr>
              <w:t>。</w:t>
            </w:r>
          </w:p>
          <w:p>
            <w:pPr>
              <w:spacing w:line="480" w:lineRule="exact"/>
              <w:ind w:firstLine="480" w:firstLineChars="200"/>
              <w:rPr>
                <w:sz w:val="24"/>
              </w:rPr>
            </w:pPr>
            <w:r>
              <w:rPr>
                <w:rFonts w:hint="eastAsia" w:hAnsi="宋体"/>
                <w:sz w:val="24"/>
              </w:rPr>
              <w:t>（4）固体废物环境管理要求</w:t>
            </w:r>
          </w:p>
          <w:p>
            <w:pPr>
              <w:widowControl/>
              <w:spacing w:line="520" w:lineRule="exact"/>
              <w:ind w:firstLine="480" w:firstLineChars="200"/>
              <w:rPr>
                <w:rFonts w:hint="eastAsia" w:ascii="宋体" w:hAnsi="宋体" w:eastAsia="宋体" w:cs="宋体"/>
                <w:color w:val="0000FF"/>
                <w:sz w:val="24"/>
                <w:szCs w:val="22"/>
              </w:rPr>
            </w:pPr>
            <w:r>
              <w:rPr>
                <w:rFonts w:hint="eastAsia" w:ascii="宋体" w:hAnsi="宋体" w:eastAsia="宋体" w:cs="宋体"/>
                <w:color w:val="0000FF"/>
                <w:sz w:val="24"/>
                <w:szCs w:val="22"/>
              </w:rPr>
              <w:t>根据分析，本项目危险废物产生量较小，因此本次评价要求建设单位设置危废暂存间，用于暂存废润滑油，定期交由有资质单位处置。危废暂存间的设置严格按照《危险废物贮存污染控制标准》（GB18957-2023）有关规定，危险废物存放期间，使用完好无损容器盛装；用以存放装置危险废物容器的地方，必须有耐腐蚀的硬化地面，且表面无裂痕。储存容器上必须粘贴该标准中规定的危险废物标签；容器材质与危险废物本身相容(不相互反应)；危废暂存间底部基础做防渗，要求渗透系数小于等于1×10</w:t>
            </w:r>
            <w:r>
              <w:rPr>
                <w:rFonts w:hint="eastAsia" w:ascii="宋体" w:hAnsi="宋体" w:eastAsia="宋体" w:cs="宋体"/>
                <w:color w:val="0000FF"/>
                <w:sz w:val="24"/>
                <w:szCs w:val="22"/>
                <w:vertAlign w:val="superscript"/>
              </w:rPr>
              <w:t>-7</w:t>
            </w:r>
            <w:r>
              <w:rPr>
                <w:rFonts w:hint="eastAsia" w:ascii="宋体" w:hAnsi="宋体" w:eastAsia="宋体" w:cs="宋体"/>
                <w:color w:val="0000FF"/>
                <w:sz w:val="24"/>
                <w:szCs w:val="22"/>
              </w:rPr>
              <w:t>cm/s。</w:t>
            </w:r>
          </w:p>
          <w:p>
            <w:pPr>
              <w:spacing w:line="480" w:lineRule="exact"/>
              <w:ind w:firstLine="480" w:firstLineChars="200"/>
              <w:rPr>
                <w:rFonts w:hAnsi="宋体"/>
                <w:bCs/>
                <w:sz w:val="24"/>
              </w:rPr>
            </w:pPr>
            <w:r>
              <w:rPr>
                <w:rFonts w:hAnsi="宋体"/>
                <w:bCs/>
                <w:sz w:val="24"/>
              </w:rPr>
              <w:t>危险废物贮存容器应满足：</w:t>
            </w:r>
          </w:p>
          <w:p>
            <w:pPr>
              <w:spacing w:line="480" w:lineRule="exact"/>
              <w:ind w:firstLine="480" w:firstLineChars="200"/>
              <w:rPr>
                <w:rFonts w:hAnsi="宋体"/>
                <w:bCs/>
                <w:sz w:val="24"/>
              </w:rPr>
            </w:pPr>
            <w:r>
              <w:rPr>
                <w:rFonts w:hAnsi="宋体"/>
                <w:bCs/>
                <w:sz w:val="24"/>
              </w:rPr>
              <w:t>①使用符合标准的容器盛装危险废物；应定期对暂时贮存危险废物包装及设施进行检查，发现破损，及时采取措施清理更换；</w:t>
            </w:r>
          </w:p>
          <w:p>
            <w:pPr>
              <w:spacing w:line="480" w:lineRule="exact"/>
              <w:ind w:firstLine="480" w:firstLineChars="200"/>
              <w:rPr>
                <w:rFonts w:hAnsi="宋体"/>
                <w:bCs/>
                <w:sz w:val="24"/>
              </w:rPr>
            </w:pPr>
            <w:r>
              <w:rPr>
                <w:rFonts w:hAnsi="宋体"/>
                <w:bCs/>
                <w:sz w:val="24"/>
              </w:rPr>
              <w:t>②装载危险废物的容器及材质要满足相应的强度要求；</w:t>
            </w:r>
          </w:p>
          <w:p>
            <w:pPr>
              <w:spacing w:line="480" w:lineRule="exact"/>
              <w:ind w:firstLine="480" w:firstLineChars="200"/>
              <w:rPr>
                <w:rFonts w:hAnsi="宋体"/>
                <w:bCs/>
                <w:sz w:val="24"/>
              </w:rPr>
            </w:pPr>
            <w:r>
              <w:rPr>
                <w:rFonts w:hAnsi="宋体"/>
                <w:bCs/>
                <w:sz w:val="24"/>
              </w:rPr>
              <w:t>③装载危险废物的容器必须完好无损；</w:t>
            </w:r>
          </w:p>
          <w:p>
            <w:pPr>
              <w:spacing w:line="480" w:lineRule="exact"/>
              <w:ind w:firstLine="480" w:firstLineChars="200"/>
              <w:rPr>
                <w:rFonts w:hAnsi="宋体"/>
                <w:bCs/>
                <w:sz w:val="24"/>
              </w:rPr>
            </w:pPr>
            <w:r>
              <w:rPr>
                <w:rFonts w:hAnsi="宋体"/>
                <w:bCs/>
                <w:sz w:val="24"/>
              </w:rPr>
              <w:t>④盛装危险废物的容器材质和衬里要与危险废物相容，不相互反应。危险废物堆放场所选址、平面布置、设计原则及危险废物的堆放要求等，必须满足 (GB18597-20</w:t>
            </w:r>
            <w:r>
              <w:rPr>
                <w:rFonts w:hint="eastAsia" w:hAnsi="宋体"/>
                <w:bCs/>
                <w:sz w:val="24"/>
              </w:rPr>
              <w:t>23</w:t>
            </w:r>
            <w:r>
              <w:rPr>
                <w:rFonts w:hAnsi="宋体"/>
                <w:bCs/>
                <w:sz w:val="24"/>
              </w:rPr>
              <w:t>) 的要求。危险废物贮存柜必须按(GB15562.2)的规定设置警示标志，周围应设置围墙或其它防护栅栏，配备通讯设备、照明设施、安全防护服装及工具，并设有应急防护设施。</w:t>
            </w:r>
          </w:p>
          <w:p>
            <w:pPr>
              <w:spacing w:line="480" w:lineRule="exact"/>
              <w:ind w:firstLine="480" w:firstLineChars="200"/>
              <w:rPr>
                <w:rFonts w:hAnsi="宋体"/>
                <w:sz w:val="24"/>
              </w:rPr>
            </w:pPr>
            <w:r>
              <w:rPr>
                <w:rFonts w:hAnsi="宋体"/>
                <w:sz w:val="24"/>
              </w:rPr>
              <w:t>本项目各固体废物的产生源、排放量和处置方式见表</w:t>
            </w:r>
            <w:r>
              <w:rPr>
                <w:rFonts w:hint="eastAsia"/>
                <w:sz w:val="24"/>
              </w:rPr>
              <w:t>4-12</w:t>
            </w:r>
            <w:r>
              <w:rPr>
                <w:rFonts w:hAnsi="宋体"/>
                <w:sz w:val="24"/>
              </w:rPr>
              <w:t>。</w:t>
            </w:r>
          </w:p>
          <w:p>
            <w:pPr>
              <w:adjustRightInd w:val="0"/>
              <w:snapToGrid w:val="0"/>
              <w:ind w:firstLine="420" w:firstLineChars="200"/>
              <w:rPr>
                <w:rFonts w:ascii="黑体" w:hAnsi="黑体" w:eastAsia="黑体"/>
                <w:szCs w:val="21"/>
              </w:rPr>
            </w:pPr>
            <w:r>
              <w:rPr>
                <w:rFonts w:ascii="黑体" w:hAnsi="黑体" w:eastAsia="黑体"/>
                <w:szCs w:val="21"/>
              </w:rPr>
              <w:t>表</w:t>
            </w:r>
            <w:r>
              <w:rPr>
                <w:rFonts w:hint="eastAsia" w:ascii="黑体" w:hAnsi="黑体" w:eastAsia="黑体"/>
                <w:szCs w:val="21"/>
              </w:rPr>
              <w:t>4-12</w:t>
            </w:r>
            <w:r>
              <w:rPr>
                <w:rFonts w:ascii="黑体" w:hAnsi="黑体" w:eastAsia="黑体"/>
                <w:szCs w:val="21"/>
              </w:rPr>
              <w:t xml:space="preserve"> </w:t>
            </w:r>
            <w:r>
              <w:rPr>
                <w:rFonts w:hint="eastAsia" w:ascii="黑体" w:hAnsi="黑体" w:eastAsia="黑体"/>
                <w:szCs w:val="21"/>
              </w:rPr>
              <w:t xml:space="preserve">              </w:t>
            </w:r>
            <w:r>
              <w:rPr>
                <w:rFonts w:ascii="黑体" w:hAnsi="黑体" w:eastAsia="黑体"/>
                <w:szCs w:val="21"/>
              </w:rPr>
              <w:t xml:space="preserve"> 固体废物排放量及处置设施</w:t>
            </w:r>
          </w:p>
          <w:tbl>
            <w:tblPr>
              <w:tblStyle w:val="25"/>
              <w:tblW w:w="84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429"/>
              <w:gridCol w:w="1930"/>
              <w:gridCol w:w="1049"/>
              <w:gridCol w:w="2674"/>
              <w:gridCol w:w="6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4" w:type="dxa"/>
                  <w:vAlign w:val="center"/>
                </w:tcPr>
                <w:p>
                  <w:pPr>
                    <w:snapToGrid w:val="0"/>
                    <w:jc w:val="center"/>
                    <w:rPr>
                      <w:spacing w:val="-6"/>
                      <w:szCs w:val="21"/>
                    </w:rPr>
                  </w:pPr>
                  <w:r>
                    <w:rPr>
                      <w:rFonts w:hAnsi="宋体"/>
                      <w:spacing w:val="-6"/>
                      <w:szCs w:val="21"/>
                    </w:rPr>
                    <w:t>类型</w:t>
                  </w:r>
                </w:p>
              </w:tc>
              <w:tc>
                <w:tcPr>
                  <w:tcW w:w="1429" w:type="dxa"/>
                  <w:vAlign w:val="center"/>
                </w:tcPr>
                <w:p>
                  <w:pPr>
                    <w:snapToGrid w:val="0"/>
                    <w:jc w:val="center"/>
                    <w:rPr>
                      <w:spacing w:val="-6"/>
                      <w:szCs w:val="21"/>
                    </w:rPr>
                  </w:pPr>
                  <w:r>
                    <w:rPr>
                      <w:rFonts w:hint="eastAsia" w:hAnsi="宋体"/>
                      <w:spacing w:val="-6"/>
                      <w:szCs w:val="21"/>
                    </w:rPr>
                    <w:t>产生</w:t>
                  </w:r>
                  <w:r>
                    <w:rPr>
                      <w:rFonts w:hAnsi="宋体"/>
                      <w:spacing w:val="-6"/>
                      <w:szCs w:val="21"/>
                    </w:rPr>
                    <w:t>源</w:t>
                  </w:r>
                </w:p>
              </w:tc>
              <w:tc>
                <w:tcPr>
                  <w:tcW w:w="1930" w:type="dxa"/>
                  <w:vAlign w:val="center"/>
                </w:tcPr>
                <w:p>
                  <w:pPr>
                    <w:snapToGrid w:val="0"/>
                    <w:jc w:val="center"/>
                    <w:rPr>
                      <w:spacing w:val="-6"/>
                      <w:szCs w:val="21"/>
                    </w:rPr>
                  </w:pPr>
                  <w:r>
                    <w:rPr>
                      <w:rFonts w:hAnsi="宋体"/>
                      <w:spacing w:val="-6"/>
                      <w:szCs w:val="21"/>
                    </w:rPr>
                    <w:t>名称</w:t>
                  </w:r>
                </w:p>
              </w:tc>
              <w:tc>
                <w:tcPr>
                  <w:tcW w:w="1049" w:type="dxa"/>
                  <w:vAlign w:val="center"/>
                </w:tcPr>
                <w:p>
                  <w:pPr>
                    <w:snapToGrid w:val="0"/>
                    <w:jc w:val="center"/>
                    <w:rPr>
                      <w:spacing w:val="-6"/>
                      <w:szCs w:val="21"/>
                    </w:rPr>
                  </w:pPr>
                  <w:r>
                    <w:rPr>
                      <w:rFonts w:hAnsi="宋体"/>
                      <w:spacing w:val="-6"/>
                      <w:szCs w:val="21"/>
                    </w:rPr>
                    <w:t>排放量</w:t>
                  </w:r>
                </w:p>
              </w:tc>
              <w:tc>
                <w:tcPr>
                  <w:tcW w:w="2674" w:type="dxa"/>
                  <w:vAlign w:val="center"/>
                </w:tcPr>
                <w:p>
                  <w:pPr>
                    <w:snapToGrid w:val="0"/>
                    <w:jc w:val="center"/>
                    <w:rPr>
                      <w:spacing w:val="-6"/>
                      <w:szCs w:val="21"/>
                    </w:rPr>
                  </w:pPr>
                  <w:r>
                    <w:rPr>
                      <w:rFonts w:hAnsi="宋体"/>
                      <w:spacing w:val="-6"/>
                      <w:szCs w:val="21"/>
                    </w:rPr>
                    <w:t>处置方法</w:t>
                  </w:r>
                </w:p>
              </w:tc>
              <w:tc>
                <w:tcPr>
                  <w:tcW w:w="682" w:type="dxa"/>
                  <w:vAlign w:val="center"/>
                </w:tcPr>
                <w:p>
                  <w:pPr>
                    <w:snapToGrid w:val="0"/>
                    <w:jc w:val="center"/>
                    <w:rPr>
                      <w:spacing w:val="-6"/>
                      <w:szCs w:val="21"/>
                    </w:rPr>
                  </w:pPr>
                  <w:r>
                    <w:rPr>
                      <w:rFonts w:hAnsi="宋体"/>
                      <w:spacing w:val="-6"/>
                      <w:szCs w:val="21"/>
                    </w:rPr>
                    <w:t>处置率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4" w:type="dxa"/>
                  <w:vAlign w:val="center"/>
                </w:tcPr>
                <w:p>
                  <w:pPr>
                    <w:snapToGrid w:val="0"/>
                    <w:jc w:val="center"/>
                    <w:rPr>
                      <w:spacing w:val="-6"/>
                      <w:szCs w:val="21"/>
                    </w:rPr>
                  </w:pPr>
                  <w:r>
                    <w:rPr>
                      <w:rFonts w:hint="eastAsia"/>
                      <w:spacing w:val="-6"/>
                      <w:szCs w:val="21"/>
                    </w:rPr>
                    <w:t>生活垃圾</w:t>
                  </w:r>
                </w:p>
              </w:tc>
              <w:tc>
                <w:tcPr>
                  <w:tcW w:w="1429" w:type="dxa"/>
                  <w:vAlign w:val="center"/>
                </w:tcPr>
                <w:p>
                  <w:pPr>
                    <w:snapToGrid w:val="0"/>
                    <w:jc w:val="center"/>
                    <w:rPr>
                      <w:spacing w:val="-6"/>
                      <w:szCs w:val="21"/>
                    </w:rPr>
                  </w:pPr>
                  <w:r>
                    <w:rPr>
                      <w:rFonts w:hAnsi="宋体"/>
                      <w:spacing w:val="-6"/>
                      <w:szCs w:val="21"/>
                    </w:rPr>
                    <w:t>职工生活</w:t>
                  </w:r>
                </w:p>
              </w:tc>
              <w:tc>
                <w:tcPr>
                  <w:tcW w:w="1930" w:type="dxa"/>
                  <w:vAlign w:val="center"/>
                </w:tcPr>
                <w:p>
                  <w:pPr>
                    <w:snapToGrid w:val="0"/>
                    <w:jc w:val="center"/>
                    <w:rPr>
                      <w:szCs w:val="21"/>
                    </w:rPr>
                  </w:pPr>
                  <w:r>
                    <w:rPr>
                      <w:rFonts w:hAnsi="宋体"/>
                      <w:spacing w:val="-6"/>
                      <w:szCs w:val="21"/>
                    </w:rPr>
                    <w:t>生活垃圾</w:t>
                  </w:r>
                </w:p>
              </w:tc>
              <w:tc>
                <w:tcPr>
                  <w:tcW w:w="1049" w:type="dxa"/>
                  <w:vAlign w:val="center"/>
                </w:tcPr>
                <w:p>
                  <w:pPr>
                    <w:snapToGrid w:val="0"/>
                    <w:jc w:val="center"/>
                    <w:rPr>
                      <w:spacing w:val="-6"/>
                      <w:szCs w:val="21"/>
                    </w:rPr>
                  </w:pPr>
                  <w:r>
                    <w:rPr>
                      <w:rFonts w:hint="eastAsia"/>
                      <w:spacing w:val="-6"/>
                      <w:szCs w:val="21"/>
                    </w:rPr>
                    <w:t>1.44</w:t>
                  </w:r>
                  <w:r>
                    <w:rPr>
                      <w:spacing w:val="-6"/>
                      <w:szCs w:val="21"/>
                    </w:rPr>
                    <w:t>t/a</w:t>
                  </w:r>
                </w:p>
              </w:tc>
              <w:tc>
                <w:tcPr>
                  <w:tcW w:w="2674" w:type="dxa"/>
                  <w:vAlign w:val="center"/>
                </w:tcPr>
                <w:p>
                  <w:pPr>
                    <w:snapToGrid w:val="0"/>
                    <w:jc w:val="center"/>
                    <w:rPr>
                      <w:spacing w:val="-6"/>
                      <w:szCs w:val="21"/>
                    </w:rPr>
                  </w:pPr>
                  <w:r>
                    <w:rPr>
                      <w:rFonts w:hAnsi="宋体"/>
                      <w:spacing w:val="-6"/>
                      <w:szCs w:val="21"/>
                    </w:rPr>
                    <w:t>收集后交环卫部门统一清理</w:t>
                  </w:r>
                </w:p>
              </w:tc>
              <w:tc>
                <w:tcPr>
                  <w:tcW w:w="682" w:type="dxa"/>
                  <w:vMerge w:val="restart"/>
                  <w:vAlign w:val="center"/>
                </w:tcPr>
                <w:p>
                  <w:pPr>
                    <w:snapToGrid w:val="0"/>
                    <w:jc w:val="center"/>
                    <w:rPr>
                      <w:spacing w:val="-6"/>
                      <w:szCs w:val="21"/>
                    </w:rPr>
                  </w:pPr>
                  <w:r>
                    <w:rPr>
                      <w:spacing w:val="-6"/>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4" w:type="dxa"/>
                  <w:vAlign w:val="center"/>
                </w:tcPr>
                <w:p>
                  <w:pPr>
                    <w:snapToGrid w:val="0"/>
                    <w:jc w:val="center"/>
                    <w:rPr>
                      <w:rFonts w:hAnsi="宋体"/>
                      <w:spacing w:val="-6"/>
                      <w:szCs w:val="21"/>
                    </w:rPr>
                  </w:pPr>
                  <w:r>
                    <w:rPr>
                      <w:rFonts w:hAnsi="宋体"/>
                      <w:spacing w:val="-6"/>
                      <w:szCs w:val="21"/>
                    </w:rPr>
                    <w:t>一般固废</w:t>
                  </w:r>
                </w:p>
              </w:tc>
              <w:tc>
                <w:tcPr>
                  <w:tcW w:w="1429" w:type="dxa"/>
                  <w:vAlign w:val="center"/>
                </w:tcPr>
                <w:p>
                  <w:pPr>
                    <w:snapToGrid w:val="0"/>
                    <w:jc w:val="center"/>
                    <w:rPr>
                      <w:rFonts w:hAnsi="宋体"/>
                      <w:spacing w:val="-6"/>
                      <w:szCs w:val="21"/>
                    </w:rPr>
                  </w:pPr>
                  <w:r>
                    <w:rPr>
                      <w:rFonts w:hint="eastAsia" w:hAnsi="宋体"/>
                      <w:spacing w:val="-6"/>
                      <w:szCs w:val="21"/>
                    </w:rPr>
                    <w:t>塑料果蔬筐生产车间</w:t>
                  </w:r>
                </w:p>
              </w:tc>
              <w:tc>
                <w:tcPr>
                  <w:tcW w:w="1930" w:type="dxa"/>
                  <w:vAlign w:val="center"/>
                </w:tcPr>
                <w:p>
                  <w:pPr>
                    <w:snapToGrid w:val="0"/>
                    <w:jc w:val="center"/>
                    <w:rPr>
                      <w:rFonts w:hAnsi="宋体"/>
                      <w:spacing w:val="-6"/>
                      <w:szCs w:val="21"/>
                    </w:rPr>
                  </w:pPr>
                  <w:r>
                    <w:rPr>
                      <w:rFonts w:hint="eastAsia" w:hAnsi="宋体"/>
                      <w:spacing w:val="-6"/>
                      <w:szCs w:val="21"/>
                    </w:rPr>
                    <w:t>不合格品</w:t>
                  </w:r>
                </w:p>
              </w:tc>
              <w:tc>
                <w:tcPr>
                  <w:tcW w:w="1049" w:type="dxa"/>
                  <w:vAlign w:val="center"/>
                </w:tcPr>
                <w:p>
                  <w:pPr>
                    <w:snapToGrid w:val="0"/>
                    <w:jc w:val="center"/>
                    <w:rPr>
                      <w:spacing w:val="-6"/>
                      <w:szCs w:val="21"/>
                    </w:rPr>
                  </w:pPr>
                  <w:r>
                    <w:rPr>
                      <w:rFonts w:hint="eastAsia"/>
                      <w:spacing w:val="-6"/>
                      <w:szCs w:val="21"/>
                    </w:rPr>
                    <w:t>16t/a</w:t>
                  </w:r>
                </w:p>
              </w:tc>
              <w:tc>
                <w:tcPr>
                  <w:tcW w:w="2674" w:type="dxa"/>
                  <w:vAlign w:val="center"/>
                </w:tcPr>
                <w:p>
                  <w:pPr>
                    <w:snapToGrid w:val="0"/>
                    <w:jc w:val="center"/>
                    <w:rPr>
                      <w:rFonts w:hAnsi="宋体"/>
                      <w:spacing w:val="-6"/>
                      <w:szCs w:val="21"/>
                    </w:rPr>
                  </w:pPr>
                  <w:r>
                    <w:rPr>
                      <w:rFonts w:hint="eastAsia" w:hAnsi="宋体"/>
                      <w:spacing w:val="-6"/>
                      <w:szCs w:val="21"/>
                    </w:rPr>
                    <w:t>收集后返回塑料果蔬筐生产工序利用</w:t>
                  </w:r>
                </w:p>
              </w:tc>
              <w:tc>
                <w:tcPr>
                  <w:tcW w:w="682" w:type="dxa"/>
                  <w:vMerge w:val="continue"/>
                  <w:vAlign w:val="center"/>
                </w:tcPr>
                <w:p>
                  <w:pPr>
                    <w:snapToGrid w:val="0"/>
                    <w:jc w:val="center"/>
                    <w:rPr>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4" w:type="dxa"/>
                  <w:vMerge w:val="restart"/>
                  <w:vAlign w:val="center"/>
                </w:tcPr>
                <w:p>
                  <w:pPr>
                    <w:snapToGrid w:val="0"/>
                    <w:jc w:val="center"/>
                    <w:rPr>
                      <w:szCs w:val="21"/>
                    </w:rPr>
                  </w:pPr>
                  <w:r>
                    <w:rPr>
                      <w:rFonts w:hint="eastAsia"/>
                      <w:szCs w:val="21"/>
                    </w:rPr>
                    <w:t>危险废物</w:t>
                  </w:r>
                </w:p>
              </w:tc>
              <w:tc>
                <w:tcPr>
                  <w:tcW w:w="1429" w:type="dxa"/>
                  <w:vAlign w:val="center"/>
                </w:tcPr>
                <w:p>
                  <w:pPr>
                    <w:snapToGrid w:val="0"/>
                    <w:jc w:val="center"/>
                    <w:rPr>
                      <w:spacing w:val="-6"/>
                      <w:szCs w:val="21"/>
                    </w:rPr>
                  </w:pPr>
                  <w:r>
                    <w:rPr>
                      <w:rFonts w:hint="eastAsia"/>
                      <w:spacing w:val="-6"/>
                      <w:szCs w:val="21"/>
                    </w:rPr>
                    <w:t>塑料果蔬筐生产车间</w:t>
                  </w:r>
                </w:p>
              </w:tc>
              <w:tc>
                <w:tcPr>
                  <w:tcW w:w="1930" w:type="dxa"/>
                  <w:vAlign w:val="center"/>
                </w:tcPr>
                <w:p>
                  <w:pPr>
                    <w:snapToGrid w:val="0"/>
                    <w:jc w:val="center"/>
                    <w:rPr>
                      <w:szCs w:val="21"/>
                    </w:rPr>
                  </w:pPr>
                  <w:r>
                    <w:rPr>
                      <w:rFonts w:hint="eastAsia" w:hAnsi="宋体"/>
                      <w:spacing w:val="-6"/>
                      <w:szCs w:val="21"/>
                    </w:rPr>
                    <w:t>废活性炭(HW49-900-039-49)</w:t>
                  </w:r>
                </w:p>
              </w:tc>
              <w:tc>
                <w:tcPr>
                  <w:tcW w:w="1049" w:type="dxa"/>
                  <w:vAlign w:val="center"/>
                </w:tcPr>
                <w:p>
                  <w:pPr>
                    <w:snapToGrid w:val="0"/>
                    <w:jc w:val="center"/>
                    <w:rPr>
                      <w:spacing w:val="-6"/>
                      <w:szCs w:val="21"/>
                    </w:rPr>
                  </w:pPr>
                  <w:r>
                    <w:rPr>
                      <w:rFonts w:hint="eastAsia"/>
                      <w:spacing w:val="-6"/>
                      <w:szCs w:val="21"/>
                      <w:lang w:val="en-US" w:eastAsia="zh-CN"/>
                    </w:rPr>
                    <w:t>3.1</w:t>
                  </w:r>
                  <w:r>
                    <w:rPr>
                      <w:rFonts w:hint="eastAsia"/>
                      <w:spacing w:val="-6"/>
                      <w:szCs w:val="21"/>
                    </w:rPr>
                    <w:t>/a</w:t>
                  </w:r>
                </w:p>
              </w:tc>
              <w:tc>
                <w:tcPr>
                  <w:tcW w:w="2674" w:type="dxa"/>
                  <w:vMerge w:val="restart"/>
                  <w:vAlign w:val="center"/>
                </w:tcPr>
                <w:p>
                  <w:pPr>
                    <w:snapToGrid w:val="0"/>
                    <w:jc w:val="center"/>
                    <w:rPr>
                      <w:rFonts w:hAnsi="宋体"/>
                      <w:spacing w:val="-6"/>
                      <w:szCs w:val="21"/>
                    </w:rPr>
                  </w:pPr>
                  <w:r>
                    <w:rPr>
                      <w:rFonts w:hAnsi="宋体"/>
                      <w:spacing w:val="-6"/>
                      <w:szCs w:val="21"/>
                    </w:rPr>
                    <w:t>经厂区内</w:t>
                  </w:r>
                  <w:r>
                    <w:rPr>
                      <w:rFonts w:hint="eastAsia" w:hAnsi="宋体"/>
                      <w:spacing w:val="-6"/>
                      <w:szCs w:val="21"/>
                    </w:rPr>
                    <w:t>危废</w:t>
                  </w:r>
                  <w:r>
                    <w:rPr>
                      <w:rFonts w:hAnsi="宋体"/>
                      <w:spacing w:val="-6"/>
                      <w:szCs w:val="21"/>
                    </w:rPr>
                    <w:t>暂存间收集后</w:t>
                  </w:r>
                  <w:r>
                    <w:rPr>
                      <w:rFonts w:hint="eastAsia" w:hAnsi="宋体"/>
                      <w:spacing w:val="-6"/>
                      <w:szCs w:val="21"/>
                    </w:rPr>
                    <w:t>，定期委托有资质的单位进行处置</w:t>
                  </w:r>
                  <w:r>
                    <w:rPr>
                      <w:rFonts w:hAnsi="宋体"/>
                      <w:spacing w:val="-6"/>
                      <w:szCs w:val="21"/>
                    </w:rPr>
                    <w:t>。</w:t>
                  </w:r>
                </w:p>
              </w:tc>
              <w:tc>
                <w:tcPr>
                  <w:tcW w:w="682" w:type="dxa"/>
                  <w:vMerge w:val="continue"/>
                  <w:vAlign w:val="center"/>
                </w:tcPr>
                <w:p>
                  <w:pPr>
                    <w:snapToGrid w:val="0"/>
                    <w:jc w:val="center"/>
                    <w:rPr>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4" w:type="dxa"/>
                  <w:vMerge w:val="continue"/>
                  <w:vAlign w:val="center"/>
                </w:tcPr>
                <w:p>
                  <w:pPr>
                    <w:snapToGrid w:val="0"/>
                    <w:jc w:val="center"/>
                    <w:rPr>
                      <w:szCs w:val="21"/>
                    </w:rPr>
                  </w:pPr>
                </w:p>
              </w:tc>
              <w:tc>
                <w:tcPr>
                  <w:tcW w:w="1429" w:type="dxa"/>
                  <w:vAlign w:val="center"/>
                </w:tcPr>
                <w:p>
                  <w:pPr>
                    <w:snapToGrid w:val="0"/>
                    <w:jc w:val="center"/>
                    <w:rPr>
                      <w:spacing w:val="-6"/>
                      <w:szCs w:val="21"/>
                    </w:rPr>
                  </w:pPr>
                  <w:r>
                    <w:rPr>
                      <w:rFonts w:hint="eastAsia"/>
                      <w:spacing w:val="-6"/>
                      <w:szCs w:val="21"/>
                    </w:rPr>
                    <w:t>设备检维修</w:t>
                  </w:r>
                </w:p>
              </w:tc>
              <w:tc>
                <w:tcPr>
                  <w:tcW w:w="1930" w:type="dxa"/>
                  <w:vAlign w:val="center"/>
                </w:tcPr>
                <w:p>
                  <w:pPr>
                    <w:snapToGrid w:val="0"/>
                    <w:jc w:val="center"/>
                    <w:rPr>
                      <w:rFonts w:hAnsi="宋体"/>
                      <w:spacing w:val="-6"/>
                      <w:szCs w:val="21"/>
                    </w:rPr>
                  </w:pPr>
                  <w:r>
                    <w:rPr>
                      <w:rFonts w:hint="eastAsia" w:hAnsi="宋体"/>
                      <w:spacing w:val="-6"/>
                      <w:szCs w:val="21"/>
                    </w:rPr>
                    <w:t>废润滑油</w:t>
                  </w:r>
                </w:p>
                <w:p>
                  <w:pPr>
                    <w:snapToGrid w:val="0"/>
                    <w:jc w:val="center"/>
                    <w:rPr>
                      <w:rFonts w:hAnsi="宋体"/>
                      <w:spacing w:val="-6"/>
                      <w:szCs w:val="21"/>
                    </w:rPr>
                  </w:pPr>
                  <w:r>
                    <w:rPr>
                      <w:rFonts w:hint="eastAsia" w:hAnsi="宋体"/>
                      <w:spacing w:val="-6"/>
                      <w:szCs w:val="21"/>
                    </w:rPr>
                    <w:t>(HW08-900-217-08)</w:t>
                  </w:r>
                </w:p>
              </w:tc>
              <w:tc>
                <w:tcPr>
                  <w:tcW w:w="1049" w:type="dxa"/>
                  <w:vAlign w:val="center"/>
                </w:tcPr>
                <w:p>
                  <w:pPr>
                    <w:snapToGrid w:val="0"/>
                    <w:jc w:val="center"/>
                    <w:rPr>
                      <w:spacing w:val="-6"/>
                      <w:szCs w:val="21"/>
                    </w:rPr>
                  </w:pPr>
                  <w:r>
                    <w:rPr>
                      <w:rFonts w:hint="eastAsia"/>
                      <w:spacing w:val="-6"/>
                      <w:szCs w:val="21"/>
                    </w:rPr>
                    <w:t>0.</w:t>
                  </w:r>
                  <w:r>
                    <w:rPr>
                      <w:spacing w:val="-6"/>
                      <w:szCs w:val="21"/>
                    </w:rPr>
                    <w:t>0</w:t>
                  </w:r>
                  <w:r>
                    <w:rPr>
                      <w:rFonts w:hint="eastAsia"/>
                      <w:spacing w:val="-6"/>
                      <w:szCs w:val="21"/>
                    </w:rPr>
                    <w:t>2t/a</w:t>
                  </w:r>
                </w:p>
              </w:tc>
              <w:tc>
                <w:tcPr>
                  <w:tcW w:w="2674" w:type="dxa"/>
                  <w:vMerge w:val="continue"/>
                  <w:vAlign w:val="center"/>
                </w:tcPr>
                <w:p>
                  <w:pPr>
                    <w:snapToGrid w:val="0"/>
                    <w:jc w:val="center"/>
                    <w:rPr>
                      <w:rFonts w:hAnsi="宋体"/>
                      <w:spacing w:val="-6"/>
                      <w:szCs w:val="21"/>
                    </w:rPr>
                  </w:pPr>
                </w:p>
              </w:tc>
              <w:tc>
                <w:tcPr>
                  <w:tcW w:w="682" w:type="dxa"/>
                  <w:vMerge w:val="continue"/>
                  <w:vAlign w:val="center"/>
                </w:tcPr>
                <w:p>
                  <w:pPr>
                    <w:snapToGrid w:val="0"/>
                    <w:jc w:val="center"/>
                    <w:rPr>
                      <w:spacing w:val="-6"/>
                      <w:szCs w:val="21"/>
                    </w:rPr>
                  </w:pPr>
                </w:p>
              </w:tc>
            </w:tr>
          </w:tbl>
          <w:p>
            <w:pPr>
              <w:spacing w:line="480" w:lineRule="exact"/>
              <w:ind w:firstLine="480" w:firstLineChars="200"/>
              <w:rPr>
                <w:rFonts w:hint="eastAsia" w:hAnsi="宋体"/>
                <w:sz w:val="24"/>
              </w:rPr>
            </w:pPr>
            <w:r>
              <w:rPr>
                <w:rFonts w:hAnsi="宋体"/>
                <w:sz w:val="24"/>
              </w:rPr>
              <w:t>由上表可以得出该项目所产生的各种固体废物均具有良好的处置方法，处置率</w:t>
            </w:r>
            <w:r>
              <w:rPr>
                <w:sz w:val="24"/>
              </w:rPr>
              <w:t>100%</w:t>
            </w:r>
            <w:r>
              <w:rPr>
                <w:rFonts w:hAnsi="宋体"/>
                <w:sz w:val="24"/>
              </w:rPr>
              <w:t>，符合固体废物减量化、资源化、无害化要求，防治措施可行，对周边生态环境影响不大。</w:t>
            </w:r>
          </w:p>
          <w:p>
            <w:pPr>
              <w:spacing w:line="480" w:lineRule="exact"/>
              <w:ind w:firstLine="480" w:firstLineChars="200"/>
              <w:rPr>
                <w:rFonts w:hAnsi="宋体"/>
                <w:sz w:val="24"/>
              </w:rPr>
            </w:pPr>
            <w:r>
              <w:rPr>
                <w:rFonts w:hint="eastAsia" w:hAnsi="宋体"/>
                <w:sz w:val="24"/>
              </w:rPr>
              <w:t>5、本项目污染物排放清单一览表见表4-13。</w:t>
            </w:r>
          </w:p>
          <w:p>
            <w:pPr>
              <w:ind w:firstLine="420" w:firstLineChars="200"/>
              <w:rPr>
                <w:rFonts w:ascii="黑体" w:hAnsi="黑体" w:eastAsia="黑体"/>
                <w:szCs w:val="21"/>
              </w:rPr>
            </w:pPr>
            <w:r>
              <w:rPr>
                <w:rFonts w:hint="eastAsia" w:ascii="黑体" w:hAnsi="黑体" w:eastAsia="黑体"/>
                <w:szCs w:val="21"/>
              </w:rPr>
              <w:t>表4-13                   污染物排放清单</w:t>
            </w:r>
          </w:p>
          <w:tbl>
            <w:tblPr>
              <w:tblStyle w:val="25"/>
              <w:tblW w:w="845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544"/>
              <w:gridCol w:w="707"/>
              <w:gridCol w:w="569"/>
              <w:gridCol w:w="851"/>
              <w:gridCol w:w="1195"/>
              <w:gridCol w:w="871"/>
              <w:gridCol w:w="1195"/>
              <w:gridCol w:w="19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83" w:type="dxa"/>
                  <w:tcBorders>
                    <w:top w:val="single" w:color="auto" w:sz="12" w:space="0"/>
                  </w:tcBorders>
                  <w:vAlign w:val="center"/>
                </w:tcPr>
                <w:p>
                  <w:pPr>
                    <w:pStyle w:val="40"/>
                    <w:spacing w:before="24" w:after="24"/>
                    <w:ind w:left="0" w:leftChars="0" w:firstLine="0" w:firstLineChars="0"/>
                    <w:jc w:val="both"/>
                    <w:rPr>
                      <w:rFonts w:ascii="Times New Roman"/>
                      <w:b/>
                      <w:bCs/>
                      <w:szCs w:val="21"/>
                    </w:rPr>
                  </w:pPr>
                  <w:r>
                    <w:rPr>
                      <w:rFonts w:ascii="Times New Roman"/>
                      <w:b/>
                      <w:bCs/>
                      <w:szCs w:val="21"/>
                    </w:rPr>
                    <w:t>污染物类型</w:t>
                  </w:r>
                </w:p>
              </w:tc>
              <w:tc>
                <w:tcPr>
                  <w:tcW w:w="544" w:type="dxa"/>
                  <w:tcBorders>
                    <w:top w:val="single" w:color="auto" w:sz="12" w:space="0"/>
                  </w:tcBorders>
                  <w:vAlign w:val="center"/>
                </w:tcPr>
                <w:p>
                  <w:pPr>
                    <w:pStyle w:val="40"/>
                    <w:spacing w:before="24" w:after="24"/>
                    <w:ind w:left="0" w:leftChars="0" w:firstLine="0" w:firstLineChars="0"/>
                    <w:jc w:val="both"/>
                    <w:rPr>
                      <w:rFonts w:ascii="Times New Roman"/>
                      <w:b/>
                      <w:bCs/>
                      <w:szCs w:val="21"/>
                    </w:rPr>
                  </w:pPr>
                  <w:r>
                    <w:rPr>
                      <w:rFonts w:ascii="Times New Roman"/>
                      <w:b/>
                      <w:bCs/>
                      <w:szCs w:val="21"/>
                    </w:rPr>
                    <w:t>产污环节</w:t>
                  </w:r>
                </w:p>
              </w:tc>
              <w:tc>
                <w:tcPr>
                  <w:tcW w:w="707" w:type="dxa"/>
                  <w:tcBorders>
                    <w:top w:val="single" w:color="auto" w:sz="12" w:space="0"/>
                  </w:tcBorders>
                  <w:vAlign w:val="center"/>
                </w:tcPr>
                <w:p>
                  <w:pPr>
                    <w:pStyle w:val="40"/>
                    <w:spacing w:before="24" w:after="24"/>
                    <w:ind w:left="0" w:leftChars="0" w:firstLine="0" w:firstLineChars="0"/>
                    <w:jc w:val="both"/>
                    <w:rPr>
                      <w:rFonts w:ascii="Times New Roman"/>
                      <w:b/>
                      <w:bCs/>
                      <w:szCs w:val="21"/>
                    </w:rPr>
                  </w:pPr>
                  <w:r>
                    <w:rPr>
                      <w:rFonts w:ascii="Times New Roman"/>
                      <w:b/>
                      <w:bCs/>
                      <w:szCs w:val="21"/>
                    </w:rPr>
                    <w:t>污染物类型</w:t>
                  </w:r>
                </w:p>
              </w:tc>
              <w:tc>
                <w:tcPr>
                  <w:tcW w:w="569" w:type="dxa"/>
                  <w:tcBorders>
                    <w:top w:val="single" w:color="auto" w:sz="12" w:space="0"/>
                  </w:tcBorders>
                  <w:vAlign w:val="center"/>
                </w:tcPr>
                <w:p>
                  <w:pPr>
                    <w:pStyle w:val="40"/>
                    <w:spacing w:before="24" w:after="24"/>
                    <w:ind w:left="0" w:leftChars="0" w:firstLine="0" w:firstLineChars="0"/>
                    <w:jc w:val="both"/>
                    <w:rPr>
                      <w:rFonts w:ascii="Times New Roman"/>
                      <w:b/>
                      <w:bCs/>
                      <w:szCs w:val="21"/>
                    </w:rPr>
                  </w:pPr>
                  <w:r>
                    <w:rPr>
                      <w:rFonts w:ascii="Times New Roman"/>
                      <w:b/>
                      <w:bCs/>
                      <w:szCs w:val="21"/>
                    </w:rPr>
                    <w:t>排放形式</w:t>
                  </w:r>
                </w:p>
              </w:tc>
              <w:tc>
                <w:tcPr>
                  <w:tcW w:w="851" w:type="dxa"/>
                  <w:tcBorders>
                    <w:top w:val="single" w:color="auto" w:sz="12" w:space="0"/>
                  </w:tcBorders>
                  <w:vAlign w:val="center"/>
                </w:tcPr>
                <w:p>
                  <w:pPr>
                    <w:pStyle w:val="40"/>
                    <w:spacing w:before="24" w:after="24"/>
                    <w:ind w:left="0" w:leftChars="0" w:firstLine="0" w:firstLineChars="0"/>
                    <w:jc w:val="both"/>
                    <w:rPr>
                      <w:rFonts w:ascii="Times New Roman"/>
                      <w:b/>
                      <w:bCs/>
                      <w:szCs w:val="21"/>
                    </w:rPr>
                  </w:pPr>
                  <w:r>
                    <w:rPr>
                      <w:rFonts w:ascii="Times New Roman"/>
                      <w:b/>
                      <w:bCs/>
                      <w:szCs w:val="21"/>
                    </w:rPr>
                    <w:t>环保措施</w:t>
                  </w:r>
                </w:p>
              </w:tc>
              <w:tc>
                <w:tcPr>
                  <w:tcW w:w="1195" w:type="dxa"/>
                  <w:tcBorders>
                    <w:top w:val="single" w:color="auto" w:sz="12" w:space="0"/>
                  </w:tcBorders>
                  <w:vAlign w:val="center"/>
                </w:tcPr>
                <w:p>
                  <w:pPr>
                    <w:pStyle w:val="40"/>
                    <w:spacing w:before="24" w:after="24"/>
                    <w:rPr>
                      <w:rFonts w:ascii="Times New Roman"/>
                      <w:b/>
                      <w:bCs/>
                      <w:color w:val="000000" w:themeColor="text1"/>
                      <w:szCs w:val="21"/>
                    </w:rPr>
                  </w:pPr>
                  <w:r>
                    <w:rPr>
                      <w:rFonts w:ascii="Times New Roman"/>
                      <w:b/>
                      <w:bCs/>
                      <w:color w:val="000000" w:themeColor="text1"/>
                      <w:szCs w:val="21"/>
                    </w:rPr>
                    <w:t>排放浓度</w:t>
                  </w:r>
                </w:p>
                <w:p>
                  <w:pPr>
                    <w:rPr>
                      <w:color w:val="000000" w:themeColor="text1"/>
                    </w:rPr>
                  </w:pPr>
                  <w:r>
                    <w:rPr>
                      <w:rFonts w:hint="eastAsia"/>
                      <w:color w:val="000000" w:themeColor="text1"/>
                    </w:rPr>
                    <w:t>（mg/m</w:t>
                  </w:r>
                  <w:r>
                    <w:rPr>
                      <w:rFonts w:hint="eastAsia"/>
                      <w:color w:val="000000" w:themeColor="text1"/>
                      <w:vertAlign w:val="superscript"/>
                    </w:rPr>
                    <w:t>3</w:t>
                  </w:r>
                  <w:r>
                    <w:rPr>
                      <w:rFonts w:hint="eastAsia"/>
                      <w:color w:val="000000" w:themeColor="text1"/>
                    </w:rPr>
                    <w:t>）</w:t>
                  </w:r>
                </w:p>
              </w:tc>
              <w:tc>
                <w:tcPr>
                  <w:tcW w:w="871" w:type="dxa"/>
                  <w:tcBorders>
                    <w:top w:val="single" w:color="auto" w:sz="12" w:space="0"/>
                  </w:tcBorders>
                  <w:vAlign w:val="center"/>
                </w:tcPr>
                <w:p>
                  <w:pPr>
                    <w:pStyle w:val="40"/>
                    <w:spacing w:before="24" w:after="24"/>
                    <w:rPr>
                      <w:rFonts w:ascii="Times New Roman"/>
                      <w:b/>
                      <w:bCs/>
                      <w:color w:val="000000" w:themeColor="text1"/>
                      <w:szCs w:val="21"/>
                    </w:rPr>
                  </w:pPr>
                  <w:r>
                    <w:rPr>
                      <w:rFonts w:ascii="Times New Roman"/>
                      <w:b/>
                      <w:bCs/>
                      <w:color w:val="000000" w:themeColor="text1"/>
                      <w:szCs w:val="21"/>
                    </w:rPr>
                    <w:t>排放量</w:t>
                  </w:r>
                </w:p>
                <w:p>
                  <w:pPr>
                    <w:jc w:val="center"/>
                    <w:rPr>
                      <w:b/>
                      <w:bCs/>
                      <w:color w:val="000000" w:themeColor="text1"/>
                      <w:szCs w:val="21"/>
                    </w:rPr>
                  </w:pPr>
                  <w:r>
                    <w:rPr>
                      <w:b/>
                      <w:bCs/>
                      <w:color w:val="000000" w:themeColor="text1"/>
                      <w:szCs w:val="21"/>
                    </w:rPr>
                    <w:t>（t/a）</w:t>
                  </w:r>
                </w:p>
              </w:tc>
              <w:tc>
                <w:tcPr>
                  <w:tcW w:w="1195" w:type="dxa"/>
                  <w:tcBorders>
                    <w:top w:val="single" w:color="auto" w:sz="12" w:space="0"/>
                  </w:tcBorders>
                  <w:vAlign w:val="center"/>
                </w:tcPr>
                <w:p>
                  <w:pPr>
                    <w:pStyle w:val="40"/>
                    <w:spacing w:before="24" w:after="24"/>
                    <w:rPr>
                      <w:rFonts w:ascii="Times New Roman"/>
                      <w:b/>
                      <w:bCs/>
                      <w:color w:val="000000" w:themeColor="text1"/>
                      <w:szCs w:val="21"/>
                    </w:rPr>
                  </w:pPr>
                  <w:r>
                    <w:rPr>
                      <w:rFonts w:ascii="Times New Roman"/>
                      <w:b/>
                      <w:bCs/>
                      <w:color w:val="000000" w:themeColor="text1"/>
                      <w:szCs w:val="21"/>
                    </w:rPr>
                    <w:t>排放标准</w:t>
                  </w:r>
                </w:p>
                <w:p>
                  <w:pPr>
                    <w:rPr>
                      <w:color w:val="000000" w:themeColor="text1"/>
                    </w:rPr>
                  </w:pPr>
                  <w:r>
                    <w:rPr>
                      <w:rFonts w:hint="eastAsia"/>
                      <w:color w:val="000000" w:themeColor="text1"/>
                    </w:rPr>
                    <w:t>（mg/m</w:t>
                  </w:r>
                  <w:r>
                    <w:rPr>
                      <w:rFonts w:hint="eastAsia"/>
                      <w:color w:val="000000" w:themeColor="text1"/>
                      <w:vertAlign w:val="superscript"/>
                    </w:rPr>
                    <w:t>3</w:t>
                  </w:r>
                  <w:r>
                    <w:rPr>
                      <w:rFonts w:hint="eastAsia"/>
                      <w:color w:val="000000" w:themeColor="text1"/>
                    </w:rPr>
                    <w:t>）</w:t>
                  </w:r>
                </w:p>
              </w:tc>
              <w:tc>
                <w:tcPr>
                  <w:tcW w:w="1943" w:type="dxa"/>
                  <w:tcBorders>
                    <w:top w:val="single" w:color="auto" w:sz="12" w:space="0"/>
                  </w:tcBorders>
                  <w:vAlign w:val="center"/>
                </w:tcPr>
                <w:p>
                  <w:pPr>
                    <w:pStyle w:val="40"/>
                    <w:spacing w:before="24" w:after="24"/>
                    <w:rPr>
                      <w:rFonts w:ascii="Times New Roman"/>
                      <w:b/>
                      <w:bCs/>
                      <w:szCs w:val="21"/>
                    </w:rPr>
                  </w:pPr>
                  <w:r>
                    <w:rPr>
                      <w:rFonts w:ascii="Times New Roman"/>
                      <w:b/>
                      <w:bCs/>
                      <w:szCs w:val="21"/>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583" w:type="dxa"/>
                  <w:vMerge w:val="restart"/>
                  <w:vAlign w:val="center"/>
                </w:tcPr>
                <w:p>
                  <w:pPr>
                    <w:pStyle w:val="40"/>
                    <w:spacing w:before="24" w:after="24"/>
                    <w:ind w:left="0" w:leftChars="0" w:firstLine="0" w:firstLineChars="0"/>
                    <w:jc w:val="both"/>
                    <w:rPr>
                      <w:rFonts w:ascii="Times New Roman"/>
                      <w:szCs w:val="21"/>
                    </w:rPr>
                  </w:pPr>
                  <w:r>
                    <w:rPr>
                      <w:rFonts w:ascii="Times New Roman"/>
                      <w:szCs w:val="21"/>
                    </w:rPr>
                    <w:t>大气污染物</w:t>
                  </w:r>
                </w:p>
              </w:tc>
              <w:tc>
                <w:tcPr>
                  <w:tcW w:w="544" w:type="dxa"/>
                  <w:vAlign w:val="center"/>
                </w:tcPr>
                <w:p>
                  <w:pPr>
                    <w:pStyle w:val="40"/>
                    <w:spacing w:before="24" w:after="24"/>
                    <w:ind w:left="0" w:leftChars="0" w:firstLine="0" w:firstLineChars="0"/>
                    <w:jc w:val="both"/>
                    <w:rPr>
                      <w:rFonts w:ascii="Times New Roman"/>
                      <w:szCs w:val="21"/>
                    </w:rPr>
                  </w:pPr>
                  <w:r>
                    <w:rPr>
                      <w:rFonts w:hint="eastAsia" w:ascii="Times New Roman"/>
                      <w:szCs w:val="21"/>
                    </w:rPr>
                    <w:t>破碎工序</w:t>
                  </w:r>
                </w:p>
              </w:tc>
              <w:tc>
                <w:tcPr>
                  <w:tcW w:w="707" w:type="dxa"/>
                  <w:vAlign w:val="center"/>
                </w:tcPr>
                <w:p>
                  <w:pPr>
                    <w:pStyle w:val="40"/>
                    <w:spacing w:before="24" w:after="24"/>
                    <w:ind w:left="0" w:leftChars="0" w:firstLine="0" w:firstLineChars="0"/>
                    <w:jc w:val="both"/>
                    <w:rPr>
                      <w:rFonts w:ascii="Times New Roman"/>
                      <w:szCs w:val="21"/>
                    </w:rPr>
                  </w:pPr>
                  <w:r>
                    <w:rPr>
                      <w:rFonts w:hint="eastAsia" w:ascii="Times New Roman"/>
                      <w:szCs w:val="21"/>
                    </w:rPr>
                    <w:t>颗粒物</w:t>
                  </w:r>
                </w:p>
              </w:tc>
              <w:tc>
                <w:tcPr>
                  <w:tcW w:w="569" w:type="dxa"/>
                  <w:vAlign w:val="center"/>
                </w:tcPr>
                <w:p>
                  <w:pPr>
                    <w:pStyle w:val="40"/>
                    <w:spacing w:before="24" w:after="24"/>
                    <w:ind w:left="0" w:leftChars="0" w:firstLine="0" w:firstLineChars="0"/>
                    <w:jc w:val="both"/>
                    <w:rPr>
                      <w:rFonts w:ascii="Times New Roman"/>
                      <w:szCs w:val="21"/>
                    </w:rPr>
                  </w:pPr>
                  <w:r>
                    <w:rPr>
                      <w:rFonts w:ascii="Times New Roman"/>
                      <w:szCs w:val="21"/>
                    </w:rPr>
                    <w:t>无组织</w:t>
                  </w:r>
                </w:p>
              </w:tc>
              <w:tc>
                <w:tcPr>
                  <w:tcW w:w="851" w:type="dxa"/>
                  <w:vAlign w:val="center"/>
                </w:tcPr>
                <w:p>
                  <w:pPr>
                    <w:pStyle w:val="40"/>
                    <w:spacing w:before="24" w:after="24"/>
                    <w:rPr>
                      <w:rFonts w:ascii="Times New Roman"/>
                      <w:szCs w:val="21"/>
                    </w:rPr>
                  </w:pPr>
                  <w:r>
                    <w:rPr>
                      <w:rFonts w:hint="eastAsia" w:ascii="Times New Roman"/>
                      <w:szCs w:val="21"/>
                    </w:rPr>
                    <w:t>通风</w:t>
                  </w:r>
                </w:p>
              </w:tc>
              <w:tc>
                <w:tcPr>
                  <w:tcW w:w="1195" w:type="dxa"/>
                  <w:vAlign w:val="center"/>
                </w:tcPr>
                <w:p>
                  <w:pPr>
                    <w:pStyle w:val="40"/>
                    <w:spacing w:before="24" w:after="24"/>
                    <w:rPr>
                      <w:rFonts w:ascii="Times New Roman"/>
                      <w:szCs w:val="21"/>
                    </w:rPr>
                  </w:pPr>
                  <w:r>
                    <w:rPr>
                      <w:rFonts w:ascii="Times New Roman"/>
                      <w:szCs w:val="21"/>
                    </w:rPr>
                    <w:t>＜1</w:t>
                  </w:r>
                </w:p>
              </w:tc>
              <w:tc>
                <w:tcPr>
                  <w:tcW w:w="871" w:type="dxa"/>
                  <w:vAlign w:val="center"/>
                </w:tcPr>
                <w:p>
                  <w:pPr>
                    <w:pStyle w:val="40"/>
                    <w:spacing w:before="24" w:after="24"/>
                    <w:rPr>
                      <w:rFonts w:ascii="Times New Roman"/>
                      <w:szCs w:val="21"/>
                    </w:rPr>
                  </w:pPr>
                  <w:r>
                    <w:rPr>
                      <w:rFonts w:hint="eastAsia" w:ascii="Times New Roman"/>
                      <w:szCs w:val="21"/>
                    </w:rPr>
                    <w:t>0.163</w:t>
                  </w:r>
                </w:p>
              </w:tc>
              <w:tc>
                <w:tcPr>
                  <w:tcW w:w="1195" w:type="dxa"/>
                  <w:vAlign w:val="center"/>
                </w:tcPr>
                <w:p>
                  <w:pPr>
                    <w:pStyle w:val="40"/>
                    <w:spacing w:before="24" w:after="24"/>
                    <w:rPr>
                      <w:rFonts w:ascii="Times New Roman"/>
                      <w:szCs w:val="21"/>
                    </w:rPr>
                  </w:pPr>
                  <w:r>
                    <w:rPr>
                      <w:rFonts w:ascii="Times New Roman"/>
                      <w:szCs w:val="21"/>
                    </w:rPr>
                    <w:t>1.0</w:t>
                  </w:r>
                </w:p>
              </w:tc>
              <w:tc>
                <w:tcPr>
                  <w:tcW w:w="1943" w:type="dxa"/>
                  <w:vAlign w:val="center"/>
                </w:tcPr>
                <w:p>
                  <w:pPr>
                    <w:pStyle w:val="40"/>
                    <w:spacing w:before="24" w:after="24"/>
                    <w:ind w:left="0" w:leftChars="0" w:firstLine="0" w:firstLineChars="0"/>
                    <w:jc w:val="both"/>
                    <w:rPr>
                      <w:rFonts w:ascii="Times New Roman"/>
                      <w:szCs w:val="21"/>
                    </w:rPr>
                  </w:pPr>
                  <w:r>
                    <w:rPr>
                      <w:rFonts w:ascii="Times New Roman"/>
                      <w:szCs w:val="21"/>
                    </w:rPr>
                    <w:t>《</w:t>
                  </w:r>
                  <w:r>
                    <w:rPr>
                      <w:rFonts w:hint="eastAsia" w:ascii="Times New Roman"/>
                      <w:szCs w:val="21"/>
                    </w:rPr>
                    <w:t>合成树脂工业</w:t>
                  </w:r>
                  <w:r>
                    <w:rPr>
                      <w:rFonts w:ascii="Times New Roman"/>
                      <w:szCs w:val="21"/>
                    </w:rPr>
                    <w:t>污染物排放标准》（GB</w:t>
                  </w:r>
                  <w:r>
                    <w:rPr>
                      <w:rFonts w:hint="eastAsia" w:ascii="Times New Roman"/>
                      <w:szCs w:val="21"/>
                    </w:rPr>
                    <w:t>31572</w:t>
                  </w:r>
                  <w:r>
                    <w:rPr>
                      <w:rFonts w:ascii="Times New Roman"/>
                      <w:szCs w:val="21"/>
                    </w:rPr>
                    <w:t>-</w:t>
                  </w:r>
                  <w:r>
                    <w:rPr>
                      <w:rFonts w:hint="eastAsia" w:ascii="Times New Roman"/>
                      <w:szCs w:val="21"/>
                    </w:rPr>
                    <w:t>2015</w:t>
                  </w:r>
                  <w:r>
                    <w:rPr>
                      <w:rFonts w:ascii="Times New Roman"/>
                      <w:szCs w:val="21"/>
                    </w:rPr>
                    <w:t>）表</w:t>
                  </w:r>
                  <w:r>
                    <w:rPr>
                      <w:rFonts w:hint="eastAsia" w:ascii="Times New Roman"/>
                      <w:szCs w:val="21"/>
                    </w:rPr>
                    <w:t>9中颗粒物</w:t>
                  </w:r>
                  <w:r>
                    <w:rPr>
                      <w:rFonts w:hint="eastAsia" w:ascii="Times New Roman"/>
                    </w:rPr>
                    <w:t>排放限值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583" w:type="dxa"/>
                  <w:vMerge w:val="continue"/>
                  <w:vAlign w:val="center"/>
                </w:tcPr>
                <w:p>
                  <w:pPr>
                    <w:pStyle w:val="40"/>
                    <w:spacing w:before="24" w:after="24"/>
                    <w:rPr>
                      <w:rFonts w:ascii="Times New Roman"/>
                      <w:szCs w:val="21"/>
                    </w:rPr>
                  </w:pPr>
                </w:p>
              </w:tc>
              <w:tc>
                <w:tcPr>
                  <w:tcW w:w="544" w:type="dxa"/>
                  <w:vMerge w:val="restart"/>
                  <w:vAlign w:val="center"/>
                </w:tcPr>
                <w:p>
                  <w:pPr>
                    <w:pStyle w:val="40"/>
                    <w:spacing w:before="24" w:after="24"/>
                    <w:ind w:left="0" w:leftChars="0" w:firstLine="0" w:firstLineChars="0"/>
                    <w:jc w:val="both"/>
                    <w:rPr>
                      <w:rFonts w:ascii="Times New Roman"/>
                      <w:bCs/>
                      <w:szCs w:val="21"/>
                    </w:rPr>
                  </w:pPr>
                  <w:r>
                    <w:rPr>
                      <w:rFonts w:hint="eastAsia" w:ascii="Times New Roman"/>
                      <w:bCs/>
                      <w:szCs w:val="21"/>
                    </w:rPr>
                    <w:t>熔融注塑工序</w:t>
                  </w:r>
                </w:p>
              </w:tc>
              <w:tc>
                <w:tcPr>
                  <w:tcW w:w="707" w:type="dxa"/>
                  <w:vMerge w:val="restart"/>
                  <w:vAlign w:val="center"/>
                </w:tcPr>
                <w:p>
                  <w:pPr>
                    <w:pStyle w:val="40"/>
                    <w:spacing w:before="24" w:after="24"/>
                    <w:ind w:left="0" w:leftChars="0" w:firstLine="0" w:firstLineChars="0"/>
                    <w:jc w:val="both"/>
                    <w:rPr>
                      <w:rFonts w:ascii="Times New Roman"/>
                      <w:szCs w:val="21"/>
                    </w:rPr>
                  </w:pPr>
                  <w:r>
                    <w:rPr>
                      <w:rFonts w:hint="eastAsia" w:ascii="Times New Roman"/>
                      <w:szCs w:val="21"/>
                    </w:rPr>
                    <w:t>非甲烷总烃</w:t>
                  </w:r>
                </w:p>
              </w:tc>
              <w:tc>
                <w:tcPr>
                  <w:tcW w:w="569" w:type="dxa"/>
                  <w:vAlign w:val="center"/>
                </w:tcPr>
                <w:p>
                  <w:pPr>
                    <w:pStyle w:val="40"/>
                    <w:spacing w:before="24" w:after="24"/>
                    <w:ind w:left="0" w:leftChars="0" w:firstLine="0" w:firstLineChars="0"/>
                    <w:jc w:val="both"/>
                    <w:rPr>
                      <w:rFonts w:ascii="Times New Roman"/>
                      <w:szCs w:val="21"/>
                    </w:rPr>
                  </w:pPr>
                  <w:r>
                    <w:rPr>
                      <w:rFonts w:hint="eastAsia" w:ascii="Times New Roman"/>
                      <w:szCs w:val="21"/>
                    </w:rPr>
                    <w:t>无组织</w:t>
                  </w:r>
                </w:p>
              </w:tc>
              <w:tc>
                <w:tcPr>
                  <w:tcW w:w="851" w:type="dxa"/>
                  <w:vAlign w:val="center"/>
                </w:tcPr>
                <w:p>
                  <w:pPr>
                    <w:pStyle w:val="40"/>
                    <w:spacing w:before="24" w:after="24"/>
                    <w:rPr>
                      <w:rFonts w:ascii="Times New Roman"/>
                      <w:szCs w:val="21"/>
                    </w:rPr>
                  </w:pPr>
                  <w:r>
                    <w:rPr>
                      <w:rFonts w:hint="eastAsia" w:ascii="Times New Roman"/>
                      <w:szCs w:val="21"/>
                    </w:rPr>
                    <w:t>通风</w:t>
                  </w:r>
                </w:p>
              </w:tc>
              <w:tc>
                <w:tcPr>
                  <w:tcW w:w="1195" w:type="dxa"/>
                  <w:vAlign w:val="center"/>
                </w:tcPr>
                <w:p>
                  <w:pPr>
                    <w:pStyle w:val="40"/>
                    <w:spacing w:before="24" w:after="24"/>
                    <w:rPr>
                      <w:rFonts w:ascii="Times New Roman"/>
                      <w:szCs w:val="21"/>
                    </w:rPr>
                  </w:pPr>
                  <w:r>
                    <w:rPr>
                      <w:rFonts w:ascii="Times New Roman"/>
                      <w:szCs w:val="21"/>
                    </w:rPr>
                    <w:t>＜</w:t>
                  </w:r>
                  <w:r>
                    <w:rPr>
                      <w:rFonts w:hint="eastAsia" w:ascii="Times New Roman"/>
                      <w:szCs w:val="21"/>
                    </w:rPr>
                    <w:t>20</w:t>
                  </w:r>
                </w:p>
              </w:tc>
              <w:tc>
                <w:tcPr>
                  <w:tcW w:w="871" w:type="dxa"/>
                  <w:vAlign w:val="center"/>
                </w:tcPr>
                <w:p>
                  <w:pPr>
                    <w:pStyle w:val="40"/>
                    <w:spacing w:before="24" w:after="24"/>
                    <w:rPr>
                      <w:rFonts w:ascii="Times New Roman"/>
                      <w:szCs w:val="21"/>
                    </w:rPr>
                  </w:pPr>
                  <w:r>
                    <w:rPr>
                      <w:rFonts w:hint="eastAsia" w:ascii="Times New Roman"/>
                      <w:szCs w:val="21"/>
                    </w:rPr>
                    <w:t>0.05</w:t>
                  </w:r>
                </w:p>
              </w:tc>
              <w:tc>
                <w:tcPr>
                  <w:tcW w:w="1195" w:type="dxa"/>
                  <w:vAlign w:val="center"/>
                </w:tcPr>
                <w:p>
                  <w:pPr>
                    <w:pStyle w:val="40"/>
                    <w:spacing w:before="24" w:after="24"/>
                    <w:rPr>
                      <w:rFonts w:ascii="Times New Roman"/>
                      <w:szCs w:val="21"/>
                    </w:rPr>
                  </w:pPr>
                  <w:r>
                    <w:rPr>
                      <w:rFonts w:hint="eastAsia" w:ascii="Times New Roman"/>
                      <w:szCs w:val="21"/>
                    </w:rPr>
                    <w:t>20</w:t>
                  </w:r>
                </w:p>
              </w:tc>
              <w:tc>
                <w:tcPr>
                  <w:tcW w:w="1943" w:type="dxa"/>
                  <w:vAlign w:val="center"/>
                </w:tcPr>
                <w:p>
                  <w:pPr>
                    <w:pStyle w:val="40"/>
                    <w:spacing w:before="24" w:after="24"/>
                    <w:ind w:left="0" w:leftChars="0" w:firstLine="0" w:firstLineChars="0"/>
                    <w:jc w:val="both"/>
                    <w:rPr>
                      <w:rFonts w:ascii="Times New Roman"/>
                      <w:szCs w:val="21"/>
                    </w:rPr>
                  </w:pPr>
                  <w:r>
                    <w:rPr>
                      <w:rFonts w:ascii="Times New Roman"/>
                      <w:szCs w:val="21"/>
                    </w:rPr>
                    <w:t>《</w:t>
                  </w:r>
                  <w:r>
                    <w:rPr>
                      <w:rFonts w:hint="eastAsia" w:ascii="Times New Roman"/>
                      <w:szCs w:val="21"/>
                    </w:rPr>
                    <w:t>合成树脂工业</w:t>
                  </w:r>
                  <w:r>
                    <w:rPr>
                      <w:rFonts w:ascii="Times New Roman"/>
                      <w:szCs w:val="21"/>
                    </w:rPr>
                    <w:t>污染物排放标准》（GB</w:t>
                  </w:r>
                  <w:r>
                    <w:rPr>
                      <w:rFonts w:hint="eastAsia" w:ascii="Times New Roman"/>
                      <w:szCs w:val="21"/>
                    </w:rPr>
                    <w:t>31572</w:t>
                  </w:r>
                  <w:r>
                    <w:rPr>
                      <w:rFonts w:ascii="Times New Roman"/>
                      <w:szCs w:val="21"/>
                    </w:rPr>
                    <w:t>-</w:t>
                  </w:r>
                  <w:r>
                    <w:rPr>
                      <w:rFonts w:hint="eastAsia" w:ascii="Times New Roman"/>
                      <w:szCs w:val="21"/>
                    </w:rPr>
                    <w:t>2015</w:t>
                  </w:r>
                  <w:r>
                    <w:rPr>
                      <w:rFonts w:ascii="Times New Roman"/>
                      <w:szCs w:val="21"/>
                    </w:rPr>
                    <w:t>）表</w:t>
                  </w:r>
                  <w:r>
                    <w:rPr>
                      <w:rFonts w:hint="eastAsia" w:ascii="Times New Roman"/>
                      <w:szCs w:val="21"/>
                    </w:rPr>
                    <w:t>9中非甲烷总烃</w:t>
                  </w:r>
                  <w:r>
                    <w:rPr>
                      <w:rFonts w:hint="eastAsia" w:ascii="Times New Roman"/>
                    </w:rPr>
                    <w:t>排放限值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583" w:type="dxa"/>
                  <w:vMerge w:val="continue"/>
                  <w:vAlign w:val="center"/>
                </w:tcPr>
                <w:p>
                  <w:pPr>
                    <w:pStyle w:val="40"/>
                    <w:spacing w:before="24" w:after="24"/>
                    <w:rPr>
                      <w:rFonts w:ascii="Times New Roman"/>
                      <w:szCs w:val="21"/>
                    </w:rPr>
                  </w:pPr>
                </w:p>
              </w:tc>
              <w:tc>
                <w:tcPr>
                  <w:tcW w:w="544" w:type="dxa"/>
                  <w:vMerge w:val="continue"/>
                  <w:vAlign w:val="center"/>
                </w:tcPr>
                <w:p>
                  <w:pPr>
                    <w:pStyle w:val="40"/>
                    <w:spacing w:before="24" w:after="24"/>
                    <w:rPr>
                      <w:rFonts w:ascii="Times New Roman"/>
                      <w:bCs/>
                      <w:szCs w:val="21"/>
                    </w:rPr>
                  </w:pPr>
                </w:p>
              </w:tc>
              <w:tc>
                <w:tcPr>
                  <w:tcW w:w="707" w:type="dxa"/>
                  <w:vMerge w:val="continue"/>
                  <w:vAlign w:val="center"/>
                </w:tcPr>
                <w:p>
                  <w:pPr>
                    <w:pStyle w:val="40"/>
                    <w:spacing w:before="24" w:after="24"/>
                    <w:rPr>
                      <w:rFonts w:ascii="Times New Roman"/>
                      <w:szCs w:val="21"/>
                    </w:rPr>
                  </w:pPr>
                </w:p>
              </w:tc>
              <w:tc>
                <w:tcPr>
                  <w:tcW w:w="569" w:type="dxa"/>
                  <w:vAlign w:val="center"/>
                </w:tcPr>
                <w:p>
                  <w:pPr>
                    <w:pStyle w:val="40"/>
                    <w:spacing w:before="24" w:after="24"/>
                    <w:ind w:left="0" w:leftChars="0" w:firstLine="0" w:firstLineChars="0"/>
                    <w:jc w:val="both"/>
                    <w:rPr>
                      <w:rFonts w:ascii="Times New Roman"/>
                      <w:szCs w:val="21"/>
                    </w:rPr>
                  </w:pPr>
                  <w:r>
                    <w:rPr>
                      <w:rFonts w:hint="eastAsia" w:ascii="Times New Roman"/>
                      <w:szCs w:val="21"/>
                    </w:rPr>
                    <w:t>有组织</w:t>
                  </w:r>
                </w:p>
              </w:tc>
              <w:tc>
                <w:tcPr>
                  <w:tcW w:w="851" w:type="dxa"/>
                  <w:vAlign w:val="center"/>
                </w:tcPr>
                <w:p>
                  <w:pPr>
                    <w:pStyle w:val="40"/>
                    <w:spacing w:before="24" w:after="24"/>
                    <w:ind w:left="0" w:leftChars="0" w:firstLine="0" w:firstLineChars="0"/>
                    <w:jc w:val="both"/>
                    <w:rPr>
                      <w:rFonts w:ascii="Times New Roman"/>
                      <w:szCs w:val="21"/>
                    </w:rPr>
                  </w:pPr>
                  <w:r>
                    <w:rPr>
                      <w:rFonts w:hint="eastAsia" w:ascii="Times New Roman"/>
                      <w:szCs w:val="21"/>
                    </w:rPr>
                    <w:t>二级活性炭吸附装置+15m排气筒</w:t>
                  </w:r>
                </w:p>
              </w:tc>
              <w:tc>
                <w:tcPr>
                  <w:tcW w:w="1195" w:type="dxa"/>
                  <w:vAlign w:val="center"/>
                </w:tcPr>
                <w:p>
                  <w:pPr>
                    <w:pStyle w:val="40"/>
                    <w:spacing w:before="24" w:after="24"/>
                    <w:rPr>
                      <w:rFonts w:ascii="Times New Roman"/>
                      <w:szCs w:val="21"/>
                    </w:rPr>
                  </w:pPr>
                  <w:r>
                    <w:rPr>
                      <w:rFonts w:hint="eastAsia" w:ascii="Times New Roman"/>
                      <w:szCs w:val="21"/>
                    </w:rPr>
                    <w:t>18</w:t>
                  </w:r>
                </w:p>
              </w:tc>
              <w:tc>
                <w:tcPr>
                  <w:tcW w:w="871" w:type="dxa"/>
                  <w:vAlign w:val="center"/>
                </w:tcPr>
                <w:p>
                  <w:pPr>
                    <w:pStyle w:val="40"/>
                    <w:spacing w:before="24" w:after="24"/>
                    <w:rPr>
                      <w:rFonts w:ascii="Times New Roman"/>
                      <w:szCs w:val="21"/>
                    </w:rPr>
                  </w:pPr>
                  <w:r>
                    <w:rPr>
                      <w:rFonts w:hint="eastAsia" w:ascii="Times New Roman"/>
                      <w:szCs w:val="21"/>
                    </w:rPr>
                    <w:t>1.1664</w:t>
                  </w:r>
                </w:p>
              </w:tc>
              <w:tc>
                <w:tcPr>
                  <w:tcW w:w="1195" w:type="dxa"/>
                  <w:vAlign w:val="center"/>
                </w:tcPr>
                <w:p>
                  <w:pPr>
                    <w:pStyle w:val="40"/>
                    <w:spacing w:before="24" w:after="24"/>
                    <w:rPr>
                      <w:rFonts w:ascii="Times New Roman"/>
                      <w:szCs w:val="21"/>
                    </w:rPr>
                  </w:pPr>
                  <w:r>
                    <w:rPr>
                      <w:rFonts w:hint="eastAsia" w:ascii="Times New Roman"/>
                      <w:szCs w:val="21"/>
                    </w:rPr>
                    <w:t>60</w:t>
                  </w:r>
                </w:p>
              </w:tc>
              <w:tc>
                <w:tcPr>
                  <w:tcW w:w="1943" w:type="dxa"/>
                  <w:vAlign w:val="center"/>
                </w:tcPr>
                <w:p>
                  <w:pPr>
                    <w:pStyle w:val="40"/>
                    <w:spacing w:before="24" w:after="24"/>
                    <w:ind w:left="0" w:leftChars="0" w:firstLine="0" w:firstLineChars="0"/>
                    <w:jc w:val="both"/>
                    <w:rPr>
                      <w:rFonts w:ascii="Times New Roman"/>
                      <w:szCs w:val="21"/>
                    </w:rPr>
                  </w:pPr>
                  <w:r>
                    <w:rPr>
                      <w:rFonts w:ascii="Times New Roman"/>
                      <w:szCs w:val="21"/>
                    </w:rPr>
                    <w:t>《</w:t>
                  </w:r>
                  <w:r>
                    <w:rPr>
                      <w:rFonts w:hint="eastAsia" w:ascii="Times New Roman"/>
                      <w:szCs w:val="21"/>
                    </w:rPr>
                    <w:t>合成树脂工业</w:t>
                  </w:r>
                  <w:r>
                    <w:rPr>
                      <w:rFonts w:ascii="Times New Roman"/>
                      <w:szCs w:val="21"/>
                    </w:rPr>
                    <w:t>污染物排放标准》（GB</w:t>
                  </w:r>
                  <w:r>
                    <w:rPr>
                      <w:rFonts w:hint="eastAsia" w:ascii="Times New Roman"/>
                      <w:szCs w:val="21"/>
                    </w:rPr>
                    <w:t>31572</w:t>
                  </w:r>
                  <w:r>
                    <w:rPr>
                      <w:rFonts w:ascii="Times New Roman"/>
                      <w:szCs w:val="21"/>
                    </w:rPr>
                    <w:t>-</w:t>
                  </w:r>
                  <w:r>
                    <w:rPr>
                      <w:rFonts w:hint="eastAsia" w:ascii="Times New Roman"/>
                      <w:szCs w:val="21"/>
                    </w:rPr>
                    <w:t>2015</w:t>
                  </w:r>
                  <w:r>
                    <w:rPr>
                      <w:rFonts w:ascii="Times New Roman"/>
                      <w:szCs w:val="21"/>
                    </w:rPr>
                    <w:t>）表</w:t>
                  </w:r>
                  <w:r>
                    <w:rPr>
                      <w:rFonts w:hint="eastAsia" w:ascii="Times New Roman"/>
                      <w:szCs w:val="21"/>
                    </w:rPr>
                    <w:t>5中有组织非甲烷总烃特别</w:t>
                  </w:r>
                  <w:r>
                    <w:rPr>
                      <w:rFonts w:hint="eastAsia" w:ascii="Times New Roman"/>
                    </w:rPr>
                    <w:t>排放限值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83" w:type="dxa"/>
                  <w:vAlign w:val="center"/>
                </w:tcPr>
                <w:p>
                  <w:pPr>
                    <w:pStyle w:val="40"/>
                    <w:spacing w:before="24" w:after="24"/>
                    <w:ind w:left="0" w:leftChars="0" w:firstLine="0" w:firstLineChars="0"/>
                    <w:jc w:val="both"/>
                    <w:rPr>
                      <w:rFonts w:ascii="Times New Roman"/>
                      <w:szCs w:val="21"/>
                    </w:rPr>
                  </w:pPr>
                  <w:r>
                    <w:rPr>
                      <w:rFonts w:ascii="Times New Roman"/>
                      <w:szCs w:val="21"/>
                    </w:rPr>
                    <w:t>水污染物</w:t>
                  </w:r>
                </w:p>
              </w:tc>
              <w:tc>
                <w:tcPr>
                  <w:tcW w:w="544" w:type="dxa"/>
                  <w:vAlign w:val="center"/>
                </w:tcPr>
                <w:p>
                  <w:pPr>
                    <w:pStyle w:val="40"/>
                    <w:spacing w:before="24" w:after="24"/>
                    <w:ind w:left="0" w:leftChars="0" w:firstLine="0" w:firstLineChars="0"/>
                    <w:jc w:val="both"/>
                    <w:rPr>
                      <w:rFonts w:ascii="Times New Roman"/>
                      <w:szCs w:val="21"/>
                    </w:rPr>
                  </w:pPr>
                  <w:r>
                    <w:rPr>
                      <w:rFonts w:hint="eastAsia" w:ascii="Times New Roman"/>
                      <w:szCs w:val="21"/>
                    </w:rPr>
                    <w:t>工作人员</w:t>
                  </w:r>
                </w:p>
              </w:tc>
              <w:tc>
                <w:tcPr>
                  <w:tcW w:w="707" w:type="dxa"/>
                  <w:vAlign w:val="center"/>
                </w:tcPr>
                <w:p>
                  <w:pPr>
                    <w:jc w:val="center"/>
                    <w:rPr>
                      <w:szCs w:val="21"/>
                    </w:rPr>
                  </w:pPr>
                  <w:r>
                    <w:rPr>
                      <w:rFonts w:hint="eastAsia"/>
                      <w:szCs w:val="21"/>
                    </w:rPr>
                    <w:t>生活污水</w:t>
                  </w:r>
                </w:p>
              </w:tc>
              <w:tc>
                <w:tcPr>
                  <w:tcW w:w="569" w:type="dxa"/>
                  <w:vAlign w:val="center"/>
                </w:tcPr>
                <w:p>
                  <w:pPr>
                    <w:pStyle w:val="40"/>
                    <w:spacing w:before="24" w:after="24"/>
                    <w:ind w:left="0" w:leftChars="0" w:firstLine="0" w:firstLineChars="0"/>
                    <w:jc w:val="both"/>
                    <w:rPr>
                      <w:rFonts w:ascii="Times New Roman"/>
                      <w:szCs w:val="21"/>
                    </w:rPr>
                  </w:pPr>
                  <w:r>
                    <w:rPr>
                      <w:rFonts w:ascii="Times New Roman"/>
                      <w:szCs w:val="21"/>
                    </w:rPr>
                    <w:t>连续排放</w:t>
                  </w:r>
                </w:p>
              </w:tc>
              <w:tc>
                <w:tcPr>
                  <w:tcW w:w="851" w:type="dxa"/>
                  <w:vAlign w:val="center"/>
                </w:tcPr>
                <w:p>
                  <w:pPr>
                    <w:pStyle w:val="40"/>
                    <w:spacing w:before="24" w:after="24"/>
                    <w:ind w:left="0" w:leftChars="0" w:firstLine="0" w:firstLineChars="0"/>
                    <w:jc w:val="both"/>
                    <w:rPr>
                      <w:rFonts w:ascii="Times New Roman"/>
                      <w:szCs w:val="21"/>
                    </w:rPr>
                  </w:pPr>
                  <w:r>
                    <w:rPr>
                      <w:rFonts w:hint="eastAsia" w:ascii="Times New Roman"/>
                      <w:szCs w:val="21"/>
                    </w:rPr>
                    <w:t>排入污水管网，进入昌吉市污水处理厂处理</w:t>
                  </w:r>
                </w:p>
              </w:tc>
              <w:tc>
                <w:tcPr>
                  <w:tcW w:w="1195" w:type="dxa"/>
                  <w:vAlign w:val="center"/>
                </w:tcPr>
                <w:p>
                  <w:pPr>
                    <w:jc w:val="center"/>
                    <w:rPr>
                      <w:szCs w:val="21"/>
                    </w:rPr>
                  </w:pPr>
                  <w:r>
                    <w:rPr>
                      <w:rFonts w:hint="eastAsia"/>
                      <w:szCs w:val="21"/>
                    </w:rPr>
                    <w:t>/</w:t>
                  </w:r>
                </w:p>
              </w:tc>
              <w:tc>
                <w:tcPr>
                  <w:tcW w:w="871" w:type="dxa"/>
                  <w:vAlign w:val="center"/>
                </w:tcPr>
                <w:p>
                  <w:pPr>
                    <w:jc w:val="center"/>
                    <w:rPr>
                      <w:szCs w:val="21"/>
                    </w:rPr>
                  </w:pPr>
                  <w:r>
                    <w:rPr>
                      <w:rFonts w:hint="eastAsia"/>
                      <w:szCs w:val="21"/>
                    </w:rPr>
                    <w:t>153.6</w:t>
                  </w:r>
                </w:p>
              </w:tc>
              <w:tc>
                <w:tcPr>
                  <w:tcW w:w="1195" w:type="dxa"/>
                  <w:vAlign w:val="center"/>
                </w:tcPr>
                <w:p>
                  <w:pPr>
                    <w:pStyle w:val="40"/>
                    <w:spacing w:before="24" w:after="24"/>
                    <w:rPr>
                      <w:rFonts w:ascii="Times New Roman"/>
                      <w:szCs w:val="21"/>
                    </w:rPr>
                  </w:pPr>
                  <w:r>
                    <w:rPr>
                      <w:rFonts w:hint="eastAsia" w:ascii="Times New Roman"/>
                      <w:szCs w:val="21"/>
                    </w:rPr>
                    <w:t>/</w:t>
                  </w:r>
                </w:p>
              </w:tc>
              <w:tc>
                <w:tcPr>
                  <w:tcW w:w="1943" w:type="dxa"/>
                  <w:vAlign w:val="center"/>
                </w:tcPr>
                <w:p>
                  <w:pPr>
                    <w:pStyle w:val="40"/>
                    <w:spacing w:before="24" w:after="24"/>
                    <w:rPr>
                      <w:rFonts w:ascii="Times New Roman"/>
                      <w:szCs w:val="21"/>
                    </w:rPr>
                  </w:pPr>
                  <w:r>
                    <w:rPr>
                      <w:rFonts w:hint="eastAsia" w:ascii="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583" w:type="dxa"/>
                  <w:vMerge w:val="restart"/>
                  <w:vAlign w:val="center"/>
                </w:tcPr>
                <w:p>
                  <w:pPr>
                    <w:pStyle w:val="40"/>
                    <w:spacing w:before="24" w:after="24"/>
                    <w:ind w:left="0" w:leftChars="0" w:firstLine="0" w:firstLineChars="0"/>
                    <w:jc w:val="both"/>
                    <w:rPr>
                      <w:rFonts w:ascii="Times New Roman"/>
                      <w:szCs w:val="21"/>
                    </w:rPr>
                  </w:pPr>
                  <w:r>
                    <w:rPr>
                      <w:rFonts w:ascii="Times New Roman"/>
                      <w:szCs w:val="21"/>
                    </w:rPr>
                    <w:t>固体废物</w:t>
                  </w:r>
                </w:p>
              </w:tc>
              <w:tc>
                <w:tcPr>
                  <w:tcW w:w="1820" w:type="dxa"/>
                  <w:gridSpan w:val="3"/>
                  <w:vAlign w:val="center"/>
                </w:tcPr>
                <w:p>
                  <w:pPr>
                    <w:jc w:val="center"/>
                    <w:rPr>
                      <w:szCs w:val="21"/>
                    </w:rPr>
                  </w:pPr>
                  <w:r>
                    <w:rPr>
                      <w:szCs w:val="21"/>
                    </w:rPr>
                    <w:t>生活垃圾</w:t>
                  </w:r>
                </w:p>
              </w:tc>
              <w:tc>
                <w:tcPr>
                  <w:tcW w:w="4112" w:type="dxa"/>
                  <w:gridSpan w:val="4"/>
                  <w:vAlign w:val="center"/>
                </w:tcPr>
                <w:p>
                  <w:pPr>
                    <w:pStyle w:val="40"/>
                    <w:spacing w:before="24" w:after="24"/>
                    <w:rPr>
                      <w:rFonts w:ascii="Times New Roman"/>
                      <w:szCs w:val="21"/>
                    </w:rPr>
                  </w:pPr>
                  <w:r>
                    <w:rPr>
                      <w:rFonts w:hint="eastAsia" w:ascii="Times New Roman"/>
                      <w:szCs w:val="21"/>
                    </w:rPr>
                    <w:t>集中收集后由环卫部门清运处置</w:t>
                  </w:r>
                </w:p>
              </w:tc>
              <w:tc>
                <w:tcPr>
                  <w:tcW w:w="1943" w:type="dxa"/>
                  <w:vAlign w:val="center"/>
                </w:tcPr>
                <w:p>
                  <w:pPr>
                    <w:pStyle w:val="40"/>
                    <w:spacing w:before="24" w:after="24"/>
                    <w:rPr>
                      <w:rFonts w:ascii="Times New Roman"/>
                      <w:szCs w:val="21"/>
                    </w:rPr>
                  </w:pPr>
                  <w:r>
                    <w:rPr>
                      <w:rFonts w:hint="eastAsia" w:ascii="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583" w:type="dxa"/>
                  <w:vMerge w:val="continue"/>
                  <w:vAlign w:val="center"/>
                </w:tcPr>
                <w:p>
                  <w:pPr>
                    <w:pStyle w:val="40"/>
                    <w:spacing w:before="24" w:after="24"/>
                    <w:rPr>
                      <w:rFonts w:ascii="Times New Roman"/>
                      <w:szCs w:val="21"/>
                    </w:rPr>
                  </w:pPr>
                </w:p>
              </w:tc>
              <w:tc>
                <w:tcPr>
                  <w:tcW w:w="1251" w:type="dxa"/>
                  <w:gridSpan w:val="2"/>
                  <w:vAlign w:val="center"/>
                </w:tcPr>
                <w:p>
                  <w:pPr>
                    <w:jc w:val="center"/>
                    <w:rPr>
                      <w:kern w:val="0"/>
                      <w:szCs w:val="21"/>
                    </w:rPr>
                  </w:pPr>
                  <w:r>
                    <w:rPr>
                      <w:rFonts w:hint="eastAsia"/>
                      <w:kern w:val="0"/>
                      <w:szCs w:val="21"/>
                    </w:rPr>
                    <w:t>不合格品</w:t>
                  </w:r>
                </w:p>
              </w:tc>
              <w:tc>
                <w:tcPr>
                  <w:tcW w:w="569" w:type="dxa"/>
                  <w:vAlign w:val="center"/>
                </w:tcPr>
                <w:p>
                  <w:pPr>
                    <w:jc w:val="center"/>
                    <w:rPr>
                      <w:szCs w:val="21"/>
                    </w:rPr>
                  </w:pPr>
                  <w:r>
                    <w:rPr>
                      <w:szCs w:val="21"/>
                    </w:rPr>
                    <w:t>一般</w:t>
                  </w:r>
                </w:p>
                <w:p>
                  <w:pPr>
                    <w:jc w:val="center"/>
                    <w:rPr>
                      <w:szCs w:val="21"/>
                    </w:rPr>
                  </w:pPr>
                  <w:r>
                    <w:rPr>
                      <w:szCs w:val="21"/>
                    </w:rPr>
                    <w:t>固废</w:t>
                  </w:r>
                </w:p>
              </w:tc>
              <w:tc>
                <w:tcPr>
                  <w:tcW w:w="4112" w:type="dxa"/>
                  <w:gridSpan w:val="4"/>
                  <w:vAlign w:val="center"/>
                </w:tcPr>
                <w:p>
                  <w:pPr>
                    <w:spacing w:line="360" w:lineRule="exact"/>
                    <w:jc w:val="center"/>
                    <w:rPr>
                      <w:szCs w:val="21"/>
                    </w:rPr>
                  </w:pPr>
                  <w:r>
                    <w:rPr>
                      <w:rFonts w:hint="eastAsia"/>
                      <w:szCs w:val="21"/>
                    </w:rPr>
                    <w:t>回用于生产</w:t>
                  </w:r>
                </w:p>
              </w:tc>
              <w:tc>
                <w:tcPr>
                  <w:tcW w:w="1943" w:type="dxa"/>
                  <w:vAlign w:val="center"/>
                </w:tcPr>
                <w:p>
                  <w:pPr>
                    <w:pStyle w:val="40"/>
                    <w:spacing w:before="24" w:after="24"/>
                    <w:rPr>
                      <w:rFonts w:ascii="Times New Roman"/>
                      <w:szCs w:val="21"/>
                    </w:rPr>
                  </w:pPr>
                  <w:r>
                    <w:rPr>
                      <w:rFonts w:hint="eastAsia" w:ascii="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583" w:type="dxa"/>
                  <w:vMerge w:val="continue"/>
                  <w:vAlign w:val="center"/>
                </w:tcPr>
                <w:p>
                  <w:pPr>
                    <w:pStyle w:val="40"/>
                    <w:spacing w:before="24" w:after="24"/>
                    <w:rPr>
                      <w:rFonts w:ascii="Times New Roman"/>
                      <w:szCs w:val="21"/>
                    </w:rPr>
                  </w:pPr>
                </w:p>
              </w:tc>
              <w:tc>
                <w:tcPr>
                  <w:tcW w:w="1251" w:type="dxa"/>
                  <w:gridSpan w:val="2"/>
                  <w:vAlign w:val="center"/>
                </w:tcPr>
                <w:p>
                  <w:pPr>
                    <w:jc w:val="center"/>
                    <w:rPr>
                      <w:kern w:val="0"/>
                      <w:szCs w:val="21"/>
                    </w:rPr>
                  </w:pPr>
                  <w:r>
                    <w:rPr>
                      <w:rFonts w:hint="eastAsia"/>
                      <w:kern w:val="0"/>
                      <w:szCs w:val="21"/>
                    </w:rPr>
                    <w:t>废活性炭</w:t>
                  </w:r>
                </w:p>
              </w:tc>
              <w:tc>
                <w:tcPr>
                  <w:tcW w:w="569" w:type="dxa"/>
                  <w:vMerge w:val="restart"/>
                  <w:vAlign w:val="center"/>
                </w:tcPr>
                <w:p>
                  <w:pPr>
                    <w:jc w:val="center"/>
                    <w:rPr>
                      <w:szCs w:val="21"/>
                    </w:rPr>
                  </w:pPr>
                  <w:r>
                    <w:rPr>
                      <w:szCs w:val="21"/>
                    </w:rPr>
                    <w:t>危险</w:t>
                  </w:r>
                </w:p>
                <w:p>
                  <w:pPr>
                    <w:jc w:val="center"/>
                    <w:rPr>
                      <w:szCs w:val="21"/>
                    </w:rPr>
                  </w:pPr>
                  <w:r>
                    <w:rPr>
                      <w:szCs w:val="21"/>
                    </w:rPr>
                    <w:t>废物</w:t>
                  </w:r>
                </w:p>
              </w:tc>
              <w:tc>
                <w:tcPr>
                  <w:tcW w:w="4112" w:type="dxa"/>
                  <w:gridSpan w:val="4"/>
                  <w:vMerge w:val="restart"/>
                  <w:vAlign w:val="center"/>
                </w:tcPr>
                <w:p>
                  <w:pPr>
                    <w:pStyle w:val="40"/>
                    <w:spacing w:before="24" w:after="24"/>
                    <w:rPr>
                      <w:rFonts w:ascii="Times New Roman"/>
                      <w:szCs w:val="21"/>
                    </w:rPr>
                  </w:pPr>
                  <w:r>
                    <w:rPr>
                      <w:rFonts w:hint="eastAsia" w:ascii="Times New Roman"/>
                      <w:szCs w:val="21"/>
                    </w:rPr>
                    <w:t>委托有</w:t>
                  </w:r>
                  <w:r>
                    <w:rPr>
                      <w:rFonts w:ascii="Times New Roman"/>
                      <w:szCs w:val="21"/>
                    </w:rPr>
                    <w:t>资质的单位处理</w:t>
                  </w:r>
                </w:p>
              </w:tc>
              <w:tc>
                <w:tcPr>
                  <w:tcW w:w="1943" w:type="dxa"/>
                  <w:vMerge w:val="restart"/>
                  <w:vAlign w:val="center"/>
                </w:tcPr>
                <w:p>
                  <w:pPr>
                    <w:pStyle w:val="40"/>
                    <w:spacing w:before="24" w:after="24"/>
                    <w:ind w:left="0" w:leftChars="0" w:firstLine="0" w:firstLineChars="0"/>
                    <w:jc w:val="both"/>
                    <w:rPr>
                      <w:rFonts w:ascii="Times New Roman"/>
                      <w:szCs w:val="21"/>
                    </w:rPr>
                  </w:pPr>
                  <w:r>
                    <w:rPr>
                      <w:rFonts w:ascii="Times New Roman"/>
                      <w:szCs w:val="21"/>
                    </w:rPr>
                    <w:t>《危险废物贮存污染控制标准》（GB18597-20</w:t>
                  </w:r>
                  <w:r>
                    <w:rPr>
                      <w:rFonts w:hint="eastAsia" w:ascii="Times New Roman"/>
                      <w:szCs w:val="21"/>
                    </w:rPr>
                    <w:t>23</w:t>
                  </w:r>
                  <w:r>
                    <w:rPr>
                      <w:rFonts w:ascii="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583" w:type="dxa"/>
                  <w:vMerge w:val="continue"/>
                  <w:tcBorders>
                    <w:bottom w:val="single" w:color="auto" w:sz="12" w:space="0"/>
                  </w:tcBorders>
                  <w:vAlign w:val="center"/>
                </w:tcPr>
                <w:p>
                  <w:pPr>
                    <w:pStyle w:val="40"/>
                    <w:spacing w:before="24" w:after="24"/>
                    <w:rPr>
                      <w:rFonts w:ascii="Times New Roman"/>
                      <w:szCs w:val="21"/>
                    </w:rPr>
                  </w:pPr>
                </w:p>
              </w:tc>
              <w:tc>
                <w:tcPr>
                  <w:tcW w:w="1251" w:type="dxa"/>
                  <w:gridSpan w:val="2"/>
                  <w:tcBorders>
                    <w:bottom w:val="single" w:color="auto" w:sz="12" w:space="0"/>
                  </w:tcBorders>
                  <w:vAlign w:val="center"/>
                </w:tcPr>
                <w:p>
                  <w:pPr>
                    <w:jc w:val="center"/>
                    <w:rPr>
                      <w:kern w:val="0"/>
                      <w:szCs w:val="21"/>
                    </w:rPr>
                  </w:pPr>
                  <w:r>
                    <w:rPr>
                      <w:rFonts w:hint="eastAsia"/>
                      <w:kern w:val="0"/>
                      <w:szCs w:val="21"/>
                    </w:rPr>
                    <w:t>废润滑油</w:t>
                  </w:r>
                </w:p>
              </w:tc>
              <w:tc>
                <w:tcPr>
                  <w:tcW w:w="569" w:type="dxa"/>
                  <w:vMerge w:val="continue"/>
                  <w:tcBorders>
                    <w:bottom w:val="single" w:color="auto" w:sz="12" w:space="0"/>
                  </w:tcBorders>
                  <w:vAlign w:val="center"/>
                </w:tcPr>
                <w:p>
                  <w:pPr>
                    <w:jc w:val="center"/>
                    <w:rPr>
                      <w:szCs w:val="21"/>
                    </w:rPr>
                  </w:pPr>
                </w:p>
              </w:tc>
              <w:tc>
                <w:tcPr>
                  <w:tcW w:w="4112" w:type="dxa"/>
                  <w:gridSpan w:val="4"/>
                  <w:vMerge w:val="continue"/>
                  <w:tcBorders>
                    <w:bottom w:val="single" w:color="auto" w:sz="12" w:space="0"/>
                  </w:tcBorders>
                  <w:vAlign w:val="center"/>
                </w:tcPr>
                <w:p>
                  <w:pPr>
                    <w:pStyle w:val="40"/>
                    <w:spacing w:before="24" w:after="24"/>
                    <w:rPr>
                      <w:rFonts w:ascii="Times New Roman"/>
                      <w:szCs w:val="21"/>
                    </w:rPr>
                  </w:pPr>
                </w:p>
              </w:tc>
              <w:tc>
                <w:tcPr>
                  <w:tcW w:w="1943" w:type="dxa"/>
                  <w:vMerge w:val="continue"/>
                  <w:tcBorders>
                    <w:bottom w:val="single" w:color="auto" w:sz="12" w:space="0"/>
                  </w:tcBorders>
                  <w:vAlign w:val="center"/>
                </w:tcPr>
                <w:p>
                  <w:pPr>
                    <w:pStyle w:val="40"/>
                    <w:spacing w:before="24" w:after="24"/>
                    <w:rPr>
                      <w:rFonts w:ascii="Times New Roman"/>
                      <w:szCs w:val="21"/>
                    </w:rPr>
                  </w:pPr>
                </w:p>
              </w:tc>
            </w:tr>
          </w:tbl>
          <w:p>
            <w:pPr>
              <w:rPr>
                <w:rFonts w:hint="eastAsia"/>
              </w:rPr>
            </w:pPr>
          </w:p>
          <w:p>
            <w:pPr>
              <w:spacing w:line="480" w:lineRule="exact"/>
              <w:ind w:firstLine="480" w:firstLineChars="200"/>
              <w:rPr>
                <w:sz w:val="24"/>
              </w:rPr>
            </w:pPr>
            <w:r>
              <w:rPr>
                <w:rFonts w:hint="eastAsia" w:hAnsi="宋体"/>
                <w:sz w:val="24"/>
                <w:lang w:val="en-US" w:eastAsia="zh-CN"/>
              </w:rPr>
              <w:t>6</w:t>
            </w:r>
            <w:r>
              <w:rPr>
                <w:rFonts w:hAnsi="宋体"/>
                <w:sz w:val="24"/>
              </w:rPr>
              <w:t>、环境风险</w:t>
            </w:r>
            <w:r>
              <w:rPr>
                <w:rFonts w:hint="eastAsia" w:hAnsi="宋体"/>
                <w:sz w:val="24"/>
              </w:rPr>
              <w:t>分析</w:t>
            </w:r>
          </w:p>
          <w:p>
            <w:pPr>
              <w:spacing w:line="480" w:lineRule="exact"/>
              <w:ind w:firstLine="480" w:firstLineChars="200"/>
              <w:rPr>
                <w:sz w:val="24"/>
              </w:rPr>
            </w:pPr>
            <w:bookmarkStart w:id="2" w:name="_Toc194814935"/>
            <w:r>
              <w:rPr>
                <w:rFonts w:hint="eastAsia"/>
                <w:sz w:val="24"/>
              </w:rPr>
              <w:t>（1）环境风险评价目的</w:t>
            </w:r>
          </w:p>
          <w:p>
            <w:pPr>
              <w:spacing w:line="480" w:lineRule="exact"/>
              <w:ind w:firstLine="480" w:firstLineChars="200"/>
              <w:rPr>
                <w:sz w:val="24"/>
              </w:rPr>
            </w:pPr>
            <w:r>
              <w:rPr>
                <w:sz w:val="24"/>
              </w:rPr>
              <w:t>环境风险评价的目的是分析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spacing w:line="480" w:lineRule="exact"/>
              <w:ind w:firstLine="480" w:firstLineChars="200"/>
              <w:rPr>
                <w:rFonts w:hAnsi="宋体"/>
                <w:sz w:val="24"/>
              </w:rPr>
            </w:pPr>
            <w:bookmarkStart w:id="3" w:name="_Toc20720"/>
            <w:r>
              <w:rPr>
                <w:rFonts w:hint="eastAsia" w:hAnsi="宋体"/>
                <w:sz w:val="24"/>
              </w:rPr>
              <w:t>（2）风险</w:t>
            </w:r>
            <w:r>
              <w:rPr>
                <w:rFonts w:hAnsi="宋体"/>
                <w:sz w:val="24"/>
              </w:rPr>
              <w:t>调查</w:t>
            </w:r>
          </w:p>
          <w:p>
            <w:pPr>
              <w:spacing w:line="480" w:lineRule="exact"/>
              <w:ind w:firstLine="480" w:firstLineChars="200"/>
              <w:rPr>
                <w:rFonts w:hAnsi="宋体"/>
                <w:sz w:val="24"/>
              </w:rPr>
            </w:pPr>
            <w:r>
              <w:rPr>
                <w:rFonts w:hint="eastAsia" w:hAnsi="宋体"/>
                <w:sz w:val="24"/>
              </w:rPr>
              <w:t>根据《建设项目环境风险评价技术导则》（HJ169-2018）附录B中规定，本项目风险物质为</w:t>
            </w:r>
            <w:r>
              <w:rPr>
                <w:rFonts w:hAnsi="宋体"/>
                <w:sz w:val="24"/>
              </w:rPr>
              <w:t>油类物质（废</w:t>
            </w:r>
            <w:r>
              <w:rPr>
                <w:rFonts w:hint="eastAsia" w:hAnsi="宋体"/>
                <w:sz w:val="24"/>
              </w:rPr>
              <w:t>润滑油</w:t>
            </w:r>
            <w:r>
              <w:rPr>
                <w:rFonts w:hAnsi="宋体"/>
                <w:sz w:val="24"/>
              </w:rPr>
              <w:t>）</w:t>
            </w:r>
            <w:r>
              <w:rPr>
                <w:rFonts w:hint="eastAsia" w:hAnsi="宋体"/>
                <w:sz w:val="24"/>
              </w:rPr>
              <w:t>。</w:t>
            </w:r>
          </w:p>
          <w:p>
            <w:pPr>
              <w:spacing w:line="480" w:lineRule="exact"/>
              <w:ind w:firstLine="480" w:firstLineChars="200"/>
              <w:rPr>
                <w:rFonts w:hAnsi="宋体"/>
                <w:sz w:val="24"/>
              </w:rPr>
            </w:pPr>
            <w:r>
              <w:rPr>
                <w:rFonts w:hint="eastAsia" w:hAnsi="宋体"/>
                <w:sz w:val="24"/>
              </w:rPr>
              <w:t>（3）</w:t>
            </w:r>
            <w:r>
              <w:rPr>
                <w:rFonts w:hAnsi="宋体"/>
                <w:sz w:val="24"/>
              </w:rPr>
              <w:t>环境风险潜势初判</w:t>
            </w:r>
          </w:p>
          <w:p>
            <w:pPr>
              <w:spacing w:line="480" w:lineRule="exact"/>
              <w:ind w:firstLine="480" w:firstLineChars="200"/>
              <w:rPr>
                <w:rFonts w:hAnsi="宋体"/>
                <w:sz w:val="24"/>
              </w:rPr>
            </w:pPr>
            <w:r>
              <w:rPr>
                <w:rFonts w:hint="eastAsia" w:hAnsi="宋体"/>
                <w:sz w:val="24"/>
              </w:rPr>
              <w:t>1）</w:t>
            </w:r>
            <w:r>
              <w:rPr>
                <w:rFonts w:hAnsi="宋体"/>
                <w:sz w:val="24"/>
              </w:rPr>
              <w:t>危险物质数量与临界量比值（Q）</w:t>
            </w:r>
          </w:p>
          <w:p>
            <w:pPr>
              <w:spacing w:line="480" w:lineRule="exact"/>
              <w:ind w:firstLine="480" w:firstLineChars="200"/>
              <w:rPr>
                <w:rFonts w:hAnsi="宋体"/>
                <w:sz w:val="24"/>
              </w:rPr>
            </w:pPr>
            <w:r>
              <w:rPr>
                <w:rFonts w:hint="eastAsia" w:hAnsi="宋体"/>
                <w:sz w:val="24"/>
              </w:rPr>
              <w:t>根据《建设项目环境风险评价技术导则》（</w:t>
            </w:r>
            <w:r>
              <w:rPr>
                <w:rFonts w:hAnsi="宋体"/>
                <w:sz w:val="24"/>
              </w:rPr>
              <w:t>HJ169-2018</w:t>
            </w:r>
            <w:r>
              <w:rPr>
                <w:rFonts w:hint="eastAsia" w:hAnsi="宋体"/>
                <w:sz w:val="24"/>
              </w:rPr>
              <w:t>）和《危险化学品重大危险源辨识》（</w:t>
            </w:r>
            <w:r>
              <w:rPr>
                <w:rFonts w:hAnsi="宋体"/>
                <w:sz w:val="24"/>
              </w:rPr>
              <w:t>GB18218-2018</w:t>
            </w:r>
            <w:r>
              <w:rPr>
                <w:rFonts w:hint="eastAsia" w:hAnsi="宋体"/>
                <w:sz w:val="24"/>
              </w:rPr>
              <w:t>），危险化学品重大危险源是指</w:t>
            </w:r>
            <w:r>
              <w:rPr>
                <w:rFonts w:hAnsi="宋体"/>
                <w:sz w:val="24"/>
              </w:rPr>
              <w:t>“</w:t>
            </w:r>
            <w:r>
              <w:rPr>
                <w:rFonts w:hint="eastAsia" w:hAnsi="宋体"/>
                <w:sz w:val="24"/>
              </w:rPr>
              <w:t>长期地或临时地生产、加工、搬运、使用或储存危险化学品，且危险化学品的数量等于或</w:t>
            </w:r>
            <w:r>
              <w:rPr>
                <w:rFonts w:hAnsi="宋体"/>
                <w:sz w:val="24"/>
              </w:rPr>
              <w:t>超过临界量的单元”。计算所涉及的每种危险物质在厂界内的最大存在总量与其在附录B</w:t>
            </w:r>
            <w:r>
              <w:rPr>
                <w:rFonts w:hint="eastAsia" w:hAnsi="宋体"/>
                <w:sz w:val="24"/>
              </w:rPr>
              <w:t>中对应临界量的比值</w:t>
            </w:r>
            <w:r>
              <w:rPr>
                <w:rFonts w:hAnsi="宋体"/>
                <w:sz w:val="24"/>
              </w:rPr>
              <w:t>Q</w:t>
            </w:r>
            <w:r>
              <w:rPr>
                <w:rFonts w:hint="eastAsia" w:hAnsi="宋体"/>
                <w:sz w:val="24"/>
              </w:rPr>
              <w:t>。在不同厂区的同一种物质，按其在厂界内的最大存在总量计算。单元内存在的危险化学品的数量根据处理危险化学品的多少，区分为以下两种情况：</w:t>
            </w:r>
            <w:r>
              <w:rPr>
                <w:rFonts w:hAnsi="宋体"/>
                <w:sz w:val="24"/>
              </w:rPr>
              <w:t xml:space="preserve"> </w:t>
            </w:r>
          </w:p>
          <w:p>
            <w:pPr>
              <w:spacing w:line="480" w:lineRule="exact"/>
              <w:ind w:firstLine="480" w:firstLineChars="200"/>
              <w:rPr>
                <w:rFonts w:hAnsi="宋体"/>
                <w:sz w:val="24"/>
              </w:rPr>
            </w:pPr>
            <w:r>
              <w:rPr>
                <w:rFonts w:hint="eastAsia" w:hAnsi="宋体"/>
                <w:sz w:val="24"/>
              </w:rPr>
              <w:t>①当只涉及一种危险物质时，计算该物质的总量与其临界量比值，即为</w:t>
            </w:r>
            <w:r>
              <w:rPr>
                <w:rFonts w:hAnsi="宋体"/>
                <w:sz w:val="24"/>
              </w:rPr>
              <w:t>Q</w:t>
            </w:r>
            <w:r>
              <w:rPr>
                <w:rFonts w:hint="eastAsia" w:hAnsi="宋体"/>
                <w:sz w:val="24"/>
              </w:rPr>
              <w:t>；</w:t>
            </w:r>
          </w:p>
          <w:p>
            <w:pPr>
              <w:spacing w:line="480" w:lineRule="exact"/>
              <w:ind w:firstLine="480" w:firstLineChars="200"/>
              <w:rPr>
                <w:rFonts w:hAnsi="宋体"/>
                <w:sz w:val="24"/>
              </w:rPr>
            </w:pPr>
            <w:r>
              <w:rPr>
                <w:rFonts w:hint="eastAsia" w:hAnsi="宋体"/>
                <w:sz w:val="24"/>
              </w:rPr>
              <w:t>②当存在多种危险物质时，则按下式计算物质总量与其临界量比值（</w:t>
            </w:r>
            <w:r>
              <w:rPr>
                <w:rFonts w:hAnsi="宋体"/>
                <w:sz w:val="24"/>
              </w:rPr>
              <w:t>Q</w:t>
            </w:r>
            <w:r>
              <w:rPr>
                <w:rFonts w:hint="eastAsia" w:hAnsi="宋体"/>
                <w:sz w:val="24"/>
              </w:rPr>
              <w:t>）：</w:t>
            </w:r>
          </w:p>
          <w:p>
            <w:pPr>
              <w:spacing w:line="360" w:lineRule="auto"/>
              <w:ind w:firstLine="482" w:firstLineChars="200"/>
              <w:jc w:val="center"/>
              <w:rPr>
                <w:rFonts w:hAnsi="宋体"/>
                <w:b/>
                <w:bCs/>
                <w:sz w:val="24"/>
              </w:rPr>
            </w:pPr>
            <w:r>
              <w:rPr>
                <w:rFonts w:hAnsi="宋体"/>
                <w:b/>
                <w:bCs/>
                <w:sz w:val="24"/>
              </w:rPr>
              <w:drawing>
                <wp:inline distT="0" distB="0" distL="0" distR="0">
                  <wp:extent cx="1345565" cy="422910"/>
                  <wp:effectExtent l="19050" t="0" r="6985" b="0"/>
                  <wp:docPr id="78"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框 1046"/>
                          <pic:cNvPicPr>
                            <a:picLocks noChangeAspect="1" noChangeArrowheads="1"/>
                          </pic:cNvPicPr>
                        </pic:nvPicPr>
                        <pic:blipFill>
                          <a:blip r:embed="rId21" cstate="print"/>
                          <a:srcRect/>
                          <a:stretch>
                            <a:fillRect/>
                          </a:stretch>
                        </pic:blipFill>
                        <pic:spPr>
                          <a:xfrm>
                            <a:off x="0" y="0"/>
                            <a:ext cx="1345565" cy="422910"/>
                          </a:xfrm>
                          <a:prstGeom prst="rect">
                            <a:avLst/>
                          </a:prstGeom>
                          <a:noFill/>
                          <a:ln w="9525">
                            <a:noFill/>
                            <a:miter lim="800000"/>
                            <a:headEnd/>
                            <a:tailEnd/>
                          </a:ln>
                        </pic:spPr>
                      </pic:pic>
                    </a:graphicData>
                  </a:graphic>
                </wp:inline>
              </w:drawing>
            </w:r>
          </w:p>
          <w:p>
            <w:pPr>
              <w:spacing w:line="480" w:lineRule="exact"/>
              <w:ind w:firstLine="480" w:firstLineChars="200"/>
              <w:rPr>
                <w:rFonts w:hAnsi="宋体"/>
                <w:sz w:val="24"/>
              </w:rPr>
            </w:pPr>
            <w:r>
              <w:rPr>
                <w:rFonts w:hint="eastAsia" w:hAnsi="宋体"/>
                <w:sz w:val="24"/>
              </w:rPr>
              <w:t>式中：</w:t>
            </w:r>
            <w:r>
              <w:rPr>
                <w:rFonts w:hAnsi="宋体"/>
                <w:iCs/>
                <w:sz w:val="24"/>
              </w:rPr>
              <w:t>q</w:t>
            </w:r>
            <w:r>
              <w:rPr>
                <w:rFonts w:hAnsi="宋体"/>
                <w:iCs/>
                <w:sz w:val="24"/>
                <w:vertAlign w:val="subscript"/>
              </w:rPr>
              <w:t>1</w:t>
            </w:r>
            <w:r>
              <w:rPr>
                <w:rFonts w:hint="eastAsia" w:hAnsi="宋体"/>
                <w:sz w:val="24"/>
              </w:rPr>
              <w:t>，</w:t>
            </w:r>
            <w:r>
              <w:rPr>
                <w:rFonts w:hAnsi="宋体"/>
                <w:iCs/>
                <w:sz w:val="24"/>
              </w:rPr>
              <w:t>q</w:t>
            </w:r>
            <w:r>
              <w:rPr>
                <w:rFonts w:hAnsi="宋体"/>
                <w:iCs/>
                <w:sz w:val="24"/>
                <w:vertAlign w:val="subscript"/>
              </w:rPr>
              <w:t>2</w:t>
            </w:r>
            <w:r>
              <w:rPr>
                <w:rFonts w:hint="eastAsia" w:hAnsi="宋体"/>
                <w:sz w:val="24"/>
              </w:rPr>
              <w:t>，</w:t>
            </w:r>
            <w:r>
              <w:rPr>
                <w:rFonts w:hAnsi="宋体"/>
                <w:sz w:val="24"/>
              </w:rPr>
              <w:t>...</w:t>
            </w:r>
            <w:r>
              <w:rPr>
                <w:rFonts w:hint="eastAsia" w:hAnsi="宋体"/>
                <w:sz w:val="24"/>
              </w:rPr>
              <w:t>，</w:t>
            </w:r>
            <w:r>
              <w:rPr>
                <w:rFonts w:hAnsi="宋体"/>
                <w:iCs/>
                <w:sz w:val="24"/>
              </w:rPr>
              <w:t>q</w:t>
            </w:r>
            <w:r>
              <w:rPr>
                <w:rFonts w:hAnsi="宋体"/>
                <w:iCs/>
                <w:sz w:val="24"/>
                <w:vertAlign w:val="subscript"/>
              </w:rPr>
              <w:t>n</w:t>
            </w:r>
            <w:r>
              <w:rPr>
                <w:rFonts w:hAnsi="宋体"/>
                <w:sz w:val="24"/>
              </w:rPr>
              <w:t>——</w:t>
            </w:r>
            <w:r>
              <w:rPr>
                <w:rFonts w:hint="eastAsia" w:hAnsi="宋体"/>
                <w:sz w:val="24"/>
              </w:rPr>
              <w:t>每种危险物质的最大总存在量，</w:t>
            </w:r>
            <w:r>
              <w:rPr>
                <w:rFonts w:hAnsi="宋体"/>
                <w:sz w:val="24"/>
              </w:rPr>
              <w:t>t</w:t>
            </w:r>
            <w:r>
              <w:rPr>
                <w:rFonts w:hint="eastAsia" w:hAnsi="宋体"/>
                <w:sz w:val="24"/>
              </w:rPr>
              <w:t>；</w:t>
            </w:r>
            <w:r>
              <w:rPr>
                <w:rFonts w:hAnsi="宋体"/>
                <w:sz w:val="24"/>
              </w:rPr>
              <w:t xml:space="preserve"> </w:t>
            </w:r>
          </w:p>
          <w:p>
            <w:pPr>
              <w:spacing w:line="480" w:lineRule="exact"/>
              <w:ind w:firstLine="480" w:firstLineChars="200"/>
              <w:rPr>
                <w:rFonts w:hAnsi="宋体"/>
                <w:sz w:val="24"/>
              </w:rPr>
            </w:pPr>
            <w:r>
              <w:rPr>
                <w:rFonts w:hAnsi="宋体"/>
                <w:iCs/>
                <w:sz w:val="24"/>
              </w:rPr>
              <w:t>Q</w:t>
            </w:r>
            <w:r>
              <w:rPr>
                <w:rFonts w:hAnsi="宋体"/>
                <w:iCs/>
                <w:sz w:val="24"/>
                <w:vertAlign w:val="subscript"/>
              </w:rPr>
              <w:t>1</w:t>
            </w:r>
            <w:r>
              <w:rPr>
                <w:rFonts w:hint="eastAsia" w:hAnsi="宋体"/>
                <w:sz w:val="24"/>
              </w:rPr>
              <w:t>，</w:t>
            </w:r>
            <w:r>
              <w:rPr>
                <w:rFonts w:hAnsi="宋体"/>
                <w:iCs/>
                <w:sz w:val="24"/>
              </w:rPr>
              <w:t>Q</w:t>
            </w:r>
            <w:r>
              <w:rPr>
                <w:rFonts w:hAnsi="宋体"/>
                <w:iCs/>
                <w:sz w:val="24"/>
                <w:vertAlign w:val="subscript"/>
              </w:rPr>
              <w:t>2</w:t>
            </w:r>
            <w:r>
              <w:rPr>
                <w:rFonts w:hint="eastAsia" w:hAnsi="宋体"/>
                <w:sz w:val="24"/>
              </w:rPr>
              <w:t>，</w:t>
            </w:r>
            <w:r>
              <w:rPr>
                <w:rFonts w:hAnsi="宋体"/>
                <w:sz w:val="24"/>
              </w:rPr>
              <w:t>...</w:t>
            </w:r>
            <w:r>
              <w:rPr>
                <w:rFonts w:hint="eastAsia" w:hAnsi="宋体"/>
                <w:sz w:val="24"/>
              </w:rPr>
              <w:t>，</w:t>
            </w:r>
            <w:r>
              <w:rPr>
                <w:rFonts w:hAnsi="宋体"/>
                <w:iCs/>
                <w:sz w:val="24"/>
              </w:rPr>
              <w:t>Q</w:t>
            </w:r>
            <w:r>
              <w:rPr>
                <w:rFonts w:hAnsi="宋体"/>
                <w:iCs/>
                <w:sz w:val="24"/>
                <w:vertAlign w:val="subscript"/>
              </w:rPr>
              <w:t>n</w:t>
            </w:r>
            <w:r>
              <w:rPr>
                <w:rFonts w:hAnsi="宋体"/>
                <w:sz w:val="24"/>
              </w:rPr>
              <w:t>——</w:t>
            </w:r>
            <w:r>
              <w:rPr>
                <w:rFonts w:hint="eastAsia" w:hAnsi="宋体"/>
                <w:sz w:val="24"/>
              </w:rPr>
              <w:t>每种危险物质的临界量，</w:t>
            </w:r>
            <w:r>
              <w:rPr>
                <w:rFonts w:hAnsi="宋体"/>
                <w:sz w:val="24"/>
              </w:rPr>
              <w:t>t</w:t>
            </w:r>
            <w:r>
              <w:rPr>
                <w:rFonts w:hint="eastAsia" w:hAnsi="宋体"/>
                <w:sz w:val="24"/>
              </w:rPr>
              <w:t>；</w:t>
            </w:r>
            <w:r>
              <w:rPr>
                <w:rFonts w:hAnsi="宋体"/>
                <w:sz w:val="24"/>
              </w:rPr>
              <w:t xml:space="preserve"> </w:t>
            </w:r>
          </w:p>
          <w:p>
            <w:pPr>
              <w:spacing w:line="480" w:lineRule="exact"/>
              <w:ind w:firstLine="480" w:firstLineChars="200"/>
              <w:rPr>
                <w:rFonts w:hAnsi="宋体"/>
                <w:sz w:val="24"/>
              </w:rPr>
            </w:pPr>
            <w:r>
              <w:rPr>
                <w:rFonts w:hint="eastAsia" w:hAnsi="宋体"/>
                <w:sz w:val="24"/>
              </w:rPr>
              <w:t>当</w:t>
            </w:r>
            <w:r>
              <w:rPr>
                <w:rFonts w:hAnsi="宋体"/>
                <w:iCs/>
                <w:sz w:val="24"/>
              </w:rPr>
              <w:t>Q</w:t>
            </w:r>
            <w:r>
              <w:rPr>
                <w:rFonts w:hint="eastAsia" w:hAnsi="宋体"/>
                <w:sz w:val="24"/>
              </w:rPr>
              <w:t>＜</w:t>
            </w:r>
            <w:r>
              <w:rPr>
                <w:rFonts w:hAnsi="宋体"/>
                <w:sz w:val="24"/>
              </w:rPr>
              <w:t>1</w:t>
            </w:r>
            <w:r>
              <w:rPr>
                <w:rFonts w:hint="eastAsia" w:hAnsi="宋体"/>
                <w:sz w:val="24"/>
              </w:rPr>
              <w:t>时，该项目环境风险潜势为Ⅰ；</w:t>
            </w:r>
            <w:r>
              <w:rPr>
                <w:rFonts w:hAnsi="宋体"/>
                <w:sz w:val="24"/>
              </w:rPr>
              <w:t xml:space="preserve"> </w:t>
            </w:r>
          </w:p>
          <w:p>
            <w:pPr>
              <w:spacing w:line="480" w:lineRule="exact"/>
              <w:ind w:firstLine="480" w:firstLineChars="200"/>
              <w:rPr>
                <w:rFonts w:hAnsi="宋体"/>
                <w:sz w:val="24"/>
              </w:rPr>
            </w:pPr>
            <w:r>
              <w:rPr>
                <w:rFonts w:hint="eastAsia" w:hAnsi="宋体"/>
                <w:sz w:val="24"/>
              </w:rPr>
              <w:t>当</w:t>
            </w:r>
            <w:r>
              <w:rPr>
                <w:rFonts w:hAnsi="宋体"/>
                <w:iCs/>
                <w:sz w:val="24"/>
              </w:rPr>
              <w:t>Q</w:t>
            </w:r>
            <w:r>
              <w:rPr>
                <w:rFonts w:hint="eastAsia" w:hAnsi="宋体"/>
                <w:sz w:val="24"/>
              </w:rPr>
              <w:t>≥</w:t>
            </w:r>
            <w:r>
              <w:rPr>
                <w:rFonts w:hAnsi="宋体"/>
                <w:sz w:val="24"/>
              </w:rPr>
              <w:t>1</w:t>
            </w:r>
            <w:r>
              <w:rPr>
                <w:rFonts w:hint="eastAsia" w:hAnsi="宋体"/>
                <w:sz w:val="24"/>
              </w:rPr>
              <w:t>时，将</w:t>
            </w:r>
            <w:r>
              <w:rPr>
                <w:rFonts w:hAnsi="宋体"/>
                <w:iCs/>
                <w:sz w:val="24"/>
              </w:rPr>
              <w:t xml:space="preserve">Q </w:t>
            </w:r>
            <w:r>
              <w:rPr>
                <w:rFonts w:hint="eastAsia" w:hAnsi="宋体"/>
                <w:sz w:val="24"/>
              </w:rPr>
              <w:t>值划分为：</w:t>
            </w:r>
            <w:r>
              <w:rPr>
                <w:rFonts w:hAnsi="宋体"/>
                <w:sz w:val="24"/>
              </w:rPr>
              <w:t>1</w:t>
            </w:r>
            <w:r>
              <w:rPr>
                <w:rFonts w:hint="eastAsia" w:hAnsi="宋体"/>
                <w:sz w:val="24"/>
              </w:rPr>
              <w:t>≤</w:t>
            </w:r>
            <w:r>
              <w:rPr>
                <w:rFonts w:hAnsi="宋体"/>
                <w:sz w:val="24"/>
              </w:rPr>
              <w:t>Q</w:t>
            </w:r>
            <w:r>
              <w:rPr>
                <w:rFonts w:hint="eastAsia" w:hAnsi="宋体"/>
                <w:sz w:val="24"/>
              </w:rPr>
              <w:t>＜</w:t>
            </w:r>
            <w:r>
              <w:rPr>
                <w:rFonts w:hAnsi="宋体"/>
                <w:sz w:val="24"/>
              </w:rPr>
              <w:t>10</w:t>
            </w:r>
            <w:r>
              <w:rPr>
                <w:rFonts w:hint="eastAsia" w:hAnsi="宋体"/>
                <w:sz w:val="24"/>
              </w:rPr>
              <w:t>；</w:t>
            </w:r>
            <w:r>
              <w:rPr>
                <w:rFonts w:hAnsi="宋体"/>
                <w:sz w:val="24"/>
              </w:rPr>
              <w:t>10</w:t>
            </w:r>
            <w:r>
              <w:rPr>
                <w:rFonts w:hint="eastAsia" w:hAnsi="宋体"/>
                <w:sz w:val="24"/>
              </w:rPr>
              <w:t>≤</w:t>
            </w:r>
            <w:r>
              <w:rPr>
                <w:rFonts w:hAnsi="宋体"/>
                <w:sz w:val="24"/>
              </w:rPr>
              <w:t>Q</w:t>
            </w:r>
            <w:r>
              <w:rPr>
                <w:rFonts w:hint="eastAsia" w:hAnsi="宋体"/>
                <w:sz w:val="24"/>
              </w:rPr>
              <w:t>＜</w:t>
            </w:r>
            <w:r>
              <w:rPr>
                <w:rFonts w:hAnsi="宋体"/>
                <w:sz w:val="24"/>
              </w:rPr>
              <w:t>100</w:t>
            </w:r>
            <w:r>
              <w:rPr>
                <w:rFonts w:hint="eastAsia" w:hAnsi="宋体"/>
                <w:sz w:val="24"/>
              </w:rPr>
              <w:t>；</w:t>
            </w:r>
            <w:r>
              <w:rPr>
                <w:rFonts w:hAnsi="宋体"/>
                <w:iCs/>
                <w:sz w:val="24"/>
              </w:rPr>
              <w:t>Q</w:t>
            </w:r>
            <w:r>
              <w:rPr>
                <w:rFonts w:hint="eastAsia" w:hAnsi="宋体"/>
                <w:sz w:val="24"/>
              </w:rPr>
              <w:t>≥</w:t>
            </w:r>
            <w:r>
              <w:rPr>
                <w:rFonts w:hAnsi="宋体"/>
                <w:sz w:val="24"/>
              </w:rPr>
              <w:t>100</w:t>
            </w:r>
            <w:r>
              <w:rPr>
                <w:rFonts w:hint="eastAsia" w:hAnsi="宋体"/>
                <w:sz w:val="24"/>
              </w:rPr>
              <w:t>。</w:t>
            </w:r>
          </w:p>
          <w:p>
            <w:pPr>
              <w:spacing w:line="480" w:lineRule="exact"/>
              <w:ind w:firstLine="480" w:firstLineChars="200"/>
              <w:rPr>
                <w:rFonts w:hAnsi="宋体"/>
                <w:sz w:val="24"/>
                <w:lang w:bidi="en-US"/>
              </w:rPr>
            </w:pPr>
            <w:r>
              <w:rPr>
                <w:rFonts w:hint="eastAsia" w:hAnsi="宋体"/>
                <w:sz w:val="24"/>
              </w:rPr>
              <w:t>本项目</w:t>
            </w:r>
            <w:r>
              <w:rPr>
                <w:rFonts w:hAnsi="宋体"/>
                <w:sz w:val="24"/>
              </w:rPr>
              <w:t>涉及的</w:t>
            </w:r>
            <w:r>
              <w:rPr>
                <w:rFonts w:hint="eastAsia" w:hAnsi="宋体"/>
                <w:sz w:val="24"/>
              </w:rPr>
              <w:t>危</w:t>
            </w:r>
            <w:r>
              <w:rPr>
                <w:rFonts w:hAnsi="宋体"/>
                <w:sz w:val="24"/>
              </w:rPr>
              <w:t>险物质存在量与</w:t>
            </w:r>
            <w:r>
              <w:rPr>
                <w:rFonts w:hint="eastAsia" w:hAnsi="宋体"/>
                <w:sz w:val="24"/>
              </w:rPr>
              <w:t>临界</w:t>
            </w:r>
            <w:r>
              <w:rPr>
                <w:rFonts w:hAnsi="宋体"/>
                <w:sz w:val="24"/>
              </w:rPr>
              <w:t>量比值见表</w:t>
            </w:r>
            <w:r>
              <w:rPr>
                <w:rFonts w:hint="eastAsia" w:hAnsi="宋体"/>
                <w:sz w:val="24"/>
                <w:lang w:bidi="en-US"/>
              </w:rPr>
              <w:t>4-14。</w:t>
            </w:r>
          </w:p>
          <w:p>
            <w:pPr>
              <w:ind w:firstLine="420" w:firstLineChars="200"/>
              <w:rPr>
                <w:rFonts w:ascii="黑体" w:hAnsi="黑体" w:eastAsia="黑体"/>
              </w:rPr>
            </w:pPr>
            <w:r>
              <w:rPr>
                <w:rFonts w:hint="eastAsia" w:ascii="黑体" w:hAnsi="黑体" w:eastAsia="黑体"/>
              </w:rPr>
              <w:t>表</w:t>
            </w:r>
            <w:r>
              <w:rPr>
                <w:rFonts w:hint="eastAsia" w:ascii="黑体" w:hAnsi="黑体" w:eastAsia="黑体"/>
                <w:lang w:bidi="en-US"/>
              </w:rPr>
              <w:t xml:space="preserve">4-14         </w:t>
            </w:r>
            <w:r>
              <w:rPr>
                <w:rFonts w:hint="eastAsia" w:ascii="黑体" w:hAnsi="黑体" w:eastAsia="黑体"/>
              </w:rPr>
              <w:t xml:space="preserve">  危</w:t>
            </w:r>
            <w:r>
              <w:rPr>
                <w:rFonts w:ascii="黑体" w:hAnsi="黑体" w:eastAsia="黑体"/>
              </w:rPr>
              <w:t>险物质存在量与</w:t>
            </w:r>
            <w:r>
              <w:rPr>
                <w:rFonts w:hint="eastAsia" w:ascii="黑体" w:hAnsi="黑体" w:eastAsia="黑体"/>
              </w:rPr>
              <w:t>临界</w:t>
            </w:r>
            <w:r>
              <w:rPr>
                <w:rFonts w:ascii="黑体" w:hAnsi="黑体" w:eastAsia="黑体"/>
              </w:rPr>
              <w:t>量比值</w:t>
            </w:r>
            <w:r>
              <w:rPr>
                <w:rFonts w:hint="eastAsia" w:ascii="黑体" w:hAnsi="黑体" w:eastAsia="黑体"/>
              </w:rPr>
              <w:t>一览表</w:t>
            </w:r>
          </w:p>
          <w:tbl>
            <w:tblPr>
              <w:tblStyle w:val="25"/>
              <w:tblW w:w="8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20"/>
              <w:gridCol w:w="1496"/>
              <w:gridCol w:w="1579"/>
              <w:gridCol w:w="1569"/>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020" w:type="dxa"/>
                  <w:tcBorders>
                    <w:top w:val="single" w:color="auto" w:sz="12" w:space="0"/>
                    <w:left w:val="nil"/>
                  </w:tcBorders>
                  <w:vAlign w:val="center"/>
                </w:tcPr>
                <w:p>
                  <w:pPr>
                    <w:jc w:val="center"/>
                    <w:rPr>
                      <w:bCs/>
                      <w:szCs w:val="21"/>
                    </w:rPr>
                  </w:pPr>
                  <w:r>
                    <w:rPr>
                      <w:bCs/>
                      <w:szCs w:val="21"/>
                    </w:rPr>
                    <w:t>物质名称</w:t>
                  </w:r>
                </w:p>
              </w:tc>
              <w:tc>
                <w:tcPr>
                  <w:tcW w:w="1496" w:type="dxa"/>
                  <w:tcBorders>
                    <w:top w:val="single" w:color="auto" w:sz="12" w:space="0"/>
                  </w:tcBorders>
                  <w:vAlign w:val="center"/>
                </w:tcPr>
                <w:p>
                  <w:pPr>
                    <w:jc w:val="center"/>
                    <w:rPr>
                      <w:bCs/>
                      <w:szCs w:val="21"/>
                    </w:rPr>
                  </w:pPr>
                  <w:r>
                    <w:rPr>
                      <w:bCs/>
                      <w:szCs w:val="21"/>
                    </w:rPr>
                    <w:t>临界量</w:t>
                  </w:r>
                  <w:r>
                    <w:rPr>
                      <w:rFonts w:hint="eastAsia"/>
                      <w:bCs/>
                      <w:szCs w:val="21"/>
                    </w:rPr>
                    <w:t>（</w:t>
                  </w:r>
                  <w:r>
                    <w:rPr>
                      <w:bCs/>
                      <w:szCs w:val="21"/>
                    </w:rPr>
                    <w:t>Qi</w:t>
                  </w:r>
                  <w:r>
                    <w:rPr>
                      <w:rFonts w:hint="eastAsia"/>
                      <w:bCs/>
                      <w:szCs w:val="21"/>
                    </w:rPr>
                    <w:t>）</w:t>
                  </w:r>
                  <w:r>
                    <w:rPr>
                      <w:bCs/>
                      <w:szCs w:val="21"/>
                    </w:rPr>
                    <w:t xml:space="preserve"> </w:t>
                  </w:r>
                </w:p>
              </w:tc>
              <w:tc>
                <w:tcPr>
                  <w:tcW w:w="1579" w:type="dxa"/>
                  <w:tcBorders>
                    <w:top w:val="single" w:color="auto" w:sz="12" w:space="0"/>
                  </w:tcBorders>
                  <w:vAlign w:val="center"/>
                </w:tcPr>
                <w:p>
                  <w:pPr>
                    <w:jc w:val="center"/>
                    <w:rPr>
                      <w:bCs/>
                      <w:szCs w:val="21"/>
                    </w:rPr>
                  </w:pPr>
                  <w:r>
                    <w:rPr>
                      <w:bCs/>
                      <w:szCs w:val="21"/>
                    </w:rPr>
                    <w:t>存</w:t>
                  </w:r>
                  <w:r>
                    <w:rPr>
                      <w:rFonts w:hint="eastAsia"/>
                      <w:bCs/>
                      <w:szCs w:val="21"/>
                    </w:rPr>
                    <w:t>在</w:t>
                  </w:r>
                  <w:r>
                    <w:rPr>
                      <w:bCs/>
                      <w:szCs w:val="21"/>
                    </w:rPr>
                    <w:t>量</w:t>
                  </w:r>
                  <w:r>
                    <w:rPr>
                      <w:rFonts w:hint="eastAsia"/>
                      <w:bCs/>
                      <w:szCs w:val="21"/>
                    </w:rPr>
                    <w:t>（</w:t>
                  </w:r>
                  <w:r>
                    <w:rPr>
                      <w:bCs/>
                      <w:szCs w:val="21"/>
                    </w:rPr>
                    <w:t>qi</w:t>
                  </w:r>
                  <w:r>
                    <w:rPr>
                      <w:rFonts w:hint="eastAsia"/>
                      <w:bCs/>
                      <w:szCs w:val="21"/>
                    </w:rPr>
                    <w:t>）</w:t>
                  </w:r>
                </w:p>
              </w:tc>
              <w:tc>
                <w:tcPr>
                  <w:tcW w:w="1569" w:type="dxa"/>
                  <w:tcBorders>
                    <w:top w:val="single" w:color="auto" w:sz="12" w:space="0"/>
                  </w:tcBorders>
                  <w:vAlign w:val="center"/>
                </w:tcPr>
                <w:p>
                  <w:pPr>
                    <w:jc w:val="center"/>
                    <w:rPr>
                      <w:bCs/>
                      <w:szCs w:val="21"/>
                    </w:rPr>
                  </w:pPr>
                  <w:r>
                    <w:rPr>
                      <w:bCs/>
                      <w:szCs w:val="21"/>
                    </w:rPr>
                    <w:t>qi/Qi</w:t>
                  </w:r>
                </w:p>
              </w:tc>
              <w:tc>
                <w:tcPr>
                  <w:tcW w:w="1609" w:type="dxa"/>
                  <w:tcBorders>
                    <w:top w:val="single" w:color="auto" w:sz="12" w:space="0"/>
                    <w:right w:val="nil"/>
                  </w:tcBorders>
                  <w:vAlign w:val="center"/>
                </w:tcPr>
                <w:p>
                  <w:pPr>
                    <w:jc w:val="center"/>
                    <w:rPr>
                      <w:bCs/>
                      <w:szCs w:val="21"/>
                    </w:rPr>
                  </w:pPr>
                  <w:r>
                    <w:rPr>
                      <w:bCs/>
                      <w:szCs w:val="21"/>
                    </w:rPr>
                    <w:t>是否构成重</w:t>
                  </w:r>
                </w:p>
                <w:p>
                  <w:pPr>
                    <w:jc w:val="center"/>
                    <w:rPr>
                      <w:bCs/>
                      <w:szCs w:val="21"/>
                    </w:rPr>
                  </w:pPr>
                  <w:r>
                    <w:rPr>
                      <w:bCs/>
                      <w:szCs w:val="21"/>
                    </w:rPr>
                    <w:t>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020" w:type="dxa"/>
                  <w:tcBorders>
                    <w:left w:val="nil"/>
                  </w:tcBorders>
                  <w:vAlign w:val="center"/>
                </w:tcPr>
                <w:p>
                  <w:pPr>
                    <w:jc w:val="center"/>
                    <w:rPr>
                      <w:bCs/>
                      <w:szCs w:val="21"/>
                    </w:rPr>
                  </w:pPr>
                  <w:r>
                    <w:rPr>
                      <w:rFonts w:hint="eastAsia"/>
                      <w:bCs/>
                      <w:szCs w:val="21"/>
                    </w:rPr>
                    <w:t>油类</w:t>
                  </w:r>
                  <w:r>
                    <w:rPr>
                      <w:bCs/>
                      <w:szCs w:val="21"/>
                    </w:rPr>
                    <w:t>物质</w:t>
                  </w:r>
                  <w:r>
                    <w:rPr>
                      <w:rFonts w:hint="eastAsia"/>
                      <w:bCs/>
                      <w:szCs w:val="21"/>
                    </w:rPr>
                    <w:t>（废</w:t>
                  </w:r>
                  <w:r>
                    <w:rPr>
                      <w:bCs/>
                      <w:szCs w:val="21"/>
                    </w:rPr>
                    <w:t>润滑油</w:t>
                  </w:r>
                  <w:r>
                    <w:rPr>
                      <w:rFonts w:hint="eastAsia"/>
                      <w:bCs/>
                      <w:szCs w:val="21"/>
                    </w:rPr>
                    <w:t>）</w:t>
                  </w:r>
                </w:p>
              </w:tc>
              <w:tc>
                <w:tcPr>
                  <w:tcW w:w="1496" w:type="dxa"/>
                  <w:vAlign w:val="center"/>
                </w:tcPr>
                <w:p>
                  <w:pPr>
                    <w:jc w:val="center"/>
                    <w:rPr>
                      <w:bCs/>
                      <w:szCs w:val="21"/>
                    </w:rPr>
                  </w:pPr>
                  <w:r>
                    <w:rPr>
                      <w:bCs/>
                      <w:szCs w:val="21"/>
                    </w:rPr>
                    <w:t>2500t</w:t>
                  </w:r>
                </w:p>
              </w:tc>
              <w:tc>
                <w:tcPr>
                  <w:tcW w:w="1579" w:type="dxa"/>
                  <w:vAlign w:val="center"/>
                </w:tcPr>
                <w:p>
                  <w:pPr>
                    <w:jc w:val="center"/>
                    <w:rPr>
                      <w:bCs/>
                      <w:szCs w:val="21"/>
                    </w:rPr>
                  </w:pPr>
                  <w:r>
                    <w:rPr>
                      <w:rFonts w:hint="eastAsia"/>
                      <w:bCs/>
                      <w:szCs w:val="21"/>
                    </w:rPr>
                    <w:t>0.</w:t>
                  </w:r>
                  <w:r>
                    <w:rPr>
                      <w:bCs/>
                      <w:szCs w:val="21"/>
                    </w:rPr>
                    <w:t>0</w:t>
                  </w:r>
                  <w:r>
                    <w:rPr>
                      <w:rFonts w:hint="eastAsia"/>
                      <w:bCs/>
                      <w:szCs w:val="21"/>
                    </w:rPr>
                    <w:t>2</w:t>
                  </w:r>
                  <w:r>
                    <w:rPr>
                      <w:bCs/>
                      <w:szCs w:val="21"/>
                    </w:rPr>
                    <w:t>t</w:t>
                  </w:r>
                </w:p>
              </w:tc>
              <w:tc>
                <w:tcPr>
                  <w:tcW w:w="1569" w:type="dxa"/>
                  <w:vAlign w:val="center"/>
                </w:tcPr>
                <w:p>
                  <w:pPr>
                    <w:jc w:val="center"/>
                    <w:rPr>
                      <w:bCs/>
                      <w:szCs w:val="21"/>
                    </w:rPr>
                  </w:pPr>
                  <w:r>
                    <w:rPr>
                      <w:bCs/>
                      <w:szCs w:val="21"/>
                    </w:rPr>
                    <w:t>0.00000</w:t>
                  </w:r>
                  <w:r>
                    <w:rPr>
                      <w:rFonts w:hint="eastAsia"/>
                      <w:bCs/>
                      <w:szCs w:val="21"/>
                    </w:rPr>
                    <w:t>8</w:t>
                  </w:r>
                </w:p>
              </w:tc>
              <w:tc>
                <w:tcPr>
                  <w:tcW w:w="1609" w:type="dxa"/>
                  <w:vMerge w:val="restart"/>
                  <w:tcBorders>
                    <w:right w:val="nil"/>
                  </w:tcBorders>
                  <w:vAlign w:val="center"/>
                </w:tcPr>
                <w:p>
                  <w:pPr>
                    <w:jc w:val="center"/>
                    <w:rPr>
                      <w:bCs/>
                      <w:szCs w:val="21"/>
                    </w:rPr>
                  </w:pPr>
                  <w:r>
                    <w:rPr>
                      <w:bCs/>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2020" w:type="dxa"/>
                  <w:tcBorders>
                    <w:left w:val="nil"/>
                    <w:bottom w:val="single" w:color="auto" w:sz="12" w:space="0"/>
                  </w:tcBorders>
                  <w:vAlign w:val="center"/>
                </w:tcPr>
                <w:p>
                  <w:pPr>
                    <w:jc w:val="center"/>
                    <w:rPr>
                      <w:bCs/>
                      <w:szCs w:val="21"/>
                    </w:rPr>
                  </w:pPr>
                  <w:r>
                    <w:rPr>
                      <w:bCs/>
                      <w:szCs w:val="21"/>
                    </w:rPr>
                    <w:t>∑（qi/Qi）</w:t>
                  </w:r>
                </w:p>
              </w:tc>
              <w:tc>
                <w:tcPr>
                  <w:tcW w:w="1496" w:type="dxa"/>
                  <w:tcBorders>
                    <w:bottom w:val="single" w:color="auto" w:sz="12" w:space="0"/>
                  </w:tcBorders>
                  <w:vAlign w:val="center"/>
                </w:tcPr>
                <w:p>
                  <w:pPr>
                    <w:jc w:val="center"/>
                    <w:rPr>
                      <w:bCs/>
                      <w:szCs w:val="21"/>
                    </w:rPr>
                  </w:pPr>
                  <w:r>
                    <w:rPr>
                      <w:bCs/>
                      <w:szCs w:val="21"/>
                    </w:rPr>
                    <w:t>/</w:t>
                  </w:r>
                </w:p>
              </w:tc>
              <w:tc>
                <w:tcPr>
                  <w:tcW w:w="1579" w:type="dxa"/>
                  <w:tcBorders>
                    <w:bottom w:val="single" w:color="auto" w:sz="12" w:space="0"/>
                  </w:tcBorders>
                  <w:vAlign w:val="center"/>
                </w:tcPr>
                <w:p>
                  <w:pPr>
                    <w:jc w:val="center"/>
                    <w:rPr>
                      <w:bCs/>
                      <w:szCs w:val="21"/>
                    </w:rPr>
                  </w:pPr>
                  <w:r>
                    <w:rPr>
                      <w:bCs/>
                      <w:szCs w:val="21"/>
                    </w:rPr>
                    <w:t>/</w:t>
                  </w:r>
                </w:p>
              </w:tc>
              <w:tc>
                <w:tcPr>
                  <w:tcW w:w="1569" w:type="dxa"/>
                  <w:tcBorders>
                    <w:bottom w:val="single" w:color="auto" w:sz="12" w:space="0"/>
                  </w:tcBorders>
                  <w:vAlign w:val="center"/>
                </w:tcPr>
                <w:p>
                  <w:pPr>
                    <w:jc w:val="center"/>
                    <w:rPr>
                      <w:bCs/>
                      <w:szCs w:val="21"/>
                    </w:rPr>
                  </w:pPr>
                  <w:r>
                    <w:rPr>
                      <w:bCs/>
                      <w:szCs w:val="21"/>
                    </w:rPr>
                    <w:t>0.000</w:t>
                  </w:r>
                  <w:r>
                    <w:rPr>
                      <w:rFonts w:hint="eastAsia"/>
                      <w:bCs/>
                      <w:szCs w:val="21"/>
                    </w:rPr>
                    <w:t>008</w:t>
                  </w:r>
                </w:p>
              </w:tc>
              <w:tc>
                <w:tcPr>
                  <w:tcW w:w="1609" w:type="dxa"/>
                  <w:vMerge w:val="continue"/>
                  <w:tcBorders>
                    <w:bottom w:val="single" w:color="auto" w:sz="12" w:space="0"/>
                    <w:right w:val="nil"/>
                  </w:tcBorders>
                  <w:vAlign w:val="center"/>
                </w:tcPr>
                <w:p>
                  <w:pPr>
                    <w:jc w:val="center"/>
                    <w:rPr>
                      <w:bCs/>
                      <w:szCs w:val="21"/>
                    </w:rPr>
                  </w:pPr>
                </w:p>
              </w:tc>
            </w:tr>
          </w:tbl>
          <w:p>
            <w:pPr>
              <w:pStyle w:val="53"/>
              <w:spacing w:line="480" w:lineRule="exact"/>
            </w:pPr>
            <w:r>
              <w:rPr>
                <w:rFonts w:hint="eastAsia"/>
              </w:rPr>
              <w:t>本项目</w:t>
            </w:r>
            <w:r>
              <w:rPr>
                <w:rFonts w:hint="eastAsia"/>
                <w:bCs/>
              </w:rPr>
              <w:t>危险物质</w:t>
            </w:r>
            <w:r>
              <w:t>未构成重大危险源，</w:t>
            </w:r>
            <w:r>
              <w:rPr>
                <w:rFonts w:hint="eastAsia"/>
              </w:rPr>
              <w:t>其</w:t>
            </w:r>
            <w:r>
              <w:t>存在量</w:t>
            </w:r>
            <w:r>
              <w:rPr>
                <w:rFonts w:hint="eastAsia"/>
              </w:rPr>
              <w:t>和临界量比值（</w:t>
            </w:r>
            <w:r>
              <w:t>Q</w:t>
            </w:r>
            <w:r>
              <w:rPr>
                <w:rFonts w:hint="eastAsia"/>
              </w:rPr>
              <w:t>）＜</w:t>
            </w:r>
            <w:r>
              <w:t>1</w:t>
            </w:r>
            <w:r>
              <w:rPr>
                <w:rFonts w:hint="eastAsia"/>
              </w:rPr>
              <w:t>，则该项目环境风险潜势为</w:t>
            </w:r>
            <w:r>
              <w:t>I</w:t>
            </w:r>
            <w:r>
              <w:rPr>
                <w:rFonts w:hint="eastAsia"/>
              </w:rPr>
              <w:t>。</w:t>
            </w:r>
          </w:p>
          <w:p>
            <w:pPr>
              <w:spacing w:line="480" w:lineRule="exact"/>
              <w:ind w:firstLine="480" w:firstLineChars="200"/>
              <w:rPr>
                <w:rFonts w:hAnsi="宋体"/>
                <w:sz w:val="24"/>
              </w:rPr>
            </w:pPr>
            <w:r>
              <w:rPr>
                <w:rFonts w:hint="eastAsia" w:hAnsi="宋体"/>
                <w:sz w:val="24"/>
              </w:rPr>
              <w:t>2）环境</w:t>
            </w:r>
            <w:r>
              <w:rPr>
                <w:rFonts w:hAnsi="宋体"/>
                <w:sz w:val="24"/>
              </w:rPr>
              <w:t>风险评价等级</w:t>
            </w:r>
          </w:p>
          <w:p>
            <w:pPr>
              <w:spacing w:line="480" w:lineRule="exact"/>
              <w:ind w:firstLine="480" w:firstLineChars="200"/>
              <w:rPr>
                <w:rFonts w:hAnsi="宋体"/>
                <w:sz w:val="24"/>
              </w:rPr>
            </w:pPr>
            <w:r>
              <w:rPr>
                <w:rFonts w:hint="eastAsia" w:hAnsi="宋体"/>
                <w:sz w:val="24"/>
              </w:rPr>
              <w:t>根据《建设项目环境风险评价技术导则》（</w:t>
            </w:r>
            <w:r>
              <w:rPr>
                <w:rFonts w:hAnsi="宋体"/>
                <w:sz w:val="24"/>
              </w:rPr>
              <w:t>HJ169-2018</w:t>
            </w:r>
            <w:r>
              <w:rPr>
                <w:rFonts w:hint="eastAsia" w:hAnsi="宋体"/>
                <w:sz w:val="24"/>
              </w:rPr>
              <w:t>）确定</w:t>
            </w:r>
            <w:r>
              <w:rPr>
                <w:rFonts w:hAnsi="宋体"/>
                <w:sz w:val="24"/>
              </w:rPr>
              <w:t>本项目评价等级</w:t>
            </w:r>
            <w:r>
              <w:rPr>
                <w:rFonts w:hint="eastAsia" w:hAnsi="宋体"/>
                <w:sz w:val="24"/>
              </w:rPr>
              <w:t>，评价工作等级划分表见</w:t>
            </w:r>
            <w:r>
              <w:rPr>
                <w:rFonts w:hint="eastAsia" w:hAnsi="宋体"/>
                <w:sz w:val="24"/>
                <w:lang w:bidi="en-US"/>
              </w:rPr>
              <w:t>4-15。</w:t>
            </w:r>
          </w:p>
          <w:p>
            <w:pPr>
              <w:ind w:firstLine="420" w:firstLineChars="200"/>
              <w:rPr>
                <w:rFonts w:ascii="黑体" w:hAnsi="黑体" w:eastAsia="黑体"/>
              </w:rPr>
            </w:pPr>
            <w:r>
              <w:rPr>
                <w:rFonts w:hint="eastAsia" w:ascii="黑体" w:hAnsi="黑体" w:eastAsia="黑体"/>
              </w:rPr>
              <w:t>表</w:t>
            </w:r>
            <w:r>
              <w:rPr>
                <w:rFonts w:hint="eastAsia" w:ascii="黑体" w:hAnsi="黑体" w:eastAsia="黑体"/>
                <w:lang w:bidi="en-US"/>
              </w:rPr>
              <w:t>4-15</w:t>
            </w:r>
            <w:r>
              <w:rPr>
                <w:rFonts w:hint="eastAsia" w:ascii="黑体" w:hAnsi="黑体" w:eastAsia="黑体"/>
              </w:rPr>
              <w:t xml:space="preserve">                   评价工作等级划分表</w:t>
            </w:r>
          </w:p>
          <w:tbl>
            <w:tblPr>
              <w:tblStyle w:val="25"/>
              <w:tblW w:w="84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843"/>
              <w:gridCol w:w="865"/>
              <w:gridCol w:w="865"/>
              <w:gridCol w:w="22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28" w:type="dxa"/>
                  <w:vAlign w:val="center"/>
                </w:tcPr>
                <w:p>
                  <w:pPr>
                    <w:jc w:val="center"/>
                    <w:rPr>
                      <w:rFonts w:hAnsi="宋体"/>
                      <w:bCs/>
                      <w:lang w:bidi="en-US"/>
                    </w:rPr>
                  </w:pPr>
                  <w:r>
                    <w:rPr>
                      <w:rFonts w:hAnsi="宋体"/>
                      <w:bCs/>
                      <w:lang w:bidi="en-US"/>
                    </w:rPr>
                    <w:t>环境风险潜势</w:t>
                  </w:r>
                </w:p>
              </w:tc>
              <w:tc>
                <w:tcPr>
                  <w:tcW w:w="1843" w:type="dxa"/>
                  <w:vAlign w:val="center"/>
                </w:tcPr>
                <w:p>
                  <w:pPr>
                    <w:jc w:val="center"/>
                    <w:rPr>
                      <w:rFonts w:hAnsi="宋体"/>
                      <w:bCs/>
                      <w:lang w:bidi="en-US"/>
                    </w:rPr>
                  </w:pPr>
                  <w:r>
                    <w:rPr>
                      <w:rFonts w:hint="eastAsia" w:hAnsi="宋体"/>
                      <w:bCs/>
                      <w:lang w:bidi="en-US"/>
                    </w:rPr>
                    <w:t>Ⅳ</w:t>
                  </w:r>
                  <w:r>
                    <w:rPr>
                      <w:rFonts w:hAnsi="宋体"/>
                      <w:bCs/>
                      <w:lang w:bidi="en-US"/>
                    </w:rPr>
                    <w:t>、</w:t>
                  </w:r>
                  <w:r>
                    <w:rPr>
                      <w:rFonts w:hint="eastAsia" w:hAnsi="宋体"/>
                      <w:bCs/>
                      <w:lang w:bidi="en-US"/>
                    </w:rPr>
                    <w:t>Ⅳ</w:t>
                  </w:r>
                  <w:r>
                    <w:rPr>
                      <w:rFonts w:hAnsi="宋体"/>
                      <w:bCs/>
                      <w:lang w:bidi="en-US"/>
                    </w:rPr>
                    <w:t>+</w:t>
                  </w:r>
                </w:p>
              </w:tc>
              <w:tc>
                <w:tcPr>
                  <w:tcW w:w="865" w:type="dxa"/>
                  <w:vAlign w:val="center"/>
                </w:tcPr>
                <w:p>
                  <w:pPr>
                    <w:jc w:val="center"/>
                    <w:rPr>
                      <w:rFonts w:hAnsi="宋体"/>
                      <w:bCs/>
                      <w:lang w:bidi="en-US"/>
                    </w:rPr>
                  </w:pPr>
                  <w:r>
                    <w:rPr>
                      <w:rFonts w:hint="eastAsia" w:hAnsi="宋体"/>
                      <w:bCs/>
                      <w:lang w:bidi="en-US"/>
                    </w:rPr>
                    <w:t>Ⅲ</w:t>
                  </w:r>
                </w:p>
              </w:tc>
              <w:tc>
                <w:tcPr>
                  <w:tcW w:w="865" w:type="dxa"/>
                  <w:vAlign w:val="center"/>
                </w:tcPr>
                <w:p>
                  <w:pPr>
                    <w:jc w:val="center"/>
                    <w:rPr>
                      <w:rFonts w:hAnsi="宋体"/>
                      <w:bCs/>
                      <w:lang w:bidi="en-US"/>
                    </w:rPr>
                  </w:pPr>
                  <w:r>
                    <w:rPr>
                      <w:rFonts w:hint="eastAsia" w:hAnsi="宋体"/>
                      <w:bCs/>
                      <w:lang w:bidi="en-US"/>
                    </w:rPr>
                    <w:t>Ⅱ</w:t>
                  </w:r>
                </w:p>
              </w:tc>
              <w:tc>
                <w:tcPr>
                  <w:tcW w:w="2257" w:type="dxa"/>
                  <w:vAlign w:val="center"/>
                </w:tcPr>
                <w:p>
                  <w:pPr>
                    <w:jc w:val="center"/>
                    <w:rPr>
                      <w:rFonts w:hAnsi="宋体"/>
                      <w:bCs/>
                      <w:lang w:bidi="en-US"/>
                    </w:rPr>
                  </w:pPr>
                  <w:r>
                    <w:rPr>
                      <w:rFonts w:hint="eastAsia" w:hAnsi="宋体"/>
                      <w:bCs/>
                      <w:lang w:bidi="en-US"/>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28" w:type="dxa"/>
                  <w:vAlign w:val="center"/>
                </w:tcPr>
                <w:p>
                  <w:pPr>
                    <w:jc w:val="center"/>
                    <w:rPr>
                      <w:rFonts w:hAnsi="宋体"/>
                      <w:bCs/>
                      <w:lang w:bidi="en-US"/>
                    </w:rPr>
                  </w:pPr>
                  <w:r>
                    <w:rPr>
                      <w:rFonts w:hAnsi="宋体"/>
                      <w:bCs/>
                      <w:lang w:bidi="en-US"/>
                    </w:rPr>
                    <w:t>评价工作等级</w:t>
                  </w:r>
                </w:p>
              </w:tc>
              <w:tc>
                <w:tcPr>
                  <w:tcW w:w="1843" w:type="dxa"/>
                  <w:vAlign w:val="center"/>
                </w:tcPr>
                <w:p>
                  <w:pPr>
                    <w:jc w:val="center"/>
                    <w:rPr>
                      <w:rFonts w:hAnsi="宋体"/>
                      <w:bCs/>
                      <w:lang w:bidi="en-US"/>
                    </w:rPr>
                  </w:pPr>
                  <w:r>
                    <w:rPr>
                      <w:rFonts w:hAnsi="宋体"/>
                      <w:bCs/>
                      <w:lang w:bidi="en-US"/>
                    </w:rPr>
                    <w:t>一</w:t>
                  </w:r>
                </w:p>
              </w:tc>
              <w:tc>
                <w:tcPr>
                  <w:tcW w:w="865" w:type="dxa"/>
                  <w:vAlign w:val="center"/>
                </w:tcPr>
                <w:p>
                  <w:pPr>
                    <w:jc w:val="center"/>
                    <w:rPr>
                      <w:rFonts w:hAnsi="宋体"/>
                      <w:bCs/>
                      <w:lang w:bidi="en-US"/>
                    </w:rPr>
                  </w:pPr>
                  <w:r>
                    <w:rPr>
                      <w:rFonts w:hAnsi="宋体"/>
                      <w:bCs/>
                      <w:lang w:bidi="en-US"/>
                    </w:rPr>
                    <w:t>二</w:t>
                  </w:r>
                </w:p>
              </w:tc>
              <w:tc>
                <w:tcPr>
                  <w:tcW w:w="865" w:type="dxa"/>
                  <w:vAlign w:val="center"/>
                </w:tcPr>
                <w:p>
                  <w:pPr>
                    <w:jc w:val="center"/>
                    <w:rPr>
                      <w:rFonts w:hAnsi="宋体"/>
                      <w:bCs/>
                      <w:lang w:bidi="en-US"/>
                    </w:rPr>
                  </w:pPr>
                  <w:r>
                    <w:rPr>
                      <w:rFonts w:hAnsi="宋体"/>
                      <w:bCs/>
                      <w:lang w:bidi="en-US"/>
                    </w:rPr>
                    <w:t>三</w:t>
                  </w:r>
                </w:p>
              </w:tc>
              <w:tc>
                <w:tcPr>
                  <w:tcW w:w="2257" w:type="dxa"/>
                  <w:vAlign w:val="center"/>
                </w:tcPr>
                <w:p>
                  <w:pPr>
                    <w:jc w:val="center"/>
                    <w:rPr>
                      <w:rFonts w:hAnsi="宋体"/>
                      <w:bCs/>
                      <w:lang w:bidi="en-US"/>
                    </w:rPr>
                  </w:pPr>
                  <w:r>
                    <w:rPr>
                      <w:rFonts w:hAnsi="宋体"/>
                      <w:bCs/>
                      <w:lang w:bidi="en-US"/>
                    </w:rPr>
                    <w:t>简单分析 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8458" w:type="dxa"/>
                  <w:gridSpan w:val="5"/>
                  <w:vAlign w:val="center"/>
                </w:tcPr>
                <w:p>
                  <w:pPr>
                    <w:jc w:val="left"/>
                    <w:rPr>
                      <w:rFonts w:hAnsi="宋体"/>
                      <w:bCs/>
                      <w:lang w:bidi="en-US"/>
                    </w:rPr>
                  </w:pPr>
                  <w:r>
                    <w:rPr>
                      <w:rFonts w:hAnsi="宋体"/>
                      <w:bCs/>
                      <w:lang w:bidi="en-US"/>
                    </w:rPr>
                    <w:t>a 是相对于详细评价工作内容而言，在描述危险物质、环境影响途径、环境危害后果、风险防范措施等方面给出定性的说明。</w:t>
                  </w:r>
                </w:p>
              </w:tc>
            </w:tr>
          </w:tbl>
          <w:p>
            <w:pPr>
              <w:spacing w:line="480" w:lineRule="exact"/>
              <w:ind w:firstLine="480" w:firstLineChars="200"/>
              <w:rPr>
                <w:rFonts w:hAnsi="宋体"/>
                <w:sz w:val="24"/>
              </w:rPr>
            </w:pPr>
            <w:r>
              <w:rPr>
                <w:rFonts w:hint="eastAsia" w:hAnsi="宋体"/>
                <w:sz w:val="24"/>
              </w:rPr>
              <w:t>根据</w:t>
            </w:r>
            <w:r>
              <w:rPr>
                <w:rFonts w:hAnsi="宋体"/>
                <w:sz w:val="24"/>
              </w:rPr>
              <w:t>《建设项目环境风险评价技术导则》（HJ169-20</w:t>
            </w:r>
            <w:r>
              <w:rPr>
                <w:rFonts w:hint="eastAsia" w:hAnsi="宋体"/>
                <w:sz w:val="24"/>
              </w:rPr>
              <w:t>18</w:t>
            </w:r>
            <w:r>
              <w:rPr>
                <w:rFonts w:hAnsi="宋体"/>
                <w:sz w:val="24"/>
              </w:rPr>
              <w:t>）</w:t>
            </w:r>
            <w:r>
              <w:rPr>
                <w:rFonts w:hint="eastAsia" w:hAnsi="宋体"/>
                <w:sz w:val="24"/>
              </w:rPr>
              <w:t>中判定原则，</w:t>
            </w:r>
            <w:r>
              <w:rPr>
                <w:rFonts w:hAnsi="宋体"/>
                <w:sz w:val="24"/>
              </w:rPr>
              <w:t>本项目</w:t>
            </w:r>
            <w:r>
              <w:rPr>
                <w:rFonts w:hint="eastAsia" w:hAnsi="宋体"/>
                <w:sz w:val="24"/>
              </w:rPr>
              <w:t>环境风险潜势为</w:t>
            </w:r>
            <w:r>
              <w:rPr>
                <w:sz w:val="24"/>
              </w:rPr>
              <w:t>Ⅰ</w:t>
            </w:r>
            <w:r>
              <w:rPr>
                <w:rFonts w:hint="eastAsia" w:hAnsi="宋体"/>
                <w:sz w:val="24"/>
              </w:rPr>
              <w:t>，故进行</w:t>
            </w:r>
            <w:r>
              <w:rPr>
                <w:rFonts w:hAnsi="宋体"/>
                <w:sz w:val="24"/>
              </w:rPr>
              <w:t>简单分析</w:t>
            </w:r>
            <w:r>
              <w:rPr>
                <w:rFonts w:hint="eastAsia" w:hAnsi="宋体"/>
                <w:sz w:val="24"/>
              </w:rPr>
              <w:t>。</w:t>
            </w:r>
          </w:p>
          <w:p>
            <w:pPr>
              <w:spacing w:line="480" w:lineRule="exact"/>
              <w:ind w:firstLine="480" w:firstLineChars="200"/>
              <w:rPr>
                <w:sz w:val="24"/>
              </w:rPr>
            </w:pPr>
            <w:r>
              <w:rPr>
                <w:rFonts w:hint="eastAsia" w:hAnsi="宋体"/>
                <w:sz w:val="24"/>
              </w:rPr>
              <w:t>3）</w:t>
            </w:r>
            <w:r>
              <w:rPr>
                <w:rFonts w:hAnsi="宋体"/>
                <w:sz w:val="24"/>
              </w:rPr>
              <w:t>风险识别</w:t>
            </w:r>
          </w:p>
          <w:p>
            <w:pPr>
              <w:spacing w:line="480" w:lineRule="exact"/>
              <w:ind w:firstLine="480" w:firstLineChars="200"/>
              <w:rPr>
                <w:rFonts w:hAnsi="宋体"/>
                <w:sz w:val="24"/>
              </w:rPr>
            </w:pPr>
            <w:r>
              <w:rPr>
                <w:rFonts w:hint="eastAsia" w:hAnsi="宋体"/>
                <w:bCs/>
                <w:sz w:val="24"/>
              </w:rPr>
              <w:t>根据《建设项目环境风险评价技术导则》（</w:t>
            </w:r>
            <w:r>
              <w:rPr>
                <w:rFonts w:hAnsi="宋体"/>
                <w:bCs/>
                <w:sz w:val="24"/>
              </w:rPr>
              <w:t>HJ169-2018</w:t>
            </w:r>
            <w:r>
              <w:rPr>
                <w:rFonts w:hint="eastAsia" w:hAnsi="宋体"/>
                <w:bCs/>
                <w:sz w:val="24"/>
              </w:rPr>
              <w:t>）内容，本</w:t>
            </w:r>
            <w:r>
              <w:rPr>
                <w:rFonts w:hAnsi="宋体"/>
                <w:sz w:val="24"/>
              </w:rPr>
              <w:t>项目涉及的危险物质为</w:t>
            </w:r>
            <w:r>
              <w:rPr>
                <w:rFonts w:hint="eastAsia" w:hAnsi="宋体"/>
                <w:sz w:val="24"/>
              </w:rPr>
              <w:t>废润滑油</w:t>
            </w:r>
            <w:r>
              <w:rPr>
                <w:rFonts w:hAnsi="宋体"/>
                <w:sz w:val="24"/>
              </w:rPr>
              <w:t>，其基本性质</w:t>
            </w:r>
            <w:r>
              <w:rPr>
                <w:rFonts w:hint="eastAsia" w:hAnsi="宋体"/>
                <w:sz w:val="24"/>
              </w:rPr>
              <w:t>详见</w:t>
            </w:r>
            <w:r>
              <w:rPr>
                <w:rFonts w:hAnsi="宋体"/>
                <w:sz w:val="24"/>
              </w:rPr>
              <w:t>表</w:t>
            </w:r>
            <w:r>
              <w:rPr>
                <w:rFonts w:hint="eastAsia" w:hAnsi="宋体"/>
                <w:sz w:val="24"/>
              </w:rPr>
              <w:t>4-16</w:t>
            </w:r>
            <w:r>
              <w:rPr>
                <w:rFonts w:hAnsi="宋体"/>
                <w:sz w:val="24"/>
              </w:rPr>
              <w:t>。</w:t>
            </w:r>
          </w:p>
          <w:p>
            <w:pPr>
              <w:ind w:firstLine="420" w:firstLineChars="200"/>
              <w:rPr>
                <w:rFonts w:ascii="黑体" w:hAnsi="黑体" w:eastAsia="黑体"/>
              </w:rPr>
            </w:pPr>
            <w:r>
              <w:rPr>
                <w:rFonts w:hint="eastAsia" w:ascii="黑体" w:hAnsi="黑体" w:eastAsia="黑体"/>
              </w:rPr>
              <w:t>表4-16                   废润滑油理化性质及毒性</w:t>
            </w:r>
          </w:p>
          <w:tbl>
            <w:tblPr>
              <w:tblStyle w:val="25"/>
              <w:tblW w:w="845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507"/>
              <w:gridCol w:w="1756"/>
              <w:gridCol w:w="812"/>
              <w:gridCol w:w="1639"/>
              <w:gridCol w:w="15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96" w:type="dxa"/>
                  <w:vMerge w:val="restart"/>
                  <w:tcBorders>
                    <w:top w:val="single" w:color="auto" w:sz="12" w:space="0"/>
                  </w:tcBorders>
                  <w:vAlign w:val="center"/>
                </w:tcPr>
                <w:p>
                  <w:pPr>
                    <w:pStyle w:val="65"/>
                  </w:pPr>
                  <w:r>
                    <w:t>标识</w:t>
                  </w:r>
                </w:p>
              </w:tc>
              <w:tc>
                <w:tcPr>
                  <w:tcW w:w="1507" w:type="dxa"/>
                  <w:tcBorders>
                    <w:top w:val="single" w:color="auto" w:sz="12" w:space="0"/>
                  </w:tcBorders>
                  <w:vAlign w:val="center"/>
                </w:tcPr>
                <w:p>
                  <w:pPr>
                    <w:pStyle w:val="65"/>
                  </w:pPr>
                  <w:r>
                    <w:t>中文名：</w:t>
                  </w:r>
                  <w:r>
                    <w:rPr>
                      <w:rFonts w:hint="eastAsia"/>
                    </w:rPr>
                    <w:t>机油、</w:t>
                  </w:r>
                  <w:r>
                    <w:t xml:space="preserve">润滑油 </w:t>
                  </w:r>
                </w:p>
              </w:tc>
              <w:tc>
                <w:tcPr>
                  <w:tcW w:w="2568" w:type="dxa"/>
                  <w:gridSpan w:val="2"/>
                  <w:tcBorders>
                    <w:top w:val="single" w:color="auto" w:sz="12" w:space="0"/>
                  </w:tcBorders>
                  <w:vAlign w:val="center"/>
                </w:tcPr>
                <w:p>
                  <w:pPr>
                    <w:pStyle w:val="65"/>
                  </w:pPr>
                  <w:r>
                    <w:t>英</w:t>
                  </w:r>
                  <w:r>
                    <w:rPr>
                      <w:spacing w:val="-48"/>
                    </w:rPr>
                    <w:t xml:space="preserve"> </w:t>
                  </w:r>
                  <w:r>
                    <w:t>文</w:t>
                  </w:r>
                  <w:r>
                    <w:rPr>
                      <w:spacing w:val="-45"/>
                    </w:rPr>
                    <w:t xml:space="preserve"> </w:t>
                  </w:r>
                  <w:r>
                    <w:t>名</w:t>
                  </w:r>
                  <w:r>
                    <w:rPr>
                      <w:spacing w:val="-48"/>
                    </w:rPr>
                    <w:t xml:space="preserve"> </w:t>
                  </w:r>
                  <w:r>
                    <w:t>：lubricating oil</w:t>
                  </w:r>
                </w:p>
              </w:tc>
              <w:tc>
                <w:tcPr>
                  <w:tcW w:w="1639" w:type="dxa"/>
                  <w:tcBorders>
                    <w:top w:val="single" w:color="auto" w:sz="12" w:space="0"/>
                  </w:tcBorders>
                  <w:vAlign w:val="center"/>
                </w:tcPr>
                <w:p>
                  <w:pPr>
                    <w:pStyle w:val="65"/>
                  </w:pPr>
                  <w:r>
                    <w:rPr>
                      <w:position w:val="2"/>
                    </w:rPr>
                    <w:t>分子式</w:t>
                  </w:r>
                  <w:r>
                    <w:t>：</w:t>
                  </w:r>
                  <w:r>
                    <w:rPr>
                      <w:rFonts w:hint="eastAsia"/>
                    </w:rPr>
                    <w:t>/</w:t>
                  </w:r>
                </w:p>
              </w:tc>
              <w:tc>
                <w:tcPr>
                  <w:tcW w:w="1548" w:type="dxa"/>
                  <w:tcBorders>
                    <w:top w:val="single" w:color="auto" w:sz="12" w:space="0"/>
                  </w:tcBorders>
                  <w:vAlign w:val="center"/>
                </w:tcPr>
                <w:p>
                  <w:pPr>
                    <w:pStyle w:val="65"/>
                  </w:pPr>
                  <w:r>
                    <w:t>分子量：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96" w:type="dxa"/>
                  <w:vMerge w:val="continue"/>
                  <w:vAlign w:val="center"/>
                </w:tcPr>
                <w:p>
                  <w:pPr>
                    <w:pStyle w:val="65"/>
                  </w:pPr>
                </w:p>
              </w:tc>
              <w:tc>
                <w:tcPr>
                  <w:tcW w:w="1507" w:type="dxa"/>
                  <w:vAlign w:val="center"/>
                </w:tcPr>
                <w:p>
                  <w:pPr>
                    <w:pStyle w:val="65"/>
                  </w:pPr>
                  <w:r>
                    <w:rPr>
                      <w:rFonts w:eastAsia="Times New Roman"/>
                    </w:rPr>
                    <w:t>CAS</w:t>
                  </w:r>
                  <w:r>
                    <w:rPr>
                      <w:rFonts w:eastAsia="Times New Roman"/>
                      <w:spacing w:val="-10"/>
                    </w:rPr>
                    <w:t xml:space="preserve"> </w:t>
                  </w:r>
                  <w:r>
                    <w:t>号：/</w:t>
                  </w:r>
                </w:p>
              </w:tc>
              <w:tc>
                <w:tcPr>
                  <w:tcW w:w="2568" w:type="dxa"/>
                  <w:gridSpan w:val="2"/>
                  <w:vAlign w:val="center"/>
                </w:tcPr>
                <w:p>
                  <w:pPr>
                    <w:pStyle w:val="65"/>
                  </w:pPr>
                  <w:r>
                    <w:rPr>
                      <w:rFonts w:eastAsia="Times New Roman"/>
                    </w:rPr>
                    <w:t>UN</w:t>
                  </w:r>
                  <w:r>
                    <w:rPr>
                      <w:rFonts w:eastAsia="Times New Roman"/>
                      <w:spacing w:val="-4"/>
                    </w:rPr>
                    <w:t xml:space="preserve"> </w:t>
                  </w:r>
                  <w:r>
                    <w:t>编号：/</w:t>
                  </w:r>
                </w:p>
              </w:tc>
              <w:tc>
                <w:tcPr>
                  <w:tcW w:w="3187" w:type="dxa"/>
                  <w:gridSpan w:val="2"/>
                  <w:vAlign w:val="center"/>
                </w:tcPr>
                <w:p>
                  <w:pPr>
                    <w:pStyle w:val="65"/>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96" w:type="dxa"/>
                  <w:vAlign w:val="center"/>
                </w:tcPr>
                <w:p>
                  <w:pPr>
                    <w:pStyle w:val="65"/>
                  </w:pPr>
                  <w:r>
                    <w:t>理化性质</w:t>
                  </w:r>
                </w:p>
              </w:tc>
              <w:tc>
                <w:tcPr>
                  <w:tcW w:w="7262" w:type="dxa"/>
                  <w:gridSpan w:val="5"/>
                  <w:vAlign w:val="center"/>
                </w:tcPr>
                <w:p>
                  <w:pPr>
                    <w:pStyle w:val="65"/>
                  </w:pPr>
                  <w:r>
                    <w:t>性状：</w:t>
                  </w:r>
                  <w:r>
                    <w:rPr>
                      <w:rFonts w:hint="eastAsia"/>
                    </w:rPr>
                    <w:t>油状液体，淡黄色至褐色，无气味或略带异味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196" w:type="dxa"/>
                  <w:vMerge w:val="restart"/>
                  <w:vAlign w:val="center"/>
                </w:tcPr>
                <w:p>
                  <w:pPr>
                    <w:pStyle w:val="65"/>
                  </w:pPr>
                  <w:r>
                    <w:t>燃烧爆炸危险性</w:t>
                  </w:r>
                </w:p>
              </w:tc>
              <w:tc>
                <w:tcPr>
                  <w:tcW w:w="3263" w:type="dxa"/>
                  <w:gridSpan w:val="2"/>
                  <w:vAlign w:val="center"/>
                </w:tcPr>
                <w:p>
                  <w:pPr>
                    <w:pStyle w:val="65"/>
                  </w:pPr>
                  <w:r>
                    <w:rPr>
                      <w:spacing w:val="-4"/>
                    </w:rPr>
                    <w:t>燃烧性：</w:t>
                  </w:r>
                  <w:r>
                    <w:rPr>
                      <w:rFonts w:hint="eastAsia"/>
                      <w:spacing w:val="-4"/>
                    </w:rPr>
                    <w:t>可</w:t>
                  </w:r>
                  <w:r>
                    <w:rPr>
                      <w:spacing w:val="-4"/>
                    </w:rPr>
                    <w:t>燃</w:t>
                  </w:r>
                </w:p>
              </w:tc>
              <w:tc>
                <w:tcPr>
                  <w:tcW w:w="3999" w:type="dxa"/>
                  <w:gridSpan w:val="3"/>
                  <w:vAlign w:val="center"/>
                </w:tcPr>
                <w:p>
                  <w:pPr>
                    <w:pStyle w:val="65"/>
                  </w:pPr>
                  <w:r>
                    <w:rPr>
                      <w:rFonts w:hint="eastAsia"/>
                    </w:rPr>
                    <w:t>引</w:t>
                  </w:r>
                  <w:r>
                    <w:t>燃温度／</w:t>
                  </w:r>
                  <w:r>
                    <w:rPr>
                      <w:rFonts w:hint="eastAsia"/>
                    </w:rPr>
                    <w:t>℃</w:t>
                  </w:r>
                  <w:r>
                    <w:t>：248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96" w:type="dxa"/>
                  <w:vMerge w:val="continue"/>
                  <w:vAlign w:val="center"/>
                </w:tcPr>
                <w:p>
                  <w:pPr>
                    <w:pStyle w:val="65"/>
                  </w:pPr>
                </w:p>
              </w:tc>
              <w:tc>
                <w:tcPr>
                  <w:tcW w:w="3263" w:type="dxa"/>
                  <w:gridSpan w:val="2"/>
                  <w:vAlign w:val="center"/>
                </w:tcPr>
                <w:p>
                  <w:pPr>
                    <w:pStyle w:val="65"/>
                  </w:pPr>
                  <w:r>
                    <w:t>闪点／</w:t>
                  </w:r>
                  <w:r>
                    <w:rPr>
                      <w:rFonts w:hint="eastAsia" w:ascii="宋体" w:hAnsi="宋体" w:cs="宋体"/>
                    </w:rPr>
                    <w:t>℃</w:t>
                  </w:r>
                  <w:r>
                    <w:t>：76</w:t>
                  </w:r>
                </w:p>
              </w:tc>
              <w:tc>
                <w:tcPr>
                  <w:tcW w:w="3999" w:type="dxa"/>
                  <w:gridSpan w:val="3"/>
                  <w:vAlign w:val="center"/>
                </w:tcPr>
                <w:p>
                  <w:pPr>
                    <w:pStyle w:val="65"/>
                  </w:pPr>
                  <w:r>
                    <w:rPr>
                      <w:rFonts w:hint="eastAsia"/>
                    </w:rPr>
                    <w:t>稳定</w:t>
                  </w:r>
                  <w:r>
                    <w:t>性：稳定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1196" w:type="dxa"/>
                  <w:vMerge w:val="continue"/>
                  <w:vAlign w:val="center"/>
                </w:tcPr>
                <w:p>
                  <w:pPr>
                    <w:pStyle w:val="65"/>
                  </w:pPr>
                </w:p>
              </w:tc>
              <w:tc>
                <w:tcPr>
                  <w:tcW w:w="7262" w:type="dxa"/>
                  <w:gridSpan w:val="5"/>
                  <w:vAlign w:val="center"/>
                </w:tcPr>
                <w:p>
                  <w:pPr>
                    <w:pStyle w:val="65"/>
                  </w:pPr>
                  <w:r>
                    <w:t>危险特性：</w:t>
                  </w:r>
                  <w:r>
                    <w:rPr>
                      <w:rFonts w:hint="eastAsia"/>
                    </w:rPr>
                    <w:t>遇明火</w:t>
                  </w:r>
                  <w:r>
                    <w:t>、高热可燃</w:t>
                  </w: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1196" w:type="dxa"/>
                  <w:vMerge w:val="continue"/>
                  <w:vAlign w:val="center"/>
                </w:tcPr>
                <w:p>
                  <w:pPr>
                    <w:pStyle w:val="65"/>
                  </w:pPr>
                </w:p>
              </w:tc>
              <w:tc>
                <w:tcPr>
                  <w:tcW w:w="7262" w:type="dxa"/>
                  <w:gridSpan w:val="5"/>
                  <w:vAlign w:val="center"/>
                </w:tcPr>
                <w:p>
                  <w:pPr>
                    <w:pStyle w:val="65"/>
                    <w:jc w:val="left"/>
                  </w:pPr>
                  <w:r>
                    <w:t>灭火方法：</w:t>
                  </w:r>
                  <w:r>
                    <w:rPr>
                      <w:rFonts w:hint="eastAsia"/>
                    </w:rPr>
                    <w:t>消防人员须佩戴防毒面具、穿全身消防服，站在上风向灭火。尽可能将容器从火场移至空旷处。喷水保持火场容器冷却，</w:t>
                  </w:r>
                  <w:r>
                    <w:t xml:space="preserve"> </w:t>
                  </w:r>
                  <w:r>
                    <w:rPr>
                      <w:rFonts w:hint="eastAsia"/>
                    </w:rPr>
                    <w:t>直至灭火结束。处在火场中的容器若已变色或从安全泄压装置中产生声音，必须马上撤离。</w:t>
                  </w:r>
                </w:p>
                <w:p>
                  <w:pPr>
                    <w:pStyle w:val="65"/>
                    <w:jc w:val="left"/>
                  </w:pPr>
                  <w:r>
                    <w:rPr>
                      <w:rFonts w:hint="eastAsia"/>
                    </w:rPr>
                    <w:t>灭火剂：雾状水、泡沫、干粉、二氧化碳、砂土。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196" w:type="dxa"/>
                  <w:vAlign w:val="center"/>
                </w:tcPr>
                <w:p>
                  <w:pPr>
                    <w:pStyle w:val="65"/>
                  </w:pPr>
                  <w:r>
                    <w:t>健康</w:t>
                  </w:r>
                </w:p>
                <w:p>
                  <w:pPr>
                    <w:pStyle w:val="65"/>
                  </w:pPr>
                  <w:r>
                    <w:t>危害</w:t>
                  </w:r>
                </w:p>
              </w:tc>
              <w:tc>
                <w:tcPr>
                  <w:tcW w:w="7262" w:type="dxa"/>
                  <w:gridSpan w:val="5"/>
                  <w:vAlign w:val="center"/>
                </w:tcPr>
                <w:p>
                  <w:pPr>
                    <w:pStyle w:val="65"/>
                    <w:jc w:val="left"/>
                    <w:rPr>
                      <w:spacing w:val="3"/>
                    </w:rPr>
                  </w:pPr>
                  <w:r>
                    <w:rPr>
                      <w:rFonts w:hint="eastAsia"/>
                      <w:spacing w:val="3"/>
                    </w:rPr>
                    <w:t>侵入途径：吸如、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81" w:hRule="atLeast"/>
                <w:jc w:val="center"/>
              </w:trPr>
              <w:tc>
                <w:tcPr>
                  <w:tcW w:w="1196" w:type="dxa"/>
                  <w:vAlign w:val="center"/>
                </w:tcPr>
                <w:p>
                  <w:pPr>
                    <w:pStyle w:val="65"/>
                  </w:pPr>
                  <w:r>
                    <w:rPr>
                      <w:rFonts w:hint="eastAsia"/>
                    </w:rPr>
                    <w:t>急救措施</w:t>
                  </w:r>
                </w:p>
              </w:tc>
              <w:tc>
                <w:tcPr>
                  <w:tcW w:w="7262" w:type="dxa"/>
                  <w:gridSpan w:val="5"/>
                  <w:vAlign w:val="center"/>
                </w:tcPr>
                <w:p>
                  <w:pPr>
                    <w:pStyle w:val="65"/>
                    <w:jc w:val="left"/>
                    <w:rPr>
                      <w:rFonts w:ascii="宋体" w:hAnsi="宋体" w:cs="宋体"/>
                      <w:spacing w:val="3"/>
                    </w:rPr>
                  </w:pPr>
                  <w:r>
                    <w:rPr>
                      <w:rFonts w:hint="eastAsia" w:ascii="宋体" w:hAnsi="宋体" w:cs="宋体"/>
                      <w:spacing w:val="3"/>
                    </w:rPr>
                    <w:t>皮肤接触：立即脱去被污染的衣着，用大量清水冲洗；</w:t>
                  </w:r>
                </w:p>
                <w:p>
                  <w:pPr>
                    <w:pStyle w:val="65"/>
                    <w:jc w:val="left"/>
                    <w:rPr>
                      <w:rFonts w:ascii="宋体" w:hAnsi="宋体" w:cs="宋体"/>
                      <w:spacing w:val="3"/>
                    </w:rPr>
                  </w:pPr>
                  <w:r>
                    <w:rPr>
                      <w:rFonts w:hint="eastAsia" w:ascii="宋体" w:hAnsi="宋体" w:cs="宋体"/>
                      <w:spacing w:val="3"/>
                    </w:rPr>
                    <w:t>眼睛接触：立即提起眼睑，用大量流动清水或生理盐水冲洗，就医；</w:t>
                  </w:r>
                </w:p>
                <w:p>
                  <w:pPr>
                    <w:pStyle w:val="65"/>
                    <w:jc w:val="left"/>
                    <w:rPr>
                      <w:rFonts w:ascii="宋体" w:hAnsi="宋体" w:cs="宋体"/>
                      <w:spacing w:val="3"/>
                    </w:rPr>
                  </w:pPr>
                  <w:r>
                    <w:rPr>
                      <w:rFonts w:hint="eastAsia" w:ascii="宋体" w:hAnsi="宋体" w:cs="宋体"/>
                      <w:spacing w:val="3"/>
                    </w:rPr>
                    <w:t>吸入：迅速脱离现场至空气新鲜处，保持呼吸道通畅，如呼吸困难，给输氧；如呼吸停止，立即进行人工呼吸，就医；</w:t>
                  </w:r>
                </w:p>
                <w:p>
                  <w:pPr>
                    <w:pStyle w:val="65"/>
                    <w:jc w:val="left"/>
                    <w:rPr>
                      <w:spacing w:val="3"/>
                    </w:rPr>
                  </w:pPr>
                  <w:r>
                    <w:rPr>
                      <w:rFonts w:hint="eastAsia" w:ascii="宋体" w:hAnsi="宋体" w:cs="宋体"/>
                      <w:spacing w:val="3"/>
                    </w:rPr>
                    <w:t>食入：饮足量温水，催吐，就医。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jc w:val="center"/>
              </w:trPr>
              <w:tc>
                <w:tcPr>
                  <w:tcW w:w="1196" w:type="dxa"/>
                  <w:vAlign w:val="center"/>
                </w:tcPr>
                <w:p>
                  <w:pPr>
                    <w:pStyle w:val="65"/>
                  </w:pPr>
                  <w:r>
                    <w:rPr>
                      <w:rFonts w:hint="eastAsia"/>
                    </w:rPr>
                    <w:t>防护措施</w:t>
                  </w:r>
                </w:p>
              </w:tc>
              <w:tc>
                <w:tcPr>
                  <w:tcW w:w="7262" w:type="dxa"/>
                  <w:gridSpan w:val="5"/>
                  <w:vAlign w:val="center"/>
                </w:tcPr>
                <w:p>
                  <w:pPr>
                    <w:pStyle w:val="65"/>
                    <w:jc w:val="left"/>
                    <w:rPr>
                      <w:spacing w:val="3"/>
                    </w:rPr>
                  </w:pPr>
                  <w:r>
                    <w:rPr>
                      <w:rFonts w:hint="eastAsia"/>
                      <w:spacing w:val="3"/>
                    </w:rPr>
                    <w:t>工程控制：密闭操作，注意通风；</w:t>
                  </w:r>
                </w:p>
                <w:p>
                  <w:pPr>
                    <w:pStyle w:val="65"/>
                    <w:jc w:val="left"/>
                    <w:rPr>
                      <w:spacing w:val="3"/>
                    </w:rPr>
                  </w:pPr>
                  <w:r>
                    <w:rPr>
                      <w:rFonts w:hint="eastAsia"/>
                      <w:spacing w:val="3"/>
                    </w:rPr>
                    <w:t>呼吸系统防护：空气中浓度超标时，建议佩戴自吸过滤式防毒面具（半面罩）。紧急事态抢救或撤离时，应该佩戴空气呼吸器。</w:t>
                  </w:r>
                </w:p>
                <w:p>
                  <w:pPr>
                    <w:pStyle w:val="65"/>
                    <w:jc w:val="left"/>
                    <w:rPr>
                      <w:spacing w:val="3"/>
                    </w:rPr>
                  </w:pPr>
                  <w:r>
                    <w:rPr>
                      <w:rFonts w:hint="eastAsia"/>
                      <w:spacing w:val="3"/>
                    </w:rPr>
                    <w:t>眼睛防护：戴化学安全防护眼镜。</w:t>
                  </w:r>
                </w:p>
                <w:p>
                  <w:pPr>
                    <w:pStyle w:val="65"/>
                    <w:jc w:val="left"/>
                    <w:rPr>
                      <w:spacing w:val="3"/>
                    </w:rPr>
                  </w:pPr>
                  <w:r>
                    <w:rPr>
                      <w:rFonts w:hint="eastAsia"/>
                      <w:spacing w:val="3"/>
                    </w:rPr>
                    <w:t>身体防护：穿防毒物渗透工作服；</w:t>
                  </w:r>
                </w:p>
                <w:p>
                  <w:pPr>
                    <w:pStyle w:val="65"/>
                    <w:jc w:val="left"/>
                    <w:rPr>
                      <w:spacing w:val="3"/>
                    </w:rPr>
                  </w:pPr>
                  <w:r>
                    <w:rPr>
                      <w:rFonts w:hint="eastAsia"/>
                      <w:spacing w:val="3"/>
                    </w:rPr>
                    <w:t>手防护：戴橡胶耐油手套；</w:t>
                  </w:r>
                </w:p>
                <w:p>
                  <w:pPr>
                    <w:pStyle w:val="65"/>
                    <w:jc w:val="left"/>
                    <w:rPr>
                      <w:spacing w:val="3"/>
                    </w:rPr>
                  </w:pPr>
                  <w:r>
                    <w:rPr>
                      <w:rFonts w:hint="eastAsia"/>
                      <w:spacing w:val="3"/>
                    </w:rPr>
                    <w:t>其他：工作现场严禁吸烟，避免长期反复接触。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jc w:val="center"/>
              </w:trPr>
              <w:tc>
                <w:tcPr>
                  <w:tcW w:w="1196" w:type="dxa"/>
                  <w:vAlign w:val="center"/>
                </w:tcPr>
                <w:p>
                  <w:pPr>
                    <w:pStyle w:val="65"/>
                  </w:pPr>
                  <w:r>
                    <w:rPr>
                      <w:rFonts w:hint="eastAsia"/>
                    </w:rPr>
                    <w:t>泄露</w:t>
                  </w:r>
                  <w:r>
                    <w:t>处理</w:t>
                  </w:r>
                </w:p>
              </w:tc>
              <w:tc>
                <w:tcPr>
                  <w:tcW w:w="7262" w:type="dxa"/>
                  <w:gridSpan w:val="5"/>
                  <w:vAlign w:val="center"/>
                </w:tcPr>
                <w:p>
                  <w:pPr>
                    <w:pStyle w:val="65"/>
                    <w:jc w:val="left"/>
                    <w:rPr>
                      <w:spacing w:val="3"/>
                    </w:rPr>
                  </w:pPr>
                  <w:r>
                    <w:rPr>
                      <w:rFonts w:hint="eastAsia"/>
                      <w:spacing w:val="3"/>
                    </w:rPr>
                    <w:t>迅速撤离泄漏污染区人员至安全区，并进行隔离，严格限制出入。切断火源。建议应急处理人员戴自给正压式呼吸器，</w:t>
                  </w:r>
                </w:p>
                <w:p>
                  <w:pPr>
                    <w:pStyle w:val="65"/>
                    <w:jc w:val="left"/>
                    <w:rPr>
                      <w:spacing w:val="3"/>
                    </w:rPr>
                  </w:pPr>
                  <w:r>
                    <w:rPr>
                      <w:rFonts w:hint="eastAsia"/>
                      <w:spacing w:val="3"/>
                    </w:rPr>
                    <w:t>穿防毒服。尽可能切断泄漏源。防止流入下水道、排洪沟等限制性空间。</w:t>
                  </w:r>
                </w:p>
                <w:p>
                  <w:pPr>
                    <w:pStyle w:val="65"/>
                    <w:jc w:val="left"/>
                    <w:rPr>
                      <w:spacing w:val="3"/>
                    </w:rPr>
                  </w:pPr>
                  <w:r>
                    <w:rPr>
                      <w:rFonts w:hint="eastAsia"/>
                      <w:spacing w:val="3"/>
                    </w:rPr>
                    <w:t>小量泄漏：用砂土或其它不燃材料吸附或吸收。</w:t>
                  </w:r>
                </w:p>
                <w:p>
                  <w:pPr>
                    <w:pStyle w:val="65"/>
                    <w:jc w:val="left"/>
                    <w:rPr>
                      <w:spacing w:val="3"/>
                    </w:rPr>
                  </w:pPr>
                  <w:r>
                    <w:rPr>
                      <w:rFonts w:hint="eastAsia"/>
                      <w:spacing w:val="3"/>
                    </w:rPr>
                    <w:t>大量泄漏：构筑围堤或挖坑收容。用泵转移至槽车或专用收集器内，回收或运至废物处理场所处置。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196" w:type="dxa"/>
                  <w:tcBorders>
                    <w:bottom w:val="single" w:color="auto" w:sz="12" w:space="0"/>
                  </w:tcBorders>
                  <w:vAlign w:val="center"/>
                </w:tcPr>
                <w:p>
                  <w:pPr>
                    <w:pStyle w:val="65"/>
                  </w:pPr>
                  <w:r>
                    <w:rPr>
                      <w:rFonts w:hint="eastAsia"/>
                    </w:rPr>
                    <w:t>储运</w:t>
                  </w:r>
                </w:p>
              </w:tc>
              <w:tc>
                <w:tcPr>
                  <w:tcW w:w="7262" w:type="dxa"/>
                  <w:gridSpan w:val="5"/>
                  <w:tcBorders>
                    <w:bottom w:val="single" w:color="auto" w:sz="12" w:space="0"/>
                  </w:tcBorders>
                  <w:vAlign w:val="center"/>
                </w:tcPr>
                <w:p>
                  <w:pPr>
                    <w:pStyle w:val="65"/>
                    <w:jc w:val="left"/>
                    <w:rPr>
                      <w:spacing w:val="3"/>
                    </w:rPr>
                  </w:pPr>
                  <w:r>
                    <w:rPr>
                      <w:rFonts w:hint="eastAsia"/>
                      <w:spacing w:val="3"/>
                    </w:rPr>
                    <w:t>储存于阴凉、通风的库房。远离火种、热源。应与氧化剂分开存放，切忌混储。配备相应品种和数量的消防器材。储区应备有泄漏应急处理设备和合适的收容材料。</w:t>
                  </w:r>
                </w:p>
                <w:p>
                  <w:pPr>
                    <w:pStyle w:val="65"/>
                    <w:jc w:val="left"/>
                    <w:rPr>
                      <w:spacing w:val="3"/>
                    </w:rPr>
                  </w:pPr>
                  <w:r>
                    <w:rPr>
                      <w:rFonts w:hint="eastAsia"/>
                      <w:spacing w:val="3"/>
                    </w:rPr>
                    <w:t>运输前应先检查包装容器是否完整、密封，运输过程中要确保容器不泄漏、不倒塌、不坠落、不损坏。严禁与氧化剂、食用化学品等混装混运。运输车船必须彻底清洗、消毒， 否则不得装运其它物品。船运时，配装位置应远离卧室、厨房，并与机舱、电源、火源等部位隔离。公路运输时要按规定路线行驶。</w:t>
                  </w:r>
                </w:p>
              </w:tc>
            </w:tr>
            <w:bookmarkEnd w:id="3"/>
          </w:tbl>
          <w:p>
            <w:pPr>
              <w:spacing w:line="480" w:lineRule="exact"/>
              <w:ind w:firstLine="480" w:firstLineChars="200"/>
              <w:rPr>
                <w:sz w:val="24"/>
              </w:rPr>
            </w:pPr>
            <w:r>
              <w:rPr>
                <w:rFonts w:hint="eastAsia" w:hAnsi="宋体"/>
                <w:sz w:val="24"/>
              </w:rPr>
              <w:t>4）</w:t>
            </w:r>
            <w:r>
              <w:rPr>
                <w:rFonts w:hAnsi="宋体"/>
                <w:sz w:val="24"/>
              </w:rPr>
              <w:t>环境风险分析</w:t>
            </w:r>
          </w:p>
          <w:p>
            <w:pPr>
              <w:spacing w:line="480" w:lineRule="exact"/>
              <w:ind w:firstLine="480" w:firstLineChars="200"/>
              <w:rPr>
                <w:sz w:val="24"/>
              </w:rPr>
            </w:pPr>
            <w:r>
              <w:rPr>
                <w:rFonts w:hint="eastAsia"/>
                <w:sz w:val="24"/>
              </w:rPr>
              <w:t>本项目可能</w:t>
            </w:r>
            <w:r>
              <w:rPr>
                <w:sz w:val="24"/>
              </w:rPr>
              <w:t>发生的事故包括</w:t>
            </w:r>
            <w:r>
              <w:rPr>
                <w:rFonts w:hint="eastAsia"/>
                <w:sz w:val="24"/>
              </w:rPr>
              <w:t>：</w:t>
            </w: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废润滑油泄漏，</w:t>
            </w:r>
            <w:r>
              <w:rPr>
                <w:sz w:val="24"/>
              </w:rPr>
              <w:t>引起</w:t>
            </w:r>
            <w:r>
              <w:rPr>
                <w:rFonts w:hint="eastAsia"/>
                <w:sz w:val="24"/>
              </w:rPr>
              <w:t>火灾、爆炸风险事故；</w:t>
            </w: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废气</w:t>
            </w:r>
            <w:r>
              <w:rPr>
                <w:sz w:val="24"/>
              </w:rPr>
              <w:t>处理设施故障，造成周围环境影响；</w:t>
            </w: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危险</w:t>
            </w:r>
            <w:r>
              <w:rPr>
                <w:sz w:val="24"/>
              </w:rPr>
              <w:t>物质泄露造成环境污染</w:t>
            </w:r>
            <w:r>
              <w:rPr>
                <w:rFonts w:hint="eastAsia"/>
                <w:sz w:val="24"/>
              </w:rPr>
              <w:t>。</w:t>
            </w:r>
            <w:r>
              <w:rPr>
                <w:sz w:val="24"/>
              </w:rPr>
              <w:t xml:space="preserve"> </w:t>
            </w:r>
          </w:p>
          <w:p>
            <w:pPr>
              <w:spacing w:line="480" w:lineRule="exact"/>
              <w:ind w:firstLine="480" w:firstLineChars="200"/>
              <w:rPr>
                <w:sz w:val="24"/>
              </w:rPr>
            </w:pPr>
            <w:r>
              <w:rPr>
                <w:rFonts w:hint="eastAsia" w:hAnsi="宋体"/>
                <w:sz w:val="24"/>
              </w:rPr>
              <w:t>5）</w:t>
            </w:r>
            <w:r>
              <w:rPr>
                <w:rFonts w:hAnsi="宋体"/>
                <w:sz w:val="24"/>
              </w:rPr>
              <w:t>风险防范措施</w:t>
            </w:r>
          </w:p>
          <w:p>
            <w:pPr>
              <w:spacing w:line="480" w:lineRule="exact"/>
              <w:ind w:firstLine="480" w:firstLineChars="200"/>
              <w:rPr>
                <w:sz w:val="24"/>
              </w:rPr>
            </w:pPr>
            <w:r>
              <w:rPr>
                <w:rFonts w:hAnsi="宋体"/>
                <w:sz w:val="24"/>
              </w:rPr>
              <w:t>针对上述环境风险，本次评价建议项目采取以下风险防范措施：</w:t>
            </w:r>
          </w:p>
          <w:p>
            <w:pPr>
              <w:spacing w:line="480" w:lineRule="exact"/>
              <w:ind w:firstLine="480" w:firstLineChars="200"/>
              <w:rPr>
                <w:rFonts w:hAnsi="宋体"/>
                <w:sz w:val="24"/>
              </w:rPr>
            </w:pPr>
            <w:r>
              <w:rPr>
                <w:rFonts w:hint="eastAsia" w:hAnsi="宋体"/>
                <w:sz w:val="24"/>
              </w:rPr>
              <w:t>①火灾爆炸</w:t>
            </w:r>
            <w:r>
              <w:rPr>
                <w:rFonts w:hAnsi="宋体"/>
                <w:sz w:val="24"/>
              </w:rPr>
              <w:t>事故</w:t>
            </w:r>
          </w:p>
          <w:p>
            <w:pPr>
              <w:spacing w:line="480" w:lineRule="exact"/>
              <w:ind w:firstLine="480" w:firstLineChars="200"/>
              <w:rPr>
                <w:rFonts w:hAnsi="宋体"/>
                <w:sz w:val="24"/>
              </w:rPr>
            </w:pPr>
            <w:r>
              <w:rPr>
                <w:rFonts w:hint="eastAsia" w:hAnsi="宋体"/>
                <w:sz w:val="24"/>
              </w:rPr>
              <w:t>a、</w:t>
            </w:r>
            <w:r>
              <w:rPr>
                <w:rFonts w:hAnsi="宋体"/>
                <w:sz w:val="24"/>
              </w:rPr>
              <w:t>全厂消防设计本着“预防为主，防消结合”的原则，立足于火灾自救。对主要设备和重要建筑物均采取防消结合措施。要按照有关要求，设置消防栓和灭火器，有专门的消防人员，做好巡检工作，防患于未然</w:t>
            </w:r>
            <w:r>
              <w:rPr>
                <w:rFonts w:hint="eastAsia" w:hAnsi="宋体"/>
                <w:sz w:val="24"/>
              </w:rPr>
              <w:t>；</w:t>
            </w:r>
          </w:p>
          <w:p>
            <w:pPr>
              <w:spacing w:line="480" w:lineRule="exact"/>
              <w:ind w:firstLine="480" w:firstLineChars="200"/>
              <w:rPr>
                <w:rFonts w:hAnsi="宋体"/>
                <w:sz w:val="24"/>
              </w:rPr>
            </w:pPr>
            <w:r>
              <w:rPr>
                <w:rFonts w:hint="eastAsia" w:hAnsi="宋体"/>
                <w:sz w:val="24"/>
              </w:rPr>
              <w:t>b、</w:t>
            </w:r>
            <w:r>
              <w:rPr>
                <w:rFonts w:hAnsi="宋体"/>
                <w:sz w:val="24"/>
              </w:rPr>
              <w:t>防火间距：在总平面布置中，各建筑物构筑物之间的距离应满足有关设计技术规范和建筑设计防火规范的要求。</w:t>
            </w:r>
          </w:p>
          <w:p>
            <w:pPr>
              <w:spacing w:line="480" w:lineRule="exact"/>
              <w:ind w:firstLine="480" w:firstLineChars="200"/>
              <w:rPr>
                <w:rFonts w:hAnsi="宋体"/>
                <w:sz w:val="24"/>
              </w:rPr>
            </w:pPr>
            <w:r>
              <w:rPr>
                <w:rFonts w:hint="eastAsia" w:hAnsi="宋体"/>
                <w:sz w:val="24"/>
              </w:rPr>
              <w:t>c、</w:t>
            </w:r>
            <w:r>
              <w:rPr>
                <w:rFonts w:hAnsi="宋体"/>
                <w:sz w:val="24"/>
              </w:rPr>
              <w:t>设备的安全管理：定期对设备进行安全检测，检测内容、时间、人员应有记录保存、安全检测应根据设备的安全性、危险性设定检测频次。</w:t>
            </w:r>
          </w:p>
          <w:p>
            <w:pPr>
              <w:spacing w:line="480" w:lineRule="exact"/>
              <w:ind w:firstLine="480" w:firstLineChars="200"/>
              <w:rPr>
                <w:rFonts w:hAnsi="宋体"/>
                <w:sz w:val="24"/>
              </w:rPr>
            </w:pPr>
            <w:r>
              <w:rPr>
                <w:rFonts w:hint="eastAsia" w:hAnsi="宋体"/>
                <w:sz w:val="24"/>
              </w:rPr>
              <w:t>d、</w:t>
            </w:r>
            <w:r>
              <w:rPr>
                <w:rFonts w:hAnsi="宋体"/>
                <w:sz w:val="24"/>
              </w:rPr>
              <w:t>各生产区保证一定的距离，设有隔离带，设双重管理。生产车间的布局和建筑设计应符合《建筑防火设计规范》及《爆炸和火灾危险环境电力设置设计规范》要求，使用防爆电气照明设备；厂房的防雷接地符合GB50057-94《建筑防雷设计规范》，并在生产车间设置消防系统，达到消防部门的要求。</w:t>
            </w:r>
          </w:p>
          <w:p>
            <w:pPr>
              <w:spacing w:line="480" w:lineRule="exact"/>
              <w:ind w:firstLine="480" w:firstLineChars="200"/>
              <w:rPr>
                <w:rFonts w:hAnsi="宋体"/>
                <w:sz w:val="24"/>
              </w:rPr>
            </w:pPr>
            <w:r>
              <w:rPr>
                <w:rFonts w:hint="eastAsia" w:hAnsi="宋体"/>
                <w:sz w:val="24"/>
              </w:rPr>
              <w:t>e、</w:t>
            </w:r>
            <w:r>
              <w:rPr>
                <w:rFonts w:hAnsi="宋体"/>
                <w:sz w:val="24"/>
              </w:rPr>
              <w:t>生产车间管理：区域内严格管控明火的使用，要提出安全措施，保厂部履行必要的审批手续。生产车间内电气设备不得任意安装更改，严禁使用临时电线电灯。</w:t>
            </w:r>
          </w:p>
          <w:p>
            <w:pPr>
              <w:spacing w:line="480" w:lineRule="exact"/>
              <w:ind w:firstLine="480" w:firstLineChars="200"/>
              <w:rPr>
                <w:rFonts w:hAnsi="宋体"/>
                <w:sz w:val="24"/>
              </w:rPr>
            </w:pPr>
            <w:r>
              <w:rPr>
                <w:rFonts w:hint="eastAsia" w:hAnsi="宋体"/>
                <w:sz w:val="24"/>
              </w:rPr>
              <w:t>②废气处理设施故障</w:t>
            </w:r>
          </w:p>
          <w:p>
            <w:pPr>
              <w:spacing w:line="480" w:lineRule="exact"/>
              <w:ind w:firstLine="480" w:firstLineChars="200"/>
              <w:rPr>
                <w:rFonts w:hAnsi="宋体"/>
                <w:sz w:val="24"/>
              </w:rPr>
            </w:pPr>
            <w:r>
              <w:rPr>
                <w:rFonts w:hint="eastAsia" w:hAnsi="宋体"/>
                <w:sz w:val="24"/>
              </w:rPr>
              <w:t>企业废气处理设施需设置专门的人员管理，加强对废气处理设置、运输管道和排气筒的维护和检修，一旦发现废气泄露立即停产检修，检修完毕方可再投入生产。</w:t>
            </w:r>
          </w:p>
          <w:p>
            <w:pPr>
              <w:spacing w:line="480" w:lineRule="exact"/>
              <w:ind w:firstLine="480" w:firstLineChars="200"/>
              <w:rPr>
                <w:rFonts w:cs="宋体"/>
                <w:sz w:val="24"/>
              </w:rPr>
            </w:pPr>
            <w:r>
              <w:rPr>
                <w:rFonts w:hint="eastAsia" w:cs="宋体"/>
                <w:sz w:val="24"/>
              </w:rPr>
              <w:t>③危险物质泄露预防事故</w:t>
            </w:r>
          </w:p>
          <w:p>
            <w:pPr>
              <w:spacing w:line="480" w:lineRule="exact"/>
              <w:ind w:firstLine="480" w:firstLineChars="200"/>
              <w:rPr>
                <w:rFonts w:cs="宋体"/>
                <w:sz w:val="24"/>
              </w:rPr>
            </w:pPr>
            <w:r>
              <w:rPr>
                <w:rFonts w:hint="eastAsia" w:cs="宋体"/>
                <w:sz w:val="24"/>
              </w:rPr>
              <w:t>a、使用符合标准的容器盛装危险废物；应定期对暂时贮存危险废物包装及设施进行检查，发现破损，及时采取措施清理更换；</w:t>
            </w:r>
          </w:p>
          <w:p>
            <w:pPr>
              <w:spacing w:line="480" w:lineRule="exact"/>
              <w:ind w:firstLine="480" w:firstLineChars="200"/>
              <w:rPr>
                <w:bCs/>
                <w:sz w:val="24"/>
              </w:rPr>
            </w:pPr>
            <w:r>
              <w:rPr>
                <w:rFonts w:hint="eastAsia"/>
                <w:bCs/>
                <w:sz w:val="24"/>
              </w:rPr>
              <w:t>b、设有专人负责危险</w:t>
            </w:r>
            <w:r>
              <w:rPr>
                <w:bCs/>
                <w:sz w:val="24"/>
              </w:rPr>
              <w:t>废物</w:t>
            </w:r>
            <w:r>
              <w:rPr>
                <w:rFonts w:hint="eastAsia"/>
                <w:bCs/>
                <w:sz w:val="24"/>
              </w:rPr>
              <w:t>维护及管理，避免因危险</w:t>
            </w:r>
            <w:r>
              <w:rPr>
                <w:bCs/>
                <w:sz w:val="24"/>
              </w:rPr>
              <w:t>废物泄露</w:t>
            </w:r>
            <w:r>
              <w:rPr>
                <w:rFonts w:hint="eastAsia"/>
                <w:bCs/>
                <w:sz w:val="24"/>
              </w:rPr>
              <w:t>、</w:t>
            </w:r>
            <w:r>
              <w:rPr>
                <w:bCs/>
                <w:sz w:val="24"/>
              </w:rPr>
              <w:t>乱堆乱弃</w:t>
            </w:r>
            <w:r>
              <w:rPr>
                <w:rFonts w:hint="eastAsia"/>
                <w:bCs/>
                <w:sz w:val="24"/>
              </w:rPr>
              <w:t>造成</w:t>
            </w:r>
            <w:r>
              <w:rPr>
                <w:bCs/>
                <w:sz w:val="24"/>
              </w:rPr>
              <w:t>环境污染</w:t>
            </w:r>
            <w:r>
              <w:rPr>
                <w:rFonts w:hint="eastAsia"/>
                <w:bCs/>
                <w:sz w:val="24"/>
              </w:rPr>
              <w:t>；</w:t>
            </w:r>
          </w:p>
          <w:p>
            <w:pPr>
              <w:spacing w:line="480" w:lineRule="exact"/>
              <w:ind w:firstLine="480" w:firstLineChars="200"/>
              <w:rPr>
                <w:bCs/>
                <w:sz w:val="24"/>
              </w:rPr>
            </w:pPr>
            <w:r>
              <w:rPr>
                <w:rFonts w:hint="eastAsia"/>
                <w:bCs/>
                <w:sz w:val="24"/>
              </w:rPr>
              <w:t>c、应指定专人负责危废的收集、</w:t>
            </w:r>
            <w:r>
              <w:rPr>
                <w:bCs/>
                <w:sz w:val="24"/>
              </w:rPr>
              <w:t xml:space="preserve"> </w:t>
            </w:r>
            <w:r>
              <w:rPr>
                <w:rFonts w:hint="eastAsia"/>
                <w:bCs/>
                <w:sz w:val="24"/>
              </w:rPr>
              <w:t>运输管理工作，运输车辆的司机和押运人员应经专业培训。</w:t>
            </w:r>
          </w:p>
          <w:p>
            <w:pPr>
              <w:pStyle w:val="53"/>
              <w:spacing w:line="480" w:lineRule="exact"/>
            </w:pPr>
            <w:r>
              <w:rPr>
                <w:rFonts w:hint="eastAsia" w:ascii="宋体" w:hAnsi="宋体" w:cs="宋体"/>
              </w:rPr>
              <w:t>④</w:t>
            </w:r>
            <w:r>
              <w:t>突发环境事件应急预案</w:t>
            </w:r>
          </w:p>
          <w:p>
            <w:pPr>
              <w:pStyle w:val="53"/>
              <w:spacing w:line="480" w:lineRule="exact"/>
            </w:pPr>
            <w:r>
              <w:t>风险事故发生后，能否迅速作出应急反应，对于控制环境污染、减少人员伤亡及经济损失等都起到了关键性作用。根据《建设项目环境风险评价技术导则》（HJ/T169-2018）中的规定和要求，对于本项目可能造成环境风险的突发性事故须制定应急预案原则要求，本环评要求建设单位制定详细的应急预案。</w:t>
            </w:r>
          </w:p>
          <w:p>
            <w:pPr>
              <w:pStyle w:val="53"/>
              <w:spacing w:line="480" w:lineRule="exact"/>
            </w:pPr>
            <w:r>
              <w:rPr>
                <w:rFonts w:hint="eastAsia" w:ascii="宋体" w:hAnsi="宋体" w:cs="宋体"/>
              </w:rPr>
              <w:t>⑤</w:t>
            </w:r>
            <w:r>
              <w:t>环境风险应急体系</w:t>
            </w:r>
          </w:p>
          <w:p>
            <w:pPr>
              <w:pStyle w:val="53"/>
              <w:spacing w:line="480" w:lineRule="exact"/>
            </w:pPr>
            <w:r>
              <w:t>本项目应急系统应与周边企业、园区、</w:t>
            </w:r>
            <w:r>
              <w:rPr>
                <w:rFonts w:hint="eastAsia"/>
              </w:rPr>
              <w:t>昌吉市</w:t>
            </w:r>
            <w:r>
              <w:t>等区域环境风险应急系统对接联动，实现区域联防联控。项目厂区配备足够的消防、防毒防护设施及应急监测等应急设施和物资。配备应急队伍，能够立即响应，立即汇报，立即事故处置等。</w:t>
            </w:r>
          </w:p>
          <w:p>
            <w:pPr>
              <w:pStyle w:val="53"/>
              <w:spacing w:line="480" w:lineRule="exact"/>
            </w:pPr>
            <w:r>
              <w:rPr>
                <w:rFonts w:hint="eastAsia"/>
              </w:rPr>
              <w:t>6）风险评价综述</w:t>
            </w:r>
          </w:p>
          <w:p>
            <w:pPr>
              <w:pStyle w:val="53"/>
              <w:spacing w:line="480" w:lineRule="exact"/>
            </w:pPr>
            <w:r>
              <w:rPr>
                <w:rFonts w:hint="eastAsia"/>
              </w:rPr>
              <w:t>综上所述，项目运行过程中只要加强管理，建立健全相应的防范应急措施，在设计、施工、管理及运行中认真落实工程拟采取的安全措施及评价所提出的安全设施和安全对策后，上述风险事故隐患可降至最低。</w:t>
            </w:r>
          </w:p>
          <w:p>
            <w:pPr>
              <w:pStyle w:val="53"/>
              <w:spacing w:line="480" w:lineRule="exact"/>
            </w:pPr>
            <w:r>
              <w:rPr>
                <w:rFonts w:hint="eastAsia"/>
              </w:rPr>
              <w:t>7）</w:t>
            </w:r>
            <w:r>
              <w:t>环境风险简单分析内容表</w:t>
            </w:r>
          </w:p>
          <w:p>
            <w:pPr>
              <w:pStyle w:val="84"/>
              <w:ind w:firstLine="420" w:firstLineChars="200"/>
              <w:jc w:val="both"/>
              <w:rPr>
                <w:color w:val="auto"/>
              </w:rPr>
            </w:pPr>
            <w:r>
              <w:rPr>
                <w:color w:val="auto"/>
              </w:rPr>
              <w:t>表</w:t>
            </w:r>
            <w:r>
              <w:rPr>
                <w:rFonts w:hint="eastAsia"/>
                <w:color w:val="auto"/>
              </w:rPr>
              <w:t xml:space="preserve">4-17            </w:t>
            </w:r>
            <w:r>
              <w:rPr>
                <w:color w:val="auto"/>
              </w:rPr>
              <w:t>建设项目环境风险简单分析内容表</w:t>
            </w:r>
          </w:p>
          <w:tbl>
            <w:tblPr>
              <w:tblStyle w:val="25"/>
              <w:tblW w:w="84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347"/>
              <w:gridCol w:w="1749"/>
              <w:gridCol w:w="1210"/>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582" w:type="dxa"/>
                  <w:shd w:val="clear" w:color="auto" w:fill="auto"/>
                  <w:vAlign w:val="center"/>
                </w:tcPr>
                <w:p>
                  <w:pPr>
                    <w:pStyle w:val="57"/>
                    <w:rPr>
                      <w:color w:val="auto"/>
                    </w:rPr>
                  </w:pPr>
                  <w:r>
                    <w:rPr>
                      <w:color w:val="auto"/>
                    </w:rPr>
                    <w:t>建设项目名称</w:t>
                  </w:r>
                </w:p>
              </w:tc>
              <w:tc>
                <w:tcPr>
                  <w:tcW w:w="6866" w:type="dxa"/>
                  <w:gridSpan w:val="4"/>
                  <w:shd w:val="clear" w:color="auto" w:fill="auto"/>
                  <w:vAlign w:val="center"/>
                </w:tcPr>
                <w:p>
                  <w:pPr>
                    <w:jc w:val="center"/>
                    <w:rPr>
                      <w:rFonts w:ascii="宋体" w:hAnsi="宋体" w:cs="宋体"/>
                      <w:szCs w:val="21"/>
                    </w:rPr>
                  </w:pPr>
                  <w:r>
                    <w:rPr>
                      <w:rFonts w:hint="eastAsia" w:ascii="宋体" w:hAnsi="宋体" w:cs="宋体"/>
                      <w:szCs w:val="21"/>
                    </w:rPr>
                    <w:t>新疆溢联农业有限责任公司塑料果蔬筐加工项目</w:t>
                  </w:r>
                </w:p>
                <w:p>
                  <w:pPr>
                    <w:pStyle w:val="57"/>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82" w:type="dxa"/>
                  <w:shd w:val="clear" w:color="auto" w:fill="auto"/>
                  <w:vAlign w:val="center"/>
                </w:tcPr>
                <w:p>
                  <w:pPr>
                    <w:pStyle w:val="57"/>
                    <w:rPr>
                      <w:rFonts w:ascii="宋体" w:hAnsi="宋体" w:cs="宋体"/>
                      <w:color w:val="auto"/>
                    </w:rPr>
                  </w:pPr>
                  <w:r>
                    <w:rPr>
                      <w:rFonts w:hint="eastAsia" w:ascii="宋体" w:hAnsi="宋体" w:cs="宋体"/>
                      <w:color w:val="auto"/>
                    </w:rPr>
                    <w:t>建设地点</w:t>
                  </w:r>
                </w:p>
              </w:tc>
              <w:tc>
                <w:tcPr>
                  <w:tcW w:w="1347" w:type="dxa"/>
                  <w:shd w:val="clear" w:color="auto" w:fill="auto"/>
                  <w:vAlign w:val="center"/>
                </w:tcPr>
                <w:p>
                  <w:pPr>
                    <w:pStyle w:val="57"/>
                    <w:rPr>
                      <w:rFonts w:ascii="宋体" w:hAnsi="宋体" w:cs="宋体"/>
                      <w:color w:val="auto"/>
                    </w:rPr>
                  </w:pPr>
                  <w:r>
                    <w:rPr>
                      <w:rFonts w:hint="eastAsia" w:ascii="宋体" w:hAnsi="宋体" w:cs="宋体"/>
                      <w:color w:val="auto"/>
                    </w:rPr>
                    <w:t>新疆维吾尔自治区</w:t>
                  </w:r>
                </w:p>
              </w:tc>
              <w:tc>
                <w:tcPr>
                  <w:tcW w:w="1749" w:type="dxa"/>
                  <w:shd w:val="clear" w:color="auto" w:fill="auto"/>
                  <w:vAlign w:val="center"/>
                </w:tcPr>
                <w:p>
                  <w:pPr>
                    <w:pStyle w:val="57"/>
                    <w:rPr>
                      <w:rFonts w:ascii="宋体" w:hAnsi="宋体" w:cs="宋体"/>
                      <w:color w:val="auto"/>
                    </w:rPr>
                  </w:pPr>
                  <w:r>
                    <w:rPr>
                      <w:rFonts w:hint="eastAsia" w:ascii="宋体" w:hAnsi="宋体" w:cs="宋体"/>
                      <w:bCs/>
                      <w:color w:val="auto"/>
                    </w:rPr>
                    <w:t>昌吉回族自治州</w:t>
                  </w:r>
                </w:p>
              </w:tc>
              <w:tc>
                <w:tcPr>
                  <w:tcW w:w="1210" w:type="dxa"/>
                  <w:shd w:val="clear" w:color="auto" w:fill="auto"/>
                  <w:vAlign w:val="center"/>
                </w:tcPr>
                <w:p>
                  <w:pPr>
                    <w:pStyle w:val="57"/>
                    <w:rPr>
                      <w:rFonts w:ascii="宋体" w:hAnsi="宋体" w:cs="宋体"/>
                      <w:color w:val="auto"/>
                    </w:rPr>
                  </w:pPr>
                  <w:r>
                    <w:rPr>
                      <w:rFonts w:hint="eastAsia" w:ascii="宋体" w:hAnsi="宋体" w:cs="宋体"/>
                      <w:color w:val="auto"/>
                    </w:rPr>
                    <w:t>昌吉市三工镇</w:t>
                  </w:r>
                </w:p>
              </w:tc>
              <w:tc>
                <w:tcPr>
                  <w:tcW w:w="2560" w:type="dxa"/>
                  <w:shd w:val="clear" w:color="auto" w:fill="auto"/>
                  <w:vAlign w:val="center"/>
                </w:tcPr>
                <w:p>
                  <w:pPr>
                    <w:pStyle w:val="57"/>
                    <w:rPr>
                      <w:rFonts w:ascii="宋体" w:hAnsi="宋体" w:cs="宋体"/>
                      <w:color w:val="auto"/>
                    </w:rPr>
                  </w:pPr>
                  <w:r>
                    <w:rPr>
                      <w:rFonts w:hint="eastAsia" w:ascii="宋体" w:hAnsi="宋体" w:cs="宋体"/>
                    </w:rPr>
                    <w:t>下营盘村五组老砖厂院内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82" w:type="dxa"/>
                  <w:shd w:val="clear" w:color="auto" w:fill="auto"/>
                  <w:vAlign w:val="center"/>
                </w:tcPr>
                <w:p>
                  <w:pPr>
                    <w:pStyle w:val="57"/>
                    <w:rPr>
                      <w:rFonts w:ascii="宋体" w:hAnsi="宋体" w:cs="宋体"/>
                      <w:color w:val="auto"/>
                    </w:rPr>
                  </w:pPr>
                  <w:r>
                    <w:rPr>
                      <w:rFonts w:hint="eastAsia" w:ascii="宋体" w:hAnsi="宋体" w:cs="宋体"/>
                      <w:color w:val="auto"/>
                    </w:rPr>
                    <w:t>地理坐标</w:t>
                  </w:r>
                </w:p>
              </w:tc>
              <w:tc>
                <w:tcPr>
                  <w:tcW w:w="1347" w:type="dxa"/>
                  <w:shd w:val="clear" w:color="auto" w:fill="auto"/>
                  <w:vAlign w:val="center"/>
                </w:tcPr>
                <w:p>
                  <w:pPr>
                    <w:pStyle w:val="57"/>
                    <w:rPr>
                      <w:rFonts w:ascii="宋体" w:hAnsi="宋体" w:cs="宋体"/>
                      <w:color w:val="auto"/>
                    </w:rPr>
                  </w:pPr>
                  <w:r>
                    <w:rPr>
                      <w:rFonts w:hint="eastAsia" w:ascii="宋体" w:hAnsi="宋体" w:cs="宋体"/>
                      <w:color w:val="auto"/>
                    </w:rPr>
                    <w:t>经度</w:t>
                  </w:r>
                </w:p>
              </w:tc>
              <w:tc>
                <w:tcPr>
                  <w:tcW w:w="1749" w:type="dxa"/>
                  <w:shd w:val="clear" w:color="auto" w:fill="auto"/>
                  <w:vAlign w:val="center"/>
                </w:tcPr>
                <w:p>
                  <w:pPr>
                    <w:pStyle w:val="57"/>
                    <w:rPr>
                      <w:rFonts w:ascii="宋体" w:hAnsi="宋体" w:cs="宋体"/>
                      <w:color w:val="auto"/>
                    </w:rPr>
                  </w:pPr>
                  <w:r>
                    <w:rPr>
                      <w:rFonts w:hint="eastAsia" w:ascii="宋体" w:hAnsi="宋体" w:cs="宋体"/>
                    </w:rPr>
                    <w:t>87°13′38.135″</w:t>
                  </w:r>
                  <w:r>
                    <w:rPr>
                      <w:rFonts w:hint="eastAsia" w:ascii="宋体" w:hAnsi="宋体" w:cs="宋体"/>
                      <w:bCs/>
                      <w:color w:val="auto"/>
                    </w:rPr>
                    <w:t>E</w:t>
                  </w:r>
                </w:p>
              </w:tc>
              <w:tc>
                <w:tcPr>
                  <w:tcW w:w="1210" w:type="dxa"/>
                  <w:shd w:val="clear" w:color="auto" w:fill="auto"/>
                  <w:vAlign w:val="center"/>
                </w:tcPr>
                <w:p>
                  <w:pPr>
                    <w:pStyle w:val="57"/>
                    <w:rPr>
                      <w:rFonts w:ascii="宋体" w:hAnsi="宋体" w:cs="宋体"/>
                      <w:color w:val="auto"/>
                    </w:rPr>
                  </w:pPr>
                  <w:r>
                    <w:rPr>
                      <w:rFonts w:hint="eastAsia" w:ascii="宋体" w:hAnsi="宋体" w:cs="宋体"/>
                      <w:color w:val="auto"/>
                    </w:rPr>
                    <w:t>纬度</w:t>
                  </w:r>
                </w:p>
              </w:tc>
              <w:tc>
                <w:tcPr>
                  <w:tcW w:w="2560" w:type="dxa"/>
                  <w:shd w:val="clear" w:color="auto" w:fill="auto"/>
                  <w:vAlign w:val="center"/>
                </w:tcPr>
                <w:p>
                  <w:pPr>
                    <w:pStyle w:val="57"/>
                    <w:rPr>
                      <w:rFonts w:ascii="宋体" w:hAnsi="宋体" w:cs="宋体"/>
                      <w:color w:val="auto"/>
                    </w:rPr>
                  </w:pPr>
                  <w:r>
                    <w:rPr>
                      <w:rFonts w:hint="eastAsia" w:ascii="宋体" w:hAnsi="宋体" w:cs="宋体"/>
                    </w:rPr>
                    <w:t>43°55′40.215″</w:t>
                  </w:r>
                  <w:r>
                    <w:rPr>
                      <w:rFonts w:hint="eastAsia" w:ascii="宋体" w:hAnsi="宋体" w:cs="宋体"/>
                      <w:bCs/>
                      <w:color w:val="auto"/>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82" w:type="dxa"/>
                  <w:shd w:val="clear" w:color="auto" w:fill="auto"/>
                  <w:vAlign w:val="center"/>
                </w:tcPr>
                <w:p>
                  <w:pPr>
                    <w:pStyle w:val="57"/>
                    <w:rPr>
                      <w:color w:val="auto"/>
                    </w:rPr>
                  </w:pPr>
                  <w:r>
                    <w:rPr>
                      <w:color w:val="auto"/>
                    </w:rPr>
                    <w:t>主要危险物质及分布</w:t>
                  </w:r>
                </w:p>
              </w:tc>
              <w:tc>
                <w:tcPr>
                  <w:tcW w:w="6866" w:type="dxa"/>
                  <w:gridSpan w:val="4"/>
                  <w:shd w:val="clear" w:color="auto" w:fill="auto"/>
                  <w:vAlign w:val="center"/>
                </w:tcPr>
                <w:p>
                  <w:pPr>
                    <w:pStyle w:val="57"/>
                    <w:jc w:val="left"/>
                    <w:rPr>
                      <w:color w:val="auto"/>
                    </w:rPr>
                  </w:pPr>
                  <w:r>
                    <w:rPr>
                      <w:color w:val="auto"/>
                    </w:rPr>
                    <w:t>所涉及的风险物质主要是废润滑油，位于危废暂存间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82" w:type="dxa"/>
                  <w:shd w:val="clear" w:color="auto" w:fill="auto"/>
                  <w:vAlign w:val="center"/>
                </w:tcPr>
                <w:p>
                  <w:pPr>
                    <w:pStyle w:val="57"/>
                    <w:rPr>
                      <w:color w:val="auto"/>
                    </w:rPr>
                  </w:pPr>
                  <w:r>
                    <w:rPr>
                      <w:color w:val="auto"/>
                    </w:rPr>
                    <w:t>环境影响途径及危害后果（大气、地表水、地下水等）</w:t>
                  </w:r>
                </w:p>
              </w:tc>
              <w:tc>
                <w:tcPr>
                  <w:tcW w:w="6866" w:type="dxa"/>
                  <w:gridSpan w:val="4"/>
                  <w:shd w:val="clear" w:color="auto" w:fill="auto"/>
                  <w:vAlign w:val="center"/>
                </w:tcPr>
                <w:p>
                  <w:pPr>
                    <w:pStyle w:val="57"/>
                    <w:jc w:val="left"/>
                    <w:rPr>
                      <w:bCs/>
                      <w:color w:val="auto"/>
                    </w:rPr>
                  </w:pPr>
                  <w:r>
                    <w:rPr>
                      <w:bCs/>
                      <w:color w:val="auto"/>
                    </w:rPr>
                    <w:t>本项目可能发生的事故包括</w:t>
                  </w:r>
                </w:p>
                <w:p>
                  <w:pPr>
                    <w:pStyle w:val="57"/>
                    <w:jc w:val="left"/>
                    <w:rPr>
                      <w:bCs/>
                      <w:color w:val="auto"/>
                    </w:rPr>
                  </w:pPr>
                  <w:r>
                    <w:rPr>
                      <w:bCs/>
                      <w:color w:val="auto"/>
                    </w:rPr>
                    <w:fldChar w:fldCharType="begin"/>
                  </w:r>
                  <w:r>
                    <w:rPr>
                      <w:bCs/>
                      <w:color w:val="auto"/>
                    </w:rPr>
                    <w:instrText xml:space="preserve"> </w:instrText>
                  </w:r>
                  <w:r>
                    <w:rPr>
                      <w:rFonts w:hint="eastAsia"/>
                      <w:bCs/>
                      <w:color w:val="auto"/>
                    </w:rPr>
                    <w:instrText xml:space="preserve">= 1 \* GB3</w:instrText>
                  </w:r>
                  <w:r>
                    <w:rPr>
                      <w:bCs/>
                      <w:color w:val="auto"/>
                    </w:rPr>
                    <w:instrText xml:space="preserve"> </w:instrText>
                  </w:r>
                  <w:r>
                    <w:rPr>
                      <w:bCs/>
                      <w:color w:val="auto"/>
                    </w:rPr>
                    <w:fldChar w:fldCharType="separate"/>
                  </w:r>
                  <w:r>
                    <w:rPr>
                      <w:rFonts w:hint="eastAsia"/>
                      <w:bCs/>
                      <w:color w:val="auto"/>
                    </w:rPr>
                    <w:t>①</w:t>
                  </w:r>
                  <w:r>
                    <w:rPr>
                      <w:bCs/>
                      <w:color w:val="auto"/>
                    </w:rPr>
                    <w:fldChar w:fldCharType="end"/>
                  </w:r>
                  <w:r>
                    <w:rPr>
                      <w:rFonts w:hint="eastAsia"/>
                      <w:bCs/>
                      <w:color w:val="auto"/>
                    </w:rPr>
                    <w:t>废润滑油泄漏，</w:t>
                  </w:r>
                  <w:r>
                    <w:rPr>
                      <w:bCs/>
                      <w:color w:val="auto"/>
                    </w:rPr>
                    <w:t>引起</w:t>
                  </w:r>
                  <w:r>
                    <w:rPr>
                      <w:rFonts w:hint="eastAsia"/>
                      <w:bCs/>
                      <w:color w:val="auto"/>
                    </w:rPr>
                    <w:t>火灾、爆炸风险事故；</w:t>
                  </w:r>
                </w:p>
                <w:p>
                  <w:pPr>
                    <w:pStyle w:val="57"/>
                    <w:jc w:val="left"/>
                    <w:rPr>
                      <w:bCs/>
                      <w:color w:val="auto"/>
                    </w:rPr>
                  </w:pPr>
                  <w:r>
                    <w:rPr>
                      <w:bCs/>
                      <w:color w:val="auto"/>
                    </w:rPr>
                    <w:fldChar w:fldCharType="begin"/>
                  </w:r>
                  <w:r>
                    <w:rPr>
                      <w:bCs/>
                      <w:color w:val="auto"/>
                    </w:rPr>
                    <w:instrText xml:space="preserve"> </w:instrText>
                  </w:r>
                  <w:r>
                    <w:rPr>
                      <w:rFonts w:hint="eastAsia"/>
                      <w:bCs/>
                      <w:color w:val="auto"/>
                    </w:rPr>
                    <w:instrText xml:space="preserve">= 2 \* GB3</w:instrText>
                  </w:r>
                  <w:r>
                    <w:rPr>
                      <w:bCs/>
                      <w:color w:val="auto"/>
                    </w:rPr>
                    <w:instrText xml:space="preserve"> </w:instrText>
                  </w:r>
                  <w:r>
                    <w:rPr>
                      <w:bCs/>
                      <w:color w:val="auto"/>
                    </w:rPr>
                    <w:fldChar w:fldCharType="separate"/>
                  </w:r>
                  <w:r>
                    <w:rPr>
                      <w:rFonts w:hint="eastAsia"/>
                      <w:bCs/>
                      <w:color w:val="auto"/>
                    </w:rPr>
                    <w:t>②</w:t>
                  </w:r>
                  <w:r>
                    <w:rPr>
                      <w:bCs/>
                      <w:color w:val="auto"/>
                    </w:rPr>
                    <w:fldChar w:fldCharType="end"/>
                  </w:r>
                  <w:r>
                    <w:rPr>
                      <w:rFonts w:hint="eastAsia"/>
                      <w:bCs/>
                      <w:color w:val="auto"/>
                    </w:rPr>
                    <w:t>废气</w:t>
                  </w:r>
                  <w:r>
                    <w:rPr>
                      <w:bCs/>
                      <w:color w:val="auto"/>
                    </w:rPr>
                    <w:t>处理设施故障，造成周围环境影响；</w:t>
                  </w:r>
                </w:p>
                <w:p>
                  <w:pPr>
                    <w:pStyle w:val="57"/>
                    <w:jc w:val="left"/>
                    <w:rPr>
                      <w:bCs/>
                      <w:color w:val="auto"/>
                    </w:rPr>
                  </w:pPr>
                  <w:r>
                    <w:rPr>
                      <w:bCs/>
                      <w:color w:val="auto"/>
                    </w:rPr>
                    <w:fldChar w:fldCharType="begin"/>
                  </w:r>
                  <w:r>
                    <w:rPr>
                      <w:bCs/>
                      <w:color w:val="auto"/>
                    </w:rPr>
                    <w:instrText xml:space="preserve"> </w:instrText>
                  </w:r>
                  <w:r>
                    <w:rPr>
                      <w:rFonts w:hint="eastAsia"/>
                      <w:bCs/>
                      <w:color w:val="auto"/>
                    </w:rPr>
                    <w:instrText xml:space="preserve">= 3 \* GB3</w:instrText>
                  </w:r>
                  <w:r>
                    <w:rPr>
                      <w:bCs/>
                      <w:color w:val="auto"/>
                    </w:rPr>
                    <w:instrText xml:space="preserve"> </w:instrText>
                  </w:r>
                  <w:r>
                    <w:rPr>
                      <w:bCs/>
                      <w:color w:val="auto"/>
                    </w:rPr>
                    <w:fldChar w:fldCharType="separate"/>
                  </w:r>
                  <w:r>
                    <w:rPr>
                      <w:rFonts w:hint="eastAsia"/>
                      <w:bCs/>
                      <w:color w:val="auto"/>
                    </w:rPr>
                    <w:t>③</w:t>
                  </w:r>
                  <w:r>
                    <w:rPr>
                      <w:bCs/>
                      <w:color w:val="auto"/>
                    </w:rPr>
                    <w:fldChar w:fldCharType="end"/>
                  </w:r>
                  <w:r>
                    <w:rPr>
                      <w:rFonts w:hint="eastAsia"/>
                      <w:bCs/>
                      <w:color w:val="auto"/>
                    </w:rPr>
                    <w:t>危险</w:t>
                  </w:r>
                  <w:r>
                    <w:rPr>
                      <w:bCs/>
                      <w:color w:val="auto"/>
                    </w:rPr>
                    <w:t>物质泄露造成环境污染。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82" w:type="dxa"/>
                  <w:shd w:val="clear" w:color="auto" w:fill="auto"/>
                  <w:vAlign w:val="center"/>
                </w:tcPr>
                <w:p>
                  <w:pPr>
                    <w:pStyle w:val="57"/>
                    <w:rPr>
                      <w:color w:val="auto"/>
                    </w:rPr>
                  </w:pPr>
                  <w:r>
                    <w:rPr>
                      <w:color w:val="auto"/>
                    </w:rPr>
                    <w:t>风险防范措施要求</w:t>
                  </w:r>
                </w:p>
              </w:tc>
              <w:tc>
                <w:tcPr>
                  <w:tcW w:w="6866" w:type="dxa"/>
                  <w:gridSpan w:val="4"/>
                  <w:shd w:val="clear" w:color="auto" w:fill="auto"/>
                  <w:vAlign w:val="center"/>
                </w:tcPr>
                <w:p>
                  <w:pPr>
                    <w:pStyle w:val="57"/>
                    <w:jc w:val="left"/>
                    <w:rPr>
                      <w:bCs/>
                      <w:color w:val="auto"/>
                    </w:rPr>
                  </w:pPr>
                  <w:r>
                    <w:rPr>
                      <w:bCs/>
                      <w:color w:val="auto"/>
                    </w:rPr>
                    <w:t>设置消火栓、灭火器；建筑物构筑物之间的距离设计合理的防火间距；设备的安全管理；控制物料输运流程；各生产区保证一定的距离，设有隔离带，设双重管理。生产车间的布局和建筑设计符合相关要求，并在生产车间设置消防系统，达到消防部门要求；生产车间内严格管控明火的使用。安装</w:t>
                  </w:r>
                  <w:r>
                    <w:rPr>
                      <w:rFonts w:hint="eastAsia"/>
                      <w:bCs/>
                      <w:color w:val="auto"/>
                    </w:rPr>
                    <w:t>气体</w:t>
                  </w:r>
                  <w:r>
                    <w:rPr>
                      <w:bCs/>
                      <w:color w:val="auto"/>
                    </w:rPr>
                    <w:t>泄漏报警装置。编制突发环境事件风险应急预案。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448" w:type="dxa"/>
                  <w:gridSpan w:val="5"/>
                  <w:shd w:val="clear" w:color="auto" w:fill="auto"/>
                  <w:vAlign w:val="center"/>
                </w:tcPr>
                <w:p>
                  <w:pPr>
                    <w:pStyle w:val="57"/>
                    <w:jc w:val="left"/>
                    <w:rPr>
                      <w:color w:val="auto"/>
                    </w:rPr>
                  </w:pPr>
                  <w:r>
                    <w:rPr>
                      <w:color w:val="auto"/>
                    </w:rPr>
                    <w:t>填表说明（列出项目相关信息及评价说明）：</w:t>
                  </w:r>
                </w:p>
                <w:p>
                  <w:pPr>
                    <w:pStyle w:val="57"/>
                    <w:jc w:val="left"/>
                    <w:rPr>
                      <w:color w:val="auto"/>
                    </w:rPr>
                  </w:pPr>
                  <w:r>
                    <w:rPr>
                      <w:color w:val="auto"/>
                    </w:rPr>
                    <w:t>根据《建设项目环境风险评价技术导则》（HJ169-2018）中判定原则，本项目环境风险潜势为</w:t>
                  </w:r>
                  <w:r>
                    <w:rPr>
                      <w:rFonts w:hint="eastAsia" w:ascii="宋体" w:hAnsi="宋体" w:cs="宋体"/>
                      <w:color w:val="auto"/>
                    </w:rPr>
                    <w:t>Ⅰ</w:t>
                  </w:r>
                  <w:r>
                    <w:rPr>
                      <w:color w:val="auto"/>
                    </w:rPr>
                    <w:t>，故进行简单分析。</w:t>
                  </w:r>
                </w:p>
              </w:tc>
            </w:tr>
            <w:bookmarkEnd w:id="2"/>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000000"/>
              </w:rPr>
            </w:pPr>
            <w:r>
              <w:rPr>
                <w:rFonts w:hint="eastAsia" w:ascii="宋体" w:hAnsi="宋体"/>
                <w:b/>
                <w:bCs/>
                <w:color w:val="000000"/>
                <w:sz w:val="24"/>
                <w:szCs w:val="24"/>
                <w:lang w:val="en-US" w:eastAsia="zh-CN"/>
              </w:rPr>
              <w:t>7</w:t>
            </w:r>
            <w:r>
              <w:rPr>
                <w:rFonts w:hint="eastAsia" w:ascii="宋体" w:hAnsi="宋体"/>
                <w:b/>
                <w:bCs/>
                <w:color w:val="000000"/>
                <w:sz w:val="24"/>
                <w:szCs w:val="24"/>
                <w:lang w:eastAsia="zh-CN"/>
              </w:rPr>
              <w:t>、</w:t>
            </w:r>
            <w:r>
              <w:rPr>
                <w:rFonts w:ascii="宋体" w:hAnsi="宋体"/>
                <w:b/>
                <w:bCs/>
                <w:color w:val="000000"/>
                <w:sz w:val="24"/>
                <w:szCs w:val="24"/>
              </w:rPr>
              <w:t>地下水、土壤</w:t>
            </w:r>
          </w:p>
          <w:p>
            <w:pPr>
              <w:pStyle w:val="60"/>
              <w:spacing w:line="360" w:lineRule="auto"/>
              <w:ind w:firstLine="480" w:firstLineChars="200"/>
              <w:jc w:val="left"/>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000000"/>
                <w:kern w:val="2"/>
                <w:sz w:val="24"/>
                <w:szCs w:val="24"/>
                <w:lang w:val="en-US" w:eastAsia="zh-CN" w:bidi="ar-SA"/>
              </w:rPr>
              <w:t>根据《环境影响评价技术导则地下水环境》（HJ610-2016）附录A，本项目属Ⅳ类项目，Ⅳ类建设项目不开展地下水环境影响评价。</w:t>
            </w:r>
          </w:p>
          <w:p>
            <w:pPr>
              <w:tabs>
                <w:tab w:val="left" w:pos="360"/>
              </w:tabs>
              <w:autoSpaceDE w:val="0"/>
              <w:autoSpaceDN w:val="0"/>
              <w:adjustRightInd w:val="0"/>
              <w:spacing w:line="360" w:lineRule="auto"/>
              <w:ind w:firstLine="480" w:firstLineChars="200"/>
              <w:rPr>
                <w:rFonts w:hint="eastAsia" w:hAnsi="宋体"/>
                <w:sz w:val="24"/>
              </w:rPr>
            </w:pPr>
            <w:r>
              <w:rPr>
                <w:rFonts w:hint="default" w:ascii="Times New Roman" w:hAnsi="Times New Roman" w:eastAsia="宋体" w:cs="Times New Roman"/>
                <w:color w:val="000000"/>
                <w:kern w:val="2"/>
                <w:sz w:val="24"/>
                <w:szCs w:val="24"/>
                <w:lang w:val="en-US" w:eastAsia="zh-CN" w:bidi="ar-SA"/>
              </w:rPr>
              <w:t>拟建项目属于</w:t>
            </w:r>
            <w:r>
              <w:rPr>
                <w:rFonts w:hint="eastAsia" w:ascii="宋体" w:hAnsi="宋体" w:cs="宋体"/>
                <w:sz w:val="24"/>
              </w:rPr>
              <w:t>塑料制品业</w:t>
            </w:r>
            <w:r>
              <w:rPr>
                <w:rFonts w:hint="default" w:ascii="Times New Roman" w:hAnsi="Times New Roman" w:eastAsia="宋体" w:cs="Times New Roman"/>
                <w:color w:val="000000"/>
                <w:kern w:val="2"/>
                <w:sz w:val="24"/>
                <w:szCs w:val="24"/>
                <w:lang w:val="en-US" w:eastAsia="zh-CN" w:bidi="ar-SA"/>
              </w:rPr>
              <w:t>，根据《环境影响评价技术导则土壤环境（试行）》（HJ964-2018）可知，项目属于“</w:t>
            </w:r>
            <w:r>
              <w:rPr>
                <w:rFonts w:hint="eastAsia" w:ascii="宋体" w:hAnsi="宋体" w:cs="宋体"/>
                <w:sz w:val="24"/>
              </w:rPr>
              <w:t>塑料制品业</w:t>
            </w:r>
            <w:r>
              <w:rPr>
                <w:rFonts w:hint="default" w:ascii="Times New Roman" w:hAnsi="Times New Roman" w:eastAsia="宋体" w:cs="Times New Roman"/>
                <w:color w:val="000000"/>
                <w:kern w:val="2"/>
                <w:sz w:val="24"/>
                <w:szCs w:val="24"/>
                <w:lang w:val="en-US" w:eastAsia="zh-CN" w:bidi="ar-SA"/>
              </w:rPr>
              <w:t>”，对应土壤环境影响评价项目类别为Ⅲ类。本项目占地面积</w:t>
            </w:r>
            <w:r>
              <w:rPr>
                <w:rFonts w:hint="eastAsia" w:ascii="Times New Roman" w:hAnsi="Times New Roman" w:eastAsia="宋体" w:cs="Times New Roman"/>
                <w:color w:val="000000"/>
                <w:kern w:val="2"/>
                <w:sz w:val="24"/>
                <w:szCs w:val="24"/>
                <w:lang w:val="en-US" w:eastAsia="zh-CN" w:bidi="ar-SA"/>
              </w:rPr>
              <w:t>4000</w:t>
            </w:r>
            <w:r>
              <w:rPr>
                <w:rFonts w:hint="default" w:ascii="Times New Roman" w:hAnsi="Times New Roman" w:eastAsia="宋体" w:cs="Times New Roman"/>
                <w:color w:val="000000"/>
                <w:kern w:val="2"/>
                <w:sz w:val="24"/>
                <w:szCs w:val="24"/>
                <w:lang w:val="en-US" w:eastAsia="zh-CN" w:bidi="ar-SA"/>
              </w:rPr>
              <w:t>m</w:t>
            </w:r>
            <w:r>
              <w:rPr>
                <w:rFonts w:hint="default" w:ascii="Times New Roman" w:hAnsi="Times New Roman" w:eastAsia="宋体" w:cs="Times New Roman"/>
                <w:color w:val="000000"/>
                <w:kern w:val="2"/>
                <w:sz w:val="24"/>
                <w:szCs w:val="24"/>
                <w:vertAlign w:val="superscript"/>
                <w:lang w:val="en-US" w:eastAsia="zh-CN" w:bidi="ar-SA"/>
              </w:rPr>
              <w:t>2</w:t>
            </w:r>
            <w:r>
              <w:rPr>
                <w:rFonts w:hint="default" w:ascii="Times New Roman" w:hAnsi="Times New Roman" w:eastAsia="宋体" w:cs="Times New Roman"/>
                <w:color w:val="000000"/>
                <w:kern w:val="2"/>
                <w:sz w:val="24"/>
                <w:szCs w:val="24"/>
                <w:lang w:val="en-US" w:eastAsia="zh-CN" w:bidi="ar-SA"/>
              </w:rPr>
              <w:t>＜5hm</w:t>
            </w:r>
            <w:r>
              <w:rPr>
                <w:rFonts w:hint="default" w:ascii="Times New Roman" w:hAnsi="Times New Roman" w:eastAsia="宋体" w:cs="Times New Roman"/>
                <w:color w:val="000000"/>
                <w:kern w:val="2"/>
                <w:sz w:val="24"/>
                <w:szCs w:val="24"/>
                <w:vertAlign w:val="superscript"/>
                <w:lang w:val="en-US" w:eastAsia="zh-CN" w:bidi="ar-SA"/>
              </w:rPr>
              <w:t>2</w:t>
            </w:r>
            <w:r>
              <w:rPr>
                <w:rFonts w:hint="default" w:ascii="Times New Roman" w:hAnsi="Times New Roman" w:eastAsia="宋体" w:cs="Times New Roman"/>
                <w:color w:val="000000"/>
                <w:kern w:val="2"/>
                <w:sz w:val="24"/>
                <w:szCs w:val="24"/>
                <w:lang w:val="en-US" w:eastAsia="zh-CN" w:bidi="ar-SA"/>
              </w:rPr>
              <w:t>，属于小型项目。</w:t>
            </w:r>
            <w:r>
              <w:rPr>
                <w:rFonts w:hint="eastAsia" w:ascii="Times New Roman" w:hAnsi="Times New Roman" w:eastAsia="宋体" w:cs="Times New Roman"/>
                <w:color w:val="auto"/>
                <w:sz w:val="24"/>
                <w:highlight w:val="none"/>
                <w:lang w:val="en-US" w:eastAsia="zh-CN"/>
              </w:rPr>
              <w:t>可不开展土壤环境影响评价工作</w:t>
            </w:r>
            <w:r>
              <w:rPr>
                <w:rFonts w:hint="default" w:ascii="Times New Roman" w:hAnsi="Times New Roman" w:eastAsia="宋体" w:cs="Times New Roman"/>
                <w:color w:val="auto"/>
                <w:sz w:val="24"/>
                <w:highlight w:val="none"/>
                <w:lang w:val="en-US" w:eastAsia="zh-CN"/>
              </w:rPr>
              <w:t>。</w:t>
            </w:r>
          </w:p>
          <w:p>
            <w:pPr>
              <w:spacing w:line="480" w:lineRule="exact"/>
              <w:ind w:firstLine="480" w:firstLineChars="200"/>
              <w:rPr>
                <w:rFonts w:hAnsi="宋体"/>
                <w:sz w:val="24"/>
              </w:rPr>
            </w:pPr>
            <w:r>
              <w:rPr>
                <w:rFonts w:hint="eastAsia" w:hAnsi="宋体"/>
                <w:sz w:val="24"/>
              </w:rPr>
              <w:t>8</w:t>
            </w:r>
            <w:r>
              <w:rPr>
                <w:rFonts w:hAnsi="宋体"/>
                <w:sz w:val="24"/>
              </w:rPr>
              <w:t>、</w:t>
            </w:r>
            <w:r>
              <w:rPr>
                <w:rFonts w:hint="eastAsia" w:hAnsi="宋体"/>
                <w:sz w:val="24"/>
              </w:rPr>
              <w:t>环境效益分析</w:t>
            </w:r>
          </w:p>
          <w:p>
            <w:pPr>
              <w:spacing w:line="480" w:lineRule="exact"/>
              <w:ind w:firstLine="480" w:firstLineChars="200"/>
              <w:rPr>
                <w:sz w:val="24"/>
              </w:rPr>
            </w:pPr>
            <w:r>
              <w:rPr>
                <w:rFonts w:hint="eastAsia" w:hAnsi="宋体"/>
                <w:sz w:val="24"/>
              </w:rPr>
              <w:t>（1）</w:t>
            </w:r>
            <w:r>
              <w:rPr>
                <w:rFonts w:hAnsi="宋体"/>
                <w:sz w:val="24"/>
              </w:rPr>
              <w:t>环保投资</w:t>
            </w:r>
            <w:r>
              <w:rPr>
                <w:rFonts w:hint="eastAsia" w:hAnsi="宋体"/>
                <w:sz w:val="24"/>
              </w:rPr>
              <w:t>概算</w:t>
            </w:r>
          </w:p>
          <w:p>
            <w:pPr>
              <w:spacing w:line="480" w:lineRule="exact"/>
              <w:ind w:firstLine="480" w:firstLineChars="200"/>
              <w:rPr>
                <w:sz w:val="24"/>
              </w:rPr>
            </w:pPr>
            <w:r>
              <w:rPr>
                <w:rFonts w:hAnsi="宋体"/>
                <w:sz w:val="24"/>
              </w:rPr>
              <w:t>项目总投资</w:t>
            </w:r>
            <w:r>
              <w:rPr>
                <w:rFonts w:hint="eastAsia"/>
                <w:sz w:val="24"/>
              </w:rPr>
              <w:t>300</w:t>
            </w:r>
            <w:r>
              <w:rPr>
                <w:rFonts w:hAnsi="宋体"/>
                <w:sz w:val="24"/>
              </w:rPr>
              <w:t>万元，其中环保投资为</w:t>
            </w:r>
            <w:r>
              <w:rPr>
                <w:rFonts w:hint="eastAsia" w:hAnsi="宋体"/>
                <w:sz w:val="24"/>
              </w:rPr>
              <w:t>22</w:t>
            </w:r>
            <w:r>
              <w:rPr>
                <w:rFonts w:hAnsi="宋体"/>
                <w:sz w:val="24"/>
              </w:rPr>
              <w:t>万元，占建设项目总投资的</w:t>
            </w:r>
            <w:r>
              <w:rPr>
                <w:rFonts w:hint="eastAsia" w:hAnsi="宋体"/>
                <w:sz w:val="24"/>
              </w:rPr>
              <w:t>7.33</w:t>
            </w:r>
            <w:r>
              <w:rPr>
                <w:sz w:val="24"/>
              </w:rPr>
              <w:t>%</w:t>
            </w:r>
            <w:r>
              <w:rPr>
                <w:rFonts w:hAnsi="宋体"/>
                <w:sz w:val="24"/>
              </w:rPr>
              <w:t>，详见表</w:t>
            </w:r>
            <w:r>
              <w:rPr>
                <w:rFonts w:hint="eastAsia"/>
                <w:sz w:val="24"/>
              </w:rPr>
              <w:t>4-18</w:t>
            </w:r>
            <w:r>
              <w:rPr>
                <w:rFonts w:hAnsi="宋体"/>
                <w:sz w:val="24"/>
              </w:rPr>
              <w:t>。</w:t>
            </w:r>
          </w:p>
          <w:p>
            <w:pPr>
              <w:ind w:firstLine="420" w:firstLineChars="200"/>
              <w:rPr>
                <w:rFonts w:ascii="黑体" w:hAnsi="黑体" w:eastAsia="黑体"/>
                <w:szCs w:val="21"/>
              </w:rPr>
            </w:pPr>
            <w:r>
              <w:rPr>
                <w:rFonts w:ascii="黑体" w:hAnsi="黑体" w:eastAsia="黑体"/>
                <w:szCs w:val="21"/>
              </w:rPr>
              <w:t>表</w:t>
            </w:r>
            <w:r>
              <w:rPr>
                <w:rFonts w:hint="eastAsia" w:ascii="黑体" w:hAnsi="黑体" w:eastAsia="黑体"/>
                <w:szCs w:val="21"/>
              </w:rPr>
              <w:t xml:space="preserve">4-18 </w:t>
            </w:r>
            <w:r>
              <w:rPr>
                <w:rFonts w:ascii="黑体" w:hAnsi="黑体" w:eastAsia="黑体"/>
                <w:szCs w:val="21"/>
              </w:rPr>
              <w:t xml:space="preserve"> </w:t>
            </w:r>
            <w:r>
              <w:rPr>
                <w:rFonts w:hint="eastAsia" w:ascii="黑体" w:hAnsi="黑体" w:eastAsia="黑体"/>
                <w:szCs w:val="21"/>
              </w:rPr>
              <w:t xml:space="preserve">                   </w:t>
            </w:r>
            <w:r>
              <w:rPr>
                <w:rFonts w:ascii="黑体" w:hAnsi="黑体" w:eastAsia="黑体"/>
                <w:szCs w:val="21"/>
              </w:rPr>
              <w:t>环保投资一览表</w:t>
            </w:r>
          </w:p>
          <w:tbl>
            <w:tblPr>
              <w:tblStyle w:val="25"/>
              <w:tblW w:w="84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5640"/>
              <w:gridCol w:w="17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049" w:type="dxa"/>
                  <w:vAlign w:val="center"/>
                </w:tcPr>
                <w:p>
                  <w:pPr>
                    <w:widowControl/>
                    <w:jc w:val="center"/>
                    <w:rPr>
                      <w:szCs w:val="21"/>
                    </w:rPr>
                  </w:pPr>
                  <w:r>
                    <w:rPr>
                      <w:rFonts w:hAnsi="宋体"/>
                      <w:kern w:val="0"/>
                      <w:szCs w:val="21"/>
                    </w:rPr>
                    <w:t>类别</w:t>
                  </w:r>
                </w:p>
              </w:tc>
              <w:tc>
                <w:tcPr>
                  <w:tcW w:w="5640" w:type="dxa"/>
                  <w:vAlign w:val="center"/>
                </w:tcPr>
                <w:p>
                  <w:pPr>
                    <w:widowControl/>
                    <w:jc w:val="center"/>
                    <w:rPr>
                      <w:szCs w:val="21"/>
                    </w:rPr>
                  </w:pPr>
                  <w:r>
                    <w:rPr>
                      <w:rFonts w:hAnsi="宋体"/>
                      <w:kern w:val="0"/>
                      <w:szCs w:val="21"/>
                    </w:rPr>
                    <w:t>环保设施名称</w:t>
                  </w:r>
                </w:p>
              </w:tc>
              <w:tc>
                <w:tcPr>
                  <w:tcW w:w="1769" w:type="dxa"/>
                  <w:vAlign w:val="center"/>
                </w:tcPr>
                <w:p>
                  <w:pPr>
                    <w:widowControl/>
                    <w:jc w:val="center"/>
                    <w:rPr>
                      <w:szCs w:val="21"/>
                    </w:rPr>
                  </w:pPr>
                  <w:r>
                    <w:rPr>
                      <w:rFonts w:hAnsi="宋体"/>
                      <w:kern w:val="0"/>
                      <w:szCs w:val="21"/>
                    </w:rPr>
                    <w:t>投资费用（万元）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049" w:type="dxa"/>
                  <w:vMerge w:val="restart"/>
                  <w:vAlign w:val="center"/>
                </w:tcPr>
                <w:p>
                  <w:pPr>
                    <w:widowControl/>
                    <w:jc w:val="center"/>
                    <w:rPr>
                      <w:szCs w:val="21"/>
                    </w:rPr>
                  </w:pPr>
                  <w:r>
                    <w:rPr>
                      <w:rFonts w:hAnsi="宋体"/>
                      <w:szCs w:val="21"/>
                    </w:rPr>
                    <w:t>废气</w:t>
                  </w:r>
                </w:p>
              </w:tc>
              <w:tc>
                <w:tcPr>
                  <w:tcW w:w="5640" w:type="dxa"/>
                  <w:vAlign w:val="center"/>
                </w:tcPr>
                <w:p>
                  <w:pPr>
                    <w:adjustRightInd w:val="0"/>
                    <w:snapToGrid w:val="0"/>
                    <w:jc w:val="center"/>
                    <w:rPr>
                      <w:szCs w:val="21"/>
                    </w:rPr>
                  </w:pPr>
                  <w:r>
                    <w:rPr>
                      <w:rFonts w:hint="eastAsia"/>
                      <w:szCs w:val="21"/>
                    </w:rPr>
                    <w:t>15个集气罩+二级活性炭吸附装置+一根15m高排气筒</w:t>
                  </w:r>
                </w:p>
              </w:tc>
              <w:tc>
                <w:tcPr>
                  <w:tcW w:w="1769" w:type="dxa"/>
                  <w:vAlign w:val="center"/>
                </w:tcPr>
                <w:p>
                  <w:pPr>
                    <w:adjustRightInd w:val="0"/>
                    <w:snapToGrid w:val="0"/>
                    <w:jc w:val="center"/>
                    <w:rPr>
                      <w:szCs w:val="21"/>
                    </w:rPr>
                  </w:pPr>
                  <w:r>
                    <w:rPr>
                      <w:rFonts w:hint="eastAsia"/>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049" w:type="dxa"/>
                  <w:vMerge w:val="continue"/>
                  <w:vAlign w:val="center"/>
                </w:tcPr>
                <w:p>
                  <w:pPr>
                    <w:widowControl/>
                    <w:jc w:val="center"/>
                    <w:rPr>
                      <w:rFonts w:hAnsi="宋体"/>
                      <w:szCs w:val="21"/>
                    </w:rPr>
                  </w:pPr>
                </w:p>
              </w:tc>
              <w:tc>
                <w:tcPr>
                  <w:tcW w:w="5640" w:type="dxa"/>
                  <w:vAlign w:val="center"/>
                </w:tcPr>
                <w:p>
                  <w:pPr>
                    <w:adjustRightInd w:val="0"/>
                    <w:snapToGrid w:val="0"/>
                    <w:jc w:val="center"/>
                    <w:rPr>
                      <w:rFonts w:hAnsi="宋体"/>
                      <w:szCs w:val="21"/>
                    </w:rPr>
                  </w:pPr>
                  <w:r>
                    <w:rPr>
                      <w:rFonts w:hint="eastAsia" w:hAnsi="宋体"/>
                      <w:szCs w:val="21"/>
                    </w:rPr>
                    <w:t>排风扇等加强车间通风装置</w:t>
                  </w:r>
                </w:p>
              </w:tc>
              <w:tc>
                <w:tcPr>
                  <w:tcW w:w="1769" w:type="dxa"/>
                  <w:vAlign w:val="center"/>
                </w:tcPr>
                <w:p>
                  <w:pPr>
                    <w:adjustRightInd w:val="0"/>
                    <w:snapToGrid w:val="0"/>
                    <w:jc w:val="center"/>
                    <w:rPr>
                      <w:szCs w:val="21"/>
                    </w:rPr>
                  </w:pPr>
                  <w:r>
                    <w:rPr>
                      <w:rFonts w:hint="eastAsia"/>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049" w:type="dxa"/>
                  <w:vAlign w:val="center"/>
                </w:tcPr>
                <w:p>
                  <w:pPr>
                    <w:widowControl/>
                    <w:jc w:val="center"/>
                    <w:rPr>
                      <w:kern w:val="0"/>
                      <w:szCs w:val="21"/>
                    </w:rPr>
                  </w:pPr>
                  <w:r>
                    <w:rPr>
                      <w:rFonts w:hAnsi="宋体"/>
                      <w:kern w:val="0"/>
                      <w:szCs w:val="21"/>
                    </w:rPr>
                    <w:t>废水</w:t>
                  </w:r>
                </w:p>
              </w:tc>
              <w:tc>
                <w:tcPr>
                  <w:tcW w:w="5640" w:type="dxa"/>
                  <w:vAlign w:val="center"/>
                </w:tcPr>
                <w:p>
                  <w:pPr>
                    <w:adjustRightInd w:val="0"/>
                    <w:snapToGrid w:val="0"/>
                    <w:jc w:val="center"/>
                    <w:rPr>
                      <w:szCs w:val="21"/>
                    </w:rPr>
                  </w:pPr>
                  <w:r>
                    <w:rPr>
                      <w:rFonts w:hint="eastAsia"/>
                      <w:szCs w:val="21"/>
                    </w:rPr>
                    <w:t>冷却水池</w:t>
                  </w:r>
                </w:p>
              </w:tc>
              <w:tc>
                <w:tcPr>
                  <w:tcW w:w="1769" w:type="dxa"/>
                  <w:vAlign w:val="center"/>
                </w:tcPr>
                <w:p>
                  <w:pPr>
                    <w:adjustRightInd w:val="0"/>
                    <w:snapToGrid w:val="0"/>
                    <w:jc w:val="center"/>
                    <w:rPr>
                      <w:szCs w:val="21"/>
                    </w:rPr>
                  </w:pPr>
                  <w:r>
                    <w:rPr>
                      <w:rFonts w:hint="eastAsia"/>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049" w:type="dxa"/>
                  <w:vAlign w:val="center"/>
                </w:tcPr>
                <w:p>
                  <w:pPr>
                    <w:widowControl/>
                    <w:jc w:val="center"/>
                    <w:rPr>
                      <w:szCs w:val="21"/>
                    </w:rPr>
                  </w:pPr>
                  <w:r>
                    <w:rPr>
                      <w:rFonts w:hAnsi="宋体"/>
                      <w:szCs w:val="21"/>
                    </w:rPr>
                    <w:t>噪声</w:t>
                  </w:r>
                </w:p>
              </w:tc>
              <w:tc>
                <w:tcPr>
                  <w:tcW w:w="5640" w:type="dxa"/>
                  <w:vAlign w:val="center"/>
                </w:tcPr>
                <w:p>
                  <w:pPr>
                    <w:adjustRightInd w:val="0"/>
                    <w:snapToGrid w:val="0"/>
                    <w:jc w:val="center"/>
                    <w:rPr>
                      <w:szCs w:val="21"/>
                    </w:rPr>
                  </w:pPr>
                  <w:r>
                    <w:rPr>
                      <w:rFonts w:hAnsi="宋体"/>
                      <w:szCs w:val="21"/>
                    </w:rPr>
                    <w:t>高噪声设备基础减震、设备定期维护保养</w:t>
                  </w:r>
                </w:p>
              </w:tc>
              <w:tc>
                <w:tcPr>
                  <w:tcW w:w="1769" w:type="dxa"/>
                  <w:vAlign w:val="center"/>
                </w:tcPr>
                <w:p>
                  <w:pPr>
                    <w:adjustRightInd w:val="0"/>
                    <w:snapToGrid w:val="0"/>
                    <w:jc w:val="center"/>
                    <w:rPr>
                      <w:szCs w:val="21"/>
                    </w:rPr>
                  </w:pPr>
                  <w:r>
                    <w:rPr>
                      <w:rFonts w:hint="eastAsia"/>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049" w:type="dxa"/>
                  <w:vAlign w:val="center"/>
                </w:tcPr>
                <w:p>
                  <w:pPr>
                    <w:widowControl/>
                    <w:jc w:val="center"/>
                    <w:rPr>
                      <w:rFonts w:hAnsi="宋体"/>
                      <w:szCs w:val="21"/>
                    </w:rPr>
                  </w:pPr>
                  <w:r>
                    <w:rPr>
                      <w:rFonts w:hint="eastAsia" w:hAnsi="宋体"/>
                      <w:szCs w:val="21"/>
                    </w:rPr>
                    <w:t>固废</w:t>
                  </w:r>
                </w:p>
              </w:tc>
              <w:tc>
                <w:tcPr>
                  <w:tcW w:w="5640" w:type="dxa"/>
                  <w:vAlign w:val="center"/>
                </w:tcPr>
                <w:p>
                  <w:pPr>
                    <w:adjustRightInd w:val="0"/>
                    <w:snapToGrid w:val="0"/>
                    <w:jc w:val="center"/>
                    <w:rPr>
                      <w:rFonts w:hAnsi="宋体"/>
                      <w:szCs w:val="21"/>
                    </w:rPr>
                  </w:pPr>
                  <w:r>
                    <w:rPr>
                      <w:rFonts w:hint="eastAsia" w:hAnsi="宋体"/>
                      <w:szCs w:val="21"/>
                    </w:rPr>
                    <w:t>建设危废暂存间</w:t>
                  </w:r>
                </w:p>
              </w:tc>
              <w:tc>
                <w:tcPr>
                  <w:tcW w:w="1769" w:type="dxa"/>
                  <w:vAlign w:val="center"/>
                </w:tcPr>
                <w:p>
                  <w:pPr>
                    <w:adjustRightInd w:val="0"/>
                    <w:snapToGrid w:val="0"/>
                    <w:jc w:val="center"/>
                    <w:rPr>
                      <w:szCs w:val="21"/>
                    </w:rPr>
                  </w:pPr>
                  <w:r>
                    <w:rPr>
                      <w:rFonts w:hint="eastAsia"/>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6689" w:type="dxa"/>
                  <w:gridSpan w:val="2"/>
                  <w:vAlign w:val="center"/>
                </w:tcPr>
                <w:p>
                  <w:pPr>
                    <w:adjustRightInd w:val="0"/>
                    <w:snapToGrid w:val="0"/>
                    <w:jc w:val="center"/>
                    <w:rPr>
                      <w:szCs w:val="21"/>
                    </w:rPr>
                  </w:pPr>
                  <w:r>
                    <w:rPr>
                      <w:rFonts w:hAnsi="宋体"/>
                      <w:szCs w:val="21"/>
                    </w:rPr>
                    <w:t>合计</w:t>
                  </w:r>
                </w:p>
              </w:tc>
              <w:tc>
                <w:tcPr>
                  <w:tcW w:w="1769" w:type="dxa"/>
                  <w:vAlign w:val="center"/>
                </w:tcPr>
                <w:p>
                  <w:pPr>
                    <w:adjustRightInd w:val="0"/>
                    <w:snapToGrid w:val="0"/>
                    <w:jc w:val="center"/>
                    <w:rPr>
                      <w:szCs w:val="21"/>
                    </w:rPr>
                  </w:pPr>
                  <w:r>
                    <w:rPr>
                      <w:rFonts w:hint="eastAsia"/>
                      <w:szCs w:val="21"/>
                    </w:rPr>
                    <w:t>22</w:t>
                  </w:r>
                </w:p>
              </w:tc>
            </w:tr>
          </w:tbl>
          <w:p>
            <w:pPr>
              <w:spacing w:line="480" w:lineRule="exact"/>
              <w:ind w:firstLine="480" w:firstLineChars="200"/>
              <w:rPr>
                <w:sz w:val="24"/>
              </w:rPr>
            </w:pPr>
            <w:r>
              <w:rPr>
                <w:rFonts w:hint="eastAsia" w:hAnsi="宋体"/>
                <w:sz w:val="24"/>
              </w:rPr>
              <w:t>9</w:t>
            </w:r>
            <w:r>
              <w:rPr>
                <w:rFonts w:hAnsi="宋体"/>
                <w:sz w:val="24"/>
              </w:rPr>
              <w:t>、环境管理</w:t>
            </w:r>
          </w:p>
          <w:p>
            <w:pPr>
              <w:spacing w:line="480" w:lineRule="exact"/>
              <w:ind w:firstLine="480" w:firstLineChars="200"/>
              <w:rPr>
                <w:rFonts w:hAnsi="宋体"/>
                <w:bCs/>
                <w:sz w:val="24"/>
              </w:rPr>
            </w:pPr>
            <w:r>
              <w:rPr>
                <w:rFonts w:hAnsi="宋体"/>
                <w:bCs/>
                <w:sz w:val="24"/>
              </w:rPr>
              <w:t>（1）环境管理</w:t>
            </w:r>
          </w:p>
          <w:p>
            <w:pPr>
              <w:spacing w:line="480" w:lineRule="exact"/>
              <w:ind w:firstLine="480" w:firstLineChars="200"/>
              <w:rPr>
                <w:rFonts w:hAnsi="宋体"/>
                <w:bCs/>
                <w:sz w:val="24"/>
              </w:rPr>
            </w:pPr>
            <w:r>
              <w:rPr>
                <w:rFonts w:hAnsi="宋体"/>
                <w:bCs/>
                <w:sz w:val="24"/>
              </w:rPr>
              <w:t>根据《中华人民共和国环境保护法》和中华人民共和国国务院令第253号《建设项目环境保护管理条例》，建设单位必须把环境保护工作纳入工作计划，建立环境保护责任制度，采取有效措施，防止环境破坏。</w:t>
            </w:r>
          </w:p>
          <w:p>
            <w:pPr>
              <w:spacing w:line="480" w:lineRule="exact"/>
              <w:ind w:firstLine="480" w:firstLineChars="200"/>
              <w:rPr>
                <w:rFonts w:hAnsi="宋体"/>
                <w:bCs/>
                <w:sz w:val="24"/>
              </w:rPr>
            </w:pPr>
            <w:r>
              <w:rPr>
                <w:rFonts w:hAnsi="宋体"/>
                <w:bCs/>
                <w:sz w:val="24"/>
              </w:rPr>
              <w:t>环境管理是以环境科学理论为基础，运用经济、法律、技术、行政、教育等手段对经济、社会发展过程中施加给环境的污染和破坏影响进行调节控制，实现经济、社会和环境效益的和谐统一。</w:t>
            </w:r>
          </w:p>
          <w:p>
            <w:pPr>
              <w:spacing w:line="480" w:lineRule="exact"/>
              <w:ind w:firstLine="480" w:firstLineChars="200"/>
              <w:rPr>
                <w:rFonts w:hAnsi="宋体"/>
                <w:bCs/>
                <w:sz w:val="24"/>
              </w:rPr>
            </w:pPr>
            <w:r>
              <w:rPr>
                <w:rFonts w:hAnsi="宋体"/>
                <w:bCs/>
                <w:sz w:val="24"/>
              </w:rPr>
              <w:t>为全面贯彻和落实国家以及地方环保法律、法规，加强企业内部污染物排放监督控制，有效控制、减轻施工期以及运营期间环境污染影响，保护项目所在地的环境质量，企业内部必须建立行之有效的环境管理机构。</w:t>
            </w:r>
          </w:p>
          <w:p>
            <w:pPr>
              <w:spacing w:line="480" w:lineRule="exact"/>
              <w:ind w:firstLine="480" w:firstLineChars="200"/>
              <w:rPr>
                <w:rFonts w:hAnsi="宋体"/>
                <w:bCs/>
                <w:sz w:val="24"/>
              </w:rPr>
            </w:pPr>
            <w:r>
              <w:rPr>
                <w:rFonts w:hAnsi="宋体"/>
                <w:bCs/>
                <w:sz w:val="24"/>
              </w:rPr>
              <w:t>1）环境管理基本任务</w:t>
            </w:r>
          </w:p>
          <w:p>
            <w:pPr>
              <w:spacing w:line="480" w:lineRule="exact"/>
              <w:ind w:firstLine="480" w:firstLineChars="200"/>
              <w:rPr>
                <w:rFonts w:hAnsi="宋体"/>
                <w:bCs/>
                <w:sz w:val="24"/>
              </w:rPr>
            </w:pPr>
            <w:r>
              <w:rPr>
                <w:rFonts w:hAnsi="宋体"/>
                <w:bCs/>
                <w:sz w:val="24"/>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pPr>
              <w:spacing w:line="480" w:lineRule="exact"/>
              <w:ind w:firstLine="480" w:firstLineChars="200"/>
              <w:rPr>
                <w:rFonts w:hAnsi="宋体"/>
                <w:bCs/>
                <w:sz w:val="24"/>
              </w:rPr>
            </w:pPr>
            <w:r>
              <w:rPr>
                <w:rFonts w:hAnsi="宋体"/>
                <w:bCs/>
                <w:sz w:val="24"/>
              </w:rPr>
              <w:t>2）环境管理机构设置</w:t>
            </w:r>
          </w:p>
          <w:p>
            <w:pPr>
              <w:spacing w:line="480" w:lineRule="exact"/>
              <w:ind w:firstLine="480" w:firstLineChars="200"/>
              <w:rPr>
                <w:rFonts w:hAnsi="宋体"/>
                <w:bCs/>
                <w:sz w:val="24"/>
              </w:rPr>
            </w:pPr>
            <w:r>
              <w:rPr>
                <w:rFonts w:hAnsi="宋体"/>
                <w:bCs/>
                <w:sz w:val="24"/>
              </w:rPr>
              <w:t>本项目环境管理纳入</w:t>
            </w:r>
            <w:r>
              <w:rPr>
                <w:rFonts w:hint="eastAsia" w:hAnsi="宋体"/>
                <w:bCs/>
                <w:sz w:val="24"/>
              </w:rPr>
              <w:t>新疆溢联农业有限责任公司</w:t>
            </w:r>
            <w:r>
              <w:rPr>
                <w:rFonts w:hAnsi="宋体"/>
                <w:bCs/>
                <w:sz w:val="24"/>
              </w:rPr>
              <w:t>环境管理计划，将本项目的环境管理与全公司环境管理统一，主要职责如下：</w:t>
            </w:r>
          </w:p>
          <w:p>
            <w:pPr>
              <w:spacing w:line="480" w:lineRule="exact"/>
              <w:ind w:firstLine="480" w:firstLineChars="200"/>
              <w:rPr>
                <w:rFonts w:hAnsi="宋体"/>
                <w:bCs/>
                <w:sz w:val="24"/>
              </w:rPr>
            </w:pPr>
            <w:r>
              <w:rPr>
                <w:rFonts w:hAnsi="宋体"/>
                <w:bCs/>
                <w:sz w:val="24"/>
              </w:rPr>
              <w:t>①建立健全环境保护工作规章制度，明确环保责任制及其奖惩办法；</w:t>
            </w:r>
          </w:p>
          <w:p>
            <w:pPr>
              <w:spacing w:line="480" w:lineRule="exact"/>
              <w:ind w:firstLine="480" w:firstLineChars="200"/>
              <w:rPr>
                <w:rFonts w:hAnsi="宋体"/>
                <w:bCs/>
                <w:sz w:val="24"/>
              </w:rPr>
            </w:pPr>
            <w:r>
              <w:rPr>
                <w:rFonts w:hAnsi="宋体"/>
                <w:bCs/>
                <w:sz w:val="24"/>
              </w:rPr>
              <w:t>②确定本项目的环境目标管理，对各岗位进行监督与考核；</w:t>
            </w:r>
          </w:p>
          <w:p>
            <w:pPr>
              <w:spacing w:line="480" w:lineRule="exact"/>
              <w:ind w:firstLine="480" w:firstLineChars="200"/>
              <w:rPr>
                <w:rFonts w:hAnsi="宋体"/>
                <w:bCs/>
                <w:sz w:val="24"/>
              </w:rPr>
            </w:pPr>
            <w:r>
              <w:rPr>
                <w:rFonts w:hAnsi="宋体"/>
                <w:bCs/>
                <w:sz w:val="24"/>
              </w:rPr>
              <w:t>③建立环保档案，包括环评报告、环保工程验收报告、及其它环境统计资料；</w:t>
            </w:r>
          </w:p>
          <w:p>
            <w:pPr>
              <w:spacing w:line="480" w:lineRule="exact"/>
              <w:ind w:firstLine="480" w:firstLineChars="200"/>
              <w:rPr>
                <w:rFonts w:hAnsi="宋体"/>
                <w:bCs/>
                <w:sz w:val="24"/>
              </w:rPr>
            </w:pPr>
            <w:r>
              <w:rPr>
                <w:rFonts w:hAnsi="宋体"/>
                <w:bCs/>
                <w:sz w:val="24"/>
              </w:rPr>
              <w:t>④收集与管理有关污染物排放标准、环保法规、环保技术资料；</w:t>
            </w:r>
          </w:p>
          <w:p>
            <w:pPr>
              <w:spacing w:line="480" w:lineRule="exact"/>
              <w:ind w:firstLine="480" w:firstLineChars="200"/>
              <w:rPr>
                <w:rFonts w:hAnsi="宋体"/>
                <w:bCs/>
                <w:sz w:val="24"/>
              </w:rPr>
            </w:pPr>
            <w:r>
              <w:rPr>
                <w:rFonts w:hAnsi="宋体"/>
                <w:bCs/>
                <w:sz w:val="24"/>
              </w:rPr>
              <w:t>3）环境管理措施</w:t>
            </w:r>
          </w:p>
          <w:p>
            <w:pPr>
              <w:spacing w:line="480" w:lineRule="exact"/>
              <w:ind w:firstLine="480" w:firstLineChars="200"/>
              <w:rPr>
                <w:rFonts w:hAnsi="宋体"/>
                <w:bCs/>
                <w:sz w:val="24"/>
              </w:rPr>
            </w:pPr>
            <w:r>
              <w:rPr>
                <w:rFonts w:hAnsi="宋体"/>
                <w:bCs/>
                <w:sz w:val="24"/>
              </w:rPr>
              <w:t>为使环境管理工作科学化、规范化、合理化，确保各项环保措施落实到位，在管理方面采取以下措施：</w:t>
            </w:r>
          </w:p>
          <w:p>
            <w:pPr>
              <w:spacing w:line="480" w:lineRule="exact"/>
              <w:ind w:firstLine="480" w:firstLineChars="200"/>
              <w:rPr>
                <w:rFonts w:hAnsi="宋体"/>
                <w:bCs/>
                <w:sz w:val="24"/>
              </w:rPr>
            </w:pPr>
            <w:r>
              <w:rPr>
                <w:rFonts w:hAnsi="宋体"/>
                <w:bCs/>
                <w:sz w:val="24"/>
              </w:rPr>
              <w:t>①建立环境管理体系，并建议同时进行QHSE（质量、健康、安全、环保）审核。</w:t>
            </w:r>
          </w:p>
          <w:p>
            <w:pPr>
              <w:spacing w:line="480" w:lineRule="exact"/>
              <w:ind w:firstLine="480" w:firstLineChars="200"/>
              <w:rPr>
                <w:rFonts w:hAnsi="宋体"/>
                <w:bCs/>
                <w:sz w:val="24"/>
              </w:rPr>
            </w:pPr>
            <w:r>
              <w:rPr>
                <w:rFonts w:hAnsi="宋体"/>
                <w:bCs/>
                <w:sz w:val="24"/>
              </w:rPr>
              <w:t>②强化对环保设施运行监督管理职能，建立完善的环保设施运行、维护、维修等技术档案，加强对环保设施操作人员技术培训，确保环保设施处于正常的运行情况，污染物排放连续达标。</w:t>
            </w:r>
          </w:p>
          <w:p>
            <w:pPr>
              <w:spacing w:line="480" w:lineRule="exact"/>
              <w:ind w:firstLine="480" w:firstLineChars="200"/>
              <w:rPr>
                <w:rFonts w:hAnsi="宋体"/>
                <w:bCs/>
                <w:sz w:val="24"/>
              </w:rPr>
            </w:pPr>
            <w:r>
              <w:rPr>
                <w:rFonts w:hAnsi="宋体"/>
                <w:bCs/>
                <w:sz w:val="24"/>
              </w:rPr>
              <w:t>③加强环境监测数据统计工作，建立完善的污染源及物料流失档案，对废水产生量、排放量等做好统计，保证全部进去污水处理站处置，做好每天巡检工作。</w:t>
            </w:r>
          </w:p>
          <w:p>
            <w:pPr>
              <w:spacing w:line="480" w:lineRule="exact"/>
              <w:ind w:firstLine="480" w:firstLineChars="200"/>
              <w:rPr>
                <w:rFonts w:hAnsi="宋体"/>
                <w:bCs/>
                <w:sz w:val="24"/>
              </w:rPr>
            </w:pPr>
            <w:r>
              <w:rPr>
                <w:rFonts w:hAnsi="宋体"/>
                <w:bCs/>
                <w:sz w:val="24"/>
              </w:rPr>
              <w:t>④制订环境保护岗位目标责任制，将环境管理纳入生产管理体系，将环境评估与经济效益评估相结合，建立严格奖惩机制。</w:t>
            </w:r>
          </w:p>
          <w:p>
            <w:pPr>
              <w:spacing w:line="480" w:lineRule="exact"/>
              <w:ind w:firstLine="480" w:firstLineChars="200"/>
              <w:rPr>
                <w:rFonts w:hAnsi="宋体"/>
                <w:bCs/>
                <w:sz w:val="24"/>
              </w:rPr>
            </w:pPr>
            <w:r>
              <w:rPr>
                <w:rFonts w:hAnsi="宋体"/>
                <w:bCs/>
                <w:sz w:val="24"/>
              </w:rPr>
              <w:t>⑤加强对职工进行环保法律法规的宣传、教育和学习，进行岗位培训，使职工意识到环境保护的重要意义，包括与企业生产、生存和发展的关系，企业应具有危机感和责任感，把环保工作落到实处，落实到每一位职工。</w:t>
            </w:r>
          </w:p>
          <w:p>
            <w:pPr>
              <w:spacing w:line="480" w:lineRule="exact"/>
              <w:ind w:firstLine="480" w:firstLineChars="200"/>
              <w:rPr>
                <w:rFonts w:hAnsi="宋体"/>
                <w:bCs/>
                <w:sz w:val="24"/>
              </w:rPr>
            </w:pPr>
            <w:r>
              <w:rPr>
                <w:rFonts w:hAnsi="宋体"/>
                <w:bCs/>
                <w:sz w:val="24"/>
              </w:rPr>
              <w:t>（2）企业环境信息公开</w:t>
            </w:r>
          </w:p>
          <w:p>
            <w:pPr>
              <w:spacing w:line="480" w:lineRule="exact"/>
              <w:ind w:firstLine="480" w:firstLineChars="200"/>
              <w:rPr>
                <w:rFonts w:hAnsi="宋体"/>
                <w:bCs/>
                <w:sz w:val="24"/>
              </w:rPr>
            </w:pPr>
            <w:r>
              <w:rPr>
                <w:rFonts w:hAnsi="宋体"/>
                <w:bCs/>
                <w:sz w:val="24"/>
              </w:rPr>
              <w:t>根据《企业事业单位环境信息公开办法》（环境保护部第31号）相关规定，企业事业单位应当建立健全本单位环境信息公开制度，制定机构负责本单位环境信息公开日常工作。根据企业特点，</w:t>
            </w:r>
            <w:r>
              <w:rPr>
                <w:rFonts w:hint="eastAsia" w:hAnsi="宋体"/>
                <w:bCs/>
                <w:sz w:val="24"/>
              </w:rPr>
              <w:t>在</w:t>
            </w:r>
            <w:r>
              <w:rPr>
                <w:rFonts w:hAnsi="宋体"/>
                <w:bCs/>
                <w:sz w:val="24"/>
              </w:rPr>
              <w:t>网站或本单位的资料索取点、信息公开栏、信息亭、电子屏幕或其他便于公众及时、准确获得信息的场所和方式公开下列信息：</w:t>
            </w:r>
          </w:p>
          <w:p>
            <w:pPr>
              <w:spacing w:line="480" w:lineRule="exact"/>
              <w:ind w:firstLine="480" w:firstLineChars="200"/>
              <w:rPr>
                <w:rFonts w:hAnsi="宋体"/>
                <w:bCs/>
                <w:sz w:val="24"/>
              </w:rPr>
            </w:pPr>
            <w:r>
              <w:rPr>
                <w:rFonts w:hAnsi="宋体"/>
                <w:bCs/>
                <w:sz w:val="24"/>
              </w:rPr>
              <w:t>①项目基础信息：包括单位名称、组织机构代码、法定代表人、生产地址、联系方式，以及生产经营和管理服务的主要内容、产品及规模。</w:t>
            </w:r>
          </w:p>
          <w:p>
            <w:pPr>
              <w:spacing w:line="480" w:lineRule="exact"/>
              <w:ind w:firstLine="480" w:firstLineChars="200"/>
              <w:rPr>
                <w:rFonts w:hAnsi="宋体"/>
                <w:bCs/>
                <w:sz w:val="24"/>
              </w:rPr>
            </w:pPr>
            <w:r>
              <w:rPr>
                <w:rFonts w:hAnsi="宋体"/>
                <w:bCs/>
                <w:sz w:val="24"/>
              </w:rPr>
              <w:t>②排污信息：包括主要污染物及特征污染物的名称、排放方式、排放口数量和分布情况、排放浓度和总量、超标情况，及执行的污染物排放标准、核定的排放总量。</w:t>
            </w:r>
          </w:p>
          <w:p>
            <w:pPr>
              <w:spacing w:line="480" w:lineRule="exact"/>
              <w:ind w:firstLine="480" w:firstLineChars="200"/>
              <w:rPr>
                <w:rFonts w:hAnsi="宋体"/>
                <w:bCs/>
                <w:sz w:val="24"/>
              </w:rPr>
            </w:pPr>
            <w:r>
              <w:rPr>
                <w:rFonts w:hAnsi="宋体"/>
                <w:bCs/>
                <w:sz w:val="24"/>
              </w:rPr>
              <w:t>③防治污染设施的建设和运行情况。</w:t>
            </w:r>
          </w:p>
          <w:p>
            <w:pPr>
              <w:spacing w:line="480" w:lineRule="exact"/>
              <w:ind w:firstLine="480" w:firstLineChars="200"/>
              <w:rPr>
                <w:rFonts w:hAnsi="宋体"/>
                <w:bCs/>
                <w:sz w:val="24"/>
              </w:rPr>
            </w:pPr>
            <w:r>
              <w:rPr>
                <w:rFonts w:hAnsi="宋体"/>
                <w:bCs/>
                <w:sz w:val="24"/>
              </w:rPr>
              <w:t>④建设项目环境影响评价及其他环境保护行政许可情况。</w:t>
            </w:r>
          </w:p>
          <w:p>
            <w:pPr>
              <w:spacing w:line="480" w:lineRule="exact"/>
              <w:ind w:firstLine="480" w:firstLineChars="200"/>
              <w:rPr>
                <w:rFonts w:hAnsi="宋体"/>
                <w:bCs/>
                <w:sz w:val="24"/>
              </w:rPr>
            </w:pPr>
            <w:r>
              <w:rPr>
                <w:rFonts w:hAnsi="宋体"/>
                <w:bCs/>
                <w:sz w:val="24"/>
              </w:rPr>
              <w:t>⑤突发环境事件应急预案。</w:t>
            </w:r>
          </w:p>
          <w:p>
            <w:pPr>
              <w:spacing w:line="480" w:lineRule="exact"/>
              <w:ind w:firstLine="480" w:firstLineChars="200"/>
              <w:rPr>
                <w:rFonts w:hAnsi="宋体"/>
                <w:bCs/>
                <w:sz w:val="24"/>
              </w:rPr>
            </w:pPr>
            <w:r>
              <w:rPr>
                <w:rFonts w:hAnsi="宋体"/>
                <w:bCs/>
                <w:sz w:val="24"/>
              </w:rPr>
              <w:t>⑥其他应当公开的环境信息。</w:t>
            </w:r>
          </w:p>
          <w:p>
            <w:pPr>
              <w:spacing w:line="480" w:lineRule="exact"/>
              <w:ind w:firstLine="480" w:firstLineChars="200"/>
              <w:rPr>
                <w:rFonts w:hAnsi="宋体"/>
                <w:bCs/>
                <w:sz w:val="24"/>
              </w:rPr>
            </w:pPr>
            <w:r>
              <w:rPr>
                <w:rFonts w:hAnsi="宋体"/>
                <w:bCs/>
                <w:sz w:val="24"/>
              </w:rPr>
              <w:t>如若公司的环境信息发生变更或有新生成时，应在环境信息生成或者变更之日起三十日内予以公开。环境保护主管部门应当宣传和引导公众监督企业事业单位环境信息公开工作。</w:t>
            </w:r>
          </w:p>
          <w:p>
            <w:pPr>
              <w:spacing w:line="480" w:lineRule="exact"/>
              <w:ind w:left="420" w:leftChars="200"/>
              <w:rPr>
                <w:sz w:val="24"/>
              </w:rPr>
            </w:pPr>
            <w:r>
              <w:rPr>
                <w:rFonts w:hAnsi="宋体"/>
                <w:sz w:val="24"/>
              </w:rPr>
              <w:t>（</w:t>
            </w:r>
            <w:r>
              <w:rPr>
                <w:sz w:val="24"/>
              </w:rPr>
              <w:t>3</w:t>
            </w:r>
            <w:r>
              <w:rPr>
                <w:rFonts w:hAnsi="宋体"/>
                <w:sz w:val="24"/>
              </w:rPr>
              <w:t>）环境监测计划</w:t>
            </w:r>
          </w:p>
          <w:p>
            <w:pPr>
              <w:spacing w:line="480" w:lineRule="exact"/>
              <w:ind w:firstLine="480" w:firstLineChars="200"/>
              <w:rPr>
                <w:sz w:val="24"/>
              </w:rPr>
            </w:pPr>
            <w:r>
              <w:rPr>
                <w:rFonts w:hAnsi="宋体"/>
                <w:sz w:val="24"/>
              </w:rPr>
              <w:t>环境监测是为了控制项目实施后的污染源及环境质量状况，防止污染事故发生，为环境管理提供依据。</w:t>
            </w:r>
            <w:r>
              <w:rPr>
                <w:rFonts w:hint="eastAsia" w:hAnsi="宋体"/>
                <w:bCs/>
                <w:sz w:val="24"/>
              </w:rPr>
              <w:t>本次评价结合《排污许可证申请与核发技术规范 总则》（HJ942-2018）中相关内容结合项目实际制定以下监测计划，</w:t>
            </w:r>
            <w:r>
              <w:rPr>
                <w:rFonts w:hAnsi="宋体"/>
                <w:sz w:val="24"/>
              </w:rPr>
              <w:t>具体监测计划见表</w:t>
            </w:r>
            <w:r>
              <w:rPr>
                <w:rFonts w:hint="eastAsia"/>
                <w:sz w:val="24"/>
              </w:rPr>
              <w:t>4-19</w:t>
            </w:r>
            <w:r>
              <w:rPr>
                <w:rFonts w:hAnsi="宋体"/>
                <w:sz w:val="24"/>
              </w:rPr>
              <w:t>：</w:t>
            </w:r>
          </w:p>
          <w:p>
            <w:pPr>
              <w:ind w:firstLine="420" w:firstLineChars="200"/>
              <w:rPr>
                <w:rFonts w:ascii="黑体" w:hAnsi="黑体" w:eastAsia="黑体"/>
                <w:szCs w:val="21"/>
              </w:rPr>
            </w:pPr>
            <w:r>
              <w:rPr>
                <w:rFonts w:ascii="黑体" w:hAnsi="黑体" w:eastAsia="黑体"/>
                <w:szCs w:val="21"/>
              </w:rPr>
              <w:t>表</w:t>
            </w:r>
            <w:r>
              <w:rPr>
                <w:rFonts w:hint="eastAsia" w:ascii="黑体" w:hAnsi="黑体" w:eastAsia="黑体"/>
                <w:szCs w:val="21"/>
              </w:rPr>
              <w:t xml:space="preserve">4-19 </w:t>
            </w:r>
            <w:r>
              <w:rPr>
                <w:rFonts w:ascii="黑体" w:hAnsi="黑体" w:eastAsia="黑体"/>
                <w:szCs w:val="21"/>
              </w:rPr>
              <w:t xml:space="preserve"> </w:t>
            </w:r>
            <w:r>
              <w:rPr>
                <w:rFonts w:hint="eastAsia" w:ascii="黑体" w:hAnsi="黑体" w:eastAsia="黑体"/>
                <w:szCs w:val="21"/>
              </w:rPr>
              <w:t xml:space="preserve">                 </w:t>
            </w:r>
            <w:r>
              <w:rPr>
                <w:rFonts w:ascii="黑体" w:hAnsi="黑体" w:eastAsia="黑体"/>
                <w:szCs w:val="21"/>
              </w:rPr>
              <w:t>项目监测计划一览表</w:t>
            </w:r>
          </w:p>
          <w:tbl>
            <w:tblPr>
              <w:tblStyle w:val="25"/>
              <w:tblW w:w="84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507"/>
              <w:gridCol w:w="1018"/>
              <w:gridCol w:w="934"/>
              <w:gridCol w:w="705"/>
              <w:gridCol w:w="705"/>
              <w:gridCol w:w="2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49" w:type="dxa"/>
                  <w:vAlign w:val="center"/>
                </w:tcPr>
                <w:p>
                  <w:pPr>
                    <w:jc w:val="center"/>
                    <w:rPr>
                      <w:szCs w:val="21"/>
                    </w:rPr>
                  </w:pPr>
                  <w:r>
                    <w:rPr>
                      <w:rFonts w:hAnsi="宋体"/>
                      <w:szCs w:val="21"/>
                    </w:rPr>
                    <w:t>污染物</w:t>
                  </w:r>
                </w:p>
              </w:tc>
              <w:tc>
                <w:tcPr>
                  <w:tcW w:w="1507" w:type="dxa"/>
                  <w:vAlign w:val="center"/>
                </w:tcPr>
                <w:p>
                  <w:pPr>
                    <w:jc w:val="center"/>
                    <w:rPr>
                      <w:szCs w:val="21"/>
                    </w:rPr>
                  </w:pPr>
                  <w:r>
                    <w:rPr>
                      <w:rFonts w:hAnsi="宋体"/>
                      <w:szCs w:val="21"/>
                    </w:rPr>
                    <w:t>监测点位</w:t>
                  </w:r>
                </w:p>
              </w:tc>
              <w:tc>
                <w:tcPr>
                  <w:tcW w:w="1018" w:type="dxa"/>
                  <w:vAlign w:val="center"/>
                </w:tcPr>
                <w:p>
                  <w:pPr>
                    <w:jc w:val="center"/>
                    <w:rPr>
                      <w:szCs w:val="21"/>
                    </w:rPr>
                  </w:pPr>
                  <w:r>
                    <w:rPr>
                      <w:rFonts w:hAnsi="宋体"/>
                      <w:szCs w:val="21"/>
                    </w:rPr>
                    <w:t>监测因子</w:t>
                  </w:r>
                </w:p>
              </w:tc>
              <w:tc>
                <w:tcPr>
                  <w:tcW w:w="934" w:type="dxa"/>
                  <w:vAlign w:val="center"/>
                </w:tcPr>
                <w:p>
                  <w:pPr>
                    <w:jc w:val="center"/>
                    <w:rPr>
                      <w:szCs w:val="21"/>
                    </w:rPr>
                  </w:pPr>
                  <w:r>
                    <w:rPr>
                      <w:rFonts w:hAnsi="宋体"/>
                      <w:szCs w:val="21"/>
                    </w:rPr>
                    <w:t>监测频率</w:t>
                  </w:r>
                </w:p>
              </w:tc>
              <w:tc>
                <w:tcPr>
                  <w:tcW w:w="705" w:type="dxa"/>
                  <w:vAlign w:val="center"/>
                </w:tcPr>
                <w:p>
                  <w:pPr>
                    <w:jc w:val="center"/>
                    <w:rPr>
                      <w:szCs w:val="21"/>
                    </w:rPr>
                  </w:pPr>
                  <w:r>
                    <w:rPr>
                      <w:rFonts w:hAnsi="宋体"/>
                      <w:szCs w:val="21"/>
                    </w:rPr>
                    <w:t>监测单位</w:t>
                  </w:r>
                </w:p>
              </w:tc>
              <w:tc>
                <w:tcPr>
                  <w:tcW w:w="705" w:type="dxa"/>
                  <w:vAlign w:val="center"/>
                </w:tcPr>
                <w:p>
                  <w:pPr>
                    <w:jc w:val="center"/>
                    <w:rPr>
                      <w:szCs w:val="21"/>
                    </w:rPr>
                  </w:pPr>
                  <w:r>
                    <w:rPr>
                      <w:rFonts w:hAnsi="宋体"/>
                      <w:szCs w:val="21"/>
                    </w:rPr>
                    <w:t>监督部门</w:t>
                  </w:r>
                </w:p>
              </w:tc>
              <w:tc>
                <w:tcPr>
                  <w:tcW w:w="2840" w:type="dxa"/>
                  <w:vAlign w:val="center"/>
                </w:tcPr>
                <w:p>
                  <w:pPr>
                    <w:jc w:val="center"/>
                    <w:rPr>
                      <w:szCs w:val="21"/>
                    </w:rPr>
                  </w:pPr>
                  <w:r>
                    <w:rPr>
                      <w:rFonts w:hAnsi="宋体"/>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49" w:type="dxa"/>
                  <w:vAlign w:val="center"/>
                </w:tcPr>
                <w:p>
                  <w:pPr>
                    <w:jc w:val="center"/>
                    <w:rPr>
                      <w:rFonts w:hAnsi="宋体"/>
                      <w:szCs w:val="21"/>
                    </w:rPr>
                  </w:pPr>
                  <w:r>
                    <w:rPr>
                      <w:rFonts w:hint="eastAsia" w:hAnsi="宋体"/>
                      <w:szCs w:val="21"/>
                    </w:rPr>
                    <w:t>有组织非甲烷总烃</w:t>
                  </w:r>
                </w:p>
              </w:tc>
              <w:tc>
                <w:tcPr>
                  <w:tcW w:w="1507" w:type="dxa"/>
                  <w:vAlign w:val="center"/>
                </w:tcPr>
                <w:p>
                  <w:pPr>
                    <w:jc w:val="center"/>
                    <w:rPr>
                      <w:rFonts w:hint="eastAsia" w:hAnsi="宋体" w:eastAsia="宋体"/>
                      <w:color w:val="000000" w:themeColor="text1"/>
                      <w:szCs w:val="21"/>
                      <w:lang w:eastAsia="zh-CN"/>
                    </w:rPr>
                  </w:pPr>
                  <w:r>
                    <w:rPr>
                      <w:rFonts w:hint="eastAsia" w:hAnsi="宋体"/>
                      <w:color w:val="000000" w:themeColor="text1"/>
                      <w:szCs w:val="21"/>
                    </w:rPr>
                    <w:t>排气筒</w:t>
                  </w:r>
                  <w:r>
                    <w:rPr>
                      <w:rFonts w:hint="eastAsia" w:hAnsi="宋体"/>
                      <w:color w:val="000000" w:themeColor="text1"/>
                      <w:szCs w:val="21"/>
                      <w:lang w:eastAsia="zh-CN"/>
                    </w:rPr>
                    <w:t>DA001</w:t>
                  </w:r>
                </w:p>
              </w:tc>
              <w:tc>
                <w:tcPr>
                  <w:tcW w:w="1018" w:type="dxa"/>
                  <w:vAlign w:val="center"/>
                </w:tcPr>
                <w:p>
                  <w:pPr>
                    <w:jc w:val="center"/>
                    <w:rPr>
                      <w:rFonts w:hAnsi="宋体"/>
                      <w:color w:val="000000" w:themeColor="text1"/>
                      <w:szCs w:val="21"/>
                    </w:rPr>
                  </w:pPr>
                  <w:r>
                    <w:rPr>
                      <w:rFonts w:hint="eastAsia" w:hAnsi="宋体"/>
                      <w:color w:val="000000" w:themeColor="text1"/>
                      <w:szCs w:val="21"/>
                    </w:rPr>
                    <w:t>非甲烷总烃</w:t>
                  </w:r>
                </w:p>
              </w:tc>
              <w:tc>
                <w:tcPr>
                  <w:tcW w:w="934" w:type="dxa"/>
                  <w:vAlign w:val="center"/>
                </w:tcPr>
                <w:p>
                  <w:pPr>
                    <w:jc w:val="center"/>
                    <w:rPr>
                      <w:color w:val="000000" w:themeColor="text1"/>
                      <w:szCs w:val="21"/>
                    </w:rPr>
                  </w:pPr>
                  <w:r>
                    <w:rPr>
                      <w:rFonts w:hint="eastAsia"/>
                      <w:color w:val="000000" w:themeColor="text1"/>
                      <w:szCs w:val="21"/>
                    </w:rPr>
                    <w:t>1次/a</w:t>
                  </w:r>
                </w:p>
              </w:tc>
              <w:tc>
                <w:tcPr>
                  <w:tcW w:w="705" w:type="dxa"/>
                  <w:vMerge w:val="restart"/>
                  <w:vAlign w:val="center"/>
                </w:tcPr>
                <w:p>
                  <w:pPr>
                    <w:jc w:val="center"/>
                    <w:rPr>
                      <w:color w:val="000000" w:themeColor="text1"/>
                      <w:szCs w:val="21"/>
                    </w:rPr>
                  </w:pPr>
                  <w:r>
                    <w:rPr>
                      <w:rFonts w:hint="eastAsia"/>
                      <w:color w:val="000000" w:themeColor="text1"/>
                      <w:szCs w:val="21"/>
                    </w:rPr>
                    <w:t>有资质的单位</w:t>
                  </w:r>
                </w:p>
              </w:tc>
              <w:tc>
                <w:tcPr>
                  <w:tcW w:w="705" w:type="dxa"/>
                  <w:vMerge w:val="restart"/>
                  <w:vAlign w:val="center"/>
                </w:tcPr>
                <w:p>
                  <w:pPr>
                    <w:jc w:val="center"/>
                    <w:rPr>
                      <w:color w:val="000000" w:themeColor="text1"/>
                      <w:szCs w:val="21"/>
                    </w:rPr>
                  </w:pPr>
                  <w:r>
                    <w:rPr>
                      <w:rFonts w:hint="eastAsia"/>
                      <w:color w:val="000000" w:themeColor="text1"/>
                      <w:szCs w:val="21"/>
                    </w:rPr>
                    <w:t>环境管理部门</w:t>
                  </w:r>
                </w:p>
              </w:tc>
              <w:tc>
                <w:tcPr>
                  <w:tcW w:w="2840" w:type="dxa"/>
                  <w:vAlign w:val="center"/>
                </w:tcPr>
                <w:p>
                  <w:pPr>
                    <w:jc w:val="center"/>
                    <w:rPr>
                      <w:color w:val="000000" w:themeColor="text1"/>
                      <w:szCs w:val="21"/>
                    </w:rPr>
                  </w:pPr>
                  <w:r>
                    <w:rPr>
                      <w:color w:val="000000" w:themeColor="text1"/>
                      <w:szCs w:val="21"/>
                    </w:rPr>
                    <w:t>《</w:t>
                  </w:r>
                  <w:r>
                    <w:rPr>
                      <w:rFonts w:hint="eastAsia"/>
                      <w:color w:val="000000" w:themeColor="text1"/>
                      <w:szCs w:val="21"/>
                    </w:rPr>
                    <w:t>合成树脂工业污染物排放标准</w:t>
                  </w:r>
                  <w:r>
                    <w:rPr>
                      <w:color w:val="000000" w:themeColor="text1"/>
                      <w:szCs w:val="21"/>
                    </w:rPr>
                    <w:t>》（GB</w:t>
                  </w:r>
                  <w:r>
                    <w:rPr>
                      <w:rFonts w:hint="eastAsia"/>
                      <w:color w:val="000000" w:themeColor="text1"/>
                      <w:szCs w:val="21"/>
                    </w:rPr>
                    <w:t>31572</w:t>
                  </w:r>
                  <w:r>
                    <w:rPr>
                      <w:color w:val="000000" w:themeColor="text1"/>
                      <w:szCs w:val="21"/>
                    </w:rPr>
                    <w:t>-</w:t>
                  </w:r>
                  <w:r>
                    <w:rPr>
                      <w:rFonts w:hint="eastAsia"/>
                      <w:color w:val="000000" w:themeColor="text1"/>
                      <w:szCs w:val="21"/>
                    </w:rPr>
                    <w:t>2015</w:t>
                  </w:r>
                  <w:r>
                    <w:rPr>
                      <w:color w:val="000000" w:themeColor="text1"/>
                      <w:szCs w:val="21"/>
                    </w:rPr>
                    <w:t>）</w:t>
                  </w:r>
                  <w:r>
                    <w:rPr>
                      <w:rFonts w:hint="eastAsia"/>
                      <w:color w:val="000000" w:themeColor="text1"/>
                      <w:szCs w:val="21"/>
                    </w:rPr>
                    <w:t>中表5大气污染物特别排放限值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49" w:type="dxa"/>
                  <w:vAlign w:val="center"/>
                </w:tcPr>
                <w:p>
                  <w:pPr>
                    <w:jc w:val="center"/>
                    <w:rPr>
                      <w:szCs w:val="21"/>
                    </w:rPr>
                  </w:pPr>
                  <w:r>
                    <w:rPr>
                      <w:rFonts w:hAnsi="宋体"/>
                      <w:szCs w:val="21"/>
                    </w:rPr>
                    <w:t>无组织废气</w:t>
                  </w:r>
                </w:p>
              </w:tc>
              <w:tc>
                <w:tcPr>
                  <w:tcW w:w="1507" w:type="dxa"/>
                  <w:vAlign w:val="center"/>
                </w:tcPr>
                <w:p>
                  <w:pPr>
                    <w:jc w:val="center"/>
                    <w:rPr>
                      <w:color w:val="000000" w:themeColor="text1"/>
                      <w:szCs w:val="21"/>
                    </w:rPr>
                  </w:pPr>
                  <w:r>
                    <w:rPr>
                      <w:rFonts w:hAnsi="宋体"/>
                      <w:color w:val="000000" w:themeColor="text1"/>
                      <w:szCs w:val="21"/>
                    </w:rPr>
                    <w:t>厂界上下风</w:t>
                  </w:r>
                  <w:r>
                    <w:rPr>
                      <w:rFonts w:hint="eastAsia" w:hAnsi="宋体"/>
                      <w:color w:val="000000" w:themeColor="text1"/>
                      <w:szCs w:val="21"/>
                    </w:rPr>
                    <w:t>向</w:t>
                  </w:r>
                </w:p>
              </w:tc>
              <w:tc>
                <w:tcPr>
                  <w:tcW w:w="1018" w:type="dxa"/>
                  <w:vAlign w:val="center"/>
                </w:tcPr>
                <w:p>
                  <w:pPr>
                    <w:jc w:val="center"/>
                    <w:rPr>
                      <w:color w:val="000000" w:themeColor="text1"/>
                      <w:szCs w:val="21"/>
                    </w:rPr>
                  </w:pPr>
                  <w:r>
                    <w:rPr>
                      <w:rFonts w:hint="eastAsia" w:hAnsi="宋体"/>
                      <w:color w:val="000000" w:themeColor="text1"/>
                      <w:szCs w:val="21"/>
                    </w:rPr>
                    <w:t>非甲烷总烃、颗粒物</w:t>
                  </w:r>
                </w:p>
              </w:tc>
              <w:tc>
                <w:tcPr>
                  <w:tcW w:w="934" w:type="dxa"/>
                  <w:vAlign w:val="center"/>
                </w:tcPr>
                <w:p>
                  <w:pPr>
                    <w:jc w:val="center"/>
                    <w:rPr>
                      <w:color w:val="000000" w:themeColor="text1"/>
                      <w:szCs w:val="21"/>
                    </w:rPr>
                  </w:pPr>
                  <w:r>
                    <w:rPr>
                      <w:color w:val="000000" w:themeColor="text1"/>
                      <w:szCs w:val="21"/>
                    </w:rPr>
                    <w:t>1</w:t>
                  </w:r>
                  <w:r>
                    <w:rPr>
                      <w:rFonts w:hAnsi="宋体"/>
                      <w:color w:val="000000" w:themeColor="text1"/>
                      <w:szCs w:val="21"/>
                    </w:rPr>
                    <w:t>次</w:t>
                  </w:r>
                  <w:r>
                    <w:rPr>
                      <w:color w:val="000000" w:themeColor="text1"/>
                      <w:szCs w:val="21"/>
                    </w:rPr>
                    <w:t>/a</w:t>
                  </w:r>
                </w:p>
              </w:tc>
              <w:tc>
                <w:tcPr>
                  <w:tcW w:w="705" w:type="dxa"/>
                  <w:vMerge w:val="continue"/>
                  <w:vAlign w:val="center"/>
                </w:tcPr>
                <w:p>
                  <w:pPr>
                    <w:jc w:val="center"/>
                    <w:rPr>
                      <w:color w:val="000000" w:themeColor="text1"/>
                      <w:szCs w:val="21"/>
                    </w:rPr>
                  </w:pPr>
                </w:p>
              </w:tc>
              <w:tc>
                <w:tcPr>
                  <w:tcW w:w="705" w:type="dxa"/>
                  <w:vMerge w:val="continue"/>
                  <w:vAlign w:val="center"/>
                </w:tcPr>
                <w:p>
                  <w:pPr>
                    <w:jc w:val="center"/>
                    <w:rPr>
                      <w:color w:val="000000" w:themeColor="text1"/>
                      <w:szCs w:val="21"/>
                    </w:rPr>
                  </w:pPr>
                </w:p>
              </w:tc>
              <w:tc>
                <w:tcPr>
                  <w:tcW w:w="2840" w:type="dxa"/>
                  <w:vAlign w:val="center"/>
                </w:tcPr>
                <w:p>
                  <w:pPr>
                    <w:jc w:val="center"/>
                    <w:rPr>
                      <w:rFonts w:hAnsi="宋体"/>
                      <w:color w:val="000000" w:themeColor="text1"/>
                      <w:szCs w:val="21"/>
                    </w:rPr>
                  </w:pPr>
                  <w:r>
                    <w:rPr>
                      <w:rFonts w:hint="eastAsia"/>
                      <w:color w:val="000000" w:themeColor="text1"/>
                    </w:rPr>
                    <w:t>厂界废气执行</w:t>
                  </w:r>
                  <w:r>
                    <w:rPr>
                      <w:color w:val="000000" w:themeColor="text1"/>
                    </w:rPr>
                    <w:t>《</w:t>
                  </w:r>
                  <w:r>
                    <w:rPr>
                      <w:rFonts w:hint="eastAsia"/>
                      <w:color w:val="000000" w:themeColor="text1"/>
                    </w:rPr>
                    <w:t>合成树脂工业污染物排放标准</w:t>
                  </w:r>
                  <w:r>
                    <w:rPr>
                      <w:color w:val="000000" w:themeColor="text1"/>
                    </w:rPr>
                    <w:t>》（GB</w:t>
                  </w:r>
                  <w:r>
                    <w:rPr>
                      <w:rFonts w:hint="eastAsia"/>
                      <w:color w:val="000000" w:themeColor="text1"/>
                    </w:rPr>
                    <w:t>31572</w:t>
                  </w:r>
                  <w:r>
                    <w:rPr>
                      <w:color w:val="000000" w:themeColor="text1"/>
                    </w:rPr>
                    <w:t>-</w:t>
                  </w:r>
                  <w:r>
                    <w:rPr>
                      <w:rFonts w:hint="eastAsia"/>
                      <w:color w:val="000000" w:themeColor="text1"/>
                    </w:rPr>
                    <w:t>2015</w:t>
                  </w:r>
                  <w:r>
                    <w:rPr>
                      <w:color w:val="000000" w:themeColor="text1"/>
                    </w:rPr>
                    <w:t>）</w:t>
                  </w:r>
                  <w:r>
                    <w:rPr>
                      <w:rFonts w:hint="eastAsia"/>
                      <w:color w:val="000000" w:themeColor="text1"/>
                    </w:rPr>
                    <w:t>中表9企业边界大气污染物浓度限值</w:t>
                  </w:r>
                  <w:r>
                    <w:rPr>
                      <w:rFonts w:hint="eastAsia" w:hAnsi="宋体"/>
                      <w:color w:val="000000" w:themeColor="text1"/>
                      <w:szCs w:val="21"/>
                    </w:rPr>
                    <w:t>；</w:t>
                  </w:r>
                  <w:r>
                    <w:rPr>
                      <w:rFonts w:hint="eastAsia"/>
                      <w:color w:val="000000" w:themeColor="text1"/>
                    </w:rPr>
                    <w:t>厂内执行《挥发性有机物无组织排放控制标准》（</w:t>
                  </w:r>
                  <w:r>
                    <w:rPr>
                      <w:color w:val="000000" w:themeColor="text1"/>
                    </w:rPr>
                    <w:t>GB37822-2019</w:t>
                  </w:r>
                  <w:r>
                    <w:rPr>
                      <w:rFonts w:hint="eastAsia"/>
                      <w:color w:val="000000" w:themeColor="text1"/>
                    </w:rPr>
                    <w:t>）厂区内</w:t>
                  </w:r>
                  <w:r>
                    <w:rPr>
                      <w:color w:val="000000" w:themeColor="text1"/>
                    </w:rPr>
                    <w:t>VOCs</w:t>
                  </w:r>
                  <w:r>
                    <w:rPr>
                      <w:rFonts w:hint="eastAsia"/>
                      <w:color w:val="000000" w:themeColor="text1"/>
                    </w:rPr>
                    <w:t>无组织特别排放限值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49" w:type="dxa"/>
                  <w:vAlign w:val="center"/>
                </w:tcPr>
                <w:p>
                  <w:pPr>
                    <w:jc w:val="center"/>
                    <w:rPr>
                      <w:szCs w:val="21"/>
                    </w:rPr>
                  </w:pPr>
                  <w:r>
                    <w:rPr>
                      <w:rFonts w:hAnsi="宋体"/>
                      <w:szCs w:val="21"/>
                    </w:rPr>
                    <w:t>噪声</w:t>
                  </w:r>
                </w:p>
              </w:tc>
              <w:tc>
                <w:tcPr>
                  <w:tcW w:w="1507" w:type="dxa"/>
                  <w:vAlign w:val="center"/>
                </w:tcPr>
                <w:p>
                  <w:pPr>
                    <w:jc w:val="center"/>
                    <w:rPr>
                      <w:szCs w:val="21"/>
                    </w:rPr>
                  </w:pPr>
                  <w:r>
                    <w:rPr>
                      <w:rFonts w:hAnsi="宋体"/>
                      <w:szCs w:val="21"/>
                    </w:rPr>
                    <w:t>厂界四周</w:t>
                  </w:r>
                </w:p>
              </w:tc>
              <w:tc>
                <w:tcPr>
                  <w:tcW w:w="1018" w:type="dxa"/>
                  <w:vAlign w:val="center"/>
                </w:tcPr>
                <w:p>
                  <w:pPr>
                    <w:jc w:val="center"/>
                    <w:rPr>
                      <w:szCs w:val="21"/>
                    </w:rPr>
                  </w:pPr>
                  <w:r>
                    <w:rPr>
                      <w:rFonts w:hAnsi="宋体"/>
                      <w:szCs w:val="21"/>
                    </w:rPr>
                    <w:t>等效声级</w:t>
                  </w:r>
                  <w:r>
                    <w:rPr>
                      <w:szCs w:val="21"/>
                    </w:rPr>
                    <w:t>L</w:t>
                  </w:r>
                  <w:r>
                    <w:rPr>
                      <w:szCs w:val="21"/>
                      <w:vertAlign w:val="subscript"/>
                    </w:rPr>
                    <w:t>eq</w:t>
                  </w:r>
                  <w:r>
                    <w:rPr>
                      <w:rFonts w:hAnsi="宋体"/>
                      <w:szCs w:val="21"/>
                    </w:rPr>
                    <w:t>（</w:t>
                  </w:r>
                  <w:r>
                    <w:rPr>
                      <w:szCs w:val="21"/>
                    </w:rPr>
                    <w:t>A</w:t>
                  </w:r>
                  <w:r>
                    <w:rPr>
                      <w:rFonts w:hAnsi="宋体"/>
                      <w:szCs w:val="21"/>
                    </w:rPr>
                    <w:t>）</w:t>
                  </w:r>
                </w:p>
              </w:tc>
              <w:tc>
                <w:tcPr>
                  <w:tcW w:w="934" w:type="dxa"/>
                  <w:vAlign w:val="center"/>
                </w:tcPr>
                <w:p>
                  <w:pPr>
                    <w:jc w:val="center"/>
                    <w:rPr>
                      <w:szCs w:val="21"/>
                    </w:rPr>
                  </w:pPr>
                  <w:r>
                    <w:rPr>
                      <w:rFonts w:hint="eastAsia"/>
                      <w:szCs w:val="21"/>
                    </w:rPr>
                    <w:t>1</w:t>
                  </w:r>
                  <w:r>
                    <w:rPr>
                      <w:rFonts w:hAnsi="宋体"/>
                      <w:szCs w:val="21"/>
                    </w:rPr>
                    <w:t>次</w:t>
                  </w:r>
                  <w:r>
                    <w:rPr>
                      <w:szCs w:val="21"/>
                    </w:rPr>
                    <w:t>/</w:t>
                  </w:r>
                  <w:r>
                    <w:rPr>
                      <w:rFonts w:hint="eastAsia"/>
                      <w:szCs w:val="21"/>
                    </w:rPr>
                    <w:t>季度</w:t>
                  </w:r>
                </w:p>
              </w:tc>
              <w:tc>
                <w:tcPr>
                  <w:tcW w:w="705" w:type="dxa"/>
                  <w:vMerge w:val="continue"/>
                  <w:vAlign w:val="center"/>
                </w:tcPr>
                <w:p>
                  <w:pPr>
                    <w:jc w:val="center"/>
                    <w:rPr>
                      <w:szCs w:val="21"/>
                    </w:rPr>
                  </w:pPr>
                </w:p>
              </w:tc>
              <w:tc>
                <w:tcPr>
                  <w:tcW w:w="705" w:type="dxa"/>
                  <w:vMerge w:val="continue"/>
                  <w:vAlign w:val="center"/>
                </w:tcPr>
                <w:p>
                  <w:pPr>
                    <w:jc w:val="center"/>
                    <w:rPr>
                      <w:szCs w:val="21"/>
                    </w:rPr>
                  </w:pPr>
                </w:p>
              </w:tc>
              <w:tc>
                <w:tcPr>
                  <w:tcW w:w="2840" w:type="dxa"/>
                  <w:vAlign w:val="center"/>
                </w:tcPr>
                <w:p>
                  <w:pPr>
                    <w:jc w:val="center"/>
                    <w:rPr>
                      <w:szCs w:val="21"/>
                    </w:rPr>
                  </w:pPr>
                  <w:r>
                    <w:rPr>
                      <w:rFonts w:hAnsi="宋体"/>
                      <w:szCs w:val="21"/>
                    </w:rPr>
                    <w:t>《</w:t>
                  </w:r>
                  <w:r>
                    <w:rPr>
                      <w:rFonts w:hint="eastAsia" w:hAnsi="宋体"/>
                      <w:szCs w:val="21"/>
                    </w:rPr>
                    <w:t>工业企业厂界环境</w:t>
                  </w:r>
                  <w:r>
                    <w:rPr>
                      <w:rFonts w:hAnsi="宋体"/>
                      <w:szCs w:val="21"/>
                    </w:rPr>
                    <w:t>噪声排放标准》（</w:t>
                  </w:r>
                  <w:r>
                    <w:rPr>
                      <w:szCs w:val="21"/>
                    </w:rPr>
                    <w:t>GB</w:t>
                  </w:r>
                  <w:r>
                    <w:rPr>
                      <w:rFonts w:hint="eastAsia"/>
                      <w:szCs w:val="21"/>
                    </w:rPr>
                    <w:t>12348</w:t>
                  </w:r>
                  <w:r>
                    <w:rPr>
                      <w:szCs w:val="21"/>
                    </w:rPr>
                    <w:t>-2008</w:t>
                  </w:r>
                  <w:r>
                    <w:rPr>
                      <w:rFonts w:hAnsi="宋体"/>
                      <w:szCs w:val="21"/>
                    </w:rPr>
                    <w:t>）</w:t>
                  </w:r>
                  <w:r>
                    <w:rPr>
                      <w:rFonts w:hint="eastAsia"/>
                      <w:szCs w:val="21"/>
                    </w:rPr>
                    <w:t>2</w:t>
                  </w:r>
                  <w:r>
                    <w:rPr>
                      <w:rFonts w:hAnsi="宋体"/>
                      <w:szCs w:val="21"/>
                    </w:rPr>
                    <w:t>类标准</w:t>
                  </w:r>
                </w:p>
              </w:tc>
            </w:tr>
          </w:tbl>
          <w:p>
            <w:pPr>
              <w:topLinePunct/>
              <w:spacing w:line="480" w:lineRule="exact"/>
              <w:ind w:firstLine="480" w:firstLineChars="200"/>
              <w:rPr>
                <w:snapToGrid w:val="0"/>
                <w:kern w:val="0"/>
                <w:sz w:val="24"/>
              </w:rPr>
            </w:pPr>
            <w:r>
              <w:rPr>
                <w:snapToGrid w:val="0"/>
                <w:kern w:val="0"/>
                <w:sz w:val="24"/>
              </w:rPr>
              <w:t>上述各监测项目的监测计划应严格按照国家有关监测技术规范执行。本项目建成投产验收时污染监测和正常运营期间定期污染监测工作可委托相应环境监测部门定期进行，并将监测结果上报当地环保部门。</w:t>
            </w:r>
          </w:p>
          <w:p>
            <w:pPr>
              <w:topLinePunct/>
              <w:spacing w:line="480" w:lineRule="exact"/>
              <w:ind w:firstLine="480" w:firstLineChars="200"/>
              <w:rPr>
                <w:snapToGrid w:val="0"/>
                <w:kern w:val="0"/>
                <w:sz w:val="24"/>
              </w:rPr>
            </w:pPr>
            <w:r>
              <w:rPr>
                <w:rFonts w:hint="eastAsia"/>
                <w:snapToGrid w:val="0"/>
                <w:kern w:val="0"/>
                <w:sz w:val="24"/>
              </w:rPr>
              <w:t>（4）排污口规范化管理</w:t>
            </w:r>
          </w:p>
          <w:p>
            <w:pPr>
              <w:topLinePunct/>
              <w:spacing w:line="480" w:lineRule="exact"/>
              <w:ind w:firstLine="480" w:firstLineChars="200"/>
              <w:rPr>
                <w:snapToGrid w:val="0"/>
                <w:kern w:val="0"/>
                <w:sz w:val="24"/>
              </w:rPr>
            </w:pPr>
            <w:r>
              <w:rPr>
                <w:rFonts w:hint="eastAsia"/>
                <w:snapToGrid w:val="0"/>
                <w:kern w:val="0"/>
                <w:sz w:val="24"/>
              </w:rPr>
              <w:t>排污口是投产后污染物进入环境、污染环境的出口，强化排污口管理是实施污染物总量控制的基础工作，也是环境管理逐步实现污染物科学化、定量化的手段。</w:t>
            </w:r>
          </w:p>
          <w:p>
            <w:pPr>
              <w:topLinePunct/>
              <w:spacing w:line="480" w:lineRule="exact"/>
              <w:ind w:firstLine="480" w:firstLineChars="200"/>
              <w:rPr>
                <w:snapToGrid w:val="0"/>
                <w:kern w:val="0"/>
                <w:sz w:val="24"/>
              </w:rPr>
            </w:pPr>
            <w:r>
              <w:rPr>
                <w:rFonts w:hint="eastAsia"/>
                <w:snapToGrid w:val="0"/>
                <w:kern w:val="0"/>
                <w:sz w:val="24"/>
              </w:rPr>
              <w:t>1）排污口规范化管理的基本原则</w:t>
            </w:r>
          </w:p>
          <w:p>
            <w:pPr>
              <w:topLinePunct/>
              <w:spacing w:line="480" w:lineRule="exact"/>
              <w:ind w:firstLine="480" w:firstLineChars="200"/>
              <w:rPr>
                <w:snapToGrid w:val="0"/>
                <w:kern w:val="0"/>
                <w:sz w:val="24"/>
              </w:rPr>
            </w:pPr>
            <w:r>
              <w:rPr>
                <w:rFonts w:hint="eastAsia"/>
                <w:snapToGrid w:val="0"/>
                <w:kern w:val="0"/>
                <w:sz w:val="24"/>
              </w:rPr>
              <w:t>①向环境排放污染物的排放口必须规范化；</w:t>
            </w:r>
          </w:p>
          <w:p>
            <w:pPr>
              <w:topLinePunct/>
              <w:spacing w:line="480" w:lineRule="exact"/>
              <w:ind w:firstLine="480" w:firstLineChars="200"/>
              <w:rPr>
                <w:snapToGrid w:val="0"/>
                <w:kern w:val="0"/>
                <w:sz w:val="24"/>
              </w:rPr>
            </w:pPr>
            <w:r>
              <w:rPr>
                <w:rFonts w:hint="eastAsia"/>
                <w:snapToGrid w:val="0"/>
                <w:kern w:val="0"/>
                <w:sz w:val="24"/>
              </w:rPr>
              <w:t>②根据工程的特点，废气排放口作为管理重点；</w:t>
            </w:r>
          </w:p>
          <w:p>
            <w:pPr>
              <w:topLinePunct/>
              <w:spacing w:line="480" w:lineRule="exact"/>
              <w:ind w:firstLine="480" w:firstLineChars="200"/>
              <w:rPr>
                <w:snapToGrid w:val="0"/>
                <w:kern w:val="0"/>
                <w:sz w:val="24"/>
              </w:rPr>
            </w:pPr>
            <w:r>
              <w:rPr>
                <w:rFonts w:hint="eastAsia"/>
                <w:snapToGrid w:val="0"/>
                <w:kern w:val="0"/>
                <w:sz w:val="24"/>
              </w:rPr>
              <w:t>③排污口设置应便于采集样品、便于计量监测、便于日常现场监督检查。</w:t>
            </w:r>
          </w:p>
          <w:p>
            <w:pPr>
              <w:topLinePunct/>
              <w:spacing w:line="480" w:lineRule="exact"/>
              <w:ind w:firstLine="480" w:firstLineChars="200"/>
              <w:rPr>
                <w:snapToGrid w:val="0"/>
                <w:kern w:val="0"/>
                <w:sz w:val="24"/>
              </w:rPr>
            </w:pPr>
            <w:r>
              <w:rPr>
                <w:rFonts w:hint="eastAsia"/>
                <w:snapToGrid w:val="0"/>
                <w:kern w:val="0"/>
                <w:sz w:val="24"/>
              </w:rPr>
              <w:t>2）排污口的技术要求</w:t>
            </w:r>
          </w:p>
          <w:p>
            <w:pPr>
              <w:topLinePunct/>
              <w:spacing w:line="480" w:lineRule="exact"/>
              <w:ind w:firstLine="480" w:firstLineChars="200"/>
              <w:rPr>
                <w:snapToGrid w:val="0"/>
                <w:kern w:val="0"/>
                <w:sz w:val="24"/>
              </w:rPr>
            </w:pPr>
            <w:r>
              <w:rPr>
                <w:rFonts w:hint="eastAsia" w:ascii="宋体" w:hAnsi="宋体" w:cs="宋体"/>
                <w:snapToGrid w:val="0"/>
                <w:kern w:val="0"/>
                <w:sz w:val="24"/>
              </w:rPr>
              <w:t>①</w:t>
            </w:r>
            <w:r>
              <w:rPr>
                <w:snapToGrid w:val="0"/>
                <w:kern w:val="0"/>
                <w:sz w:val="24"/>
              </w:rPr>
              <w:t xml:space="preserve"> 排污口的设置必须合理，按照《排污口规范化整理技术要求（试行）》环监</w:t>
            </w:r>
            <w:r>
              <w:rPr>
                <w:rFonts w:hint="eastAsia"/>
                <w:snapToGrid w:val="0"/>
                <w:kern w:val="0"/>
                <w:sz w:val="24"/>
              </w:rPr>
              <w:t>〔1996〕</w:t>
            </w:r>
            <w:r>
              <w:rPr>
                <w:snapToGrid w:val="0"/>
                <w:kern w:val="0"/>
                <w:sz w:val="24"/>
              </w:rPr>
              <w:t>470号文件要求，进行规范化管理；</w:t>
            </w:r>
          </w:p>
          <w:p>
            <w:pPr>
              <w:topLinePunct/>
              <w:spacing w:line="480" w:lineRule="exact"/>
              <w:ind w:firstLine="480" w:firstLineChars="200"/>
              <w:rPr>
                <w:snapToGrid w:val="0"/>
                <w:kern w:val="0"/>
                <w:sz w:val="24"/>
              </w:rPr>
            </w:pPr>
            <w:r>
              <w:rPr>
                <w:rFonts w:hint="eastAsia" w:ascii="宋体" w:hAnsi="宋体" w:cs="宋体"/>
                <w:snapToGrid w:val="0"/>
                <w:kern w:val="0"/>
                <w:sz w:val="24"/>
              </w:rPr>
              <w:t>②</w:t>
            </w:r>
            <w:r>
              <w:rPr>
                <w:snapToGrid w:val="0"/>
                <w:kern w:val="0"/>
                <w:sz w:val="24"/>
              </w:rPr>
              <w:t xml:space="preserve"> 排污口立标管理</w:t>
            </w:r>
          </w:p>
          <w:p>
            <w:pPr>
              <w:topLinePunct/>
              <w:spacing w:line="480" w:lineRule="exact"/>
              <w:ind w:firstLine="480" w:firstLineChars="200"/>
              <w:rPr>
                <w:snapToGrid w:val="0"/>
                <w:kern w:val="0"/>
                <w:sz w:val="24"/>
              </w:rPr>
            </w:pPr>
            <w:r>
              <w:rPr>
                <w:snapToGrid w:val="0"/>
                <w:kern w:val="0"/>
                <w:sz w:val="24"/>
              </w:rPr>
              <w:t>各污染物排放口，应按照国家《环境保护图形标志》（GB15562.1-1995）的规定，设置排放口图形标志牌。</w:t>
            </w:r>
          </w:p>
          <w:p>
            <w:pPr>
              <w:topLinePunct/>
              <w:spacing w:line="360" w:lineRule="auto"/>
              <w:ind w:firstLine="480" w:firstLineChars="200"/>
              <w:rPr>
                <w:rFonts w:hint="eastAsia"/>
                <w:snapToGrid w:val="0"/>
                <w:kern w:val="0"/>
                <w:sz w:val="24"/>
              </w:rPr>
            </w:pPr>
            <w:r>
              <w:rPr>
                <w:snapToGrid w:val="0"/>
                <w:kern w:val="0"/>
                <w:sz w:val="24"/>
              </w:rPr>
              <w:t>在项目的污水排放口、废气排放口、噪声排放源、固体废物贮存场应设置环境保护图形标志</w:t>
            </w:r>
            <w:r>
              <w:rPr>
                <w:rFonts w:hint="eastAsia"/>
                <w:snapToGrid w:val="0"/>
                <w:kern w:val="0"/>
                <w:sz w:val="24"/>
              </w:rPr>
              <w:t>。</w:t>
            </w:r>
          </w:p>
          <w:p>
            <w:pPr>
              <w:pStyle w:val="6"/>
              <w:numPr>
                <w:ilvl w:val="0"/>
                <w:numId w:val="4"/>
              </w:numPr>
              <w:spacing w:line="360" w:lineRule="auto"/>
              <w:rPr>
                <w:rFonts w:hint="eastAsia"/>
                <w:snapToGrid w:val="0"/>
                <w:kern w:val="0"/>
                <w:sz w:val="24"/>
                <w:lang w:eastAsia="zh-CN"/>
              </w:rPr>
            </w:pPr>
            <w:r>
              <w:rPr>
                <w:rFonts w:hint="eastAsia"/>
                <w:snapToGrid w:val="0"/>
                <w:kern w:val="0"/>
                <w:sz w:val="24"/>
                <w:lang w:eastAsia="zh-CN"/>
              </w:rPr>
              <w:t>其他环境管理要求</w:t>
            </w:r>
          </w:p>
          <w:p>
            <w:pPr>
              <w:pStyle w:val="2"/>
              <w:numPr>
                <w:ilvl w:val="0"/>
                <w:numId w:val="0"/>
              </w:numPr>
              <w:spacing w:line="360" w:lineRule="auto"/>
              <w:rPr>
                <w:rFonts w:hint="default"/>
                <w:lang w:val="en-US" w:eastAsia="zh-CN"/>
              </w:rPr>
            </w:pPr>
            <w:r>
              <w:rPr>
                <w:rFonts w:hint="eastAsia"/>
                <w:lang w:val="en-US" w:eastAsia="zh-CN"/>
              </w:rPr>
              <w:t xml:space="preserve">  </w:t>
            </w:r>
            <w:r>
              <w:rPr>
                <w:rFonts w:hint="eastAsia" w:ascii="Times New Roman" w:hAnsi="Times New Roman" w:eastAsia="宋体" w:cs="Times New Roman"/>
                <w:b w:val="0"/>
                <w:bCs w:val="0"/>
                <w:snapToGrid w:val="0"/>
                <w:color w:val="auto"/>
                <w:kern w:val="0"/>
                <w:sz w:val="24"/>
                <w:szCs w:val="24"/>
                <w:lang w:val="en-US" w:eastAsia="zh-CN" w:bidi="ar-SA"/>
              </w:rPr>
              <w:t xml:space="preserve"> </w:t>
            </w:r>
            <w:r>
              <w:rPr>
                <w:rFonts w:ascii="Times New Roman" w:hAnsi="Times New Roman" w:eastAsia="宋体" w:cs="Times New Roman"/>
                <w:b w:val="0"/>
                <w:bCs w:val="0"/>
                <w:snapToGrid w:val="0"/>
                <w:color w:val="auto"/>
                <w:kern w:val="0"/>
                <w:sz w:val="24"/>
                <w:szCs w:val="24"/>
                <w:lang w:val="en-US" w:eastAsia="zh-CN" w:bidi="ar-SA"/>
              </w:rPr>
              <w:t>严格落实报告所提环境管理要求</w:t>
            </w:r>
            <w:r>
              <w:rPr>
                <w:rFonts w:hint="eastAsia" w:ascii="Times New Roman" w:hAnsi="Times New Roman" w:eastAsia="宋体" w:cs="Times New Roman"/>
                <w:b w:val="0"/>
                <w:bCs w:val="0"/>
                <w:snapToGrid w:val="0"/>
                <w:color w:val="auto"/>
                <w:kern w:val="0"/>
                <w:sz w:val="24"/>
                <w:szCs w:val="24"/>
                <w:lang w:val="en-US" w:eastAsia="zh-CN" w:bidi="ar-SA"/>
              </w:rPr>
              <w:t>，根据《固定污染源排污许可分类管理名录》（2019版，生态环境部部令第11号），本项目属于登记管理，应当在全国排污许可证管理信息平台填报排污登记。</w:t>
            </w:r>
          </w:p>
          <w:p>
            <w:pPr>
              <w:adjustRightInd w:val="0"/>
              <w:snapToGrid w:val="0"/>
              <w:spacing w:line="360" w:lineRule="auto"/>
              <w:ind w:firstLine="480" w:firstLineChars="200"/>
              <w:rPr>
                <w:bCs/>
                <w:sz w:val="24"/>
              </w:rPr>
            </w:pPr>
            <w:r>
              <w:rPr>
                <w:rFonts w:hint="eastAsia"/>
                <w:bCs/>
                <w:sz w:val="24"/>
              </w:rPr>
              <w:t>10、项目</w:t>
            </w:r>
            <w:r>
              <w:rPr>
                <w:bCs/>
                <w:kern w:val="0"/>
                <w:sz w:val="24"/>
              </w:rPr>
              <w:t>“</w:t>
            </w:r>
            <w:r>
              <w:rPr>
                <w:rFonts w:hint="eastAsia"/>
                <w:bCs/>
                <w:kern w:val="0"/>
                <w:sz w:val="24"/>
              </w:rPr>
              <w:t>三同时</w:t>
            </w:r>
            <w:r>
              <w:rPr>
                <w:bCs/>
                <w:kern w:val="0"/>
                <w:sz w:val="24"/>
              </w:rPr>
              <w:t>”</w:t>
            </w:r>
            <w:r>
              <w:rPr>
                <w:rFonts w:hint="eastAsia"/>
                <w:bCs/>
                <w:sz w:val="24"/>
              </w:rPr>
              <w:t>验收</w:t>
            </w:r>
          </w:p>
          <w:p>
            <w:pPr>
              <w:adjustRightInd w:val="0"/>
              <w:snapToGrid w:val="0"/>
              <w:spacing w:line="360" w:lineRule="auto"/>
              <w:ind w:firstLine="480" w:firstLineChars="200"/>
              <w:rPr>
                <w:rFonts w:eastAsia="黑体"/>
              </w:rPr>
            </w:pPr>
            <w:r>
              <w:rPr>
                <w:rFonts w:hint="eastAsia"/>
                <w:bCs/>
                <w:sz w:val="24"/>
              </w:rPr>
              <w:t>项目建设期间，建设单位必须遵守环境保护设施必须与主体工程同时设计、同时施工、同时投产使用的“三同时”制度，在项目竣工后，须严格按照国家的有关规定，及时完成环保竣工验收，具体内容详见表4-20。</w:t>
            </w:r>
          </w:p>
          <w:p>
            <w:pPr>
              <w:autoSpaceDE w:val="0"/>
              <w:autoSpaceDN w:val="0"/>
              <w:ind w:firstLine="420"/>
              <w:jc w:val="left"/>
              <w:rPr>
                <w:rFonts w:eastAsia="黑体" w:cs="宋体"/>
                <w:szCs w:val="21"/>
              </w:rPr>
            </w:pPr>
            <w:r>
              <w:rPr>
                <w:rFonts w:hint="eastAsia" w:eastAsia="黑体"/>
              </w:rPr>
              <w:t>表4-20</w:t>
            </w:r>
            <w:r>
              <w:rPr>
                <w:rFonts w:eastAsia="黑体"/>
              </w:rPr>
              <w:t xml:space="preserve">               </w:t>
            </w:r>
            <w:r>
              <w:rPr>
                <w:rFonts w:hint="eastAsia" w:eastAsia="黑体"/>
              </w:rPr>
              <w:t xml:space="preserve"> </w:t>
            </w:r>
            <w:r>
              <w:rPr>
                <w:rFonts w:eastAsia="黑体"/>
              </w:rPr>
              <w:t xml:space="preserve"> </w:t>
            </w:r>
            <w:r>
              <w:rPr>
                <w:rFonts w:hint="eastAsia" w:eastAsia="黑体"/>
              </w:rPr>
              <w:t>项目</w:t>
            </w:r>
            <w:r>
              <w:rPr>
                <w:rFonts w:eastAsia="黑体"/>
              </w:rPr>
              <w:t>“</w:t>
            </w:r>
            <w:r>
              <w:rPr>
                <w:rFonts w:hint="eastAsia" w:eastAsia="黑体"/>
              </w:rPr>
              <w:t>三同时</w:t>
            </w:r>
            <w:r>
              <w:rPr>
                <w:rFonts w:eastAsia="黑体"/>
              </w:rPr>
              <w:t>”</w:t>
            </w:r>
            <w:r>
              <w:rPr>
                <w:rFonts w:hint="eastAsia" w:eastAsia="黑体"/>
              </w:rPr>
              <w:t>验收一览表</w:t>
            </w:r>
          </w:p>
          <w:tbl>
            <w:tblPr>
              <w:tblStyle w:val="25"/>
              <w:tblW w:w="8306" w:type="dxa"/>
              <w:tblInd w:w="6"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07"/>
              <w:gridCol w:w="2156"/>
              <w:gridCol w:w="1289"/>
              <w:gridCol w:w="1323"/>
              <w:gridCol w:w="117"/>
              <w:gridCol w:w="281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bottom w:val="single" w:color="auto" w:sz="2" w:space="0"/>
                    <w:right w:val="single" w:color="auto" w:sz="2" w:space="0"/>
                  </w:tcBorders>
                  <w:vAlign w:val="center"/>
                </w:tcPr>
                <w:p>
                  <w:pPr>
                    <w:pStyle w:val="65"/>
                  </w:pPr>
                  <w:r>
                    <w:rPr>
                      <w:rFonts w:hint="eastAsia"/>
                    </w:rPr>
                    <w:t>序号</w:t>
                  </w:r>
                </w:p>
              </w:tc>
              <w:tc>
                <w:tcPr>
                  <w:tcW w:w="2156" w:type="dxa"/>
                  <w:tcBorders>
                    <w:left w:val="single" w:color="auto" w:sz="2" w:space="0"/>
                    <w:bottom w:val="single" w:color="auto" w:sz="2" w:space="0"/>
                    <w:right w:val="single" w:color="auto" w:sz="2" w:space="0"/>
                  </w:tcBorders>
                  <w:vAlign w:val="center"/>
                </w:tcPr>
                <w:p>
                  <w:pPr>
                    <w:pStyle w:val="65"/>
                  </w:pPr>
                  <w:r>
                    <w:rPr>
                      <w:rFonts w:hint="eastAsia"/>
                    </w:rPr>
                    <w:t>污染源</w:t>
                  </w:r>
                </w:p>
              </w:tc>
              <w:tc>
                <w:tcPr>
                  <w:tcW w:w="1289" w:type="dxa"/>
                  <w:tcBorders>
                    <w:left w:val="single" w:color="auto" w:sz="2" w:space="0"/>
                    <w:bottom w:val="single" w:color="auto" w:sz="2" w:space="0"/>
                    <w:right w:val="single" w:color="auto" w:sz="2" w:space="0"/>
                  </w:tcBorders>
                  <w:vAlign w:val="center"/>
                </w:tcPr>
                <w:p>
                  <w:pPr>
                    <w:pStyle w:val="65"/>
                  </w:pPr>
                  <w:r>
                    <w:rPr>
                      <w:rFonts w:hint="eastAsia"/>
                    </w:rPr>
                    <w:t>环保措施</w:t>
                  </w:r>
                </w:p>
              </w:tc>
              <w:tc>
                <w:tcPr>
                  <w:tcW w:w="1440" w:type="dxa"/>
                  <w:gridSpan w:val="2"/>
                  <w:tcBorders>
                    <w:left w:val="single" w:color="auto" w:sz="2" w:space="0"/>
                    <w:bottom w:val="single" w:color="auto" w:sz="2" w:space="0"/>
                    <w:right w:val="single" w:color="auto" w:sz="2" w:space="0"/>
                  </w:tcBorders>
                  <w:vAlign w:val="center"/>
                </w:tcPr>
                <w:p>
                  <w:pPr>
                    <w:pStyle w:val="65"/>
                  </w:pPr>
                  <w:r>
                    <w:rPr>
                      <w:rFonts w:hint="eastAsia"/>
                    </w:rPr>
                    <w:t>要求</w:t>
                  </w:r>
                </w:p>
              </w:tc>
              <w:tc>
                <w:tcPr>
                  <w:tcW w:w="2814" w:type="dxa"/>
                  <w:tcBorders>
                    <w:left w:val="single" w:color="auto" w:sz="2" w:space="0"/>
                    <w:bottom w:val="single" w:color="auto" w:sz="2" w:space="0"/>
                  </w:tcBorders>
                  <w:vAlign w:val="center"/>
                </w:tcPr>
                <w:p>
                  <w:pPr>
                    <w:pStyle w:val="65"/>
                  </w:pPr>
                  <w:r>
                    <w:rPr>
                      <w:rFonts w:hint="eastAsia"/>
                    </w:rPr>
                    <w:t>验收效果及要求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top w:val="single" w:color="auto" w:sz="2" w:space="0"/>
                    <w:bottom w:val="single" w:color="auto" w:sz="2" w:space="0"/>
                    <w:right w:val="single" w:color="auto" w:sz="2" w:space="0"/>
                  </w:tcBorders>
                  <w:vAlign w:val="center"/>
                </w:tcPr>
                <w:p>
                  <w:pPr>
                    <w:pStyle w:val="65"/>
                    <w:rPr>
                      <w:b/>
                    </w:rPr>
                  </w:pPr>
                  <w:r>
                    <w:rPr>
                      <w:rFonts w:hint="eastAsia"/>
                      <w:b/>
                    </w:rPr>
                    <w:t>一</w:t>
                  </w:r>
                </w:p>
              </w:tc>
              <w:tc>
                <w:tcPr>
                  <w:tcW w:w="7699" w:type="dxa"/>
                  <w:gridSpan w:val="5"/>
                  <w:tcBorders>
                    <w:top w:val="single" w:color="auto" w:sz="2" w:space="0"/>
                    <w:left w:val="single" w:color="auto" w:sz="2" w:space="0"/>
                    <w:bottom w:val="single" w:color="auto" w:sz="2" w:space="0"/>
                  </w:tcBorders>
                  <w:vAlign w:val="center"/>
                </w:tcPr>
                <w:p>
                  <w:pPr>
                    <w:pStyle w:val="65"/>
                    <w:rPr>
                      <w:b/>
                    </w:rPr>
                  </w:pPr>
                  <w:r>
                    <w:rPr>
                      <w:rFonts w:hint="eastAsia"/>
                      <w:b/>
                    </w:rPr>
                    <w:t>废气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24" w:hRule="atLeast"/>
              </w:trPr>
              <w:tc>
                <w:tcPr>
                  <w:tcW w:w="607" w:type="dxa"/>
                  <w:tcBorders>
                    <w:bottom w:val="single" w:color="auto" w:sz="2" w:space="0"/>
                    <w:right w:val="single" w:color="auto" w:sz="2" w:space="0"/>
                  </w:tcBorders>
                  <w:vAlign w:val="center"/>
                </w:tcPr>
                <w:p>
                  <w:pPr>
                    <w:pStyle w:val="65"/>
                  </w:pPr>
                  <w:r>
                    <w:rPr>
                      <w:rFonts w:hint="eastAsia"/>
                    </w:rPr>
                    <w:t>1</w:t>
                  </w:r>
                </w:p>
              </w:tc>
              <w:tc>
                <w:tcPr>
                  <w:tcW w:w="2156" w:type="dxa"/>
                  <w:tcBorders>
                    <w:left w:val="single" w:color="auto" w:sz="2" w:space="0"/>
                    <w:bottom w:val="single" w:color="auto" w:sz="2" w:space="0"/>
                    <w:right w:val="single" w:color="auto" w:sz="2" w:space="0"/>
                  </w:tcBorders>
                  <w:vAlign w:val="center"/>
                </w:tcPr>
                <w:p>
                  <w:pPr>
                    <w:pStyle w:val="65"/>
                  </w:pPr>
                  <w:r>
                    <w:rPr>
                      <w:rFonts w:hint="eastAsia"/>
                    </w:rPr>
                    <w:t>塑料果蔬筐生产</w:t>
                  </w:r>
                </w:p>
              </w:tc>
              <w:tc>
                <w:tcPr>
                  <w:tcW w:w="2612" w:type="dxa"/>
                  <w:gridSpan w:val="2"/>
                  <w:tcBorders>
                    <w:top w:val="single" w:color="auto" w:sz="2" w:space="0"/>
                    <w:left w:val="single" w:color="auto" w:sz="2" w:space="0"/>
                    <w:bottom w:val="single" w:color="auto" w:sz="2" w:space="0"/>
                    <w:right w:val="single" w:color="auto" w:sz="2" w:space="0"/>
                  </w:tcBorders>
                  <w:vAlign w:val="center"/>
                </w:tcPr>
                <w:p>
                  <w:pPr>
                    <w:widowControl/>
                  </w:pPr>
                  <w:r>
                    <w:rPr>
                      <w:rFonts w:hint="eastAsia"/>
                    </w:rPr>
                    <w:t>集气罩+二级活性炭吸附+15m高排气筒，</w:t>
                  </w:r>
                  <w:r>
                    <w:rPr>
                      <w:rFonts w:hint="eastAsia" w:ascii="宋体" w:hAnsi="宋体" w:cs="宋体"/>
                      <w:szCs w:val="21"/>
                    </w:rPr>
                    <w:t>（风量为15000m</w:t>
                  </w:r>
                  <w:r>
                    <w:rPr>
                      <w:rFonts w:hint="eastAsia" w:ascii="宋体" w:hAnsi="宋体" w:cs="宋体"/>
                      <w:szCs w:val="21"/>
                      <w:vertAlign w:val="superscript"/>
                    </w:rPr>
                    <w:t>3</w:t>
                  </w:r>
                  <w:r>
                    <w:rPr>
                      <w:rFonts w:hint="eastAsia" w:ascii="宋体" w:hAnsi="宋体" w:cs="宋体"/>
                      <w:szCs w:val="21"/>
                    </w:rPr>
                    <w:t>/h，活性炭采碘值不宜低于800mg/g；距集气罩开口面最远处的VOCs无组织排放位置，控制风速均不低于0.3米/秒</w:t>
                  </w:r>
                </w:p>
              </w:tc>
              <w:tc>
                <w:tcPr>
                  <w:tcW w:w="2931" w:type="dxa"/>
                  <w:gridSpan w:val="2"/>
                  <w:tcBorders>
                    <w:left w:val="single" w:color="auto" w:sz="2" w:space="0"/>
                    <w:bottom w:val="single" w:color="auto" w:sz="2" w:space="0"/>
                  </w:tcBorders>
                  <w:vAlign w:val="center"/>
                </w:tcPr>
                <w:p>
                  <w:pPr>
                    <w:pStyle w:val="65"/>
                  </w:pPr>
                  <w:r>
                    <w:t>《</w:t>
                  </w:r>
                  <w:r>
                    <w:rPr>
                      <w:rFonts w:hint="eastAsia"/>
                    </w:rPr>
                    <w:t>合成树脂工业污染物排放标准</w:t>
                  </w:r>
                  <w:r>
                    <w:t>》（GB</w:t>
                  </w:r>
                  <w:r>
                    <w:rPr>
                      <w:rFonts w:hint="eastAsia"/>
                    </w:rPr>
                    <w:t>31572</w:t>
                  </w:r>
                  <w:r>
                    <w:t>-</w:t>
                  </w:r>
                  <w:r>
                    <w:rPr>
                      <w:rFonts w:hint="eastAsia"/>
                    </w:rPr>
                    <w:t>2015</w:t>
                  </w:r>
                  <w:r>
                    <w:t>）</w:t>
                  </w:r>
                  <w:r>
                    <w:rPr>
                      <w:rFonts w:hint="eastAsia"/>
                    </w:rPr>
                    <w:t>中表5大气污染物特别排放限值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24" w:hRule="atLeast"/>
              </w:trPr>
              <w:tc>
                <w:tcPr>
                  <w:tcW w:w="607" w:type="dxa"/>
                  <w:tcBorders>
                    <w:top w:val="single" w:color="auto" w:sz="2" w:space="0"/>
                    <w:bottom w:val="single" w:color="auto" w:sz="2" w:space="0"/>
                    <w:right w:val="single" w:color="auto" w:sz="2" w:space="0"/>
                  </w:tcBorders>
                  <w:vAlign w:val="center"/>
                </w:tcPr>
                <w:p>
                  <w:pPr>
                    <w:pStyle w:val="65"/>
                  </w:pPr>
                  <w:r>
                    <w:rPr>
                      <w:rFonts w:hint="eastAsia"/>
                    </w:rPr>
                    <w:t>5</w:t>
                  </w:r>
                </w:p>
              </w:tc>
              <w:tc>
                <w:tcPr>
                  <w:tcW w:w="2156" w:type="dxa"/>
                  <w:tcBorders>
                    <w:top w:val="single" w:color="auto" w:sz="2" w:space="0"/>
                    <w:left w:val="single" w:color="auto" w:sz="2" w:space="0"/>
                    <w:bottom w:val="single" w:color="auto" w:sz="2" w:space="0"/>
                    <w:right w:val="single" w:color="auto" w:sz="2" w:space="0"/>
                  </w:tcBorders>
                  <w:vAlign w:val="center"/>
                </w:tcPr>
                <w:p>
                  <w:pPr>
                    <w:pStyle w:val="65"/>
                  </w:pPr>
                  <w:r>
                    <w:rPr>
                      <w:rFonts w:hint="eastAsia"/>
                    </w:rPr>
                    <w:t>塑料果蔬筐生产车间</w:t>
                  </w:r>
                </w:p>
              </w:tc>
              <w:tc>
                <w:tcPr>
                  <w:tcW w:w="2612" w:type="dxa"/>
                  <w:gridSpan w:val="2"/>
                  <w:tcBorders>
                    <w:top w:val="single" w:color="auto" w:sz="2" w:space="0"/>
                    <w:left w:val="single" w:color="auto" w:sz="2" w:space="0"/>
                    <w:bottom w:val="single" w:color="auto" w:sz="2" w:space="0"/>
                    <w:right w:val="single" w:color="auto" w:sz="2" w:space="0"/>
                  </w:tcBorders>
                  <w:vAlign w:val="center"/>
                </w:tcPr>
                <w:p>
                  <w:pPr>
                    <w:pStyle w:val="65"/>
                  </w:pPr>
                  <w:r>
                    <w:rPr>
                      <w:rFonts w:hint="eastAsia"/>
                    </w:rPr>
                    <w:t>车间加强通风</w:t>
                  </w:r>
                </w:p>
              </w:tc>
              <w:tc>
                <w:tcPr>
                  <w:tcW w:w="2931" w:type="dxa"/>
                  <w:gridSpan w:val="2"/>
                  <w:tcBorders>
                    <w:top w:val="single" w:color="auto" w:sz="2" w:space="0"/>
                    <w:left w:val="single" w:color="auto" w:sz="2" w:space="0"/>
                    <w:bottom w:val="single" w:color="auto" w:sz="2" w:space="0"/>
                  </w:tcBorders>
                  <w:vAlign w:val="center"/>
                </w:tcPr>
                <w:p>
                  <w:pPr>
                    <w:pStyle w:val="65"/>
                  </w:pPr>
                  <w:r>
                    <w:rPr>
                      <w:rFonts w:hint="eastAsia"/>
                    </w:rPr>
                    <w:t>厂界废气执行</w:t>
                  </w:r>
                  <w:r>
                    <w:t>《</w:t>
                  </w:r>
                  <w:r>
                    <w:rPr>
                      <w:rFonts w:hint="eastAsia"/>
                    </w:rPr>
                    <w:t>合成树脂工业污染物排放标准</w:t>
                  </w:r>
                  <w:r>
                    <w:t>》（GB</w:t>
                  </w:r>
                  <w:r>
                    <w:rPr>
                      <w:rFonts w:hint="eastAsia"/>
                    </w:rPr>
                    <w:t>31572</w:t>
                  </w:r>
                  <w:r>
                    <w:t>-</w:t>
                  </w:r>
                  <w:r>
                    <w:rPr>
                      <w:rFonts w:hint="eastAsia"/>
                    </w:rPr>
                    <w:t>2015</w:t>
                  </w:r>
                  <w:r>
                    <w:t>）</w:t>
                  </w:r>
                  <w:r>
                    <w:rPr>
                      <w:rFonts w:hint="eastAsia"/>
                    </w:rPr>
                    <w:t>中表9企业边界大气污染物浓度限值</w:t>
                  </w:r>
                  <w:r>
                    <w:rPr>
                      <w:rFonts w:hint="eastAsia" w:hAnsi="宋体"/>
                    </w:rPr>
                    <w:t>；</w:t>
                  </w:r>
                  <w:r>
                    <w:rPr>
                      <w:rFonts w:hint="eastAsia"/>
                    </w:rPr>
                    <w:t>厂内执行《挥发性有机物无组织排放控制标准》（</w:t>
                  </w:r>
                  <w:r>
                    <w:t>GB37822-2019</w:t>
                  </w:r>
                  <w:r>
                    <w:rPr>
                      <w:rFonts w:hint="eastAsia"/>
                    </w:rPr>
                    <w:t>）厂区内</w:t>
                  </w:r>
                  <w:r>
                    <w:t>VOCs</w:t>
                  </w:r>
                  <w:r>
                    <w:rPr>
                      <w:rFonts w:hint="eastAsia"/>
                    </w:rPr>
                    <w:t>无组织特别排放限值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top w:val="single" w:color="auto" w:sz="2" w:space="0"/>
                    <w:bottom w:val="single" w:color="auto" w:sz="2" w:space="0"/>
                    <w:right w:val="single" w:color="auto" w:sz="2" w:space="0"/>
                  </w:tcBorders>
                  <w:vAlign w:val="center"/>
                </w:tcPr>
                <w:p>
                  <w:pPr>
                    <w:pStyle w:val="65"/>
                    <w:rPr>
                      <w:b/>
                    </w:rPr>
                  </w:pPr>
                  <w:r>
                    <w:rPr>
                      <w:rFonts w:hint="eastAsia"/>
                      <w:b/>
                    </w:rPr>
                    <w:t>二</w:t>
                  </w:r>
                </w:p>
              </w:tc>
              <w:tc>
                <w:tcPr>
                  <w:tcW w:w="7699" w:type="dxa"/>
                  <w:gridSpan w:val="5"/>
                  <w:tcBorders>
                    <w:top w:val="single" w:color="auto" w:sz="2" w:space="0"/>
                    <w:left w:val="single" w:color="auto" w:sz="2" w:space="0"/>
                    <w:bottom w:val="single" w:color="auto" w:sz="2" w:space="0"/>
                  </w:tcBorders>
                  <w:vAlign w:val="center"/>
                </w:tcPr>
                <w:p>
                  <w:pPr>
                    <w:pStyle w:val="65"/>
                    <w:rPr>
                      <w:b/>
                    </w:rPr>
                  </w:pPr>
                  <w:r>
                    <w:rPr>
                      <w:rFonts w:hint="eastAsia"/>
                      <w:b/>
                    </w:rPr>
                    <w:t>废水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bottom w:val="single" w:color="auto" w:sz="2" w:space="0"/>
                    <w:right w:val="single" w:color="auto" w:sz="2" w:space="0"/>
                  </w:tcBorders>
                  <w:vAlign w:val="center"/>
                </w:tcPr>
                <w:p>
                  <w:pPr>
                    <w:pStyle w:val="65"/>
                  </w:pPr>
                  <w:r>
                    <w:rPr>
                      <w:rFonts w:hint="eastAsia"/>
                    </w:rPr>
                    <w:t>3</w:t>
                  </w:r>
                </w:p>
              </w:tc>
              <w:tc>
                <w:tcPr>
                  <w:tcW w:w="2156" w:type="dxa"/>
                  <w:tcBorders>
                    <w:left w:val="single" w:color="auto" w:sz="2" w:space="0"/>
                    <w:bottom w:val="single" w:color="auto" w:sz="2" w:space="0"/>
                    <w:right w:val="single" w:color="auto" w:sz="2" w:space="0"/>
                  </w:tcBorders>
                  <w:vAlign w:val="center"/>
                </w:tcPr>
                <w:p>
                  <w:pPr>
                    <w:pStyle w:val="65"/>
                  </w:pPr>
                  <w:r>
                    <w:rPr>
                      <w:rFonts w:hint="eastAsia"/>
                    </w:rPr>
                    <w:t>塑料果蔬筐生产车间冷却水</w:t>
                  </w:r>
                </w:p>
              </w:tc>
              <w:tc>
                <w:tcPr>
                  <w:tcW w:w="2729" w:type="dxa"/>
                  <w:gridSpan w:val="3"/>
                  <w:tcBorders>
                    <w:left w:val="single" w:color="auto" w:sz="2" w:space="0"/>
                    <w:bottom w:val="single" w:color="auto" w:sz="2" w:space="0"/>
                    <w:right w:val="single" w:color="auto" w:sz="2" w:space="0"/>
                  </w:tcBorders>
                  <w:vAlign w:val="center"/>
                </w:tcPr>
                <w:p>
                  <w:pPr>
                    <w:pStyle w:val="65"/>
                  </w:pPr>
                  <w:r>
                    <w:rPr>
                      <w:rFonts w:hint="eastAsia"/>
                    </w:rPr>
                    <w:t>冷却水池</w:t>
                  </w:r>
                </w:p>
              </w:tc>
              <w:tc>
                <w:tcPr>
                  <w:tcW w:w="2814" w:type="dxa"/>
                  <w:tcBorders>
                    <w:left w:val="single" w:color="auto" w:sz="2" w:space="0"/>
                  </w:tcBorders>
                  <w:vAlign w:val="center"/>
                </w:tcPr>
                <w:p>
                  <w:pPr>
                    <w:pStyle w:val="65"/>
                  </w:pPr>
                  <w:r>
                    <w:rPr>
                      <w:rFonts w:hint="eastAsia"/>
                    </w:rPr>
                    <w:t>循环利用不外排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bottom w:val="single" w:color="auto" w:sz="2" w:space="0"/>
                    <w:right w:val="single" w:color="auto" w:sz="2" w:space="0"/>
                  </w:tcBorders>
                  <w:vAlign w:val="center"/>
                </w:tcPr>
                <w:p>
                  <w:pPr>
                    <w:pStyle w:val="65"/>
                  </w:pPr>
                  <w:r>
                    <w:rPr>
                      <w:rFonts w:hint="eastAsia"/>
                    </w:rPr>
                    <w:t>4</w:t>
                  </w:r>
                </w:p>
              </w:tc>
              <w:tc>
                <w:tcPr>
                  <w:tcW w:w="2156" w:type="dxa"/>
                  <w:tcBorders>
                    <w:left w:val="single" w:color="auto" w:sz="2" w:space="0"/>
                    <w:bottom w:val="single" w:color="auto" w:sz="2" w:space="0"/>
                    <w:right w:val="single" w:color="auto" w:sz="2" w:space="0"/>
                  </w:tcBorders>
                  <w:vAlign w:val="center"/>
                </w:tcPr>
                <w:p>
                  <w:pPr>
                    <w:pStyle w:val="65"/>
                  </w:pPr>
                  <w:r>
                    <w:rPr>
                      <w:rFonts w:hint="eastAsia"/>
                    </w:rPr>
                    <w:t>生活</w:t>
                  </w:r>
                  <w:r>
                    <w:t>污水</w:t>
                  </w:r>
                </w:p>
              </w:tc>
              <w:tc>
                <w:tcPr>
                  <w:tcW w:w="2729" w:type="dxa"/>
                  <w:gridSpan w:val="3"/>
                  <w:tcBorders>
                    <w:left w:val="single" w:color="auto" w:sz="2" w:space="0"/>
                    <w:bottom w:val="single" w:color="auto" w:sz="2" w:space="0"/>
                    <w:right w:val="single" w:color="auto" w:sz="2" w:space="0"/>
                  </w:tcBorders>
                  <w:vAlign w:val="center"/>
                </w:tcPr>
                <w:p>
                  <w:pPr>
                    <w:pStyle w:val="65"/>
                  </w:pPr>
                  <w:r>
                    <w:rPr>
                      <w:rFonts w:hint="eastAsia"/>
                    </w:rPr>
                    <w:t>排入下水管网</w:t>
                  </w:r>
                </w:p>
              </w:tc>
              <w:tc>
                <w:tcPr>
                  <w:tcW w:w="2814" w:type="dxa"/>
                  <w:tcBorders>
                    <w:left w:val="single" w:color="auto" w:sz="2" w:space="0"/>
                    <w:bottom w:val="single" w:color="auto" w:sz="2" w:space="0"/>
                  </w:tcBorders>
                  <w:vAlign w:val="center"/>
                </w:tcPr>
                <w:p>
                  <w:pPr>
                    <w:pStyle w:val="65"/>
                    <w:jc w:val="both"/>
                  </w:pPr>
                  <w:r>
                    <w:rPr>
                      <w:rFonts w:hint="eastAsia"/>
                    </w:rPr>
                    <w:t xml:space="preserve"> 排入下水管网后进入昌吉市污水处理厂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top w:val="single" w:color="auto" w:sz="2" w:space="0"/>
                    <w:bottom w:val="single" w:color="auto" w:sz="2" w:space="0"/>
                    <w:right w:val="single" w:color="auto" w:sz="2" w:space="0"/>
                  </w:tcBorders>
                  <w:vAlign w:val="center"/>
                </w:tcPr>
                <w:p>
                  <w:pPr>
                    <w:pStyle w:val="65"/>
                    <w:rPr>
                      <w:b/>
                    </w:rPr>
                  </w:pPr>
                  <w:r>
                    <w:rPr>
                      <w:rFonts w:hint="eastAsia"/>
                      <w:b/>
                    </w:rPr>
                    <w:t>三</w:t>
                  </w:r>
                </w:p>
              </w:tc>
              <w:tc>
                <w:tcPr>
                  <w:tcW w:w="7699" w:type="dxa"/>
                  <w:gridSpan w:val="5"/>
                  <w:tcBorders>
                    <w:top w:val="single" w:color="auto" w:sz="2" w:space="0"/>
                    <w:left w:val="single" w:color="auto" w:sz="2" w:space="0"/>
                    <w:bottom w:val="single" w:color="auto" w:sz="2" w:space="0"/>
                  </w:tcBorders>
                  <w:vAlign w:val="center"/>
                </w:tcPr>
                <w:p>
                  <w:pPr>
                    <w:pStyle w:val="65"/>
                    <w:rPr>
                      <w:b/>
                    </w:rPr>
                  </w:pPr>
                  <w:r>
                    <w:rPr>
                      <w:rFonts w:hint="eastAsia"/>
                      <w:b/>
                    </w:rPr>
                    <w:t>噪声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834" w:hRule="atLeast"/>
              </w:trPr>
              <w:tc>
                <w:tcPr>
                  <w:tcW w:w="607" w:type="dxa"/>
                  <w:tcBorders>
                    <w:top w:val="single" w:color="auto" w:sz="2" w:space="0"/>
                    <w:bottom w:val="single" w:color="auto" w:sz="2" w:space="0"/>
                    <w:right w:val="single" w:color="auto" w:sz="2" w:space="0"/>
                  </w:tcBorders>
                  <w:vAlign w:val="center"/>
                </w:tcPr>
                <w:p>
                  <w:pPr>
                    <w:pStyle w:val="65"/>
                  </w:pPr>
                  <w:r>
                    <w:t>1</w:t>
                  </w:r>
                </w:p>
              </w:tc>
              <w:tc>
                <w:tcPr>
                  <w:tcW w:w="2156" w:type="dxa"/>
                  <w:tcBorders>
                    <w:top w:val="single" w:color="auto" w:sz="2" w:space="0"/>
                    <w:left w:val="single" w:color="auto" w:sz="2" w:space="0"/>
                    <w:bottom w:val="single" w:color="auto" w:sz="2" w:space="0"/>
                    <w:right w:val="single" w:color="auto" w:sz="4" w:space="0"/>
                  </w:tcBorders>
                  <w:vAlign w:val="center"/>
                </w:tcPr>
                <w:p>
                  <w:pPr>
                    <w:pStyle w:val="65"/>
                  </w:pPr>
                  <w:r>
                    <w:rPr>
                      <w:rFonts w:hint="eastAsia"/>
                    </w:rPr>
                    <w:t>设备运行噪声</w:t>
                  </w:r>
                </w:p>
              </w:tc>
              <w:tc>
                <w:tcPr>
                  <w:tcW w:w="2729" w:type="dxa"/>
                  <w:gridSpan w:val="3"/>
                  <w:tcBorders>
                    <w:top w:val="single" w:color="auto" w:sz="2" w:space="0"/>
                    <w:left w:val="single" w:color="auto" w:sz="4" w:space="0"/>
                    <w:bottom w:val="single" w:color="auto" w:sz="2" w:space="0"/>
                    <w:right w:val="single" w:color="auto" w:sz="4" w:space="0"/>
                  </w:tcBorders>
                  <w:vAlign w:val="center"/>
                </w:tcPr>
                <w:p>
                  <w:pPr>
                    <w:pStyle w:val="65"/>
                  </w:pPr>
                  <w:r>
                    <w:rPr>
                      <w:rFonts w:hint="eastAsia"/>
                    </w:rPr>
                    <w:t>低噪声设备、基础减振、厂房隔音等措施</w:t>
                  </w:r>
                </w:p>
              </w:tc>
              <w:tc>
                <w:tcPr>
                  <w:tcW w:w="2814" w:type="dxa"/>
                  <w:tcBorders>
                    <w:top w:val="single" w:color="auto" w:sz="2" w:space="0"/>
                    <w:left w:val="single" w:color="auto" w:sz="4" w:space="0"/>
                    <w:bottom w:val="single" w:color="auto" w:sz="2" w:space="0"/>
                  </w:tcBorders>
                  <w:vAlign w:val="center"/>
                </w:tcPr>
                <w:p>
                  <w:pPr>
                    <w:pStyle w:val="65"/>
                  </w:pPr>
                  <w:r>
                    <w:rPr>
                      <w:rFonts w:hint="eastAsia"/>
                    </w:rPr>
                    <w:t>厂界噪声执行《工业企业厂界环境噪声排放标准》（</w:t>
                  </w:r>
                  <w:r>
                    <w:t>GB12348-2008</w:t>
                  </w:r>
                  <w:r>
                    <w:rPr>
                      <w:rFonts w:hint="eastAsia"/>
                    </w:rPr>
                    <w:t>）2类标准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top w:val="single" w:color="auto" w:sz="2" w:space="0"/>
                    <w:bottom w:val="single" w:color="auto" w:sz="2" w:space="0"/>
                    <w:right w:val="single" w:color="auto" w:sz="2" w:space="0"/>
                  </w:tcBorders>
                  <w:vAlign w:val="center"/>
                </w:tcPr>
                <w:p>
                  <w:pPr>
                    <w:pStyle w:val="65"/>
                    <w:rPr>
                      <w:b/>
                    </w:rPr>
                  </w:pPr>
                  <w:r>
                    <w:rPr>
                      <w:rFonts w:hint="eastAsia"/>
                      <w:b/>
                    </w:rPr>
                    <w:t>四</w:t>
                  </w:r>
                </w:p>
              </w:tc>
              <w:tc>
                <w:tcPr>
                  <w:tcW w:w="7699" w:type="dxa"/>
                  <w:gridSpan w:val="5"/>
                  <w:tcBorders>
                    <w:top w:val="single" w:color="auto" w:sz="2" w:space="0"/>
                    <w:left w:val="single" w:color="auto" w:sz="2" w:space="0"/>
                    <w:bottom w:val="single" w:color="auto" w:sz="2" w:space="0"/>
                  </w:tcBorders>
                  <w:vAlign w:val="center"/>
                </w:tcPr>
                <w:p>
                  <w:pPr>
                    <w:pStyle w:val="65"/>
                    <w:rPr>
                      <w:b/>
                    </w:rPr>
                  </w:pPr>
                  <w:r>
                    <w:rPr>
                      <w:rFonts w:hint="eastAsia"/>
                      <w:b/>
                    </w:rPr>
                    <w:t>固体废物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top w:val="single" w:color="auto" w:sz="2" w:space="0"/>
                    <w:bottom w:val="single" w:color="auto" w:sz="2" w:space="0"/>
                    <w:right w:val="single" w:color="auto" w:sz="2" w:space="0"/>
                  </w:tcBorders>
                  <w:vAlign w:val="center"/>
                </w:tcPr>
                <w:p>
                  <w:pPr>
                    <w:pStyle w:val="65"/>
                  </w:pPr>
                  <w:r>
                    <w:t>1</w:t>
                  </w:r>
                </w:p>
              </w:tc>
              <w:tc>
                <w:tcPr>
                  <w:tcW w:w="2156" w:type="dxa"/>
                  <w:tcBorders>
                    <w:top w:val="single" w:color="auto" w:sz="2" w:space="0"/>
                    <w:left w:val="single" w:color="auto" w:sz="2" w:space="0"/>
                    <w:bottom w:val="single" w:color="auto" w:sz="2" w:space="0"/>
                    <w:right w:val="single" w:color="auto" w:sz="4" w:space="0"/>
                  </w:tcBorders>
                  <w:vAlign w:val="center"/>
                </w:tcPr>
                <w:p>
                  <w:pPr>
                    <w:snapToGrid w:val="0"/>
                    <w:jc w:val="center"/>
                    <w:rPr>
                      <w:szCs w:val="21"/>
                    </w:rPr>
                  </w:pPr>
                  <w:r>
                    <w:rPr>
                      <w:rFonts w:hint="eastAsia" w:hAnsi="宋体"/>
                      <w:spacing w:val="-6"/>
                      <w:szCs w:val="21"/>
                    </w:rPr>
                    <w:t>不合格品</w:t>
                  </w:r>
                </w:p>
              </w:tc>
              <w:tc>
                <w:tcPr>
                  <w:tcW w:w="2729" w:type="dxa"/>
                  <w:gridSpan w:val="3"/>
                  <w:tcBorders>
                    <w:top w:val="single" w:color="auto" w:sz="2" w:space="0"/>
                    <w:left w:val="single" w:color="auto" w:sz="4" w:space="0"/>
                    <w:bottom w:val="single" w:color="auto" w:sz="2" w:space="0"/>
                    <w:right w:val="single" w:color="auto" w:sz="4" w:space="0"/>
                  </w:tcBorders>
                  <w:vAlign w:val="center"/>
                </w:tcPr>
                <w:p>
                  <w:pPr>
                    <w:pStyle w:val="59"/>
                    <w:widowControl w:val="0"/>
                    <w:overflowPunct w:val="0"/>
                    <w:adjustRightInd w:val="0"/>
                    <w:spacing w:line="240" w:lineRule="auto"/>
                    <w:textAlignment w:val="baseline"/>
                    <w:rPr>
                      <w:lang w:eastAsia="zh-CN"/>
                    </w:rPr>
                  </w:pPr>
                  <w:r>
                    <w:rPr>
                      <w:rFonts w:hint="eastAsia" w:hAnsi="宋体"/>
                      <w:spacing w:val="-6"/>
                      <w:lang w:eastAsia="zh-CN"/>
                    </w:rPr>
                    <w:t>收集后返回塑料果蔬筐生产工序利用</w:t>
                  </w:r>
                </w:p>
              </w:tc>
              <w:tc>
                <w:tcPr>
                  <w:tcW w:w="2814" w:type="dxa"/>
                  <w:vMerge w:val="restart"/>
                  <w:tcBorders>
                    <w:top w:val="single" w:color="auto" w:sz="2" w:space="0"/>
                    <w:left w:val="single" w:color="auto" w:sz="4" w:space="0"/>
                  </w:tcBorders>
                  <w:vAlign w:val="center"/>
                </w:tcPr>
                <w:p>
                  <w:pPr>
                    <w:pStyle w:val="65"/>
                  </w:pPr>
                  <w:r>
                    <w:rPr>
                      <w:rFonts w:hint="eastAsia"/>
                    </w:rPr>
                    <w:t>处置率100%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top w:val="single" w:color="auto" w:sz="2" w:space="0"/>
                    <w:bottom w:val="single" w:color="auto" w:sz="2" w:space="0"/>
                    <w:right w:val="single" w:color="auto" w:sz="2" w:space="0"/>
                  </w:tcBorders>
                  <w:vAlign w:val="center"/>
                </w:tcPr>
                <w:p>
                  <w:pPr>
                    <w:pStyle w:val="65"/>
                  </w:pPr>
                  <w:r>
                    <w:t>2</w:t>
                  </w:r>
                </w:p>
              </w:tc>
              <w:tc>
                <w:tcPr>
                  <w:tcW w:w="2156" w:type="dxa"/>
                  <w:tcBorders>
                    <w:top w:val="single" w:color="auto" w:sz="2" w:space="0"/>
                    <w:left w:val="single" w:color="auto" w:sz="2" w:space="0"/>
                    <w:bottom w:val="single" w:color="auto" w:sz="2" w:space="0"/>
                    <w:right w:val="single" w:color="auto" w:sz="4" w:space="0"/>
                  </w:tcBorders>
                  <w:vAlign w:val="center"/>
                </w:tcPr>
                <w:p>
                  <w:pPr>
                    <w:snapToGrid w:val="0"/>
                    <w:jc w:val="center"/>
                    <w:rPr>
                      <w:szCs w:val="21"/>
                    </w:rPr>
                  </w:pPr>
                  <w:r>
                    <w:rPr>
                      <w:rFonts w:hint="eastAsia" w:hAnsi="宋体"/>
                      <w:spacing w:val="-6"/>
                      <w:szCs w:val="21"/>
                    </w:rPr>
                    <w:t>废活性炭(HW49-900-039-49)</w:t>
                  </w:r>
                </w:p>
              </w:tc>
              <w:tc>
                <w:tcPr>
                  <w:tcW w:w="2729" w:type="dxa"/>
                  <w:gridSpan w:val="3"/>
                  <w:vMerge w:val="restart"/>
                  <w:tcBorders>
                    <w:top w:val="single" w:color="auto" w:sz="2" w:space="0"/>
                    <w:left w:val="single" w:color="auto" w:sz="4" w:space="0"/>
                    <w:right w:val="single" w:color="auto" w:sz="4" w:space="0"/>
                  </w:tcBorders>
                  <w:vAlign w:val="center"/>
                </w:tcPr>
                <w:p>
                  <w:pPr>
                    <w:snapToGrid w:val="0"/>
                    <w:jc w:val="center"/>
                    <w:rPr>
                      <w:rFonts w:cs="宋体"/>
                      <w:szCs w:val="21"/>
                    </w:rPr>
                  </w:pPr>
                  <w:r>
                    <w:rPr>
                      <w:rFonts w:hint="eastAsia"/>
                      <w:spacing w:val="-6"/>
                      <w:szCs w:val="21"/>
                    </w:rPr>
                    <w:t>经危险废物暂存间收集后由有资质的单位清运处置</w:t>
                  </w:r>
                </w:p>
              </w:tc>
              <w:tc>
                <w:tcPr>
                  <w:tcW w:w="2814" w:type="dxa"/>
                  <w:vMerge w:val="continue"/>
                  <w:tcBorders>
                    <w:left w:val="single" w:color="auto" w:sz="4" w:space="0"/>
                  </w:tcBorders>
                  <w:vAlign w:val="center"/>
                </w:tcPr>
                <w:p>
                  <w:pPr>
                    <w:pStyle w:val="65"/>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top w:val="single" w:color="auto" w:sz="2" w:space="0"/>
                    <w:bottom w:val="single" w:color="auto" w:sz="2" w:space="0"/>
                    <w:right w:val="single" w:color="auto" w:sz="2" w:space="0"/>
                  </w:tcBorders>
                  <w:vAlign w:val="center"/>
                </w:tcPr>
                <w:p>
                  <w:pPr>
                    <w:pStyle w:val="65"/>
                  </w:pPr>
                  <w:r>
                    <w:rPr>
                      <w:rFonts w:hint="eastAsia"/>
                    </w:rPr>
                    <w:t>4</w:t>
                  </w:r>
                </w:p>
              </w:tc>
              <w:tc>
                <w:tcPr>
                  <w:tcW w:w="2156" w:type="dxa"/>
                  <w:tcBorders>
                    <w:top w:val="single" w:color="auto" w:sz="2" w:space="0"/>
                    <w:left w:val="single" w:color="auto" w:sz="2" w:space="0"/>
                    <w:bottom w:val="single" w:color="auto" w:sz="2" w:space="0"/>
                    <w:right w:val="single" w:color="auto" w:sz="4" w:space="0"/>
                  </w:tcBorders>
                  <w:vAlign w:val="center"/>
                </w:tcPr>
                <w:p>
                  <w:pPr>
                    <w:snapToGrid w:val="0"/>
                    <w:jc w:val="center"/>
                    <w:rPr>
                      <w:spacing w:val="-6"/>
                      <w:szCs w:val="21"/>
                    </w:rPr>
                  </w:pPr>
                  <w:r>
                    <w:rPr>
                      <w:rFonts w:hint="eastAsia"/>
                      <w:spacing w:val="-6"/>
                      <w:szCs w:val="21"/>
                    </w:rPr>
                    <w:t>废润滑油</w:t>
                  </w:r>
                </w:p>
                <w:p>
                  <w:pPr>
                    <w:snapToGrid w:val="0"/>
                    <w:jc w:val="center"/>
                    <w:rPr>
                      <w:szCs w:val="21"/>
                    </w:rPr>
                  </w:pPr>
                  <w:r>
                    <w:rPr>
                      <w:rFonts w:hint="eastAsia"/>
                      <w:szCs w:val="21"/>
                    </w:rPr>
                    <w:t>（</w:t>
                  </w:r>
                  <w:r>
                    <w:rPr>
                      <w:rFonts w:hint="eastAsia"/>
                      <w:spacing w:val="-6"/>
                      <w:szCs w:val="21"/>
                    </w:rPr>
                    <w:t>HW08-900-249-08</w:t>
                  </w:r>
                  <w:r>
                    <w:rPr>
                      <w:rFonts w:hint="eastAsia"/>
                      <w:szCs w:val="21"/>
                    </w:rPr>
                    <w:t>）</w:t>
                  </w:r>
                </w:p>
              </w:tc>
              <w:tc>
                <w:tcPr>
                  <w:tcW w:w="2729" w:type="dxa"/>
                  <w:gridSpan w:val="3"/>
                  <w:vMerge w:val="continue"/>
                  <w:tcBorders>
                    <w:left w:val="single" w:color="auto" w:sz="4" w:space="0"/>
                    <w:right w:val="single" w:color="auto" w:sz="4" w:space="0"/>
                  </w:tcBorders>
                  <w:vAlign w:val="center"/>
                </w:tcPr>
                <w:p>
                  <w:pPr>
                    <w:snapToGrid w:val="0"/>
                    <w:jc w:val="center"/>
                    <w:rPr>
                      <w:rFonts w:cs="宋体"/>
                      <w:szCs w:val="21"/>
                    </w:rPr>
                  </w:pPr>
                </w:p>
              </w:tc>
              <w:tc>
                <w:tcPr>
                  <w:tcW w:w="2814" w:type="dxa"/>
                  <w:vMerge w:val="continue"/>
                  <w:tcBorders>
                    <w:left w:val="single" w:color="auto" w:sz="4" w:space="0"/>
                  </w:tcBorders>
                  <w:vAlign w:val="center"/>
                </w:tcPr>
                <w:p>
                  <w:pPr>
                    <w:pStyle w:val="65"/>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607" w:type="dxa"/>
                  <w:tcBorders>
                    <w:top w:val="single" w:color="auto" w:sz="2" w:space="0"/>
                    <w:right w:val="single" w:color="auto" w:sz="2" w:space="0"/>
                  </w:tcBorders>
                  <w:vAlign w:val="center"/>
                </w:tcPr>
                <w:p>
                  <w:pPr>
                    <w:pStyle w:val="65"/>
                  </w:pPr>
                  <w:r>
                    <w:rPr>
                      <w:rFonts w:hint="eastAsia"/>
                    </w:rPr>
                    <w:t>5</w:t>
                  </w:r>
                </w:p>
              </w:tc>
              <w:tc>
                <w:tcPr>
                  <w:tcW w:w="2156" w:type="dxa"/>
                  <w:tcBorders>
                    <w:top w:val="single" w:color="auto" w:sz="2" w:space="0"/>
                    <w:left w:val="single" w:color="auto" w:sz="2" w:space="0"/>
                    <w:right w:val="single" w:color="auto" w:sz="4" w:space="0"/>
                  </w:tcBorders>
                  <w:vAlign w:val="center"/>
                </w:tcPr>
                <w:p>
                  <w:pPr>
                    <w:pStyle w:val="65"/>
                  </w:pPr>
                  <w:r>
                    <w:rPr>
                      <w:rFonts w:hint="eastAsia"/>
                    </w:rPr>
                    <w:t>生活垃圾</w:t>
                  </w:r>
                </w:p>
              </w:tc>
              <w:tc>
                <w:tcPr>
                  <w:tcW w:w="2729" w:type="dxa"/>
                  <w:gridSpan w:val="3"/>
                  <w:tcBorders>
                    <w:top w:val="single" w:color="auto" w:sz="2" w:space="0"/>
                    <w:left w:val="single" w:color="auto" w:sz="4" w:space="0"/>
                    <w:right w:val="single" w:color="auto" w:sz="4" w:space="0"/>
                  </w:tcBorders>
                  <w:vAlign w:val="center"/>
                </w:tcPr>
                <w:p>
                  <w:pPr>
                    <w:pStyle w:val="65"/>
                  </w:pPr>
                  <w:r>
                    <w:rPr>
                      <w:rFonts w:hint="eastAsia" w:cs="宋体"/>
                    </w:rPr>
                    <w:t>依托厂区现有垃圾</w:t>
                  </w:r>
                  <w:r>
                    <w:rPr>
                      <w:rFonts w:cs="宋体"/>
                    </w:rPr>
                    <w:t>桶</w:t>
                  </w:r>
                  <w:r>
                    <w:rPr>
                      <w:rFonts w:hint="eastAsia" w:cs="宋体"/>
                    </w:rPr>
                    <w:t>，</w:t>
                  </w:r>
                  <w:r>
                    <w:rPr>
                      <w:rFonts w:cs="宋体"/>
                    </w:rPr>
                    <w:t>生活垃圾经集中收集后</w:t>
                  </w:r>
                  <w:r>
                    <w:rPr>
                      <w:rFonts w:hint="eastAsia" w:cs="宋体"/>
                    </w:rPr>
                    <w:t>，</w:t>
                  </w:r>
                  <w:r>
                    <w:rPr>
                      <w:rFonts w:cs="宋体"/>
                    </w:rPr>
                    <w:t>定期</w:t>
                  </w:r>
                  <w:r>
                    <w:rPr>
                      <w:rFonts w:hint="eastAsia" w:cs="宋体"/>
                    </w:rPr>
                    <w:t>拉运至</w:t>
                  </w:r>
                  <w:r>
                    <w:rPr>
                      <w:rFonts w:cs="宋体"/>
                    </w:rPr>
                    <w:t>垃圾</w:t>
                  </w:r>
                  <w:r>
                    <w:rPr>
                      <w:rFonts w:hint="eastAsia" w:cs="宋体"/>
                    </w:rPr>
                    <w:t>填埋场处理。</w:t>
                  </w:r>
                </w:p>
              </w:tc>
              <w:tc>
                <w:tcPr>
                  <w:tcW w:w="2814" w:type="dxa"/>
                  <w:vMerge w:val="continue"/>
                  <w:tcBorders>
                    <w:left w:val="single" w:color="auto" w:sz="4" w:space="0"/>
                  </w:tcBorders>
                  <w:vAlign w:val="center"/>
                </w:tcPr>
                <w:p>
                  <w:pPr>
                    <w:pStyle w:val="65"/>
                  </w:pPr>
                </w:p>
              </w:tc>
            </w:tr>
          </w:tbl>
          <w:p>
            <w:pPr>
              <w:tabs>
                <w:tab w:val="center" w:pos="4736"/>
              </w:tabs>
              <w:spacing w:line="480" w:lineRule="exact"/>
              <w:ind w:firstLine="480" w:firstLineChars="200"/>
              <w:rPr>
                <w:bCs/>
                <w:sz w:val="24"/>
              </w:rPr>
            </w:pPr>
          </w:p>
          <w:p>
            <w:pPr>
              <w:tabs>
                <w:tab w:val="center" w:pos="4736"/>
              </w:tabs>
              <w:spacing w:line="480" w:lineRule="exact"/>
              <w:ind w:firstLine="380" w:firstLineChars="200"/>
              <w:rPr>
                <w:bCs/>
                <w:spacing w:val="-10"/>
                <w:szCs w:val="21"/>
              </w:rPr>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2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4" w:name="_Hlk54167917"/>
      <w:r>
        <w:rPr>
          <w:rFonts w:ascii="Times New Roman" w:hAnsi="Times New Roman" w:eastAsia="黑体"/>
          <w:snapToGrid w:val="0"/>
          <w:sz w:val="30"/>
          <w:szCs w:val="30"/>
        </w:rPr>
        <w:t>环境保护措施监督检查清单</w:t>
      </w:r>
      <w:bookmarkEnd w:id="4"/>
    </w:p>
    <w:tbl>
      <w:tblPr>
        <w:tblStyle w:val="25"/>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559"/>
        <w:gridCol w:w="850"/>
        <w:gridCol w:w="2694"/>
        <w:gridCol w:w="27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71" w:type="dxa"/>
            <w:tcBorders>
              <w:tl2br w:val="single" w:color="auto" w:sz="4" w:space="0"/>
            </w:tcBorders>
          </w:tcPr>
          <w:p>
            <w:pPr>
              <w:adjustRightInd w:val="0"/>
              <w:snapToGrid w:val="0"/>
              <w:rPr>
                <w:szCs w:val="21"/>
              </w:rPr>
            </w:pPr>
            <w:r>
              <w:rPr>
                <w:szCs w:val="21"/>
              </w:rPr>
              <w:t xml:space="preserve">  内容</w:t>
            </w:r>
          </w:p>
          <w:p>
            <w:pPr>
              <w:adjustRightInd w:val="0"/>
              <w:snapToGrid w:val="0"/>
              <w:rPr>
                <w:szCs w:val="21"/>
              </w:rPr>
            </w:pPr>
            <w:r>
              <w:rPr>
                <w:szCs w:val="21"/>
              </w:rPr>
              <w:t>要素</w:t>
            </w:r>
          </w:p>
        </w:tc>
        <w:tc>
          <w:tcPr>
            <w:tcW w:w="1559" w:type="dxa"/>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850" w:type="dxa"/>
            <w:vAlign w:val="center"/>
          </w:tcPr>
          <w:p>
            <w:pPr>
              <w:adjustRightInd w:val="0"/>
              <w:snapToGrid w:val="0"/>
              <w:jc w:val="center"/>
              <w:rPr>
                <w:szCs w:val="21"/>
              </w:rPr>
            </w:pPr>
            <w:r>
              <w:rPr>
                <w:szCs w:val="21"/>
              </w:rPr>
              <w:t>污染物项目</w:t>
            </w:r>
          </w:p>
        </w:tc>
        <w:tc>
          <w:tcPr>
            <w:tcW w:w="2694" w:type="dxa"/>
            <w:vAlign w:val="center"/>
          </w:tcPr>
          <w:p>
            <w:pPr>
              <w:adjustRightInd w:val="0"/>
              <w:snapToGrid w:val="0"/>
              <w:jc w:val="center"/>
              <w:rPr>
                <w:szCs w:val="21"/>
              </w:rPr>
            </w:pPr>
            <w:r>
              <w:rPr>
                <w:szCs w:val="21"/>
              </w:rPr>
              <w:t>环境保护措施</w:t>
            </w:r>
          </w:p>
        </w:tc>
        <w:tc>
          <w:tcPr>
            <w:tcW w:w="2726"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71" w:type="dxa"/>
            <w:vMerge w:val="restart"/>
            <w:vAlign w:val="center"/>
          </w:tcPr>
          <w:p>
            <w:pPr>
              <w:adjustRightInd w:val="0"/>
              <w:snapToGrid w:val="0"/>
              <w:jc w:val="center"/>
              <w:rPr>
                <w:szCs w:val="21"/>
              </w:rPr>
            </w:pPr>
            <w:r>
              <w:rPr>
                <w:szCs w:val="21"/>
              </w:rPr>
              <w:t>大气环境</w:t>
            </w:r>
          </w:p>
        </w:tc>
        <w:tc>
          <w:tcPr>
            <w:tcW w:w="1559" w:type="dxa"/>
            <w:vAlign w:val="center"/>
          </w:tcPr>
          <w:p>
            <w:pPr>
              <w:adjustRightInd w:val="0"/>
              <w:snapToGrid w:val="0"/>
              <w:jc w:val="center"/>
              <w:rPr>
                <w:rFonts w:hint="eastAsia" w:eastAsia="宋体"/>
                <w:szCs w:val="21"/>
                <w:lang w:eastAsia="zh-CN"/>
              </w:rPr>
            </w:pPr>
            <w:r>
              <w:rPr>
                <w:rFonts w:hint="eastAsia"/>
                <w:bCs/>
                <w:szCs w:val="21"/>
              </w:rPr>
              <w:t>排气筒</w:t>
            </w:r>
            <w:r>
              <w:rPr>
                <w:rFonts w:hint="eastAsia"/>
                <w:bCs/>
                <w:szCs w:val="21"/>
                <w:lang w:eastAsia="zh-CN"/>
              </w:rPr>
              <w:t>DA001</w:t>
            </w:r>
          </w:p>
        </w:tc>
        <w:tc>
          <w:tcPr>
            <w:tcW w:w="850" w:type="dxa"/>
            <w:vAlign w:val="center"/>
          </w:tcPr>
          <w:p>
            <w:pPr>
              <w:adjustRightInd w:val="0"/>
              <w:snapToGrid w:val="0"/>
              <w:jc w:val="center"/>
              <w:rPr>
                <w:szCs w:val="21"/>
              </w:rPr>
            </w:pPr>
            <w:r>
              <w:rPr>
                <w:rFonts w:hint="eastAsia"/>
                <w:szCs w:val="21"/>
              </w:rPr>
              <w:t>非甲烷总烃</w:t>
            </w:r>
          </w:p>
        </w:tc>
        <w:tc>
          <w:tcPr>
            <w:tcW w:w="2694" w:type="dxa"/>
            <w:vAlign w:val="center"/>
          </w:tcPr>
          <w:p>
            <w:pPr>
              <w:jc w:val="center"/>
              <w:rPr>
                <w:rFonts w:eastAsiaTheme="minorEastAsia"/>
                <w:kern w:val="0"/>
                <w:szCs w:val="21"/>
              </w:rPr>
            </w:pPr>
            <w:r>
              <w:rPr>
                <w:rFonts w:hint="eastAsia" w:eastAsiaTheme="minorEastAsia"/>
                <w:kern w:val="0"/>
                <w:szCs w:val="21"/>
              </w:rPr>
              <w:t>集气罩+二级活性炭吸附装置+15m高排气筒</w:t>
            </w:r>
          </w:p>
        </w:tc>
        <w:tc>
          <w:tcPr>
            <w:tcW w:w="2726" w:type="dxa"/>
            <w:vAlign w:val="center"/>
          </w:tcPr>
          <w:p>
            <w:pPr>
              <w:jc w:val="center"/>
              <w:rPr>
                <w:bCs/>
                <w:szCs w:val="21"/>
              </w:rPr>
            </w:pPr>
            <w:r>
              <w:rPr>
                <w:bCs/>
                <w:szCs w:val="21"/>
              </w:rPr>
              <w:t>《</w:t>
            </w:r>
            <w:r>
              <w:rPr>
                <w:rFonts w:hint="eastAsia"/>
                <w:bCs/>
                <w:szCs w:val="21"/>
              </w:rPr>
              <w:t>合成树脂工业污染物排放标准</w:t>
            </w:r>
            <w:r>
              <w:rPr>
                <w:bCs/>
                <w:szCs w:val="21"/>
              </w:rPr>
              <w:t>》（GB</w:t>
            </w:r>
            <w:r>
              <w:rPr>
                <w:rFonts w:hint="eastAsia"/>
                <w:bCs/>
                <w:szCs w:val="21"/>
              </w:rPr>
              <w:t>31572</w:t>
            </w:r>
            <w:r>
              <w:rPr>
                <w:bCs/>
                <w:szCs w:val="21"/>
              </w:rPr>
              <w:t>-</w:t>
            </w:r>
            <w:r>
              <w:rPr>
                <w:rFonts w:hint="eastAsia"/>
                <w:bCs/>
                <w:szCs w:val="21"/>
              </w:rPr>
              <w:t>2015</w:t>
            </w:r>
            <w:r>
              <w:rPr>
                <w:bCs/>
                <w:szCs w:val="21"/>
              </w:rPr>
              <w:t>）</w:t>
            </w:r>
            <w:r>
              <w:rPr>
                <w:rFonts w:hint="eastAsia"/>
                <w:bCs/>
                <w:szCs w:val="21"/>
              </w:rPr>
              <w:t>中表5大气污染物特别排放限值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52" w:hRule="atLeast"/>
          <w:jc w:val="center"/>
        </w:trPr>
        <w:tc>
          <w:tcPr>
            <w:tcW w:w="971" w:type="dxa"/>
            <w:vMerge w:val="continue"/>
            <w:vAlign w:val="center"/>
          </w:tcPr>
          <w:p>
            <w:pPr>
              <w:adjustRightInd w:val="0"/>
              <w:snapToGrid w:val="0"/>
              <w:jc w:val="center"/>
              <w:rPr>
                <w:szCs w:val="21"/>
              </w:rPr>
            </w:pPr>
          </w:p>
        </w:tc>
        <w:tc>
          <w:tcPr>
            <w:tcW w:w="1559" w:type="dxa"/>
            <w:vMerge w:val="restart"/>
            <w:vAlign w:val="center"/>
          </w:tcPr>
          <w:p>
            <w:pPr>
              <w:adjustRightInd w:val="0"/>
              <w:snapToGrid w:val="0"/>
              <w:jc w:val="center"/>
              <w:rPr>
                <w:bCs/>
                <w:szCs w:val="21"/>
              </w:rPr>
            </w:pPr>
            <w:r>
              <w:rPr>
                <w:rFonts w:hint="eastAsia"/>
                <w:bCs/>
                <w:szCs w:val="21"/>
              </w:rPr>
              <w:t>塑料果蔬筐生产车间</w:t>
            </w:r>
          </w:p>
        </w:tc>
        <w:tc>
          <w:tcPr>
            <w:tcW w:w="850" w:type="dxa"/>
            <w:vAlign w:val="center"/>
          </w:tcPr>
          <w:p>
            <w:pPr>
              <w:adjustRightInd w:val="0"/>
              <w:snapToGrid w:val="0"/>
              <w:jc w:val="center"/>
              <w:rPr>
                <w:szCs w:val="21"/>
              </w:rPr>
            </w:pPr>
            <w:r>
              <w:rPr>
                <w:rFonts w:hint="eastAsia"/>
                <w:szCs w:val="21"/>
              </w:rPr>
              <w:t>非甲烷总烃</w:t>
            </w:r>
          </w:p>
        </w:tc>
        <w:tc>
          <w:tcPr>
            <w:tcW w:w="2694" w:type="dxa"/>
            <w:vAlign w:val="center"/>
          </w:tcPr>
          <w:p>
            <w:pPr>
              <w:jc w:val="center"/>
              <w:rPr>
                <w:rFonts w:eastAsiaTheme="minorEastAsia"/>
                <w:kern w:val="0"/>
                <w:szCs w:val="21"/>
              </w:rPr>
            </w:pPr>
            <w:r>
              <w:rPr>
                <w:rFonts w:hint="eastAsia" w:eastAsiaTheme="minorEastAsia"/>
                <w:kern w:val="0"/>
                <w:szCs w:val="21"/>
              </w:rPr>
              <w:t>加强车间通风</w:t>
            </w:r>
          </w:p>
        </w:tc>
        <w:tc>
          <w:tcPr>
            <w:tcW w:w="2726" w:type="dxa"/>
            <w:vMerge w:val="restart"/>
            <w:vAlign w:val="center"/>
          </w:tcPr>
          <w:p>
            <w:pPr>
              <w:jc w:val="center"/>
              <w:rPr>
                <w:bCs/>
                <w:szCs w:val="21"/>
              </w:rPr>
            </w:pPr>
            <w:r>
              <w:rPr>
                <w:rFonts w:hint="eastAsia"/>
                <w:bCs/>
                <w:szCs w:val="21"/>
              </w:rPr>
              <w:t>厂界废气执行</w:t>
            </w:r>
            <w:r>
              <w:rPr>
                <w:bCs/>
                <w:szCs w:val="21"/>
              </w:rPr>
              <w:t>《</w:t>
            </w:r>
            <w:r>
              <w:rPr>
                <w:rFonts w:hint="eastAsia"/>
                <w:bCs/>
                <w:szCs w:val="21"/>
              </w:rPr>
              <w:t>合成树脂工业污染物排放标准</w:t>
            </w:r>
            <w:r>
              <w:rPr>
                <w:bCs/>
                <w:szCs w:val="21"/>
              </w:rPr>
              <w:t>》（GB</w:t>
            </w:r>
            <w:r>
              <w:rPr>
                <w:rFonts w:hint="eastAsia"/>
                <w:bCs/>
                <w:szCs w:val="21"/>
              </w:rPr>
              <w:t>31572</w:t>
            </w:r>
            <w:r>
              <w:rPr>
                <w:bCs/>
                <w:szCs w:val="21"/>
              </w:rPr>
              <w:t>-</w:t>
            </w:r>
            <w:r>
              <w:rPr>
                <w:rFonts w:hint="eastAsia"/>
                <w:bCs/>
                <w:szCs w:val="21"/>
              </w:rPr>
              <w:t>2015</w:t>
            </w:r>
            <w:r>
              <w:rPr>
                <w:bCs/>
                <w:szCs w:val="21"/>
              </w:rPr>
              <w:t>）</w:t>
            </w:r>
            <w:r>
              <w:rPr>
                <w:rFonts w:hint="eastAsia"/>
                <w:bCs/>
                <w:szCs w:val="21"/>
              </w:rPr>
              <w:t>中表9企业边界大气污染物浓度限值；厂内执行《挥发性有机物无组织排放控制标准》（</w:t>
            </w:r>
            <w:r>
              <w:rPr>
                <w:bCs/>
                <w:szCs w:val="21"/>
              </w:rPr>
              <w:t>GB37822-2019</w:t>
            </w:r>
            <w:r>
              <w:rPr>
                <w:rFonts w:hint="eastAsia"/>
                <w:bCs/>
                <w:szCs w:val="21"/>
              </w:rPr>
              <w:t>）厂区内</w:t>
            </w:r>
            <w:r>
              <w:rPr>
                <w:bCs/>
                <w:szCs w:val="21"/>
              </w:rPr>
              <w:t>VOCs</w:t>
            </w:r>
            <w:r>
              <w:rPr>
                <w:rFonts w:hint="eastAsia"/>
                <w:bCs/>
                <w:szCs w:val="21"/>
              </w:rPr>
              <w:t>无组织特别排放限值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71" w:type="dxa"/>
            <w:vMerge w:val="continue"/>
            <w:vAlign w:val="center"/>
          </w:tcPr>
          <w:p>
            <w:pPr>
              <w:adjustRightInd w:val="0"/>
              <w:snapToGrid w:val="0"/>
              <w:jc w:val="center"/>
              <w:rPr>
                <w:szCs w:val="21"/>
              </w:rPr>
            </w:pPr>
          </w:p>
        </w:tc>
        <w:tc>
          <w:tcPr>
            <w:tcW w:w="1559" w:type="dxa"/>
            <w:vMerge w:val="continue"/>
            <w:vAlign w:val="center"/>
          </w:tcPr>
          <w:p>
            <w:pPr>
              <w:adjustRightInd w:val="0"/>
              <w:snapToGrid w:val="0"/>
              <w:jc w:val="center"/>
              <w:rPr>
                <w:bCs/>
                <w:szCs w:val="21"/>
              </w:rPr>
            </w:pPr>
          </w:p>
        </w:tc>
        <w:tc>
          <w:tcPr>
            <w:tcW w:w="850" w:type="dxa"/>
            <w:vAlign w:val="center"/>
          </w:tcPr>
          <w:p>
            <w:pPr>
              <w:adjustRightInd w:val="0"/>
              <w:snapToGrid w:val="0"/>
              <w:jc w:val="center"/>
              <w:rPr>
                <w:szCs w:val="21"/>
              </w:rPr>
            </w:pPr>
            <w:r>
              <w:rPr>
                <w:rFonts w:hint="eastAsia"/>
                <w:szCs w:val="21"/>
              </w:rPr>
              <w:t>颗粒物</w:t>
            </w:r>
          </w:p>
        </w:tc>
        <w:tc>
          <w:tcPr>
            <w:tcW w:w="2694" w:type="dxa"/>
            <w:vAlign w:val="center"/>
          </w:tcPr>
          <w:p>
            <w:pPr>
              <w:jc w:val="center"/>
              <w:rPr>
                <w:rFonts w:eastAsiaTheme="minorEastAsia"/>
                <w:kern w:val="0"/>
                <w:szCs w:val="21"/>
              </w:rPr>
            </w:pPr>
            <w:r>
              <w:rPr>
                <w:rFonts w:hint="eastAsia" w:eastAsiaTheme="minorEastAsia"/>
                <w:kern w:val="0"/>
                <w:szCs w:val="21"/>
              </w:rPr>
              <w:t>加强车间通风</w:t>
            </w:r>
          </w:p>
        </w:tc>
        <w:tc>
          <w:tcPr>
            <w:tcW w:w="2726" w:type="dxa"/>
            <w:vMerge w:val="continue"/>
            <w:vAlign w:val="center"/>
          </w:tcPr>
          <w:p>
            <w:pPr>
              <w:jc w:val="center"/>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71" w:type="dxa"/>
            <w:vMerge w:val="restart"/>
            <w:vAlign w:val="center"/>
          </w:tcPr>
          <w:p>
            <w:pPr>
              <w:adjustRightInd w:val="0"/>
              <w:snapToGrid w:val="0"/>
              <w:jc w:val="center"/>
              <w:rPr>
                <w:szCs w:val="21"/>
              </w:rPr>
            </w:pPr>
            <w:r>
              <w:rPr>
                <w:szCs w:val="21"/>
              </w:rPr>
              <w:t>地表水环境</w:t>
            </w:r>
          </w:p>
        </w:tc>
        <w:tc>
          <w:tcPr>
            <w:tcW w:w="1559" w:type="dxa"/>
            <w:vAlign w:val="center"/>
          </w:tcPr>
          <w:p>
            <w:pPr>
              <w:pStyle w:val="65"/>
            </w:pPr>
            <w:r>
              <w:t>生活区</w:t>
            </w:r>
          </w:p>
        </w:tc>
        <w:tc>
          <w:tcPr>
            <w:tcW w:w="850" w:type="dxa"/>
            <w:vAlign w:val="center"/>
          </w:tcPr>
          <w:p>
            <w:pPr>
              <w:widowControl/>
              <w:jc w:val="center"/>
              <w:rPr>
                <w:kern w:val="0"/>
                <w:szCs w:val="21"/>
              </w:rPr>
            </w:pPr>
            <w:r>
              <w:rPr>
                <w:kern w:val="0"/>
                <w:szCs w:val="21"/>
              </w:rPr>
              <w:t>生活污水</w:t>
            </w:r>
          </w:p>
        </w:tc>
        <w:tc>
          <w:tcPr>
            <w:tcW w:w="2694" w:type="dxa"/>
            <w:vAlign w:val="center"/>
          </w:tcPr>
          <w:p>
            <w:pPr>
              <w:pStyle w:val="65"/>
              <w:rPr>
                <w:rFonts w:eastAsiaTheme="minorEastAsia"/>
              </w:rPr>
            </w:pPr>
            <w:r>
              <w:rPr>
                <w:rFonts w:hint="eastAsia"/>
              </w:rPr>
              <w:t>排入下水管网</w:t>
            </w:r>
          </w:p>
        </w:tc>
        <w:tc>
          <w:tcPr>
            <w:tcW w:w="2726" w:type="dxa"/>
            <w:vAlign w:val="center"/>
          </w:tcPr>
          <w:p>
            <w:pPr>
              <w:pStyle w:val="65"/>
              <w:jc w:val="both"/>
              <w:rPr>
                <w:rFonts w:eastAsiaTheme="minorEastAsia"/>
              </w:rPr>
            </w:pPr>
            <w:r>
              <w:rPr>
                <w:rFonts w:hint="eastAsia"/>
              </w:rPr>
              <w:t xml:space="preserve"> 排入下水管网后进入昌吉市污水处理厂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71" w:type="dxa"/>
            <w:vMerge w:val="continue"/>
            <w:vAlign w:val="center"/>
          </w:tcPr>
          <w:p>
            <w:pPr>
              <w:adjustRightInd w:val="0"/>
              <w:snapToGrid w:val="0"/>
              <w:jc w:val="center"/>
              <w:rPr>
                <w:szCs w:val="21"/>
              </w:rPr>
            </w:pPr>
          </w:p>
        </w:tc>
        <w:tc>
          <w:tcPr>
            <w:tcW w:w="1559" w:type="dxa"/>
            <w:vAlign w:val="center"/>
          </w:tcPr>
          <w:p>
            <w:pPr>
              <w:pStyle w:val="65"/>
            </w:pPr>
            <w:r>
              <w:rPr>
                <w:rFonts w:hint="eastAsia"/>
              </w:rPr>
              <w:t>生产区</w:t>
            </w:r>
          </w:p>
        </w:tc>
        <w:tc>
          <w:tcPr>
            <w:tcW w:w="850" w:type="dxa"/>
            <w:vAlign w:val="center"/>
          </w:tcPr>
          <w:p>
            <w:pPr>
              <w:widowControl/>
              <w:jc w:val="center"/>
              <w:rPr>
                <w:kern w:val="0"/>
                <w:szCs w:val="21"/>
              </w:rPr>
            </w:pPr>
            <w:r>
              <w:rPr>
                <w:rFonts w:hint="eastAsia"/>
                <w:kern w:val="0"/>
                <w:szCs w:val="21"/>
              </w:rPr>
              <w:t>生产用水</w:t>
            </w:r>
          </w:p>
        </w:tc>
        <w:tc>
          <w:tcPr>
            <w:tcW w:w="2694" w:type="dxa"/>
            <w:vAlign w:val="center"/>
          </w:tcPr>
          <w:p>
            <w:pPr>
              <w:jc w:val="center"/>
              <w:rPr>
                <w:rFonts w:eastAsiaTheme="minorEastAsia"/>
                <w:kern w:val="0"/>
                <w:szCs w:val="21"/>
              </w:rPr>
            </w:pPr>
            <w:r>
              <w:rPr>
                <w:rFonts w:hint="eastAsia" w:hAnsi="宋体"/>
              </w:rPr>
              <w:t>经冷却水</w:t>
            </w:r>
            <w:r>
              <w:rPr>
                <w:rFonts w:hAnsi="宋体"/>
              </w:rPr>
              <w:t>池</w:t>
            </w:r>
            <w:r>
              <w:rPr>
                <w:rFonts w:hint="eastAsia" w:hAnsi="宋体"/>
              </w:rPr>
              <w:t>冷却</w:t>
            </w:r>
            <w:r>
              <w:rPr>
                <w:rFonts w:hAnsi="宋体"/>
              </w:rPr>
              <w:t>后循环使用</w:t>
            </w:r>
          </w:p>
        </w:tc>
        <w:tc>
          <w:tcPr>
            <w:tcW w:w="2726" w:type="dxa"/>
            <w:vAlign w:val="center"/>
          </w:tcPr>
          <w:p>
            <w:pPr>
              <w:jc w:val="center"/>
              <w:rPr>
                <w:rFonts w:eastAsiaTheme="minorEastAsia"/>
                <w:bCs/>
                <w:szCs w:val="21"/>
              </w:rPr>
            </w:pPr>
            <w:r>
              <w:rPr>
                <w:rFonts w:hint="eastAsia" w:eastAsiaTheme="minorEastAsia"/>
                <w:bCs/>
                <w:szCs w:val="21"/>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71" w:type="dxa"/>
            <w:vAlign w:val="center"/>
          </w:tcPr>
          <w:p>
            <w:pPr>
              <w:adjustRightInd w:val="0"/>
              <w:snapToGrid w:val="0"/>
              <w:jc w:val="center"/>
              <w:rPr>
                <w:szCs w:val="21"/>
              </w:rPr>
            </w:pPr>
            <w:r>
              <w:rPr>
                <w:szCs w:val="21"/>
              </w:rPr>
              <w:t>声环境</w:t>
            </w:r>
          </w:p>
        </w:tc>
        <w:tc>
          <w:tcPr>
            <w:tcW w:w="1559" w:type="dxa"/>
            <w:vAlign w:val="center"/>
          </w:tcPr>
          <w:p>
            <w:pPr>
              <w:adjustRightInd w:val="0"/>
              <w:snapToGrid w:val="0"/>
              <w:jc w:val="center"/>
              <w:rPr>
                <w:szCs w:val="21"/>
              </w:rPr>
            </w:pPr>
            <w:r>
              <w:rPr>
                <w:szCs w:val="21"/>
              </w:rPr>
              <w:t>生产设备</w:t>
            </w:r>
          </w:p>
        </w:tc>
        <w:tc>
          <w:tcPr>
            <w:tcW w:w="850" w:type="dxa"/>
            <w:vAlign w:val="center"/>
          </w:tcPr>
          <w:p>
            <w:pPr>
              <w:adjustRightInd w:val="0"/>
              <w:snapToGrid w:val="0"/>
              <w:jc w:val="center"/>
              <w:rPr>
                <w:szCs w:val="21"/>
              </w:rPr>
            </w:pPr>
            <w:r>
              <w:rPr>
                <w:szCs w:val="21"/>
              </w:rPr>
              <w:t>等效A声级</w:t>
            </w:r>
          </w:p>
        </w:tc>
        <w:tc>
          <w:tcPr>
            <w:tcW w:w="2694" w:type="dxa"/>
            <w:vAlign w:val="center"/>
          </w:tcPr>
          <w:p>
            <w:pPr>
              <w:adjustRightInd w:val="0"/>
              <w:snapToGrid w:val="0"/>
              <w:jc w:val="center"/>
              <w:rPr>
                <w:szCs w:val="21"/>
              </w:rPr>
            </w:pPr>
            <w:r>
              <w:rPr>
                <w:rFonts w:hAnsi="宋体"/>
              </w:rPr>
              <w:t>各噪声设备采取相应减振降噪措施</w:t>
            </w:r>
          </w:p>
        </w:tc>
        <w:tc>
          <w:tcPr>
            <w:tcW w:w="2726" w:type="dxa"/>
            <w:vAlign w:val="center"/>
          </w:tcPr>
          <w:p>
            <w:pPr>
              <w:adjustRightInd w:val="0"/>
              <w:snapToGrid w:val="0"/>
              <w:jc w:val="center"/>
              <w:rPr>
                <w:szCs w:val="21"/>
              </w:rPr>
            </w:pPr>
            <w:r>
              <w:rPr>
                <w:szCs w:val="21"/>
              </w:rPr>
              <w:t>厂界噪声满足《工业企业厂界环境噪声排放标准》（GB12348-2008）</w:t>
            </w:r>
            <w:r>
              <w:rPr>
                <w:rFonts w:hint="eastAsia"/>
                <w:szCs w:val="21"/>
              </w:rPr>
              <w:t>2</w:t>
            </w:r>
            <w:r>
              <w:rPr>
                <w:szCs w:val="21"/>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71" w:type="dxa"/>
            <w:vAlign w:val="center"/>
          </w:tcPr>
          <w:p>
            <w:pPr>
              <w:adjustRightInd w:val="0"/>
              <w:snapToGrid w:val="0"/>
              <w:jc w:val="center"/>
              <w:rPr>
                <w:szCs w:val="21"/>
              </w:rPr>
            </w:pPr>
            <w:r>
              <w:rPr>
                <w:szCs w:val="21"/>
              </w:rPr>
              <w:t>电磁辐射</w:t>
            </w:r>
          </w:p>
        </w:tc>
        <w:tc>
          <w:tcPr>
            <w:tcW w:w="1559" w:type="dxa"/>
            <w:vAlign w:val="center"/>
          </w:tcPr>
          <w:p>
            <w:pPr>
              <w:adjustRightInd w:val="0"/>
              <w:snapToGrid w:val="0"/>
              <w:jc w:val="center"/>
              <w:rPr>
                <w:szCs w:val="21"/>
              </w:rPr>
            </w:pPr>
            <w:r>
              <w:rPr>
                <w:szCs w:val="21"/>
              </w:rPr>
              <w:t>/</w:t>
            </w:r>
          </w:p>
        </w:tc>
        <w:tc>
          <w:tcPr>
            <w:tcW w:w="850" w:type="dxa"/>
            <w:vAlign w:val="center"/>
          </w:tcPr>
          <w:p>
            <w:pPr>
              <w:adjustRightInd w:val="0"/>
              <w:snapToGrid w:val="0"/>
              <w:jc w:val="center"/>
              <w:rPr>
                <w:szCs w:val="21"/>
              </w:rPr>
            </w:pPr>
            <w:r>
              <w:rPr>
                <w:szCs w:val="21"/>
              </w:rPr>
              <w:t>/</w:t>
            </w:r>
          </w:p>
        </w:tc>
        <w:tc>
          <w:tcPr>
            <w:tcW w:w="2694" w:type="dxa"/>
            <w:vAlign w:val="center"/>
          </w:tcPr>
          <w:p>
            <w:pPr>
              <w:adjustRightInd w:val="0"/>
              <w:snapToGrid w:val="0"/>
              <w:jc w:val="center"/>
              <w:rPr>
                <w:szCs w:val="21"/>
              </w:rPr>
            </w:pPr>
            <w:r>
              <w:rPr>
                <w:szCs w:val="21"/>
              </w:rPr>
              <w:t>/</w:t>
            </w:r>
          </w:p>
        </w:tc>
        <w:tc>
          <w:tcPr>
            <w:tcW w:w="2726"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971" w:type="dxa"/>
            <w:vAlign w:val="center"/>
          </w:tcPr>
          <w:p>
            <w:pPr>
              <w:adjustRightInd w:val="0"/>
              <w:snapToGrid w:val="0"/>
              <w:jc w:val="center"/>
              <w:rPr>
                <w:szCs w:val="21"/>
              </w:rPr>
            </w:pPr>
            <w:r>
              <w:rPr>
                <w:szCs w:val="21"/>
              </w:rPr>
              <w:t>固体废物</w:t>
            </w:r>
          </w:p>
        </w:tc>
        <w:tc>
          <w:tcPr>
            <w:tcW w:w="7829" w:type="dxa"/>
            <w:gridSpan w:val="4"/>
            <w:vAlign w:val="center"/>
          </w:tcPr>
          <w:p>
            <w:pPr>
              <w:adjustRightInd w:val="0"/>
              <w:snapToGrid w:val="0"/>
              <w:jc w:val="center"/>
              <w:rPr>
                <w:bCs/>
                <w:szCs w:val="21"/>
              </w:rPr>
            </w:pPr>
            <w:r>
              <w:rPr>
                <w:rFonts w:hint="eastAsia"/>
                <w:bCs/>
                <w:szCs w:val="21"/>
              </w:rPr>
              <w:t>塑料果蔬筐生产产生的不合格品经破碎工序后回用于生产；</w:t>
            </w:r>
          </w:p>
          <w:p>
            <w:pPr>
              <w:adjustRightInd w:val="0"/>
              <w:snapToGrid w:val="0"/>
              <w:jc w:val="center"/>
              <w:rPr>
                <w:bCs/>
                <w:szCs w:val="21"/>
              </w:rPr>
            </w:pPr>
            <w:r>
              <w:rPr>
                <w:rFonts w:hint="eastAsia"/>
                <w:bCs/>
                <w:szCs w:val="21"/>
              </w:rPr>
              <w:t>生活垃圾经收集后由当地环卫部门清运处置；</w:t>
            </w:r>
          </w:p>
          <w:p>
            <w:pPr>
              <w:adjustRightInd w:val="0"/>
              <w:snapToGrid w:val="0"/>
              <w:jc w:val="center"/>
              <w:rPr>
                <w:szCs w:val="21"/>
              </w:rPr>
            </w:pPr>
            <w:r>
              <w:rPr>
                <w:rFonts w:hint="eastAsia"/>
                <w:bCs/>
                <w:szCs w:val="21"/>
              </w:rPr>
              <w:t>废活性炭和废润滑油经危废暂存间收集后委托有资质的单位清运处置。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971" w:type="dxa"/>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829" w:type="dxa"/>
            <w:gridSpan w:val="4"/>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971" w:type="dxa"/>
            <w:vAlign w:val="center"/>
          </w:tcPr>
          <w:p>
            <w:pPr>
              <w:adjustRightInd w:val="0"/>
              <w:snapToGrid w:val="0"/>
              <w:jc w:val="center"/>
              <w:rPr>
                <w:szCs w:val="21"/>
              </w:rPr>
            </w:pPr>
            <w:r>
              <w:rPr>
                <w:szCs w:val="21"/>
              </w:rPr>
              <w:t>生态保护措施</w:t>
            </w:r>
          </w:p>
        </w:tc>
        <w:tc>
          <w:tcPr>
            <w:tcW w:w="7829" w:type="dxa"/>
            <w:gridSpan w:val="4"/>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971" w:type="dxa"/>
            <w:vAlign w:val="center"/>
          </w:tcPr>
          <w:p>
            <w:pPr>
              <w:adjustRightInd w:val="0"/>
              <w:snapToGrid w:val="0"/>
              <w:jc w:val="center"/>
              <w:rPr>
                <w:spacing w:val="-8"/>
                <w:szCs w:val="21"/>
              </w:rPr>
            </w:pPr>
            <w:r>
              <w:rPr>
                <w:spacing w:val="-8"/>
                <w:szCs w:val="21"/>
              </w:rPr>
              <w:t>环境风险防范措施</w:t>
            </w:r>
          </w:p>
        </w:tc>
        <w:tc>
          <w:tcPr>
            <w:tcW w:w="7829" w:type="dxa"/>
            <w:gridSpan w:val="4"/>
            <w:vAlign w:val="center"/>
          </w:tcPr>
          <w:p>
            <w:pPr>
              <w:adjustRightInd w:val="0"/>
              <w:snapToGrid w:val="0"/>
              <w:jc w:val="left"/>
              <w:rPr>
                <w:bCs/>
                <w:szCs w:val="21"/>
              </w:rPr>
            </w:pPr>
            <w:r>
              <w:rPr>
                <w:rFonts w:hint="eastAsia"/>
                <w:bCs/>
                <w:szCs w:val="21"/>
              </w:rPr>
              <w:t>①火灾爆炸</w:t>
            </w:r>
            <w:r>
              <w:rPr>
                <w:bCs/>
                <w:szCs w:val="21"/>
              </w:rPr>
              <w:t>事故</w:t>
            </w:r>
          </w:p>
          <w:p>
            <w:pPr>
              <w:adjustRightInd w:val="0"/>
              <w:snapToGrid w:val="0"/>
              <w:jc w:val="left"/>
              <w:rPr>
                <w:bCs/>
                <w:szCs w:val="21"/>
              </w:rPr>
            </w:pPr>
            <w:r>
              <w:rPr>
                <w:rFonts w:hint="eastAsia"/>
                <w:bCs/>
                <w:szCs w:val="21"/>
              </w:rPr>
              <w:t>a、</w:t>
            </w:r>
            <w:r>
              <w:rPr>
                <w:bCs/>
                <w:szCs w:val="21"/>
              </w:rPr>
              <w:t>全厂消防设计本着“预防为主，防消结合”的原则，立足于火灾自救。对主要设备和重要建筑物均采取防消结合措施。要按照有关要求，设置消防栓和灭火器，有专门的消防人员，做好巡检工作，防患于未然</w:t>
            </w:r>
            <w:r>
              <w:rPr>
                <w:rFonts w:hint="eastAsia"/>
                <w:bCs/>
                <w:szCs w:val="21"/>
              </w:rPr>
              <w:t>；</w:t>
            </w:r>
          </w:p>
          <w:p>
            <w:pPr>
              <w:adjustRightInd w:val="0"/>
              <w:snapToGrid w:val="0"/>
              <w:jc w:val="left"/>
              <w:rPr>
                <w:bCs/>
                <w:szCs w:val="21"/>
              </w:rPr>
            </w:pPr>
            <w:r>
              <w:rPr>
                <w:rFonts w:hint="eastAsia"/>
                <w:bCs/>
                <w:szCs w:val="21"/>
              </w:rPr>
              <w:t>b、</w:t>
            </w:r>
            <w:r>
              <w:rPr>
                <w:bCs/>
                <w:szCs w:val="21"/>
              </w:rPr>
              <w:t>防火间距：在总平面布置中，各建筑物构筑物之间的距离应满足有关设计技术规范和建筑设计防火规范的要求。</w:t>
            </w:r>
          </w:p>
          <w:p>
            <w:pPr>
              <w:adjustRightInd w:val="0"/>
              <w:snapToGrid w:val="0"/>
              <w:jc w:val="left"/>
              <w:rPr>
                <w:bCs/>
                <w:szCs w:val="21"/>
              </w:rPr>
            </w:pPr>
            <w:r>
              <w:rPr>
                <w:rFonts w:hint="eastAsia"/>
                <w:bCs/>
                <w:szCs w:val="21"/>
              </w:rPr>
              <w:t>c、</w:t>
            </w:r>
            <w:r>
              <w:rPr>
                <w:bCs/>
                <w:szCs w:val="21"/>
              </w:rPr>
              <w:t>设备的安全管理：定期对设备进行安全检测，检测内容、时间、人员应有记录保存、安全检测应根据设备的安全性、危险性设定检测频次。</w:t>
            </w:r>
          </w:p>
          <w:p>
            <w:pPr>
              <w:adjustRightInd w:val="0"/>
              <w:snapToGrid w:val="0"/>
              <w:jc w:val="left"/>
              <w:rPr>
                <w:bCs/>
                <w:szCs w:val="21"/>
              </w:rPr>
            </w:pPr>
            <w:r>
              <w:rPr>
                <w:rFonts w:hint="eastAsia"/>
                <w:bCs/>
                <w:szCs w:val="21"/>
              </w:rPr>
              <w:t>d、</w:t>
            </w:r>
            <w:r>
              <w:rPr>
                <w:bCs/>
                <w:szCs w:val="21"/>
              </w:rPr>
              <w:t>各生产区保证一定的距离，设有隔离带，设双重管理。生产车间的布局和建筑设计应符合《建筑防火设计规范》及《爆炸和火灾危险环境电力设置设计规范》要求，使用防爆电气照明设备；厂房的防雷接地符合GB50057-94《建筑防雷设计规范》，并在生产车间设置消防系统，达到消防部门的要求。</w:t>
            </w:r>
          </w:p>
          <w:p>
            <w:pPr>
              <w:adjustRightInd w:val="0"/>
              <w:snapToGrid w:val="0"/>
              <w:jc w:val="left"/>
              <w:rPr>
                <w:bCs/>
                <w:szCs w:val="21"/>
              </w:rPr>
            </w:pPr>
            <w:r>
              <w:rPr>
                <w:rFonts w:hint="eastAsia"/>
                <w:bCs/>
                <w:szCs w:val="21"/>
              </w:rPr>
              <w:t>e、</w:t>
            </w:r>
            <w:r>
              <w:rPr>
                <w:bCs/>
                <w:szCs w:val="21"/>
              </w:rPr>
              <w:t>生产车间管理：区域内严格管控明火的使用，要提出安全措施，保厂部履行必要的审批手续。生产车间内电气设备不得任意安装更改，严禁使用临时电线电灯。</w:t>
            </w:r>
          </w:p>
          <w:p>
            <w:pPr>
              <w:adjustRightInd w:val="0"/>
              <w:snapToGrid w:val="0"/>
              <w:jc w:val="left"/>
              <w:rPr>
                <w:bCs/>
                <w:szCs w:val="21"/>
              </w:rPr>
            </w:pPr>
            <w:r>
              <w:rPr>
                <w:rFonts w:hint="eastAsia"/>
                <w:bCs/>
                <w:szCs w:val="21"/>
              </w:rPr>
              <w:t>②废气处理设施故障</w:t>
            </w:r>
          </w:p>
          <w:p>
            <w:pPr>
              <w:adjustRightInd w:val="0"/>
              <w:snapToGrid w:val="0"/>
              <w:jc w:val="left"/>
              <w:rPr>
                <w:bCs/>
                <w:szCs w:val="21"/>
              </w:rPr>
            </w:pPr>
            <w:r>
              <w:rPr>
                <w:rFonts w:hint="eastAsia"/>
                <w:bCs/>
                <w:szCs w:val="21"/>
              </w:rPr>
              <w:t>企业废气处理设施需设置专门的人员管理，加强对废气处理设置、运输管道和排气筒的维护和检修，一旦发现废气泄露立即停产检修，检修完毕方可再投入生产。</w:t>
            </w:r>
          </w:p>
          <w:p>
            <w:pPr>
              <w:adjustRightInd w:val="0"/>
              <w:snapToGrid w:val="0"/>
              <w:jc w:val="left"/>
              <w:rPr>
                <w:bCs/>
                <w:szCs w:val="21"/>
              </w:rPr>
            </w:pPr>
            <w:r>
              <w:rPr>
                <w:rFonts w:hint="eastAsia"/>
                <w:bCs/>
                <w:szCs w:val="21"/>
              </w:rPr>
              <w:t>③危险物质泄露预防事故</w:t>
            </w:r>
          </w:p>
          <w:p>
            <w:pPr>
              <w:adjustRightInd w:val="0"/>
              <w:snapToGrid w:val="0"/>
              <w:jc w:val="left"/>
              <w:rPr>
                <w:bCs/>
                <w:szCs w:val="21"/>
              </w:rPr>
            </w:pPr>
            <w:r>
              <w:rPr>
                <w:rFonts w:hint="eastAsia"/>
                <w:bCs/>
                <w:szCs w:val="21"/>
              </w:rPr>
              <w:t>a、使用符合标准的容器盛装危险废物；应定期对暂时贮存危险废物包装及设施进行检查，发现破损，及时采取措施清理更换；</w:t>
            </w:r>
          </w:p>
          <w:p>
            <w:pPr>
              <w:adjustRightInd w:val="0"/>
              <w:snapToGrid w:val="0"/>
              <w:jc w:val="left"/>
              <w:rPr>
                <w:bCs/>
                <w:szCs w:val="21"/>
              </w:rPr>
            </w:pPr>
            <w:r>
              <w:rPr>
                <w:rFonts w:hint="eastAsia"/>
                <w:bCs/>
                <w:szCs w:val="21"/>
              </w:rPr>
              <w:t>b、设有专人负责危险</w:t>
            </w:r>
            <w:r>
              <w:rPr>
                <w:bCs/>
                <w:szCs w:val="21"/>
              </w:rPr>
              <w:t>废物</w:t>
            </w:r>
            <w:r>
              <w:rPr>
                <w:rFonts w:hint="eastAsia"/>
                <w:bCs/>
                <w:szCs w:val="21"/>
              </w:rPr>
              <w:t>维护及管理，避免因危险</w:t>
            </w:r>
            <w:r>
              <w:rPr>
                <w:bCs/>
                <w:szCs w:val="21"/>
              </w:rPr>
              <w:t>废物泄露</w:t>
            </w:r>
            <w:r>
              <w:rPr>
                <w:rFonts w:hint="eastAsia"/>
                <w:bCs/>
                <w:szCs w:val="21"/>
              </w:rPr>
              <w:t>、</w:t>
            </w:r>
            <w:r>
              <w:rPr>
                <w:bCs/>
                <w:szCs w:val="21"/>
              </w:rPr>
              <w:t>乱堆乱弃</w:t>
            </w:r>
            <w:r>
              <w:rPr>
                <w:rFonts w:hint="eastAsia"/>
                <w:bCs/>
                <w:szCs w:val="21"/>
              </w:rPr>
              <w:t>造成</w:t>
            </w:r>
            <w:r>
              <w:rPr>
                <w:bCs/>
                <w:szCs w:val="21"/>
              </w:rPr>
              <w:t>环境污染</w:t>
            </w:r>
            <w:r>
              <w:rPr>
                <w:rFonts w:hint="eastAsia"/>
                <w:bCs/>
                <w:szCs w:val="21"/>
              </w:rPr>
              <w:t>；</w:t>
            </w:r>
          </w:p>
          <w:p>
            <w:pPr>
              <w:adjustRightInd w:val="0"/>
              <w:snapToGrid w:val="0"/>
              <w:jc w:val="left"/>
              <w:rPr>
                <w:bCs/>
                <w:szCs w:val="21"/>
              </w:rPr>
            </w:pPr>
            <w:r>
              <w:rPr>
                <w:rFonts w:hint="eastAsia"/>
                <w:bCs/>
                <w:szCs w:val="21"/>
              </w:rPr>
              <w:t>c、应指定专人负责危废的收集、</w:t>
            </w:r>
            <w:r>
              <w:rPr>
                <w:bCs/>
                <w:szCs w:val="21"/>
              </w:rPr>
              <w:t xml:space="preserve"> </w:t>
            </w:r>
            <w:r>
              <w:rPr>
                <w:rFonts w:hint="eastAsia"/>
                <w:bCs/>
                <w:szCs w:val="21"/>
              </w:rPr>
              <w:t>运输管理工作，运输车辆的司机和押运人员应经专业培训。</w:t>
            </w:r>
          </w:p>
          <w:p>
            <w:pPr>
              <w:adjustRightInd w:val="0"/>
              <w:snapToGrid w:val="0"/>
              <w:jc w:val="left"/>
              <w:rPr>
                <w:bCs/>
                <w:szCs w:val="21"/>
              </w:rPr>
            </w:pPr>
            <w:r>
              <w:rPr>
                <w:rFonts w:hint="eastAsia"/>
                <w:bCs/>
                <w:szCs w:val="21"/>
              </w:rPr>
              <w:t>④</w:t>
            </w:r>
            <w:r>
              <w:rPr>
                <w:bCs/>
                <w:szCs w:val="21"/>
              </w:rPr>
              <w:t>突发环境事件应急预案</w:t>
            </w:r>
          </w:p>
          <w:p>
            <w:pPr>
              <w:adjustRightInd w:val="0"/>
              <w:snapToGrid w:val="0"/>
              <w:jc w:val="left"/>
              <w:rPr>
                <w:bCs/>
                <w:szCs w:val="21"/>
              </w:rPr>
            </w:pPr>
            <w:r>
              <w:rPr>
                <w:bCs/>
                <w:szCs w:val="21"/>
              </w:rPr>
              <w:t>风险事故发生后，能否迅速作出应急反应，对于控制环境污染、减少人员伤亡及经济损失等都起到了关键性作用。根据《建设项目环境风险评价技术导则》（HJ/T169-2018）中的规定和要求，对于本项目可能造成环境风险的突发性事故须制定应急预案原则要求，本环评要求建设单位制定详细的应急预案。</w:t>
            </w:r>
          </w:p>
          <w:p>
            <w:pPr>
              <w:adjustRightInd w:val="0"/>
              <w:snapToGrid w:val="0"/>
              <w:jc w:val="left"/>
              <w:rPr>
                <w:bCs/>
                <w:szCs w:val="21"/>
              </w:rPr>
            </w:pPr>
            <w:r>
              <w:rPr>
                <w:rFonts w:hint="eastAsia"/>
                <w:bCs/>
                <w:szCs w:val="21"/>
              </w:rPr>
              <w:t>⑤</w:t>
            </w:r>
            <w:r>
              <w:rPr>
                <w:bCs/>
                <w:szCs w:val="21"/>
              </w:rPr>
              <w:t>环境风险应急体系</w:t>
            </w:r>
          </w:p>
          <w:p>
            <w:pPr>
              <w:adjustRightInd w:val="0"/>
              <w:snapToGrid w:val="0"/>
              <w:jc w:val="left"/>
              <w:rPr>
                <w:bCs/>
                <w:szCs w:val="21"/>
              </w:rPr>
            </w:pPr>
            <w:r>
              <w:rPr>
                <w:bCs/>
                <w:szCs w:val="21"/>
              </w:rPr>
              <w:t>本项目应急系统应与周边企业、园区、</w:t>
            </w:r>
            <w:r>
              <w:rPr>
                <w:rFonts w:hint="eastAsia"/>
                <w:bCs/>
                <w:szCs w:val="21"/>
              </w:rPr>
              <w:t>昌吉市</w:t>
            </w:r>
            <w:r>
              <w:rPr>
                <w:bCs/>
                <w:szCs w:val="21"/>
              </w:rPr>
              <w:t>等区域环境风险应急系统对接联动，实现区域联防联控。项目厂区配备足够的消防、防毒防护设施及应急监测等应急设施和物资。配备应急队伍，能够立即响应，立即汇报，立即事故处置等。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971" w:type="dxa"/>
            <w:vAlign w:val="center"/>
          </w:tcPr>
          <w:p>
            <w:pPr>
              <w:adjustRightInd w:val="0"/>
              <w:snapToGrid w:val="0"/>
              <w:jc w:val="center"/>
              <w:rPr>
                <w:spacing w:val="-8"/>
                <w:szCs w:val="21"/>
              </w:rPr>
            </w:pPr>
            <w:r>
              <w:rPr>
                <w:spacing w:val="-8"/>
                <w:szCs w:val="21"/>
              </w:rPr>
              <w:t>其他环境管理要求</w:t>
            </w:r>
          </w:p>
        </w:tc>
        <w:tc>
          <w:tcPr>
            <w:tcW w:w="7829" w:type="dxa"/>
            <w:gridSpan w:val="4"/>
            <w:vAlign w:val="center"/>
          </w:tcPr>
          <w:p>
            <w:pPr>
              <w:adjustRightInd w:val="0"/>
              <w:snapToGrid w:val="0"/>
              <w:jc w:val="center"/>
              <w:rPr>
                <w:color w:val="FF0000"/>
                <w:szCs w:val="21"/>
              </w:rPr>
            </w:pPr>
            <w:r>
              <w:rPr>
                <w:bCs/>
                <w:szCs w:val="21"/>
              </w:rPr>
              <w:t>严格落实报告所提环境管理要求</w:t>
            </w:r>
            <w:r>
              <w:rPr>
                <w:rFonts w:hint="eastAsia"/>
                <w:bCs/>
                <w:szCs w:val="21"/>
              </w:rPr>
              <w:t>，根据《固定污染源排污许可分类管理名录》（2019版，生态环境部部令第11号），本项目属于登记管理，应当在全国排污许可证管理信息平台填报排污登记。</w:t>
            </w:r>
          </w:p>
        </w:tc>
      </w:tr>
    </w:tbl>
    <w:p>
      <w:pPr>
        <w:pStyle w:val="21"/>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25"/>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adjustRightInd w:val="0"/>
              <w:snapToGrid w:val="0"/>
              <w:spacing w:line="480" w:lineRule="exact"/>
              <w:ind w:firstLine="480" w:firstLineChars="200"/>
              <w:rPr>
                <w:sz w:val="24"/>
              </w:rPr>
            </w:pPr>
            <w:r>
              <w:rPr>
                <w:sz w:val="24"/>
              </w:rPr>
              <w:t>本项目的建设符合国家产业政策、选址基本合理、污染物的防治措施可行。环境影响评价的结果表明，项目在正常生产和污染防治设施正常运行的情况下，项目的污染物排放对环境的影响较小，基本不改变当地环境质量现状和功能要求。</w:t>
            </w:r>
          </w:p>
          <w:p>
            <w:pPr>
              <w:adjustRightInd w:val="0"/>
              <w:snapToGrid w:val="0"/>
              <w:spacing w:line="480" w:lineRule="exact"/>
              <w:ind w:firstLine="480" w:firstLineChars="200"/>
              <w:rPr>
                <w:sz w:val="24"/>
              </w:rPr>
            </w:pPr>
            <w:r>
              <w:rPr>
                <w:sz w:val="24"/>
              </w:rPr>
              <w:t>本评价认为，项目在设计和运行时应严格执行安全生产的各项规章制度，根据生产的安全要求，配套相应的安全防范措施，杜绝事故对环境产生的风险。项目建设过程中应严格认真执行环境保护“三同时”制度，切实落实本报告表各项污染防治措施和环境管理措施，确保各类污染物稳定达标排放和污染物排放总量控制。从环境保护的角度分析，本项目的建设是可行的。</w:t>
            </w:r>
          </w:p>
        </w:tc>
      </w:tr>
    </w:tbl>
    <w:p>
      <w:pPr>
        <w:sectPr>
          <w:pgSz w:w="11906" w:h="16838"/>
          <w:pgMar w:top="1701" w:right="1531" w:bottom="1701" w:left="1531" w:header="851" w:footer="851" w:gutter="0"/>
          <w:cols w:space="720" w:num="1"/>
          <w:docGrid w:linePitch="312" w:charSpace="0"/>
        </w:sectPr>
      </w:pPr>
    </w:p>
    <w:p>
      <w:pPr>
        <w:pStyle w:val="21"/>
        <w:adjustRightInd w:val="0"/>
        <w:snapToGrid w:val="0"/>
        <w:spacing w:before="0" w:beforeAutospacing="0" w:after="0" w:afterAutospacing="0"/>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21"/>
        <w:adjustRightInd w:val="0"/>
        <w:snapToGrid w:val="0"/>
        <w:spacing w:before="0" w:beforeAutospacing="0" w:after="0" w:afterAutospacing="0"/>
        <w:jc w:val="center"/>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984"/>
        <w:gridCol w:w="1701"/>
        <w:gridCol w:w="1276"/>
        <w:gridCol w:w="1701"/>
        <w:gridCol w:w="1559"/>
        <w:gridCol w:w="1761"/>
        <w:gridCol w:w="1783"/>
        <w:gridCol w:w="1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021" w:type="dxa"/>
            <w:tcBorders>
              <w:tl2br w:val="single" w:color="auto" w:sz="4" w:space="0"/>
            </w:tcBorders>
            <w:tcMar>
              <w:left w:w="28" w:type="dxa"/>
              <w:right w:w="28" w:type="dxa"/>
            </w:tcMar>
            <w:vAlign w:val="center"/>
          </w:tcPr>
          <w:p>
            <w:pPr>
              <w:pStyle w:val="40"/>
              <w:spacing w:beforeLines="0" w:afterLines="0" w:line="240" w:lineRule="auto"/>
              <w:jc w:val="right"/>
              <w:rPr>
                <w:rFonts w:ascii="Times New Roman" w:eastAsia="黑体"/>
                <w:snapToGrid w:val="0"/>
                <w:spacing w:val="-6"/>
                <w:kern w:val="21"/>
                <w:szCs w:val="21"/>
              </w:rPr>
            </w:pPr>
            <w:r>
              <w:rPr>
                <w:rFonts w:ascii="Times New Roman" w:eastAsia="黑体"/>
                <w:snapToGrid w:val="0"/>
                <w:spacing w:val="-6"/>
                <w:kern w:val="21"/>
                <w:szCs w:val="21"/>
              </w:rPr>
              <w:t>项目</w:t>
            </w:r>
          </w:p>
          <w:p>
            <w:pPr>
              <w:pStyle w:val="40"/>
              <w:spacing w:beforeLines="0" w:afterLines="0" w:line="240" w:lineRule="auto"/>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1984" w:type="dxa"/>
            <w:tcMar>
              <w:left w:w="28" w:type="dxa"/>
              <w:right w:w="28" w:type="dxa"/>
            </w:tcMar>
            <w:vAlign w:val="center"/>
          </w:tcPr>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701" w:type="dxa"/>
            <w:tcMar>
              <w:left w:w="28" w:type="dxa"/>
              <w:right w:w="28" w:type="dxa"/>
            </w:tcMar>
            <w:vAlign w:val="center"/>
          </w:tcPr>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eastAsia="黑体"/>
                <w:kern w:val="2"/>
                <w:szCs w:val="21"/>
              </w:rPr>
              <w:t>①</w:t>
            </w:r>
            <w:r>
              <w:rPr>
                <w:rFonts w:ascii="Times New Roman" w:eastAsia="黑体"/>
                <w:snapToGrid w:val="0"/>
                <w:spacing w:val="-6"/>
                <w:kern w:val="21"/>
                <w:szCs w:val="21"/>
              </w:rPr>
              <w:fldChar w:fldCharType="end"/>
            </w:r>
          </w:p>
        </w:tc>
        <w:tc>
          <w:tcPr>
            <w:tcW w:w="1276" w:type="dxa"/>
            <w:tcMar>
              <w:left w:w="28" w:type="dxa"/>
              <w:right w:w="28" w:type="dxa"/>
            </w:tcMar>
            <w:vAlign w:val="center"/>
          </w:tcPr>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许可排放量</w:t>
            </w:r>
          </w:p>
          <w:p>
            <w:pPr>
              <w:pStyle w:val="40"/>
              <w:spacing w:beforeLines="0" w:afterLines="0"/>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ascii="Times New Roman" w:eastAsia="黑体"/>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在建工程</w:t>
            </w:r>
          </w:p>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ascii="Times New Roman" w:eastAsia="黑体"/>
                <w:kern w:val="2"/>
                <w:szCs w:val="21"/>
              </w:rPr>
              <w:t>③</w:t>
            </w:r>
            <w:r>
              <w:rPr>
                <w:rFonts w:ascii="Times New Roman" w:eastAsia="黑体"/>
                <w:snapToGrid w:val="0"/>
                <w:spacing w:val="-6"/>
                <w:kern w:val="21"/>
                <w:szCs w:val="21"/>
              </w:rPr>
              <w:fldChar w:fldCharType="end"/>
            </w:r>
          </w:p>
        </w:tc>
        <w:tc>
          <w:tcPr>
            <w:tcW w:w="1559" w:type="dxa"/>
            <w:tcMar>
              <w:left w:w="28" w:type="dxa"/>
              <w:right w:w="28" w:type="dxa"/>
            </w:tcMar>
            <w:vAlign w:val="center"/>
          </w:tcPr>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本项目</w:t>
            </w:r>
          </w:p>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ascii="Times New Roman" w:eastAsia="黑体"/>
                <w:kern w:val="2"/>
                <w:szCs w:val="21"/>
              </w:rPr>
              <w:t>④</w:t>
            </w:r>
            <w:r>
              <w:rPr>
                <w:rFonts w:ascii="Times New Roman" w:eastAsia="黑体"/>
                <w:snapToGrid w:val="0"/>
                <w:spacing w:val="-6"/>
                <w:kern w:val="21"/>
                <w:szCs w:val="21"/>
              </w:rPr>
              <w:fldChar w:fldCharType="end"/>
            </w:r>
          </w:p>
        </w:tc>
        <w:tc>
          <w:tcPr>
            <w:tcW w:w="1761" w:type="dxa"/>
            <w:tcMar>
              <w:left w:w="28" w:type="dxa"/>
              <w:right w:w="28" w:type="dxa"/>
            </w:tcMar>
            <w:vAlign w:val="center"/>
          </w:tcPr>
          <w:p>
            <w:pPr>
              <w:pStyle w:val="40"/>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以新带老削减量</w:t>
            </w:r>
          </w:p>
          <w:p>
            <w:pPr>
              <w:pStyle w:val="40"/>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ascii="Times New Roman" w:eastAsia="黑体"/>
                <w:kern w:val="2"/>
                <w:szCs w:val="21"/>
              </w:rPr>
              <w:t>⑤</w:t>
            </w:r>
            <w:r>
              <w:rPr>
                <w:rFonts w:ascii="Times New Roman" w:eastAsia="黑体"/>
                <w:snapToGrid w:val="0"/>
                <w:spacing w:val="-16"/>
                <w:kern w:val="21"/>
                <w:szCs w:val="21"/>
              </w:rPr>
              <w:fldChar w:fldCharType="end"/>
            </w:r>
          </w:p>
        </w:tc>
        <w:tc>
          <w:tcPr>
            <w:tcW w:w="1783" w:type="dxa"/>
            <w:tcMar>
              <w:left w:w="28" w:type="dxa"/>
              <w:right w:w="28" w:type="dxa"/>
            </w:tcMar>
            <w:vAlign w:val="center"/>
          </w:tcPr>
          <w:p>
            <w:pPr>
              <w:pStyle w:val="40"/>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本项目建成后</w:t>
            </w:r>
          </w:p>
          <w:p>
            <w:pPr>
              <w:pStyle w:val="40"/>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eastAsia="黑体"/>
                <w:kern w:val="2"/>
                <w:szCs w:val="21"/>
              </w:rPr>
              <w:t>⑥</w:t>
            </w:r>
            <w:r>
              <w:rPr>
                <w:rFonts w:ascii="Times New Roman" w:eastAsia="黑体"/>
                <w:snapToGrid w:val="0"/>
                <w:spacing w:val="-16"/>
                <w:kern w:val="21"/>
                <w:szCs w:val="21"/>
              </w:rPr>
              <w:fldChar w:fldCharType="end"/>
            </w:r>
          </w:p>
        </w:tc>
        <w:tc>
          <w:tcPr>
            <w:tcW w:w="1002" w:type="dxa"/>
            <w:tcMar>
              <w:left w:w="28" w:type="dxa"/>
              <w:right w:w="28" w:type="dxa"/>
            </w:tcMar>
            <w:vAlign w:val="center"/>
          </w:tcPr>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变化量</w:t>
            </w:r>
          </w:p>
          <w:p>
            <w:pPr>
              <w:pStyle w:val="40"/>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ascii="Times New Roman" w:eastAsia="黑体"/>
                <w:kern w:val="2"/>
                <w:szCs w:val="21"/>
              </w:rPr>
              <w:t>⑦</w:t>
            </w:r>
            <w:r>
              <w:rPr>
                <w:rFonts w:ascii="Times New Roman"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021"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废气</w:t>
            </w:r>
          </w:p>
        </w:tc>
        <w:tc>
          <w:tcPr>
            <w:tcW w:w="1984"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非甲烷总烃</w:t>
            </w:r>
          </w:p>
        </w:tc>
        <w:tc>
          <w:tcPr>
            <w:tcW w:w="1701"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1.</w:t>
            </w:r>
            <w:r>
              <w:rPr>
                <w:rFonts w:hint="eastAsia" w:ascii="Times New Roman"/>
                <w:snapToGrid w:val="0"/>
                <w:kern w:val="21"/>
                <w:szCs w:val="21"/>
                <w:lang w:val="en-US" w:eastAsia="zh-CN"/>
              </w:rPr>
              <w:t>1</w:t>
            </w:r>
            <w:r>
              <w:rPr>
                <w:rFonts w:hint="eastAsia" w:ascii="Times New Roman"/>
                <w:snapToGrid w:val="0"/>
                <w:kern w:val="21"/>
                <w:szCs w:val="21"/>
              </w:rPr>
              <w:t>66</w:t>
            </w:r>
          </w:p>
        </w:tc>
        <w:tc>
          <w:tcPr>
            <w:tcW w:w="1276"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1.</w:t>
            </w:r>
            <w:r>
              <w:rPr>
                <w:rFonts w:hint="eastAsia" w:ascii="Times New Roman"/>
                <w:snapToGrid w:val="0"/>
                <w:kern w:val="21"/>
                <w:szCs w:val="21"/>
                <w:lang w:val="en-US" w:eastAsia="zh-CN"/>
              </w:rPr>
              <w:t>1</w:t>
            </w:r>
            <w:r>
              <w:rPr>
                <w:rFonts w:hint="eastAsia" w:ascii="Times New Roman"/>
                <w:snapToGrid w:val="0"/>
                <w:kern w:val="21"/>
                <w:szCs w:val="21"/>
              </w:rPr>
              <w:t>66</w:t>
            </w:r>
          </w:p>
        </w:tc>
        <w:tc>
          <w:tcPr>
            <w:tcW w:w="1761"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83"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1.</w:t>
            </w:r>
            <w:r>
              <w:rPr>
                <w:rFonts w:hint="eastAsia" w:ascii="Times New Roman"/>
                <w:snapToGrid w:val="0"/>
                <w:kern w:val="21"/>
                <w:szCs w:val="21"/>
                <w:lang w:val="en-US" w:eastAsia="zh-CN"/>
              </w:rPr>
              <w:t>1</w:t>
            </w:r>
            <w:r>
              <w:rPr>
                <w:rFonts w:hint="eastAsia" w:ascii="Times New Roman"/>
                <w:snapToGrid w:val="0"/>
                <w:kern w:val="21"/>
                <w:szCs w:val="21"/>
              </w:rPr>
              <w:t>66</w:t>
            </w:r>
          </w:p>
        </w:tc>
        <w:tc>
          <w:tcPr>
            <w:tcW w:w="1002"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+1.</w:t>
            </w:r>
            <w:r>
              <w:rPr>
                <w:rFonts w:hint="eastAsia" w:ascii="Times New Roman"/>
                <w:snapToGrid w:val="0"/>
                <w:kern w:val="21"/>
                <w:szCs w:val="21"/>
                <w:lang w:val="en-US" w:eastAsia="zh-CN"/>
              </w:rPr>
              <w:t>1</w:t>
            </w:r>
            <w:r>
              <w:rPr>
                <w:rFonts w:hint="eastAsia" w:ascii="Times New Roman"/>
                <w:snapToGrid w:val="0"/>
                <w:kern w:val="21"/>
                <w:szCs w:val="21"/>
              </w:rPr>
              <w:t>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021"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废水</w:t>
            </w:r>
          </w:p>
        </w:tc>
        <w:tc>
          <w:tcPr>
            <w:tcW w:w="1984" w:type="dxa"/>
            <w:vAlign w:val="center"/>
          </w:tcPr>
          <w:p>
            <w:pPr>
              <w:widowControl/>
              <w:jc w:val="center"/>
              <w:rPr>
                <w:kern w:val="0"/>
                <w:szCs w:val="21"/>
              </w:rPr>
            </w:pPr>
            <w:r>
              <w:rPr>
                <w:kern w:val="0"/>
                <w:szCs w:val="21"/>
              </w:rPr>
              <w:t>生活污水</w:t>
            </w:r>
          </w:p>
        </w:tc>
        <w:tc>
          <w:tcPr>
            <w:tcW w:w="1701" w:type="dxa"/>
            <w:vAlign w:val="center"/>
          </w:tcPr>
          <w:p>
            <w:pPr>
              <w:pStyle w:val="65"/>
            </w:pPr>
            <w:r>
              <w:rPr>
                <w:rFonts w:hint="eastAsia"/>
              </w:rPr>
              <w:t>153.6</w:t>
            </w:r>
          </w:p>
        </w:tc>
        <w:tc>
          <w:tcPr>
            <w:tcW w:w="1276"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pStyle w:val="65"/>
            </w:pPr>
            <w:r>
              <w:rPr>
                <w:rFonts w:hint="eastAsia"/>
              </w:rPr>
              <w:t>153.6</w:t>
            </w:r>
          </w:p>
        </w:tc>
        <w:tc>
          <w:tcPr>
            <w:tcW w:w="1761"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83" w:type="dxa"/>
            <w:vAlign w:val="center"/>
          </w:tcPr>
          <w:p>
            <w:pPr>
              <w:pStyle w:val="65"/>
            </w:pPr>
            <w:r>
              <w:rPr>
                <w:rFonts w:hint="eastAsia"/>
              </w:rPr>
              <w:t>153.6</w:t>
            </w:r>
          </w:p>
        </w:tc>
        <w:tc>
          <w:tcPr>
            <w:tcW w:w="1002" w:type="dxa"/>
            <w:vAlign w:val="center"/>
          </w:tcPr>
          <w:p>
            <w:pPr>
              <w:pStyle w:val="65"/>
            </w:pPr>
            <w:r>
              <w:rPr>
                <w:rFonts w:hint="eastAsia"/>
                <w:snapToGrid w:val="0"/>
                <w:kern w:val="21"/>
              </w:rPr>
              <w:t>+</w:t>
            </w:r>
            <w:r>
              <w:rPr>
                <w:rFonts w:hint="eastAsia"/>
              </w:rPr>
              <w:t>153.6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1021" w:type="dxa"/>
            <w:vMerge w:val="restart"/>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一般工业</w:t>
            </w:r>
          </w:p>
          <w:p>
            <w:pPr>
              <w:pStyle w:val="40"/>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984" w:type="dxa"/>
            <w:vAlign w:val="center"/>
          </w:tcPr>
          <w:p>
            <w:pPr>
              <w:pStyle w:val="65"/>
            </w:pPr>
            <w:r>
              <w:rPr>
                <w:rFonts w:hint="eastAsia"/>
              </w:rPr>
              <w:t>不合格品</w:t>
            </w:r>
          </w:p>
        </w:tc>
        <w:tc>
          <w:tcPr>
            <w:tcW w:w="1701" w:type="dxa"/>
            <w:vAlign w:val="center"/>
          </w:tcPr>
          <w:p>
            <w:pPr>
              <w:pStyle w:val="65"/>
            </w:pPr>
            <w:r>
              <w:rPr>
                <w:rFonts w:hint="eastAsia"/>
              </w:rPr>
              <w:t>0</w:t>
            </w:r>
          </w:p>
        </w:tc>
        <w:tc>
          <w:tcPr>
            <w:tcW w:w="1276"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pStyle w:val="65"/>
            </w:pPr>
            <w:r>
              <w:rPr>
                <w:rFonts w:hint="eastAsia"/>
              </w:rPr>
              <w:t>0</w:t>
            </w:r>
          </w:p>
        </w:tc>
        <w:tc>
          <w:tcPr>
            <w:tcW w:w="1761"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83" w:type="dxa"/>
            <w:vAlign w:val="center"/>
          </w:tcPr>
          <w:p>
            <w:pPr>
              <w:pStyle w:val="65"/>
            </w:pPr>
            <w:r>
              <w:rPr>
                <w:rFonts w:hint="eastAsia"/>
              </w:rPr>
              <w:t>0</w:t>
            </w:r>
          </w:p>
        </w:tc>
        <w:tc>
          <w:tcPr>
            <w:tcW w:w="1002" w:type="dxa"/>
            <w:vAlign w:val="center"/>
          </w:tcPr>
          <w:p>
            <w:pPr>
              <w:pStyle w:val="65"/>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021" w:type="dxa"/>
            <w:vMerge w:val="continue"/>
            <w:vAlign w:val="center"/>
          </w:tcPr>
          <w:p>
            <w:pPr>
              <w:pStyle w:val="40"/>
              <w:spacing w:beforeLines="0" w:afterLines="0" w:line="240" w:lineRule="auto"/>
              <w:rPr>
                <w:rFonts w:ascii="Times New Roman"/>
                <w:snapToGrid w:val="0"/>
                <w:kern w:val="21"/>
                <w:szCs w:val="21"/>
              </w:rPr>
            </w:pPr>
          </w:p>
        </w:tc>
        <w:tc>
          <w:tcPr>
            <w:tcW w:w="1984" w:type="dxa"/>
            <w:vAlign w:val="center"/>
          </w:tcPr>
          <w:p>
            <w:pPr>
              <w:pStyle w:val="65"/>
            </w:pPr>
            <w:r>
              <w:t>生活垃圾</w:t>
            </w:r>
          </w:p>
        </w:tc>
        <w:tc>
          <w:tcPr>
            <w:tcW w:w="1701" w:type="dxa"/>
            <w:vAlign w:val="center"/>
          </w:tcPr>
          <w:p>
            <w:pPr>
              <w:pStyle w:val="65"/>
            </w:pPr>
            <w:r>
              <w:rPr>
                <w:rFonts w:hint="eastAsia"/>
              </w:rPr>
              <w:t>1.44</w:t>
            </w:r>
          </w:p>
        </w:tc>
        <w:tc>
          <w:tcPr>
            <w:tcW w:w="1276"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pStyle w:val="65"/>
            </w:pPr>
            <w:r>
              <w:rPr>
                <w:rFonts w:hint="eastAsia"/>
              </w:rPr>
              <w:t>1.44</w:t>
            </w:r>
          </w:p>
        </w:tc>
        <w:tc>
          <w:tcPr>
            <w:tcW w:w="1761"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83" w:type="dxa"/>
            <w:vAlign w:val="center"/>
          </w:tcPr>
          <w:p>
            <w:pPr>
              <w:pStyle w:val="65"/>
            </w:pPr>
            <w:r>
              <w:rPr>
                <w:rFonts w:hint="eastAsia"/>
              </w:rPr>
              <w:t>1.44</w:t>
            </w:r>
          </w:p>
        </w:tc>
        <w:tc>
          <w:tcPr>
            <w:tcW w:w="1002" w:type="dxa"/>
            <w:vAlign w:val="center"/>
          </w:tcPr>
          <w:p>
            <w:pPr>
              <w:pStyle w:val="65"/>
            </w:pPr>
            <w:r>
              <w:rPr>
                <w:rFonts w:hint="eastAsia"/>
                <w:snapToGrid w:val="0"/>
                <w:kern w:val="21"/>
              </w:rPr>
              <w:t>+</w:t>
            </w:r>
            <w:r>
              <w:rPr>
                <w:rFonts w:hint="eastAsia"/>
              </w:rPr>
              <w:t>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021" w:type="dxa"/>
            <w:vMerge w:val="restart"/>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984" w:type="dxa"/>
            <w:vAlign w:val="center"/>
          </w:tcPr>
          <w:p>
            <w:pPr>
              <w:pStyle w:val="65"/>
            </w:pPr>
            <w:r>
              <w:rPr>
                <w:rFonts w:hint="eastAsia"/>
              </w:rPr>
              <w:t>废活性炭</w:t>
            </w:r>
          </w:p>
        </w:tc>
        <w:tc>
          <w:tcPr>
            <w:tcW w:w="1701" w:type="dxa"/>
            <w:vAlign w:val="center"/>
          </w:tcPr>
          <w:p>
            <w:pPr>
              <w:pStyle w:val="65"/>
              <w:rPr>
                <w:rFonts w:hint="default" w:eastAsia="宋体"/>
                <w:lang w:val="en-US" w:eastAsia="zh-CN"/>
              </w:rPr>
            </w:pPr>
            <w:r>
              <w:rPr>
                <w:rFonts w:hint="eastAsia"/>
                <w:lang w:val="en-US" w:eastAsia="zh-CN"/>
              </w:rPr>
              <w:t>3.1</w:t>
            </w:r>
          </w:p>
        </w:tc>
        <w:tc>
          <w:tcPr>
            <w:tcW w:w="1276"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40"/>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pStyle w:val="65"/>
              <w:rPr>
                <w:rFonts w:hint="default" w:eastAsia="宋体"/>
                <w:lang w:val="en-US" w:eastAsia="zh-CN"/>
              </w:rPr>
            </w:pPr>
            <w:r>
              <w:rPr>
                <w:rFonts w:hint="eastAsia"/>
                <w:lang w:val="en-US" w:eastAsia="zh-CN"/>
              </w:rPr>
              <w:t>3.1</w:t>
            </w:r>
          </w:p>
        </w:tc>
        <w:tc>
          <w:tcPr>
            <w:tcW w:w="1761" w:type="dxa"/>
            <w:vAlign w:val="center"/>
          </w:tcPr>
          <w:p>
            <w:pPr>
              <w:pStyle w:val="65"/>
            </w:pPr>
            <w:r>
              <w:rPr>
                <w:rFonts w:hint="eastAsia"/>
              </w:rPr>
              <w:t>/</w:t>
            </w:r>
          </w:p>
        </w:tc>
        <w:tc>
          <w:tcPr>
            <w:tcW w:w="1783" w:type="dxa"/>
            <w:vAlign w:val="center"/>
          </w:tcPr>
          <w:p>
            <w:pPr>
              <w:pStyle w:val="65"/>
              <w:rPr>
                <w:rFonts w:hint="default" w:eastAsia="宋体"/>
                <w:lang w:val="en-US" w:eastAsia="zh-CN"/>
              </w:rPr>
            </w:pPr>
            <w:r>
              <w:rPr>
                <w:rFonts w:hint="eastAsia"/>
                <w:lang w:val="en-US" w:eastAsia="zh-CN"/>
              </w:rPr>
              <w:t>3.1</w:t>
            </w:r>
          </w:p>
        </w:tc>
        <w:tc>
          <w:tcPr>
            <w:tcW w:w="1002" w:type="dxa"/>
            <w:vAlign w:val="center"/>
          </w:tcPr>
          <w:p>
            <w:pPr>
              <w:pStyle w:val="65"/>
              <w:rPr>
                <w:rFonts w:hint="default" w:eastAsia="宋体"/>
                <w:lang w:val="en-US" w:eastAsia="zh-CN"/>
              </w:rPr>
            </w:pPr>
            <w:r>
              <w:rPr>
                <w:rFonts w:hint="eastAsia"/>
                <w:snapToGrid w:val="0"/>
                <w:kern w:val="21"/>
              </w:rPr>
              <w:t>+</w:t>
            </w:r>
            <w:r>
              <w:rPr>
                <w:rFonts w:hint="eastAsia"/>
                <w:lang w:val="en-US" w:eastAsia="zh-CN"/>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021" w:type="dxa"/>
            <w:vMerge w:val="continue"/>
            <w:vAlign w:val="center"/>
          </w:tcPr>
          <w:p>
            <w:pPr>
              <w:pStyle w:val="40"/>
              <w:spacing w:beforeLines="0" w:afterLines="0" w:line="240" w:lineRule="auto"/>
              <w:rPr>
                <w:rFonts w:ascii="Times New Roman"/>
                <w:snapToGrid w:val="0"/>
                <w:kern w:val="21"/>
                <w:szCs w:val="21"/>
              </w:rPr>
            </w:pPr>
          </w:p>
        </w:tc>
        <w:tc>
          <w:tcPr>
            <w:tcW w:w="1984" w:type="dxa"/>
            <w:vAlign w:val="center"/>
          </w:tcPr>
          <w:p>
            <w:pPr>
              <w:pStyle w:val="65"/>
            </w:pPr>
            <w:r>
              <w:rPr>
                <w:rFonts w:hint="eastAsia"/>
              </w:rPr>
              <w:t>废润滑油</w:t>
            </w:r>
          </w:p>
        </w:tc>
        <w:tc>
          <w:tcPr>
            <w:tcW w:w="1701" w:type="dxa"/>
            <w:vAlign w:val="center"/>
          </w:tcPr>
          <w:p>
            <w:pPr>
              <w:pStyle w:val="65"/>
            </w:pPr>
            <w:r>
              <w:rPr>
                <w:rFonts w:hint="eastAsia"/>
              </w:rPr>
              <w:t>0.</w:t>
            </w:r>
            <w:r>
              <w:t>02</w:t>
            </w:r>
          </w:p>
        </w:tc>
        <w:tc>
          <w:tcPr>
            <w:tcW w:w="1276"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pPr>
              <w:pStyle w:val="40"/>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pPr>
              <w:pStyle w:val="65"/>
            </w:pPr>
            <w:r>
              <w:rPr>
                <w:rFonts w:hint="eastAsia"/>
              </w:rPr>
              <w:t>0.</w:t>
            </w:r>
            <w:r>
              <w:t>02</w:t>
            </w:r>
          </w:p>
        </w:tc>
        <w:tc>
          <w:tcPr>
            <w:tcW w:w="1761" w:type="dxa"/>
            <w:vAlign w:val="center"/>
          </w:tcPr>
          <w:p>
            <w:pPr>
              <w:pStyle w:val="65"/>
            </w:pPr>
            <w:r>
              <w:rPr>
                <w:rFonts w:hint="eastAsia"/>
              </w:rPr>
              <w:t>/</w:t>
            </w:r>
          </w:p>
        </w:tc>
        <w:tc>
          <w:tcPr>
            <w:tcW w:w="1783" w:type="dxa"/>
            <w:vAlign w:val="center"/>
          </w:tcPr>
          <w:p>
            <w:pPr>
              <w:pStyle w:val="65"/>
            </w:pPr>
            <w:r>
              <w:rPr>
                <w:rFonts w:hint="eastAsia"/>
              </w:rPr>
              <w:t>0.</w:t>
            </w:r>
            <w:r>
              <w:t>02</w:t>
            </w:r>
          </w:p>
        </w:tc>
        <w:tc>
          <w:tcPr>
            <w:tcW w:w="1002" w:type="dxa"/>
            <w:vAlign w:val="center"/>
          </w:tcPr>
          <w:p>
            <w:pPr>
              <w:pStyle w:val="65"/>
            </w:pPr>
            <w:r>
              <w:rPr>
                <w:rFonts w:hint="eastAsia"/>
                <w:snapToGrid w:val="0"/>
                <w:kern w:val="21"/>
              </w:rPr>
              <w:t>+</w:t>
            </w:r>
            <w:r>
              <w:rPr>
                <w:rFonts w:hint="eastAsia"/>
              </w:rPr>
              <w:t>0.</w:t>
            </w:r>
            <w:r>
              <w:t>02</w:t>
            </w:r>
          </w:p>
        </w:tc>
      </w:tr>
    </w:tbl>
    <w:p>
      <w:pPr>
        <w:pStyle w:val="40"/>
        <w:spacing w:before="249" w:beforeLines="80" w:after="31"/>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pPr>
        <w:rPr>
          <w:snapToGrid w:val="0"/>
          <w:spacing w:val="-6"/>
          <w:kern w:val="21"/>
          <w:szCs w:val="21"/>
        </w:rPr>
      </w:pPr>
    </w:p>
    <w:p>
      <w:pPr>
        <w:pStyle w:val="2"/>
        <w:ind w:firstLine="538"/>
        <w:rPr>
          <w:snapToGrid w:val="0"/>
          <w:spacing w:val="-6"/>
          <w:kern w:val="21"/>
          <w:szCs w:val="21"/>
        </w:rPr>
      </w:pPr>
    </w:p>
    <w:p>
      <w:pPr>
        <w:rPr>
          <w:snapToGrid w:val="0"/>
          <w:spacing w:val="-6"/>
          <w:kern w:val="21"/>
          <w:szCs w:val="21"/>
        </w:rPr>
      </w:pPr>
    </w:p>
    <w:p>
      <w:pPr>
        <w:pStyle w:val="2"/>
        <w:ind w:firstLine="538"/>
        <w:rPr>
          <w:snapToGrid w:val="0"/>
          <w:spacing w:val="-6"/>
          <w:kern w:val="21"/>
          <w:szCs w:val="21"/>
        </w:rPr>
      </w:pPr>
    </w:p>
    <w:p>
      <w:pPr>
        <w:rPr>
          <w:snapToGrid w:val="0"/>
          <w:spacing w:val="-6"/>
          <w:kern w:val="21"/>
          <w:szCs w:val="21"/>
        </w:rPr>
      </w:pPr>
    </w:p>
    <w:p>
      <w:pPr>
        <w:pStyle w:val="2"/>
        <w:ind w:firstLine="538"/>
        <w:rPr>
          <w:snapToGrid w:val="0"/>
          <w:spacing w:val="-6"/>
          <w:kern w:val="21"/>
          <w:szCs w:val="21"/>
        </w:rPr>
      </w:pPr>
    </w:p>
    <w:p>
      <w:pPr>
        <w:rPr>
          <w:snapToGrid w:val="0"/>
          <w:spacing w:val="-6"/>
          <w:kern w:val="21"/>
          <w:szCs w:val="21"/>
        </w:rPr>
      </w:pPr>
    </w:p>
    <w:p>
      <w:pPr>
        <w:pStyle w:val="2"/>
        <w:ind w:firstLine="538"/>
        <w:rPr>
          <w:snapToGrid w:val="0"/>
          <w:spacing w:val="-6"/>
          <w:kern w:val="21"/>
          <w:szCs w:val="21"/>
        </w:rPr>
      </w:pPr>
    </w:p>
    <w:p>
      <w:pPr>
        <w:rPr>
          <w:snapToGrid w:val="0"/>
          <w:spacing w:val="-6"/>
          <w:kern w:val="21"/>
          <w:szCs w:val="21"/>
        </w:rPr>
      </w:pPr>
    </w:p>
    <w:p>
      <w:pPr>
        <w:pStyle w:val="2"/>
        <w:ind w:firstLine="538"/>
        <w:rPr>
          <w:snapToGrid w:val="0"/>
          <w:spacing w:val="-6"/>
          <w:kern w:val="21"/>
          <w:szCs w:val="21"/>
        </w:rPr>
      </w:pPr>
    </w:p>
    <w:p>
      <w:pPr>
        <w:rPr>
          <w:snapToGrid w:val="0"/>
          <w:spacing w:val="-6"/>
          <w:kern w:val="21"/>
          <w:szCs w:val="21"/>
        </w:rPr>
      </w:pPr>
    </w:p>
    <w:p>
      <w:pPr>
        <w:pStyle w:val="2"/>
        <w:ind w:firstLine="538"/>
        <w:rPr>
          <w:snapToGrid w:val="0"/>
          <w:spacing w:val="-6"/>
          <w:kern w:val="21"/>
          <w:szCs w:val="21"/>
        </w:rPr>
      </w:pPr>
    </w:p>
    <w:p/>
    <w:p>
      <w:pPr>
        <w:pStyle w:val="5"/>
        <w:rPr>
          <w:snapToGrid w:val="0"/>
          <w:spacing w:val="-6"/>
          <w:kern w:val="21"/>
          <w:szCs w:val="21"/>
        </w:rPr>
      </w:pPr>
    </w:p>
    <w:p>
      <w:pPr>
        <w:jc w:val="center"/>
        <w:rPr>
          <w:snapToGrid w:val="0"/>
          <w:spacing w:val="-6"/>
          <w:kern w:val="21"/>
          <w:szCs w:val="21"/>
        </w:rPr>
      </w:pPr>
      <w:r>
        <w:rPr>
          <w:sz w:val="24"/>
        </w:rPr>
        <w:pict>
          <v:shape id="矩形标注 13" o:spid="_x0000_s2053" o:spt="61" type="#_x0000_t61" style="position:absolute;left:0pt;margin-left:418.3pt;margin-top:298.1pt;height:23.5pt;width:78.1pt;z-index:251663360;v-text-anchor:middle;mso-width-relative:page;mso-height-relative:page;" fillcolor="#4F81BD" filled="t" stroked="t" coordsize="21600,21600" o:gfxdata="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UKtcHbAAAADAEAAA8AAAAAAAAAAQAgAAAAIgAAAGRycy9kb3du&#10;cmV2LnhtbFBLAQIUABQAAAAIAIdO4kD3R+BQpwIAAC0FAAAOAAAAAAAAAAEAIAAAACoBAABkcnMv&#10;ZTJvRG9jLnhtbFBLBQYAAAAABgAGAFkBAABDBgAAAAA=&#10;" adj="-22015,18429">
            <v:path/>
            <v:fill on="t" focussize="0,0"/>
            <v:stroke weight="2pt" color="#385D8A" joinstyle="round"/>
            <v:imagedata o:title=""/>
            <o:lock v:ext="edit"/>
            <v:textbox>
              <w:txbxContent>
                <w:p>
                  <w:pPr>
                    <w:jc w:val="center"/>
                  </w:pPr>
                  <w:r>
                    <w:rPr>
                      <w:rFonts w:hint="eastAsia"/>
                    </w:rPr>
                    <w:t>本项目位置</w:t>
                  </w:r>
                </w:p>
              </w:txbxContent>
            </v:textbox>
          </v:shape>
        </w:pict>
      </w:r>
      <w:r>
        <w:drawing>
          <wp:anchor distT="0" distB="0" distL="114300" distR="114300" simplePos="0" relativeHeight="251668480" behindDoc="0" locked="0" layoutInCell="1" allowOverlap="1">
            <wp:simplePos x="0" y="0"/>
            <wp:positionH relativeFrom="column">
              <wp:posOffset>8456295</wp:posOffset>
            </wp:positionH>
            <wp:positionV relativeFrom="paragraph">
              <wp:posOffset>107950</wp:posOffset>
            </wp:positionV>
            <wp:extent cx="621030" cy="638175"/>
            <wp:effectExtent l="0" t="0" r="3810" b="1905"/>
            <wp:wrapNone/>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pic:cNvPicPr>
                  </pic:nvPicPr>
                  <pic:blipFill>
                    <a:blip r:embed="rId22"/>
                    <a:stretch>
                      <a:fillRect/>
                    </a:stretch>
                  </pic:blipFill>
                  <pic:spPr>
                    <a:xfrm>
                      <a:off x="0" y="0"/>
                      <a:ext cx="621030" cy="638175"/>
                    </a:xfrm>
                    <a:prstGeom prst="rect">
                      <a:avLst/>
                    </a:prstGeom>
                    <a:noFill/>
                    <a:ln>
                      <a:noFill/>
                    </a:ln>
                  </pic:spPr>
                </pic:pic>
              </a:graphicData>
            </a:graphic>
          </wp:anchor>
        </w:drawing>
      </w:r>
      <w:r>
        <w:rPr>
          <w:rFonts w:hint="eastAsia"/>
          <w:snapToGrid w:val="0"/>
          <w:spacing w:val="-6"/>
          <w:kern w:val="21"/>
          <w:szCs w:val="21"/>
        </w:rPr>
        <w:drawing>
          <wp:inline distT="0" distB="0" distL="114300" distR="114300">
            <wp:extent cx="8425180" cy="4965700"/>
            <wp:effectExtent l="0" t="0" r="2540" b="254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3"/>
                    <a:stretch>
                      <a:fillRect/>
                    </a:stretch>
                  </pic:blipFill>
                  <pic:spPr>
                    <a:xfrm>
                      <a:off x="0" y="0"/>
                      <a:ext cx="8425180" cy="4965700"/>
                    </a:xfrm>
                    <a:prstGeom prst="rect">
                      <a:avLst/>
                    </a:prstGeom>
                  </pic:spPr>
                </pic:pic>
              </a:graphicData>
            </a:graphic>
          </wp:inline>
        </w:drawing>
      </w:r>
    </w:p>
    <w:p>
      <w:pPr>
        <w:jc w:val="center"/>
        <w:rPr>
          <w:b/>
          <w:bCs/>
          <w:snapToGrid w:val="0"/>
          <w:spacing w:val="-6"/>
          <w:kern w:val="21"/>
          <w:sz w:val="28"/>
          <w:szCs w:val="28"/>
        </w:rPr>
      </w:pPr>
      <w:r>
        <w:rPr>
          <w:rFonts w:hint="eastAsia" w:ascii="宋体" w:hAnsi="宋体" w:cs="宋体"/>
          <w:b/>
          <w:bCs/>
          <w:snapToGrid w:val="0"/>
          <w:spacing w:val="-6"/>
          <w:kern w:val="21"/>
          <w:sz w:val="28"/>
          <w:szCs w:val="28"/>
        </w:rPr>
        <w:t>附图1 地理位置图</w:t>
      </w:r>
    </w:p>
    <w:p>
      <w:pPr>
        <w:pStyle w:val="5"/>
        <w:rPr>
          <w:snapToGrid w:val="0"/>
          <w:spacing w:val="-6"/>
          <w:kern w:val="21"/>
          <w:szCs w:val="21"/>
        </w:rPr>
      </w:pPr>
      <w:r>
        <w:drawing>
          <wp:anchor distT="0" distB="0" distL="114300" distR="114300" simplePos="0" relativeHeight="251669504" behindDoc="0" locked="0" layoutInCell="1" allowOverlap="1">
            <wp:simplePos x="0" y="0"/>
            <wp:positionH relativeFrom="column">
              <wp:posOffset>8735695</wp:posOffset>
            </wp:positionH>
            <wp:positionV relativeFrom="paragraph">
              <wp:posOffset>91440</wp:posOffset>
            </wp:positionV>
            <wp:extent cx="487680" cy="501015"/>
            <wp:effectExtent l="0" t="0" r="0" b="1905"/>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2"/>
                    <a:stretch>
                      <a:fillRect/>
                    </a:stretch>
                  </pic:blipFill>
                  <pic:spPr>
                    <a:xfrm>
                      <a:off x="0" y="0"/>
                      <a:ext cx="487680" cy="501015"/>
                    </a:xfrm>
                    <a:prstGeom prst="rect">
                      <a:avLst/>
                    </a:prstGeom>
                    <a:noFill/>
                    <a:ln>
                      <a:noFill/>
                    </a:ln>
                  </pic:spPr>
                </pic:pic>
              </a:graphicData>
            </a:graphic>
          </wp:anchor>
        </w:drawing>
      </w:r>
      <w:r>
        <w:rPr>
          <w:sz w:val="24"/>
        </w:rPr>
        <w:pict>
          <v:shape id="_x0000_s2054" o:spid="_x0000_s2054" o:spt="61" type="#_x0000_t61" style="position:absolute;left:0pt;margin-left:362.8pt;margin-top:146.45pt;height:23.5pt;width:78.1pt;z-index:251667456;v-text-anchor:middle;mso-width-relative:page;mso-height-relative:page;" fillcolor="#4F81BD" filled="t" stroked="t" coordsize="21600,21600" o:gfxdata="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UKtcHbAAAADAEAAA8AAAAAAAAAAQAgAAAAIgAAAGRycy9kb3du&#10;cmV2LnhtbFBLAQIUABQAAAAIAIdO4kD3R+BQpwIAAC0FAAAOAAAAAAAAAAEAIAAAACoBAABkcnMv&#10;ZTJvRG9jLnhtbFBLBQYAAAAABgAGAFkBAABDBgAAAAA=&#10;" adj="-22015,18429">
            <v:path/>
            <v:fill on="t" focussize="0,0"/>
            <v:stroke weight="2pt" color="#385D8A" joinstyle="round"/>
            <v:imagedata o:title=""/>
            <o:lock v:ext="edit"/>
            <v:textbox>
              <w:txbxContent>
                <w:p>
                  <w:pPr>
                    <w:jc w:val="center"/>
                  </w:pPr>
                  <w:r>
                    <w:rPr>
                      <w:rFonts w:hint="eastAsia"/>
                    </w:rPr>
                    <w:t>本项目位置</w:t>
                  </w:r>
                </w:p>
              </w:txbxContent>
            </v:textbox>
          </v:shape>
        </w:pict>
      </w:r>
      <w:r>
        <w:rPr>
          <w:sz w:val="24"/>
        </w:rPr>
        <w:pict>
          <v:shape id="_x0000_s2055" o:spid="_x0000_s2055" o:spt="202" type="#_x0000_t202" style="position:absolute;left:0pt;margin-left:172.4pt;margin-top:167.35pt;height:47.35pt;width:93.45pt;z-index:251666432;mso-width-relative:page;mso-height-relative:page;" filled="f" stroked="t" coordsize="21600,21600">
            <v:path/>
            <v:fill on="f" focussize="0,0"/>
            <v:stroke weight="3pt" color="#92D050" joinstyle="miter"/>
            <v:imagedata o:title=""/>
            <o:lock v:ext="edit"/>
            <v:textbox>
              <w:txbxContent>
                <w:p>
                  <w:pPr>
                    <w:rPr>
                      <w:color w:val="9BBB59"/>
                      <w:sz w:val="36"/>
                      <w:szCs w:val="44"/>
                    </w:rPr>
                  </w:pPr>
                  <w:r>
                    <w:rPr>
                      <w:rFonts w:hint="eastAsia"/>
                      <w:color w:val="9BBB59"/>
                      <w:sz w:val="44"/>
                      <w:szCs w:val="52"/>
                    </w:rPr>
                    <w:t xml:space="preserve"> </w:t>
                  </w:r>
                  <w:r>
                    <w:rPr>
                      <w:rFonts w:hint="eastAsia"/>
                      <w:color w:val="943734"/>
                      <w:sz w:val="36"/>
                      <w:szCs w:val="44"/>
                    </w:rPr>
                    <w:t>葡萄地</w:t>
                  </w:r>
                </w:p>
              </w:txbxContent>
            </v:textbox>
          </v:shape>
        </w:pict>
      </w:r>
      <w:r>
        <w:rPr>
          <w:sz w:val="24"/>
        </w:rPr>
        <w:pict>
          <v:shape id="_x0000_s2056" o:spid="_x0000_s2056" o:spt="202" type="#_x0000_t202" style="position:absolute;left:0pt;margin-left:288.2pt;margin-top:224.35pt;height:47.35pt;width:93.45pt;z-index:251665408;mso-width-relative:page;mso-height-relative:page;" filled="f" stroked="t" coordsize="21600,21600">
            <v:path/>
            <v:fill on="f" focussize="0,0"/>
            <v:stroke weight="3pt" color="#92D050" joinstyle="miter"/>
            <v:imagedata o:title=""/>
            <o:lock v:ext="edit"/>
            <v:textbox>
              <w:txbxContent>
                <w:p>
                  <w:pPr>
                    <w:rPr>
                      <w:color w:val="9BBB59"/>
                      <w:sz w:val="44"/>
                      <w:szCs w:val="52"/>
                    </w:rPr>
                  </w:pPr>
                  <w:r>
                    <w:rPr>
                      <w:rFonts w:hint="eastAsia"/>
                      <w:color w:val="9BBB59"/>
                      <w:sz w:val="44"/>
                      <w:szCs w:val="52"/>
                    </w:rPr>
                    <w:t xml:space="preserve"> </w:t>
                  </w:r>
                  <w:r>
                    <w:rPr>
                      <w:rFonts w:hint="eastAsia"/>
                      <w:color w:val="943734"/>
                      <w:sz w:val="44"/>
                      <w:szCs w:val="52"/>
                    </w:rPr>
                    <w:t>农田</w:t>
                  </w:r>
                </w:p>
              </w:txbxContent>
            </v:textbox>
          </v:shape>
        </w:pict>
      </w:r>
      <w:r>
        <w:rPr>
          <w:sz w:val="24"/>
        </w:rPr>
        <w:pict>
          <v:shape id="_x0000_s2057" o:spid="_x0000_s2057" o:spt="202" type="#_x0000_t202" style="position:absolute;left:0pt;margin-left:275.65pt;margin-top:157.4pt;height:14.75pt;width:11.3pt;z-index:251664384;mso-width-relative:page;mso-height-relative:page;" fillcolor="#FF0000" filled="t" stroked="t" coordsize="21600,21600">
            <v:path/>
            <v:fill on="t" focussize="0,0"/>
            <v:stroke weight="3pt" color="#FF0000" joinstyle="miter"/>
            <v:imagedata o:title=""/>
            <o:lock v:ext="edit"/>
            <v:textbox>
              <w:txbxContent>
                <w:p/>
              </w:txbxContent>
            </v:textbox>
          </v:shape>
        </w:pict>
      </w:r>
      <w:r>
        <w:rPr>
          <w:rFonts w:hint="eastAsia"/>
          <w:color w:val="9BBB59"/>
          <w:sz w:val="44"/>
          <w:szCs w:val="52"/>
        </w:rPr>
        <w:t xml:space="preserve">  </w:t>
      </w:r>
      <w:r>
        <w:rPr>
          <w:rFonts w:hint="eastAsia"/>
          <w:snapToGrid w:val="0"/>
          <w:spacing w:val="-6"/>
          <w:kern w:val="21"/>
          <w:szCs w:val="21"/>
        </w:rPr>
        <w:drawing>
          <wp:inline distT="0" distB="0" distL="114300" distR="114300">
            <wp:extent cx="8942705" cy="4801870"/>
            <wp:effectExtent l="0" t="0" r="3175" b="13970"/>
            <wp:docPr id="3" name="图片 3"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理位置图"/>
                    <pic:cNvPicPr>
                      <a:picLocks noChangeAspect="1"/>
                    </pic:cNvPicPr>
                  </pic:nvPicPr>
                  <pic:blipFill>
                    <a:blip r:embed="rId24"/>
                    <a:stretch>
                      <a:fillRect/>
                    </a:stretch>
                  </pic:blipFill>
                  <pic:spPr>
                    <a:xfrm>
                      <a:off x="0" y="0"/>
                      <a:ext cx="8942705" cy="4801870"/>
                    </a:xfrm>
                    <a:prstGeom prst="rect">
                      <a:avLst/>
                    </a:prstGeom>
                  </pic:spPr>
                </pic:pic>
              </a:graphicData>
            </a:graphic>
          </wp:inline>
        </w:drawing>
      </w:r>
    </w:p>
    <w:p>
      <w:pPr>
        <w:jc w:val="center"/>
        <w:rPr>
          <w:b/>
          <w:bCs/>
          <w:sz w:val="28"/>
          <w:szCs w:val="28"/>
        </w:rPr>
      </w:pPr>
      <w:r>
        <w:rPr>
          <w:rFonts w:hint="eastAsia" w:ascii="宋体" w:hAnsi="宋体" w:cs="宋体"/>
          <w:b/>
          <w:bCs/>
          <w:snapToGrid w:val="0"/>
          <w:spacing w:val="-6"/>
          <w:kern w:val="21"/>
          <w:sz w:val="28"/>
          <w:szCs w:val="28"/>
        </w:rPr>
        <w:t>附图2 周边关系及环境敏感目标图</w:t>
      </w:r>
    </w:p>
    <w:p>
      <w:pPr>
        <w:jc w:val="center"/>
      </w:pPr>
    </w:p>
    <w:p>
      <w:pPr>
        <w:jc w:val="center"/>
      </w:pPr>
      <w:r>
        <w:rPr>
          <w:rFonts w:hint="eastAsia"/>
        </w:rPr>
        <w:drawing>
          <wp:inline distT="0" distB="0" distL="114300" distR="114300">
            <wp:extent cx="8119110" cy="5306695"/>
            <wp:effectExtent l="0" t="0" r="3810" b="12065"/>
            <wp:docPr id="4" name="图片 4" descr="微信截图_2023051117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30511173141"/>
                    <pic:cNvPicPr>
                      <a:picLocks noChangeAspect="1"/>
                    </pic:cNvPicPr>
                  </pic:nvPicPr>
                  <pic:blipFill>
                    <a:blip r:embed="rId25"/>
                    <a:stretch>
                      <a:fillRect/>
                    </a:stretch>
                  </pic:blipFill>
                  <pic:spPr>
                    <a:xfrm>
                      <a:off x="0" y="0"/>
                      <a:ext cx="8119110" cy="5306695"/>
                    </a:xfrm>
                    <a:prstGeom prst="rect">
                      <a:avLst/>
                    </a:prstGeom>
                  </pic:spPr>
                </pic:pic>
              </a:graphicData>
            </a:graphic>
          </wp:inline>
        </w:drawing>
      </w:r>
    </w:p>
    <w:p>
      <w:pPr>
        <w:jc w:val="center"/>
        <w:rPr>
          <w:b/>
          <w:bCs/>
          <w:sz w:val="28"/>
          <w:szCs w:val="28"/>
        </w:rPr>
        <w:sectPr>
          <w:pgSz w:w="16838" w:h="11906" w:orient="landscape"/>
          <w:pgMar w:top="720" w:right="720" w:bottom="720" w:left="720" w:header="851" w:footer="992" w:gutter="0"/>
          <w:cols w:space="720" w:num="1"/>
          <w:docGrid w:type="lines" w:linePitch="312" w:charSpace="0"/>
        </w:sectPr>
      </w:pPr>
      <w:r>
        <w:rPr>
          <w:rFonts w:hint="eastAsia" w:ascii="宋体" w:hAnsi="宋体" w:cs="宋体"/>
          <w:b/>
          <w:bCs/>
          <w:sz w:val="28"/>
          <w:szCs w:val="28"/>
        </w:rPr>
        <w:t xml:space="preserve">附图3 </w:t>
      </w:r>
      <w:r>
        <w:rPr>
          <w:rFonts w:hint="eastAsia"/>
          <w:b/>
          <w:bCs/>
          <w:sz w:val="28"/>
          <w:szCs w:val="28"/>
        </w:rPr>
        <w:t xml:space="preserve">   </w:t>
      </w:r>
      <w:r>
        <w:rPr>
          <w:b/>
          <w:bCs/>
          <w:sz w:val="28"/>
          <w:szCs w:val="28"/>
        </w:rPr>
        <w:t>昌吉回族自治州“三线一单”环境管控</w:t>
      </w:r>
      <w:r>
        <w:rPr>
          <w:rFonts w:hint="eastAsia"/>
          <w:b/>
          <w:bCs/>
          <w:sz w:val="28"/>
          <w:szCs w:val="28"/>
        </w:rPr>
        <w:t>单元分类图</w:t>
      </w:r>
    </w:p>
    <w:p/>
    <w:p>
      <w:pPr>
        <w:pStyle w:val="5"/>
      </w:pPr>
      <w:r>
        <w:rPr>
          <w:rFonts w:ascii="宋体" w:hAnsi="宋体" w:cs="宋体"/>
          <w:szCs w:val="24"/>
        </w:rPr>
        <w:drawing>
          <wp:anchor distT="0" distB="0" distL="114300" distR="114300" simplePos="0" relativeHeight="251662336" behindDoc="0" locked="0" layoutInCell="1" allowOverlap="1">
            <wp:simplePos x="0" y="0"/>
            <wp:positionH relativeFrom="column">
              <wp:posOffset>6435725</wp:posOffset>
            </wp:positionH>
            <wp:positionV relativeFrom="paragraph">
              <wp:posOffset>219075</wp:posOffset>
            </wp:positionV>
            <wp:extent cx="657225" cy="905510"/>
            <wp:effectExtent l="0" t="0" r="8890" b="13335"/>
            <wp:wrapNone/>
            <wp:docPr id="14" name="图片 1" descr="D:\东方信海\环评资料\昌吉市风玫瑰方向图.jpg昌吉市风玫瑰方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东方信海\环评资料\昌吉市风玫瑰方向图.jpg昌吉市风玫瑰方向图"/>
                    <pic:cNvPicPr>
                      <a:picLocks noChangeAspect="1"/>
                    </pic:cNvPicPr>
                  </pic:nvPicPr>
                  <pic:blipFill>
                    <a:blip r:embed="rId26">
                      <a:lum bright="6000" contrast="78000"/>
                    </a:blip>
                    <a:stretch>
                      <a:fillRect/>
                    </a:stretch>
                  </pic:blipFill>
                  <pic:spPr>
                    <a:xfrm rot="5400000">
                      <a:off x="0" y="0"/>
                      <a:ext cx="657225" cy="905510"/>
                    </a:xfrm>
                    <a:prstGeom prst="rect">
                      <a:avLst/>
                    </a:prstGeom>
                    <a:noFill/>
                    <a:ln>
                      <a:noFill/>
                    </a:ln>
                  </pic:spPr>
                </pic:pic>
              </a:graphicData>
            </a:graphic>
          </wp:anchor>
        </w:drawing>
      </w:r>
      <w:r>
        <w:rPr>
          <w:rFonts w:hint="eastAsia"/>
        </w:rPr>
        <w:drawing>
          <wp:inline distT="0" distB="0" distL="114300" distR="114300">
            <wp:extent cx="7676515" cy="4606925"/>
            <wp:effectExtent l="0" t="0" r="4445" b="10795"/>
            <wp:docPr id="5" name="图片 5" descr="微信截图_202305111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30511173441"/>
                    <pic:cNvPicPr>
                      <a:picLocks noChangeAspect="1"/>
                    </pic:cNvPicPr>
                  </pic:nvPicPr>
                  <pic:blipFill>
                    <a:blip r:embed="rId27"/>
                    <a:stretch>
                      <a:fillRect/>
                    </a:stretch>
                  </pic:blipFill>
                  <pic:spPr>
                    <a:xfrm>
                      <a:off x="0" y="0"/>
                      <a:ext cx="7676515" cy="4606925"/>
                    </a:xfrm>
                    <a:prstGeom prst="rect">
                      <a:avLst/>
                    </a:prstGeom>
                  </pic:spPr>
                </pic:pic>
              </a:graphicData>
            </a:graphic>
          </wp:inline>
        </w:drawing>
      </w:r>
    </w:p>
    <w:p>
      <w:pPr>
        <w:jc w:val="center"/>
        <w:rPr>
          <w:b/>
          <w:bCs/>
          <w:sz w:val="28"/>
          <w:szCs w:val="28"/>
        </w:rPr>
      </w:pPr>
      <w:r>
        <w:rPr>
          <w:rFonts w:hint="eastAsia"/>
          <w:b/>
          <w:bCs/>
          <w:sz w:val="28"/>
          <w:szCs w:val="28"/>
        </w:rPr>
        <w:t>附图4  平面布置图</w:t>
      </w:r>
    </w:p>
    <w:p>
      <w:pPr>
        <w:pStyle w:val="5"/>
      </w:pPr>
      <w:r>
        <w:rPr>
          <w:rFonts w:hint="eastAsia"/>
        </w:rPr>
        <w:drawing>
          <wp:inline distT="0" distB="0" distL="114300" distR="114300">
            <wp:extent cx="7420610" cy="4869180"/>
            <wp:effectExtent l="0" t="0" r="1270" b="7620"/>
            <wp:docPr id="6" name="图片 6" descr="微信截图_2023051117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30511172953"/>
                    <pic:cNvPicPr>
                      <a:picLocks noChangeAspect="1"/>
                    </pic:cNvPicPr>
                  </pic:nvPicPr>
                  <pic:blipFill>
                    <a:blip r:embed="rId28"/>
                    <a:stretch>
                      <a:fillRect/>
                    </a:stretch>
                  </pic:blipFill>
                  <pic:spPr>
                    <a:xfrm>
                      <a:off x="0" y="0"/>
                      <a:ext cx="7420610" cy="4869180"/>
                    </a:xfrm>
                    <a:prstGeom prst="rect">
                      <a:avLst/>
                    </a:prstGeom>
                  </pic:spPr>
                </pic:pic>
              </a:graphicData>
            </a:graphic>
          </wp:inline>
        </w:drawing>
      </w:r>
    </w:p>
    <w:p>
      <w:pPr>
        <w:jc w:val="center"/>
        <w:rPr>
          <w:rFonts w:hint="eastAsia" w:ascii="宋体" w:hAnsi="宋体" w:cs="宋体"/>
          <w:b/>
          <w:bCs/>
          <w:sz w:val="28"/>
          <w:szCs w:val="28"/>
        </w:rPr>
        <w:sectPr>
          <w:footerReference r:id="rId4" w:type="default"/>
          <w:pgSz w:w="16838" w:h="11906" w:orient="landscape"/>
          <w:pgMar w:top="1531" w:right="1701" w:bottom="1531" w:left="1701" w:header="851" w:footer="851" w:gutter="0"/>
          <w:cols w:space="720" w:num="1"/>
          <w:docGrid w:type="lines" w:linePitch="312" w:charSpace="0"/>
        </w:sectPr>
      </w:pPr>
      <w:r>
        <w:rPr>
          <w:rFonts w:hint="eastAsia" w:ascii="宋体" w:hAnsi="宋体" w:cs="宋体"/>
          <w:b/>
          <w:bCs/>
          <w:sz w:val="28"/>
          <w:szCs w:val="28"/>
        </w:rPr>
        <w:t>附图 5大气联防联控图</w:t>
      </w:r>
    </w:p>
    <w:p>
      <w:pPr>
        <w:pStyle w:val="2"/>
        <w:rPr>
          <w:rFonts w:hint="eastAsia"/>
        </w:rPr>
      </w:pPr>
    </w:p>
    <w:p>
      <w:pPr>
        <w:pStyle w:val="2"/>
        <w:rPr>
          <w:rFonts w:hint="eastAsia" w:eastAsiaTheme="minorEastAsia"/>
          <w:lang w:eastAsia="zh-CN"/>
        </w:rPr>
      </w:pPr>
      <w:r>
        <w:rPr>
          <w:rFonts w:hint="eastAsia" w:eastAsiaTheme="minorEastAsia"/>
          <w:lang w:eastAsia="zh-CN"/>
        </w:rPr>
        <w:drawing>
          <wp:inline distT="0" distB="0" distL="114300" distR="114300">
            <wp:extent cx="5266690" cy="7834630"/>
            <wp:effectExtent l="0" t="0" r="6350" b="13970"/>
            <wp:docPr id="7" name="图片 7" descr="e1a6eb86e2cd048d91fcbf22c7ae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1a6eb86e2cd048d91fcbf22c7aed58"/>
                    <pic:cNvPicPr>
                      <a:picLocks noChangeAspect="1"/>
                    </pic:cNvPicPr>
                  </pic:nvPicPr>
                  <pic:blipFill>
                    <a:blip r:embed="rId29"/>
                    <a:stretch>
                      <a:fillRect/>
                    </a:stretch>
                  </pic:blipFill>
                  <pic:spPr>
                    <a:xfrm>
                      <a:off x="0" y="0"/>
                      <a:ext cx="5266690" cy="7834630"/>
                    </a:xfrm>
                    <a:prstGeom prst="rect">
                      <a:avLst/>
                    </a:prstGeom>
                  </pic:spPr>
                </pic:pic>
              </a:graphicData>
            </a:graphic>
          </wp:inline>
        </w:drawing>
      </w:r>
    </w:p>
    <w:p>
      <w:pPr>
        <w:rPr>
          <w:rFonts w:hint="eastAsia" w:eastAsiaTheme="minorEastAsia"/>
          <w:lang w:eastAsia="zh-CN"/>
        </w:rPr>
      </w:pPr>
    </w:p>
    <w:p>
      <w:pPr>
        <w:pStyle w:val="2"/>
        <w:rPr>
          <w:rFonts w:hint="eastAsia" w:eastAsiaTheme="minorEastAsia"/>
          <w:lang w:eastAsia="zh-CN"/>
        </w:rPr>
      </w:pPr>
      <w:r>
        <w:rPr>
          <w:rFonts w:hint="eastAsia" w:eastAsiaTheme="minorEastAsia"/>
          <w:lang w:eastAsia="zh-CN"/>
        </w:rPr>
        <w:drawing>
          <wp:inline distT="0" distB="0" distL="114300" distR="114300">
            <wp:extent cx="5671185" cy="8034020"/>
            <wp:effectExtent l="0" t="0" r="13335" b="12700"/>
            <wp:docPr id="15" name="图片 15" descr="扫描全能王 2023-10-11 11.4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3-10-11 11.47_00"/>
                    <pic:cNvPicPr>
                      <a:picLocks noChangeAspect="1"/>
                    </pic:cNvPicPr>
                  </pic:nvPicPr>
                  <pic:blipFill>
                    <a:blip r:embed="rId30"/>
                    <a:srcRect l="4231" r="3664" b="4481"/>
                    <a:stretch>
                      <a:fillRect/>
                    </a:stretch>
                  </pic:blipFill>
                  <pic:spPr>
                    <a:xfrm>
                      <a:off x="0" y="0"/>
                      <a:ext cx="5671185" cy="803402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7960" cy="7523480"/>
            <wp:effectExtent l="0" t="0" r="5080" b="5080"/>
            <wp:docPr id="16" name="图片 16" descr="扫描全能王 2023-10-11 11.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3-10-11 11.55_1"/>
                    <pic:cNvPicPr>
                      <a:picLocks noChangeAspect="1"/>
                    </pic:cNvPicPr>
                  </pic:nvPicPr>
                  <pic:blipFill>
                    <a:blip r:embed="rId31"/>
                    <a:stretch>
                      <a:fillRect/>
                    </a:stretch>
                  </pic:blipFill>
                  <pic:spPr>
                    <a:xfrm>
                      <a:off x="0" y="0"/>
                      <a:ext cx="5267960" cy="7523480"/>
                    </a:xfrm>
                    <a:prstGeom prst="rect">
                      <a:avLst/>
                    </a:prstGeom>
                  </pic:spPr>
                </pic:pic>
              </a:graphicData>
            </a:graphic>
          </wp:inline>
        </w:drawing>
      </w:r>
      <w:r>
        <w:rPr>
          <w:rFonts w:hint="eastAsia" w:eastAsiaTheme="minorEastAsia"/>
          <w:lang w:eastAsia="zh-CN"/>
        </w:rPr>
        <w:drawing>
          <wp:inline distT="0" distB="0" distL="114300" distR="114300">
            <wp:extent cx="5269865" cy="8289290"/>
            <wp:effectExtent l="0" t="0" r="3175" b="1270"/>
            <wp:docPr id="17" name="图片 17" descr="扫描全能王 2023-10-11 11.5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扫描全能王 2023-10-11 11.55_2"/>
                    <pic:cNvPicPr>
                      <a:picLocks noChangeAspect="1"/>
                    </pic:cNvPicPr>
                  </pic:nvPicPr>
                  <pic:blipFill>
                    <a:blip r:embed="rId32"/>
                    <a:stretch>
                      <a:fillRect/>
                    </a:stretch>
                  </pic:blipFill>
                  <pic:spPr>
                    <a:xfrm>
                      <a:off x="0" y="0"/>
                      <a:ext cx="5269865" cy="8289290"/>
                    </a:xfrm>
                    <a:prstGeom prst="rect">
                      <a:avLst/>
                    </a:prstGeom>
                  </pic:spPr>
                </pic:pic>
              </a:graphicData>
            </a:graphic>
          </wp:inline>
        </w:drawing>
      </w:r>
      <w:r>
        <w:rPr>
          <w:rFonts w:hint="eastAsia" w:eastAsiaTheme="minorEastAsia"/>
          <w:lang w:eastAsia="zh-CN"/>
        </w:rPr>
        <w:drawing>
          <wp:inline distT="0" distB="0" distL="114300" distR="114300">
            <wp:extent cx="5274310" cy="8382000"/>
            <wp:effectExtent l="0" t="0" r="13970" b="0"/>
            <wp:docPr id="18" name="图片 18" descr="扫描全能王 2023-10-11 11.5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扫描全能王 2023-10-11 11.55_3"/>
                    <pic:cNvPicPr>
                      <a:picLocks noChangeAspect="1"/>
                    </pic:cNvPicPr>
                  </pic:nvPicPr>
                  <pic:blipFill>
                    <a:blip r:embed="rId33"/>
                    <a:stretch>
                      <a:fillRect/>
                    </a:stretch>
                  </pic:blipFill>
                  <pic:spPr>
                    <a:xfrm>
                      <a:off x="0" y="0"/>
                      <a:ext cx="5274310" cy="8382000"/>
                    </a:xfrm>
                    <a:prstGeom prst="rect">
                      <a:avLst/>
                    </a:prstGeom>
                  </pic:spPr>
                </pic:pic>
              </a:graphicData>
            </a:graphic>
          </wp:inline>
        </w:drawing>
      </w:r>
      <w:r>
        <w:rPr>
          <w:rFonts w:hint="eastAsia" w:eastAsiaTheme="minorEastAsia"/>
          <w:lang w:eastAsia="zh-CN"/>
        </w:rPr>
        <w:drawing>
          <wp:inline distT="0" distB="0" distL="114300" distR="114300">
            <wp:extent cx="5260975" cy="8187690"/>
            <wp:effectExtent l="0" t="0" r="12065" b="11430"/>
            <wp:docPr id="19" name="图片 19" descr="扫描全能王 2023-10-11 11.5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扫描全能王 2023-10-11 11.55_4"/>
                    <pic:cNvPicPr>
                      <a:picLocks noChangeAspect="1"/>
                    </pic:cNvPicPr>
                  </pic:nvPicPr>
                  <pic:blipFill>
                    <a:blip r:embed="rId34"/>
                    <a:stretch>
                      <a:fillRect/>
                    </a:stretch>
                  </pic:blipFill>
                  <pic:spPr>
                    <a:xfrm>
                      <a:off x="0" y="0"/>
                      <a:ext cx="5260975" cy="8187690"/>
                    </a:xfrm>
                    <a:prstGeom prst="rect">
                      <a:avLst/>
                    </a:prstGeom>
                  </pic:spPr>
                </pic:pic>
              </a:graphicData>
            </a:graphic>
          </wp:inline>
        </w:drawing>
      </w:r>
      <w:r>
        <w:rPr>
          <w:rFonts w:hint="eastAsia" w:eastAsiaTheme="minorEastAsia"/>
          <w:lang w:eastAsia="zh-CN"/>
        </w:rPr>
        <w:drawing>
          <wp:inline distT="0" distB="0" distL="114300" distR="114300">
            <wp:extent cx="5262880" cy="8469630"/>
            <wp:effectExtent l="0" t="0" r="10160" b="3810"/>
            <wp:docPr id="20" name="图片 20" descr="扫描全能王 2023-10-11 11.5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3-10-11 11.55_5"/>
                    <pic:cNvPicPr>
                      <a:picLocks noChangeAspect="1"/>
                    </pic:cNvPicPr>
                  </pic:nvPicPr>
                  <pic:blipFill>
                    <a:blip r:embed="rId35"/>
                    <a:stretch>
                      <a:fillRect/>
                    </a:stretch>
                  </pic:blipFill>
                  <pic:spPr>
                    <a:xfrm>
                      <a:off x="0" y="0"/>
                      <a:ext cx="5262880" cy="8469630"/>
                    </a:xfrm>
                    <a:prstGeom prst="rect">
                      <a:avLst/>
                    </a:prstGeom>
                  </pic:spPr>
                </pic:pic>
              </a:graphicData>
            </a:graphic>
          </wp:inline>
        </w:drawing>
      </w:r>
      <w:r>
        <w:rPr>
          <w:rFonts w:hint="eastAsia" w:eastAsiaTheme="minorEastAsia"/>
          <w:lang w:eastAsia="zh-CN"/>
        </w:rPr>
        <w:drawing>
          <wp:inline distT="0" distB="0" distL="114300" distR="114300">
            <wp:extent cx="5262245" cy="8028940"/>
            <wp:effectExtent l="0" t="0" r="10795" b="2540"/>
            <wp:docPr id="21" name="图片 21" descr="扫描全能王 2023-10-11 11.5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扫描全能王 2023-10-11 11.55_6"/>
                    <pic:cNvPicPr>
                      <a:picLocks noChangeAspect="1"/>
                    </pic:cNvPicPr>
                  </pic:nvPicPr>
                  <pic:blipFill>
                    <a:blip r:embed="rId36"/>
                    <a:stretch>
                      <a:fillRect/>
                    </a:stretch>
                  </pic:blipFill>
                  <pic:spPr>
                    <a:xfrm>
                      <a:off x="0" y="0"/>
                      <a:ext cx="5262245" cy="8028940"/>
                    </a:xfrm>
                    <a:prstGeom prst="rect">
                      <a:avLst/>
                    </a:prstGeom>
                  </pic:spPr>
                </pic:pic>
              </a:graphicData>
            </a:graphic>
          </wp:inline>
        </w:drawing>
      </w:r>
    </w:p>
    <w:p>
      <w:pPr>
        <w:pStyle w:val="2"/>
      </w:pPr>
    </w:p>
    <w:sectPr>
      <w:pgSz w:w="11906" w:h="16838"/>
      <w:pgMar w:top="1701" w:right="1531" w:bottom="1701" w:left="1531"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S Mincho">
    <w:panose1 w:val="02020609040205080304"/>
    <w:charset w:val="80"/>
    <w:family w:val="roman"/>
    <w:pitch w:val="default"/>
    <w:sig w:usb0="E00002FF" w:usb1="6AC7FDFB" w:usb2="00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page" w:x="5435" w:y="-102"/>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4</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54</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pPr>
      <w:pStyle w:val="1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CDC414"/>
    <w:multiLevelType w:val="singleLevel"/>
    <w:tmpl w:val="ECCDC414"/>
    <w:lvl w:ilvl="0" w:tentative="0">
      <w:start w:val="5"/>
      <w:numFmt w:val="decimal"/>
      <w:suff w:val="nothing"/>
      <w:lvlText w:val="%1、"/>
      <w:lvlJc w:val="left"/>
    </w:lvl>
  </w:abstractNum>
  <w:abstractNum w:abstractNumId="1">
    <w:nsid w:val="F0165D3D"/>
    <w:multiLevelType w:val="singleLevel"/>
    <w:tmpl w:val="F0165D3D"/>
    <w:lvl w:ilvl="0" w:tentative="0">
      <w:start w:val="1"/>
      <w:numFmt w:val="decimal"/>
      <w:suff w:val="nothing"/>
      <w:lvlText w:val="%1、"/>
      <w:lvlJc w:val="left"/>
    </w:lvl>
  </w:abstractNum>
  <w:abstractNum w:abstractNumId="2">
    <w:nsid w:val="F9E832C2"/>
    <w:multiLevelType w:val="singleLevel"/>
    <w:tmpl w:val="F9E832C2"/>
    <w:lvl w:ilvl="0" w:tentative="0">
      <w:start w:val="5"/>
      <w:numFmt w:val="decimal"/>
      <w:suff w:val="nothing"/>
      <w:lvlText w:val="（%1）"/>
      <w:lvlJc w:val="left"/>
    </w:lvl>
  </w:abstractNum>
  <w:abstractNum w:abstractNumId="3">
    <w:nsid w:val="1B05B519"/>
    <w:multiLevelType w:val="singleLevel"/>
    <w:tmpl w:val="1B05B519"/>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JhNTA4NGY0NzEwM2MwZmQwYjYxNDFkNzhkY2EwYjAifQ=="/>
  </w:docVars>
  <w:rsids>
    <w:rsidRoot w:val="00A14947"/>
    <w:rsid w:val="000027CE"/>
    <w:rsid w:val="00004E31"/>
    <w:rsid w:val="000060B3"/>
    <w:rsid w:val="00012A72"/>
    <w:rsid w:val="00012C1F"/>
    <w:rsid w:val="00023B73"/>
    <w:rsid w:val="00025373"/>
    <w:rsid w:val="00033789"/>
    <w:rsid w:val="0003386C"/>
    <w:rsid w:val="000376F4"/>
    <w:rsid w:val="000378E0"/>
    <w:rsid w:val="00037EAF"/>
    <w:rsid w:val="00042F48"/>
    <w:rsid w:val="0004364B"/>
    <w:rsid w:val="00050697"/>
    <w:rsid w:val="0005187D"/>
    <w:rsid w:val="000537A8"/>
    <w:rsid w:val="00061B1F"/>
    <w:rsid w:val="0006271A"/>
    <w:rsid w:val="00062772"/>
    <w:rsid w:val="0006462F"/>
    <w:rsid w:val="00065C1A"/>
    <w:rsid w:val="000733C4"/>
    <w:rsid w:val="0007366A"/>
    <w:rsid w:val="00074783"/>
    <w:rsid w:val="00075149"/>
    <w:rsid w:val="0007682A"/>
    <w:rsid w:val="0008070B"/>
    <w:rsid w:val="000810AC"/>
    <w:rsid w:val="00081866"/>
    <w:rsid w:val="00081A02"/>
    <w:rsid w:val="00082231"/>
    <w:rsid w:val="00082430"/>
    <w:rsid w:val="0008396F"/>
    <w:rsid w:val="000842C3"/>
    <w:rsid w:val="000859EB"/>
    <w:rsid w:val="00092692"/>
    <w:rsid w:val="00092D38"/>
    <w:rsid w:val="0009377B"/>
    <w:rsid w:val="00094465"/>
    <w:rsid w:val="000A20C9"/>
    <w:rsid w:val="000B058F"/>
    <w:rsid w:val="000B066A"/>
    <w:rsid w:val="000B403C"/>
    <w:rsid w:val="000B4353"/>
    <w:rsid w:val="000B4467"/>
    <w:rsid w:val="000B4DB9"/>
    <w:rsid w:val="000C09AC"/>
    <w:rsid w:val="000C767F"/>
    <w:rsid w:val="000D3DC5"/>
    <w:rsid w:val="000D5A44"/>
    <w:rsid w:val="000D790F"/>
    <w:rsid w:val="000D7C58"/>
    <w:rsid w:val="000E26C7"/>
    <w:rsid w:val="000E3ED2"/>
    <w:rsid w:val="000E45E5"/>
    <w:rsid w:val="000E4641"/>
    <w:rsid w:val="000E648B"/>
    <w:rsid w:val="000E6B0E"/>
    <w:rsid w:val="000F2E83"/>
    <w:rsid w:val="000F3FB4"/>
    <w:rsid w:val="000F41D2"/>
    <w:rsid w:val="00103DA2"/>
    <w:rsid w:val="001049C7"/>
    <w:rsid w:val="0010558C"/>
    <w:rsid w:val="001055D6"/>
    <w:rsid w:val="00106646"/>
    <w:rsid w:val="0011166F"/>
    <w:rsid w:val="0012133A"/>
    <w:rsid w:val="00127300"/>
    <w:rsid w:val="00131F42"/>
    <w:rsid w:val="0013441A"/>
    <w:rsid w:val="001350E5"/>
    <w:rsid w:val="001357F1"/>
    <w:rsid w:val="00136A59"/>
    <w:rsid w:val="00136ED7"/>
    <w:rsid w:val="00140FA8"/>
    <w:rsid w:val="0014159F"/>
    <w:rsid w:val="00142FEB"/>
    <w:rsid w:val="00143A2D"/>
    <w:rsid w:val="00145A41"/>
    <w:rsid w:val="00150B60"/>
    <w:rsid w:val="00151675"/>
    <w:rsid w:val="00151DB0"/>
    <w:rsid w:val="0015390B"/>
    <w:rsid w:val="00156A41"/>
    <w:rsid w:val="00157435"/>
    <w:rsid w:val="00157B59"/>
    <w:rsid w:val="00160F9F"/>
    <w:rsid w:val="001613D4"/>
    <w:rsid w:val="001618B2"/>
    <w:rsid w:val="00167D33"/>
    <w:rsid w:val="00167F53"/>
    <w:rsid w:val="00173ACD"/>
    <w:rsid w:val="00173E2D"/>
    <w:rsid w:val="0017412B"/>
    <w:rsid w:val="0017504D"/>
    <w:rsid w:val="0017671A"/>
    <w:rsid w:val="00177422"/>
    <w:rsid w:val="00182530"/>
    <w:rsid w:val="00184590"/>
    <w:rsid w:val="0018573F"/>
    <w:rsid w:val="001870D1"/>
    <w:rsid w:val="0018781E"/>
    <w:rsid w:val="0019262D"/>
    <w:rsid w:val="001A1B35"/>
    <w:rsid w:val="001A3B70"/>
    <w:rsid w:val="001A48A2"/>
    <w:rsid w:val="001A6160"/>
    <w:rsid w:val="001A6F61"/>
    <w:rsid w:val="001B3999"/>
    <w:rsid w:val="001B72B8"/>
    <w:rsid w:val="001C2894"/>
    <w:rsid w:val="001C2FB8"/>
    <w:rsid w:val="001C30B2"/>
    <w:rsid w:val="001C69B3"/>
    <w:rsid w:val="001D00C0"/>
    <w:rsid w:val="001D2960"/>
    <w:rsid w:val="001D5595"/>
    <w:rsid w:val="001D710E"/>
    <w:rsid w:val="001D7874"/>
    <w:rsid w:val="001D7F22"/>
    <w:rsid w:val="001F0F17"/>
    <w:rsid w:val="001F225C"/>
    <w:rsid w:val="001F3347"/>
    <w:rsid w:val="001F5CA4"/>
    <w:rsid w:val="001F5F8B"/>
    <w:rsid w:val="001F69E4"/>
    <w:rsid w:val="00203D50"/>
    <w:rsid w:val="00211502"/>
    <w:rsid w:val="002125B4"/>
    <w:rsid w:val="002155B8"/>
    <w:rsid w:val="00224839"/>
    <w:rsid w:val="002249B2"/>
    <w:rsid w:val="00226574"/>
    <w:rsid w:val="002278EC"/>
    <w:rsid w:val="00230000"/>
    <w:rsid w:val="002307D4"/>
    <w:rsid w:val="002322E6"/>
    <w:rsid w:val="0023280E"/>
    <w:rsid w:val="00233272"/>
    <w:rsid w:val="002363AC"/>
    <w:rsid w:val="002363B8"/>
    <w:rsid w:val="002377D1"/>
    <w:rsid w:val="00237FF0"/>
    <w:rsid w:val="00240457"/>
    <w:rsid w:val="0024495E"/>
    <w:rsid w:val="002506BC"/>
    <w:rsid w:val="00254345"/>
    <w:rsid w:val="00254FD7"/>
    <w:rsid w:val="002556D3"/>
    <w:rsid w:val="00255FC3"/>
    <w:rsid w:val="00261A19"/>
    <w:rsid w:val="002632AA"/>
    <w:rsid w:val="00264557"/>
    <w:rsid w:val="00266B9B"/>
    <w:rsid w:val="00267464"/>
    <w:rsid w:val="002805AB"/>
    <w:rsid w:val="00280C70"/>
    <w:rsid w:val="00282116"/>
    <w:rsid w:val="00284204"/>
    <w:rsid w:val="00287326"/>
    <w:rsid w:val="002911D8"/>
    <w:rsid w:val="00291773"/>
    <w:rsid w:val="00293C45"/>
    <w:rsid w:val="00294424"/>
    <w:rsid w:val="00296D1E"/>
    <w:rsid w:val="00297654"/>
    <w:rsid w:val="002A168C"/>
    <w:rsid w:val="002A27FC"/>
    <w:rsid w:val="002A3DC7"/>
    <w:rsid w:val="002A6DED"/>
    <w:rsid w:val="002B1F87"/>
    <w:rsid w:val="002B49E2"/>
    <w:rsid w:val="002B4A69"/>
    <w:rsid w:val="002B7B00"/>
    <w:rsid w:val="002B7C44"/>
    <w:rsid w:val="002C012B"/>
    <w:rsid w:val="002C0720"/>
    <w:rsid w:val="002C14B6"/>
    <w:rsid w:val="002C2B17"/>
    <w:rsid w:val="002C4321"/>
    <w:rsid w:val="002D12DC"/>
    <w:rsid w:val="002D264A"/>
    <w:rsid w:val="002D38D3"/>
    <w:rsid w:val="002D3DD0"/>
    <w:rsid w:val="002D5A15"/>
    <w:rsid w:val="002E1F3A"/>
    <w:rsid w:val="002E298A"/>
    <w:rsid w:val="002E5930"/>
    <w:rsid w:val="002E798C"/>
    <w:rsid w:val="002F03CE"/>
    <w:rsid w:val="002F11DE"/>
    <w:rsid w:val="002F3967"/>
    <w:rsid w:val="002F3DCA"/>
    <w:rsid w:val="002F42B7"/>
    <w:rsid w:val="00301978"/>
    <w:rsid w:val="00302383"/>
    <w:rsid w:val="0030332C"/>
    <w:rsid w:val="003046A3"/>
    <w:rsid w:val="00304800"/>
    <w:rsid w:val="003051C2"/>
    <w:rsid w:val="00306960"/>
    <w:rsid w:val="003073C1"/>
    <w:rsid w:val="00312296"/>
    <w:rsid w:val="003138FA"/>
    <w:rsid w:val="00314F0E"/>
    <w:rsid w:val="00315330"/>
    <w:rsid w:val="003167EE"/>
    <w:rsid w:val="003200C8"/>
    <w:rsid w:val="00320F1E"/>
    <w:rsid w:val="00321D8E"/>
    <w:rsid w:val="00325928"/>
    <w:rsid w:val="00331646"/>
    <w:rsid w:val="00332863"/>
    <w:rsid w:val="00332DA5"/>
    <w:rsid w:val="003333C7"/>
    <w:rsid w:val="0033684D"/>
    <w:rsid w:val="00337B42"/>
    <w:rsid w:val="003407E4"/>
    <w:rsid w:val="00341B42"/>
    <w:rsid w:val="00341C79"/>
    <w:rsid w:val="00342336"/>
    <w:rsid w:val="00342A83"/>
    <w:rsid w:val="0034348F"/>
    <w:rsid w:val="00351E06"/>
    <w:rsid w:val="003543BE"/>
    <w:rsid w:val="003553E9"/>
    <w:rsid w:val="00356653"/>
    <w:rsid w:val="0035743F"/>
    <w:rsid w:val="00357BE2"/>
    <w:rsid w:val="00361025"/>
    <w:rsid w:val="0036170C"/>
    <w:rsid w:val="00361D2D"/>
    <w:rsid w:val="003633B7"/>
    <w:rsid w:val="00366E0F"/>
    <w:rsid w:val="003722FE"/>
    <w:rsid w:val="00377E12"/>
    <w:rsid w:val="00381A72"/>
    <w:rsid w:val="00384676"/>
    <w:rsid w:val="003853BC"/>
    <w:rsid w:val="00390857"/>
    <w:rsid w:val="003958C5"/>
    <w:rsid w:val="00397D10"/>
    <w:rsid w:val="003A2AF3"/>
    <w:rsid w:val="003A4BF3"/>
    <w:rsid w:val="003A4F1A"/>
    <w:rsid w:val="003B420D"/>
    <w:rsid w:val="003B5BF6"/>
    <w:rsid w:val="003B6050"/>
    <w:rsid w:val="003B6EBB"/>
    <w:rsid w:val="003C17E2"/>
    <w:rsid w:val="003C47E9"/>
    <w:rsid w:val="003C6247"/>
    <w:rsid w:val="003C6C16"/>
    <w:rsid w:val="003C6C79"/>
    <w:rsid w:val="003C6D57"/>
    <w:rsid w:val="003D78C6"/>
    <w:rsid w:val="003D794D"/>
    <w:rsid w:val="003E3058"/>
    <w:rsid w:val="003E364B"/>
    <w:rsid w:val="003E5D1F"/>
    <w:rsid w:val="003E76A9"/>
    <w:rsid w:val="003F0809"/>
    <w:rsid w:val="003F1E12"/>
    <w:rsid w:val="003F3116"/>
    <w:rsid w:val="003F3BD2"/>
    <w:rsid w:val="003F3C12"/>
    <w:rsid w:val="003F5830"/>
    <w:rsid w:val="003F6241"/>
    <w:rsid w:val="003F6A8C"/>
    <w:rsid w:val="003F6F77"/>
    <w:rsid w:val="003F755C"/>
    <w:rsid w:val="0040067B"/>
    <w:rsid w:val="004049FA"/>
    <w:rsid w:val="0040646E"/>
    <w:rsid w:val="00406553"/>
    <w:rsid w:val="00406F01"/>
    <w:rsid w:val="00412776"/>
    <w:rsid w:val="00414ECE"/>
    <w:rsid w:val="00416525"/>
    <w:rsid w:val="00416D50"/>
    <w:rsid w:val="00416DA2"/>
    <w:rsid w:val="00416FD5"/>
    <w:rsid w:val="00417772"/>
    <w:rsid w:val="00417D7C"/>
    <w:rsid w:val="00420E6A"/>
    <w:rsid w:val="0042233F"/>
    <w:rsid w:val="00422698"/>
    <w:rsid w:val="004229C1"/>
    <w:rsid w:val="00425A9E"/>
    <w:rsid w:val="00426B1B"/>
    <w:rsid w:val="00426D6B"/>
    <w:rsid w:val="0042743C"/>
    <w:rsid w:val="00427DDC"/>
    <w:rsid w:val="00431E6C"/>
    <w:rsid w:val="00433CE7"/>
    <w:rsid w:val="004347FE"/>
    <w:rsid w:val="00442015"/>
    <w:rsid w:val="004459C3"/>
    <w:rsid w:val="00452738"/>
    <w:rsid w:val="00452FA3"/>
    <w:rsid w:val="00455BA2"/>
    <w:rsid w:val="00456091"/>
    <w:rsid w:val="00456110"/>
    <w:rsid w:val="00462D5D"/>
    <w:rsid w:val="00463719"/>
    <w:rsid w:val="00464324"/>
    <w:rsid w:val="00466321"/>
    <w:rsid w:val="00470A00"/>
    <w:rsid w:val="00470CA2"/>
    <w:rsid w:val="00475149"/>
    <w:rsid w:val="00484B9B"/>
    <w:rsid w:val="004855F6"/>
    <w:rsid w:val="0048661E"/>
    <w:rsid w:val="00487A91"/>
    <w:rsid w:val="00490706"/>
    <w:rsid w:val="0049343B"/>
    <w:rsid w:val="00494670"/>
    <w:rsid w:val="00494F2B"/>
    <w:rsid w:val="004979DC"/>
    <w:rsid w:val="004A0751"/>
    <w:rsid w:val="004A1875"/>
    <w:rsid w:val="004A3823"/>
    <w:rsid w:val="004A5A1D"/>
    <w:rsid w:val="004A5D05"/>
    <w:rsid w:val="004A622E"/>
    <w:rsid w:val="004B249E"/>
    <w:rsid w:val="004B6306"/>
    <w:rsid w:val="004B6F60"/>
    <w:rsid w:val="004B7AF7"/>
    <w:rsid w:val="004C035E"/>
    <w:rsid w:val="004C37C6"/>
    <w:rsid w:val="004C5CE0"/>
    <w:rsid w:val="004C7347"/>
    <w:rsid w:val="004D0D09"/>
    <w:rsid w:val="004D2890"/>
    <w:rsid w:val="004D5451"/>
    <w:rsid w:val="004E01BE"/>
    <w:rsid w:val="004E2664"/>
    <w:rsid w:val="004E587C"/>
    <w:rsid w:val="004E6946"/>
    <w:rsid w:val="004E7DD6"/>
    <w:rsid w:val="004F1AD8"/>
    <w:rsid w:val="004F4EEB"/>
    <w:rsid w:val="005039CB"/>
    <w:rsid w:val="00504570"/>
    <w:rsid w:val="0050558F"/>
    <w:rsid w:val="00506267"/>
    <w:rsid w:val="00506286"/>
    <w:rsid w:val="00506CC7"/>
    <w:rsid w:val="00507A8E"/>
    <w:rsid w:val="00510813"/>
    <w:rsid w:val="00510B49"/>
    <w:rsid w:val="00511486"/>
    <w:rsid w:val="00511990"/>
    <w:rsid w:val="00511DE0"/>
    <w:rsid w:val="005136C1"/>
    <w:rsid w:val="00514870"/>
    <w:rsid w:val="00514B9B"/>
    <w:rsid w:val="0051579F"/>
    <w:rsid w:val="00517C00"/>
    <w:rsid w:val="00517F02"/>
    <w:rsid w:val="00520357"/>
    <w:rsid w:val="00520580"/>
    <w:rsid w:val="0052254C"/>
    <w:rsid w:val="005227F8"/>
    <w:rsid w:val="00524303"/>
    <w:rsid w:val="005258A2"/>
    <w:rsid w:val="00526069"/>
    <w:rsid w:val="0053158C"/>
    <w:rsid w:val="00532448"/>
    <w:rsid w:val="00532489"/>
    <w:rsid w:val="00533978"/>
    <w:rsid w:val="005401AE"/>
    <w:rsid w:val="00542E07"/>
    <w:rsid w:val="00545424"/>
    <w:rsid w:val="00547588"/>
    <w:rsid w:val="005518FE"/>
    <w:rsid w:val="00551D97"/>
    <w:rsid w:val="00552995"/>
    <w:rsid w:val="00554A7B"/>
    <w:rsid w:val="00554AE7"/>
    <w:rsid w:val="0055572C"/>
    <w:rsid w:val="00556F70"/>
    <w:rsid w:val="0056001F"/>
    <w:rsid w:val="0056106A"/>
    <w:rsid w:val="00561776"/>
    <w:rsid w:val="00565C95"/>
    <w:rsid w:val="00566D35"/>
    <w:rsid w:val="00570EF6"/>
    <w:rsid w:val="005720AE"/>
    <w:rsid w:val="00580140"/>
    <w:rsid w:val="00581A00"/>
    <w:rsid w:val="005842ED"/>
    <w:rsid w:val="00585757"/>
    <w:rsid w:val="00586B11"/>
    <w:rsid w:val="00590093"/>
    <w:rsid w:val="0059054D"/>
    <w:rsid w:val="005948EC"/>
    <w:rsid w:val="00594D77"/>
    <w:rsid w:val="005969E4"/>
    <w:rsid w:val="005A06B7"/>
    <w:rsid w:val="005A1759"/>
    <w:rsid w:val="005A68A7"/>
    <w:rsid w:val="005B054C"/>
    <w:rsid w:val="005B1CEB"/>
    <w:rsid w:val="005B2CAD"/>
    <w:rsid w:val="005B46E1"/>
    <w:rsid w:val="005B4AB2"/>
    <w:rsid w:val="005B72AB"/>
    <w:rsid w:val="005B7CED"/>
    <w:rsid w:val="005C0033"/>
    <w:rsid w:val="005C1744"/>
    <w:rsid w:val="005C18DC"/>
    <w:rsid w:val="005C4513"/>
    <w:rsid w:val="005C5E90"/>
    <w:rsid w:val="005C6B8F"/>
    <w:rsid w:val="005C7600"/>
    <w:rsid w:val="005D36AB"/>
    <w:rsid w:val="005E15E6"/>
    <w:rsid w:val="005E3D1C"/>
    <w:rsid w:val="005F0C02"/>
    <w:rsid w:val="005F41DB"/>
    <w:rsid w:val="006011AF"/>
    <w:rsid w:val="006037B1"/>
    <w:rsid w:val="0060509B"/>
    <w:rsid w:val="0061385D"/>
    <w:rsid w:val="00614BD5"/>
    <w:rsid w:val="00617CC3"/>
    <w:rsid w:val="006242E5"/>
    <w:rsid w:val="0062437D"/>
    <w:rsid w:val="00626205"/>
    <w:rsid w:val="00630E03"/>
    <w:rsid w:val="00633EB5"/>
    <w:rsid w:val="00637744"/>
    <w:rsid w:val="006377A6"/>
    <w:rsid w:val="00637A3D"/>
    <w:rsid w:val="006411EF"/>
    <w:rsid w:val="0064343D"/>
    <w:rsid w:val="00644194"/>
    <w:rsid w:val="00644D33"/>
    <w:rsid w:val="00650244"/>
    <w:rsid w:val="00650681"/>
    <w:rsid w:val="006603A2"/>
    <w:rsid w:val="006610F7"/>
    <w:rsid w:val="00661726"/>
    <w:rsid w:val="00663AE3"/>
    <w:rsid w:val="0066452A"/>
    <w:rsid w:val="00666325"/>
    <w:rsid w:val="0067364E"/>
    <w:rsid w:val="006748B8"/>
    <w:rsid w:val="006775C3"/>
    <w:rsid w:val="00680999"/>
    <w:rsid w:val="00683BDF"/>
    <w:rsid w:val="00684DF3"/>
    <w:rsid w:val="00685680"/>
    <w:rsid w:val="00690BD6"/>
    <w:rsid w:val="0069290A"/>
    <w:rsid w:val="00694403"/>
    <w:rsid w:val="0069775A"/>
    <w:rsid w:val="00697813"/>
    <w:rsid w:val="006A3EE8"/>
    <w:rsid w:val="006A72BF"/>
    <w:rsid w:val="006B03F2"/>
    <w:rsid w:val="006B37DC"/>
    <w:rsid w:val="006B4E2C"/>
    <w:rsid w:val="006B4F64"/>
    <w:rsid w:val="006B4F68"/>
    <w:rsid w:val="006B4F9F"/>
    <w:rsid w:val="006B5F65"/>
    <w:rsid w:val="006C0592"/>
    <w:rsid w:val="006C272E"/>
    <w:rsid w:val="006C442F"/>
    <w:rsid w:val="006C4432"/>
    <w:rsid w:val="006C5230"/>
    <w:rsid w:val="006C5479"/>
    <w:rsid w:val="006D13B5"/>
    <w:rsid w:val="006D2C17"/>
    <w:rsid w:val="006D2DF8"/>
    <w:rsid w:val="006D41B9"/>
    <w:rsid w:val="006D4F80"/>
    <w:rsid w:val="006D6710"/>
    <w:rsid w:val="006E12FF"/>
    <w:rsid w:val="006E19F6"/>
    <w:rsid w:val="006E4ADC"/>
    <w:rsid w:val="006E607E"/>
    <w:rsid w:val="006E6792"/>
    <w:rsid w:val="006E686D"/>
    <w:rsid w:val="006F075D"/>
    <w:rsid w:val="006F130E"/>
    <w:rsid w:val="006F239F"/>
    <w:rsid w:val="006F4915"/>
    <w:rsid w:val="006F5D51"/>
    <w:rsid w:val="006F6633"/>
    <w:rsid w:val="007018E1"/>
    <w:rsid w:val="00702BCE"/>
    <w:rsid w:val="00706C5D"/>
    <w:rsid w:val="00707BD6"/>
    <w:rsid w:val="00711456"/>
    <w:rsid w:val="00715BF6"/>
    <w:rsid w:val="00726A39"/>
    <w:rsid w:val="00730FC4"/>
    <w:rsid w:val="00731075"/>
    <w:rsid w:val="00732922"/>
    <w:rsid w:val="00734E1B"/>
    <w:rsid w:val="007350A6"/>
    <w:rsid w:val="00750428"/>
    <w:rsid w:val="0075162E"/>
    <w:rsid w:val="007525A0"/>
    <w:rsid w:val="00754034"/>
    <w:rsid w:val="007555B1"/>
    <w:rsid w:val="00756556"/>
    <w:rsid w:val="007566E5"/>
    <w:rsid w:val="00756FBC"/>
    <w:rsid w:val="007618C4"/>
    <w:rsid w:val="00761AD3"/>
    <w:rsid w:val="00762B92"/>
    <w:rsid w:val="00765E56"/>
    <w:rsid w:val="00767980"/>
    <w:rsid w:val="00770AB9"/>
    <w:rsid w:val="00770B19"/>
    <w:rsid w:val="0077463F"/>
    <w:rsid w:val="00775949"/>
    <w:rsid w:val="00776E07"/>
    <w:rsid w:val="007773D0"/>
    <w:rsid w:val="007777EB"/>
    <w:rsid w:val="00777BF2"/>
    <w:rsid w:val="007836EA"/>
    <w:rsid w:val="00784CDA"/>
    <w:rsid w:val="007906C4"/>
    <w:rsid w:val="007940EA"/>
    <w:rsid w:val="007940FE"/>
    <w:rsid w:val="00796593"/>
    <w:rsid w:val="007967E8"/>
    <w:rsid w:val="00796BBD"/>
    <w:rsid w:val="007A2170"/>
    <w:rsid w:val="007A22BF"/>
    <w:rsid w:val="007A3323"/>
    <w:rsid w:val="007A5FB6"/>
    <w:rsid w:val="007A626C"/>
    <w:rsid w:val="007B72B8"/>
    <w:rsid w:val="007B736C"/>
    <w:rsid w:val="007B7A58"/>
    <w:rsid w:val="007C170F"/>
    <w:rsid w:val="007C21B5"/>
    <w:rsid w:val="007C7236"/>
    <w:rsid w:val="007C74F5"/>
    <w:rsid w:val="007D08B5"/>
    <w:rsid w:val="007D419E"/>
    <w:rsid w:val="007D53E8"/>
    <w:rsid w:val="007E4BD2"/>
    <w:rsid w:val="007F18BE"/>
    <w:rsid w:val="00801393"/>
    <w:rsid w:val="00802F88"/>
    <w:rsid w:val="0081293E"/>
    <w:rsid w:val="008134ED"/>
    <w:rsid w:val="00815465"/>
    <w:rsid w:val="008156DF"/>
    <w:rsid w:val="00815CF7"/>
    <w:rsid w:val="00817E9A"/>
    <w:rsid w:val="0082623F"/>
    <w:rsid w:val="008306BD"/>
    <w:rsid w:val="00830DC1"/>
    <w:rsid w:val="00831A80"/>
    <w:rsid w:val="00832E6C"/>
    <w:rsid w:val="00833743"/>
    <w:rsid w:val="008340A4"/>
    <w:rsid w:val="008361DF"/>
    <w:rsid w:val="00837335"/>
    <w:rsid w:val="00843D4B"/>
    <w:rsid w:val="008446A0"/>
    <w:rsid w:val="00846138"/>
    <w:rsid w:val="00846875"/>
    <w:rsid w:val="00850A6F"/>
    <w:rsid w:val="008512FD"/>
    <w:rsid w:val="008513CB"/>
    <w:rsid w:val="00853623"/>
    <w:rsid w:val="00856B3D"/>
    <w:rsid w:val="00861087"/>
    <w:rsid w:val="008621CA"/>
    <w:rsid w:val="008665F5"/>
    <w:rsid w:val="0087135F"/>
    <w:rsid w:val="00871F91"/>
    <w:rsid w:val="00872D94"/>
    <w:rsid w:val="00874041"/>
    <w:rsid w:val="00876698"/>
    <w:rsid w:val="00876B0C"/>
    <w:rsid w:val="00880364"/>
    <w:rsid w:val="00891592"/>
    <w:rsid w:val="00891E9E"/>
    <w:rsid w:val="00893CF0"/>
    <w:rsid w:val="00896E3A"/>
    <w:rsid w:val="008A033B"/>
    <w:rsid w:val="008A1F71"/>
    <w:rsid w:val="008A2F68"/>
    <w:rsid w:val="008A7E03"/>
    <w:rsid w:val="008B4FA6"/>
    <w:rsid w:val="008B5282"/>
    <w:rsid w:val="008B5A39"/>
    <w:rsid w:val="008B6523"/>
    <w:rsid w:val="008B7C17"/>
    <w:rsid w:val="008C0AA0"/>
    <w:rsid w:val="008C1E12"/>
    <w:rsid w:val="008C2C04"/>
    <w:rsid w:val="008C2D01"/>
    <w:rsid w:val="008C3685"/>
    <w:rsid w:val="008C40E6"/>
    <w:rsid w:val="008C4975"/>
    <w:rsid w:val="008C649F"/>
    <w:rsid w:val="008D0F7A"/>
    <w:rsid w:val="008D0F7F"/>
    <w:rsid w:val="008D1C67"/>
    <w:rsid w:val="008D470B"/>
    <w:rsid w:val="008D5C57"/>
    <w:rsid w:val="008D68E4"/>
    <w:rsid w:val="008D68FA"/>
    <w:rsid w:val="008E0506"/>
    <w:rsid w:val="008E0CFF"/>
    <w:rsid w:val="008E32D9"/>
    <w:rsid w:val="008E5D6B"/>
    <w:rsid w:val="008E76F0"/>
    <w:rsid w:val="008E7721"/>
    <w:rsid w:val="008F089D"/>
    <w:rsid w:val="008F0A56"/>
    <w:rsid w:val="008F15FE"/>
    <w:rsid w:val="008F254E"/>
    <w:rsid w:val="008F2D29"/>
    <w:rsid w:val="008F5187"/>
    <w:rsid w:val="008F6068"/>
    <w:rsid w:val="008F60D8"/>
    <w:rsid w:val="009020BF"/>
    <w:rsid w:val="00902727"/>
    <w:rsid w:val="0090312B"/>
    <w:rsid w:val="009055A2"/>
    <w:rsid w:val="0090571F"/>
    <w:rsid w:val="0090599F"/>
    <w:rsid w:val="009113BC"/>
    <w:rsid w:val="00912966"/>
    <w:rsid w:val="009143D6"/>
    <w:rsid w:val="0091553E"/>
    <w:rsid w:val="009159EF"/>
    <w:rsid w:val="0091736D"/>
    <w:rsid w:val="00921417"/>
    <w:rsid w:val="00924247"/>
    <w:rsid w:val="0092686F"/>
    <w:rsid w:val="00926D10"/>
    <w:rsid w:val="00927373"/>
    <w:rsid w:val="0093037A"/>
    <w:rsid w:val="00931A86"/>
    <w:rsid w:val="00932F1C"/>
    <w:rsid w:val="0094154D"/>
    <w:rsid w:val="009423A7"/>
    <w:rsid w:val="00942510"/>
    <w:rsid w:val="009447BA"/>
    <w:rsid w:val="00945AC6"/>
    <w:rsid w:val="0095155F"/>
    <w:rsid w:val="00954429"/>
    <w:rsid w:val="0095564D"/>
    <w:rsid w:val="009563CE"/>
    <w:rsid w:val="00956B4E"/>
    <w:rsid w:val="00957558"/>
    <w:rsid w:val="00965818"/>
    <w:rsid w:val="009727AB"/>
    <w:rsid w:val="00973363"/>
    <w:rsid w:val="0097373F"/>
    <w:rsid w:val="00976328"/>
    <w:rsid w:val="0097680D"/>
    <w:rsid w:val="009768CE"/>
    <w:rsid w:val="00977A00"/>
    <w:rsid w:val="00982438"/>
    <w:rsid w:val="00982A75"/>
    <w:rsid w:val="009831B7"/>
    <w:rsid w:val="0098404C"/>
    <w:rsid w:val="00985283"/>
    <w:rsid w:val="00985B08"/>
    <w:rsid w:val="0098751B"/>
    <w:rsid w:val="00990688"/>
    <w:rsid w:val="00991C2A"/>
    <w:rsid w:val="00994144"/>
    <w:rsid w:val="00995134"/>
    <w:rsid w:val="00995992"/>
    <w:rsid w:val="00995DDF"/>
    <w:rsid w:val="00996BA9"/>
    <w:rsid w:val="009A02BE"/>
    <w:rsid w:val="009A03E5"/>
    <w:rsid w:val="009A0648"/>
    <w:rsid w:val="009A0F3B"/>
    <w:rsid w:val="009A1BB4"/>
    <w:rsid w:val="009A2628"/>
    <w:rsid w:val="009A3200"/>
    <w:rsid w:val="009A4165"/>
    <w:rsid w:val="009B0897"/>
    <w:rsid w:val="009B2A9E"/>
    <w:rsid w:val="009B5330"/>
    <w:rsid w:val="009B5B46"/>
    <w:rsid w:val="009B6848"/>
    <w:rsid w:val="009B77A2"/>
    <w:rsid w:val="009B7BD9"/>
    <w:rsid w:val="009C2E77"/>
    <w:rsid w:val="009C2FEE"/>
    <w:rsid w:val="009C74F7"/>
    <w:rsid w:val="009C7DCF"/>
    <w:rsid w:val="009C7DD5"/>
    <w:rsid w:val="009D1320"/>
    <w:rsid w:val="009D3ADB"/>
    <w:rsid w:val="009D4C16"/>
    <w:rsid w:val="009E227D"/>
    <w:rsid w:val="009E5019"/>
    <w:rsid w:val="009E531E"/>
    <w:rsid w:val="009F1ECF"/>
    <w:rsid w:val="009F201B"/>
    <w:rsid w:val="009F2B99"/>
    <w:rsid w:val="009F7710"/>
    <w:rsid w:val="00A007DF"/>
    <w:rsid w:val="00A01F56"/>
    <w:rsid w:val="00A04F1B"/>
    <w:rsid w:val="00A0501B"/>
    <w:rsid w:val="00A050FD"/>
    <w:rsid w:val="00A05C2C"/>
    <w:rsid w:val="00A06640"/>
    <w:rsid w:val="00A109EB"/>
    <w:rsid w:val="00A1234F"/>
    <w:rsid w:val="00A14947"/>
    <w:rsid w:val="00A14BA0"/>
    <w:rsid w:val="00A16298"/>
    <w:rsid w:val="00A17EC0"/>
    <w:rsid w:val="00A22B14"/>
    <w:rsid w:val="00A32A83"/>
    <w:rsid w:val="00A368DB"/>
    <w:rsid w:val="00A423AA"/>
    <w:rsid w:val="00A45AC4"/>
    <w:rsid w:val="00A53EC6"/>
    <w:rsid w:val="00A5482D"/>
    <w:rsid w:val="00A55C0F"/>
    <w:rsid w:val="00A71EEB"/>
    <w:rsid w:val="00A81E84"/>
    <w:rsid w:val="00A82F7B"/>
    <w:rsid w:val="00A8387D"/>
    <w:rsid w:val="00A858F6"/>
    <w:rsid w:val="00A8713F"/>
    <w:rsid w:val="00A90BA1"/>
    <w:rsid w:val="00A92ACD"/>
    <w:rsid w:val="00A97342"/>
    <w:rsid w:val="00A97A9A"/>
    <w:rsid w:val="00A97F60"/>
    <w:rsid w:val="00AA0671"/>
    <w:rsid w:val="00AA10F2"/>
    <w:rsid w:val="00AA122D"/>
    <w:rsid w:val="00AA249A"/>
    <w:rsid w:val="00AA2531"/>
    <w:rsid w:val="00AA47CF"/>
    <w:rsid w:val="00AA52B0"/>
    <w:rsid w:val="00AA5C7A"/>
    <w:rsid w:val="00AB087B"/>
    <w:rsid w:val="00AB1E09"/>
    <w:rsid w:val="00AB5330"/>
    <w:rsid w:val="00AB7747"/>
    <w:rsid w:val="00AC14CE"/>
    <w:rsid w:val="00AC2A56"/>
    <w:rsid w:val="00AD055E"/>
    <w:rsid w:val="00AD2721"/>
    <w:rsid w:val="00AD47A7"/>
    <w:rsid w:val="00AD5A7E"/>
    <w:rsid w:val="00AD7C1C"/>
    <w:rsid w:val="00AE214D"/>
    <w:rsid w:val="00AE2F11"/>
    <w:rsid w:val="00AE30A3"/>
    <w:rsid w:val="00AE40FD"/>
    <w:rsid w:val="00AE4A29"/>
    <w:rsid w:val="00AE5167"/>
    <w:rsid w:val="00AE64DD"/>
    <w:rsid w:val="00AE69DA"/>
    <w:rsid w:val="00AF0CBF"/>
    <w:rsid w:val="00AF257F"/>
    <w:rsid w:val="00AF33CF"/>
    <w:rsid w:val="00AF4D50"/>
    <w:rsid w:val="00AF5407"/>
    <w:rsid w:val="00AF5CED"/>
    <w:rsid w:val="00AF6179"/>
    <w:rsid w:val="00B1295A"/>
    <w:rsid w:val="00B20A36"/>
    <w:rsid w:val="00B20A45"/>
    <w:rsid w:val="00B222D1"/>
    <w:rsid w:val="00B22C5C"/>
    <w:rsid w:val="00B24571"/>
    <w:rsid w:val="00B24F30"/>
    <w:rsid w:val="00B25B03"/>
    <w:rsid w:val="00B26956"/>
    <w:rsid w:val="00B31707"/>
    <w:rsid w:val="00B31ABF"/>
    <w:rsid w:val="00B33BE3"/>
    <w:rsid w:val="00B350C8"/>
    <w:rsid w:val="00B4026F"/>
    <w:rsid w:val="00B46835"/>
    <w:rsid w:val="00B473E5"/>
    <w:rsid w:val="00B50355"/>
    <w:rsid w:val="00B53B5D"/>
    <w:rsid w:val="00B56C5E"/>
    <w:rsid w:val="00B6055E"/>
    <w:rsid w:val="00B6317D"/>
    <w:rsid w:val="00B633B4"/>
    <w:rsid w:val="00B645CA"/>
    <w:rsid w:val="00B64E75"/>
    <w:rsid w:val="00B65C66"/>
    <w:rsid w:val="00B661AB"/>
    <w:rsid w:val="00B70831"/>
    <w:rsid w:val="00B72013"/>
    <w:rsid w:val="00B737D9"/>
    <w:rsid w:val="00B7723F"/>
    <w:rsid w:val="00B80534"/>
    <w:rsid w:val="00B8433C"/>
    <w:rsid w:val="00B87491"/>
    <w:rsid w:val="00B90611"/>
    <w:rsid w:val="00B90902"/>
    <w:rsid w:val="00BA1B8E"/>
    <w:rsid w:val="00BA29E9"/>
    <w:rsid w:val="00BA3CB3"/>
    <w:rsid w:val="00BA59DE"/>
    <w:rsid w:val="00BA7142"/>
    <w:rsid w:val="00BB237C"/>
    <w:rsid w:val="00BB2E82"/>
    <w:rsid w:val="00BB31BC"/>
    <w:rsid w:val="00BB41A3"/>
    <w:rsid w:val="00BB5E66"/>
    <w:rsid w:val="00BB5EE3"/>
    <w:rsid w:val="00BB7923"/>
    <w:rsid w:val="00BB7CA3"/>
    <w:rsid w:val="00BC006F"/>
    <w:rsid w:val="00BC32DC"/>
    <w:rsid w:val="00BC35B6"/>
    <w:rsid w:val="00BC4DB8"/>
    <w:rsid w:val="00BD1B51"/>
    <w:rsid w:val="00BD2BAE"/>
    <w:rsid w:val="00BD4596"/>
    <w:rsid w:val="00BE12CE"/>
    <w:rsid w:val="00BE1346"/>
    <w:rsid w:val="00BE1405"/>
    <w:rsid w:val="00BE1DA6"/>
    <w:rsid w:val="00BE312D"/>
    <w:rsid w:val="00BE7CB7"/>
    <w:rsid w:val="00BF12F4"/>
    <w:rsid w:val="00BF1C20"/>
    <w:rsid w:val="00C0435B"/>
    <w:rsid w:val="00C05939"/>
    <w:rsid w:val="00C05A98"/>
    <w:rsid w:val="00C10578"/>
    <w:rsid w:val="00C11602"/>
    <w:rsid w:val="00C1293E"/>
    <w:rsid w:val="00C12FFD"/>
    <w:rsid w:val="00C135BC"/>
    <w:rsid w:val="00C15C95"/>
    <w:rsid w:val="00C15CB8"/>
    <w:rsid w:val="00C16193"/>
    <w:rsid w:val="00C23848"/>
    <w:rsid w:val="00C2396F"/>
    <w:rsid w:val="00C2596A"/>
    <w:rsid w:val="00C25EFF"/>
    <w:rsid w:val="00C2690A"/>
    <w:rsid w:val="00C2751D"/>
    <w:rsid w:val="00C27537"/>
    <w:rsid w:val="00C31BE7"/>
    <w:rsid w:val="00C328FE"/>
    <w:rsid w:val="00C32F4E"/>
    <w:rsid w:val="00C33507"/>
    <w:rsid w:val="00C33CAB"/>
    <w:rsid w:val="00C37457"/>
    <w:rsid w:val="00C37BE7"/>
    <w:rsid w:val="00C42BAF"/>
    <w:rsid w:val="00C4409D"/>
    <w:rsid w:val="00C44E72"/>
    <w:rsid w:val="00C45A06"/>
    <w:rsid w:val="00C47ACA"/>
    <w:rsid w:val="00C47E5B"/>
    <w:rsid w:val="00C50F3D"/>
    <w:rsid w:val="00C60AF5"/>
    <w:rsid w:val="00C612C3"/>
    <w:rsid w:val="00C61E4B"/>
    <w:rsid w:val="00C64057"/>
    <w:rsid w:val="00C64A71"/>
    <w:rsid w:val="00C64BFF"/>
    <w:rsid w:val="00C67B0F"/>
    <w:rsid w:val="00C703C5"/>
    <w:rsid w:val="00C704E9"/>
    <w:rsid w:val="00C71A00"/>
    <w:rsid w:val="00C743EA"/>
    <w:rsid w:val="00C75F10"/>
    <w:rsid w:val="00C763C9"/>
    <w:rsid w:val="00C80057"/>
    <w:rsid w:val="00C81797"/>
    <w:rsid w:val="00C82232"/>
    <w:rsid w:val="00C82913"/>
    <w:rsid w:val="00C841F1"/>
    <w:rsid w:val="00C85404"/>
    <w:rsid w:val="00C86C14"/>
    <w:rsid w:val="00C86C4F"/>
    <w:rsid w:val="00C901D5"/>
    <w:rsid w:val="00C91A01"/>
    <w:rsid w:val="00C9396B"/>
    <w:rsid w:val="00C972B1"/>
    <w:rsid w:val="00CA1F12"/>
    <w:rsid w:val="00CA2CCE"/>
    <w:rsid w:val="00CA43FD"/>
    <w:rsid w:val="00CA4B90"/>
    <w:rsid w:val="00CA4BA4"/>
    <w:rsid w:val="00CA6B79"/>
    <w:rsid w:val="00CA7EF8"/>
    <w:rsid w:val="00CB0716"/>
    <w:rsid w:val="00CB1697"/>
    <w:rsid w:val="00CB6187"/>
    <w:rsid w:val="00CB61DB"/>
    <w:rsid w:val="00CB6491"/>
    <w:rsid w:val="00CB66F0"/>
    <w:rsid w:val="00CC0648"/>
    <w:rsid w:val="00CC42B2"/>
    <w:rsid w:val="00CC489B"/>
    <w:rsid w:val="00CD2BCD"/>
    <w:rsid w:val="00CD3A4C"/>
    <w:rsid w:val="00CD43A7"/>
    <w:rsid w:val="00CD47F0"/>
    <w:rsid w:val="00CD5097"/>
    <w:rsid w:val="00CD717D"/>
    <w:rsid w:val="00CE10E9"/>
    <w:rsid w:val="00CE134D"/>
    <w:rsid w:val="00CE1DF8"/>
    <w:rsid w:val="00CE2910"/>
    <w:rsid w:val="00CE3822"/>
    <w:rsid w:val="00CE4AFD"/>
    <w:rsid w:val="00CE5393"/>
    <w:rsid w:val="00CE5461"/>
    <w:rsid w:val="00CE7F72"/>
    <w:rsid w:val="00CF36BE"/>
    <w:rsid w:val="00CF388F"/>
    <w:rsid w:val="00CF3A62"/>
    <w:rsid w:val="00CF6000"/>
    <w:rsid w:val="00CF6751"/>
    <w:rsid w:val="00CF745D"/>
    <w:rsid w:val="00CF751D"/>
    <w:rsid w:val="00D003F3"/>
    <w:rsid w:val="00D02CB6"/>
    <w:rsid w:val="00D0364F"/>
    <w:rsid w:val="00D040F4"/>
    <w:rsid w:val="00D0593B"/>
    <w:rsid w:val="00D06616"/>
    <w:rsid w:val="00D06834"/>
    <w:rsid w:val="00D1027E"/>
    <w:rsid w:val="00D12D12"/>
    <w:rsid w:val="00D160F6"/>
    <w:rsid w:val="00D17F7F"/>
    <w:rsid w:val="00D20762"/>
    <w:rsid w:val="00D302D9"/>
    <w:rsid w:val="00D308ED"/>
    <w:rsid w:val="00D36D86"/>
    <w:rsid w:val="00D3785C"/>
    <w:rsid w:val="00D37B9B"/>
    <w:rsid w:val="00D41E5C"/>
    <w:rsid w:val="00D428AA"/>
    <w:rsid w:val="00D50797"/>
    <w:rsid w:val="00D50A34"/>
    <w:rsid w:val="00D516CE"/>
    <w:rsid w:val="00D53250"/>
    <w:rsid w:val="00D53EFA"/>
    <w:rsid w:val="00D61B54"/>
    <w:rsid w:val="00D642D7"/>
    <w:rsid w:val="00D715A4"/>
    <w:rsid w:val="00D76242"/>
    <w:rsid w:val="00D82C61"/>
    <w:rsid w:val="00D83476"/>
    <w:rsid w:val="00D87828"/>
    <w:rsid w:val="00D910E3"/>
    <w:rsid w:val="00D94367"/>
    <w:rsid w:val="00D94A7C"/>
    <w:rsid w:val="00D95896"/>
    <w:rsid w:val="00DA1D53"/>
    <w:rsid w:val="00DA3107"/>
    <w:rsid w:val="00DA3176"/>
    <w:rsid w:val="00DA34C6"/>
    <w:rsid w:val="00DA5915"/>
    <w:rsid w:val="00DB0E3C"/>
    <w:rsid w:val="00DB2983"/>
    <w:rsid w:val="00DB3766"/>
    <w:rsid w:val="00DB51AA"/>
    <w:rsid w:val="00DC0CF7"/>
    <w:rsid w:val="00DC1257"/>
    <w:rsid w:val="00DC1905"/>
    <w:rsid w:val="00DC354F"/>
    <w:rsid w:val="00DC3DC0"/>
    <w:rsid w:val="00DC41B3"/>
    <w:rsid w:val="00DC5B2B"/>
    <w:rsid w:val="00DD1733"/>
    <w:rsid w:val="00DD1C32"/>
    <w:rsid w:val="00DD283A"/>
    <w:rsid w:val="00DD318D"/>
    <w:rsid w:val="00DD34AF"/>
    <w:rsid w:val="00DE7202"/>
    <w:rsid w:val="00DF2E12"/>
    <w:rsid w:val="00DF514A"/>
    <w:rsid w:val="00DF6690"/>
    <w:rsid w:val="00DF6804"/>
    <w:rsid w:val="00E0358D"/>
    <w:rsid w:val="00E03A32"/>
    <w:rsid w:val="00E04323"/>
    <w:rsid w:val="00E070A2"/>
    <w:rsid w:val="00E07684"/>
    <w:rsid w:val="00E10605"/>
    <w:rsid w:val="00E12C2D"/>
    <w:rsid w:val="00E131E8"/>
    <w:rsid w:val="00E212AF"/>
    <w:rsid w:val="00E21744"/>
    <w:rsid w:val="00E23ADF"/>
    <w:rsid w:val="00E2656A"/>
    <w:rsid w:val="00E33BD7"/>
    <w:rsid w:val="00E37F9D"/>
    <w:rsid w:val="00E40995"/>
    <w:rsid w:val="00E412D0"/>
    <w:rsid w:val="00E42FAF"/>
    <w:rsid w:val="00E44C67"/>
    <w:rsid w:val="00E522F5"/>
    <w:rsid w:val="00E53EF7"/>
    <w:rsid w:val="00E5418B"/>
    <w:rsid w:val="00E55CE3"/>
    <w:rsid w:val="00E55D7B"/>
    <w:rsid w:val="00E56322"/>
    <w:rsid w:val="00E60982"/>
    <w:rsid w:val="00E62C62"/>
    <w:rsid w:val="00E62F77"/>
    <w:rsid w:val="00E6467A"/>
    <w:rsid w:val="00E654C1"/>
    <w:rsid w:val="00E65D97"/>
    <w:rsid w:val="00E667AC"/>
    <w:rsid w:val="00E72A5A"/>
    <w:rsid w:val="00E730E3"/>
    <w:rsid w:val="00E73354"/>
    <w:rsid w:val="00E76064"/>
    <w:rsid w:val="00E77D5D"/>
    <w:rsid w:val="00E77DC6"/>
    <w:rsid w:val="00E81215"/>
    <w:rsid w:val="00E8754C"/>
    <w:rsid w:val="00E9242D"/>
    <w:rsid w:val="00E95E17"/>
    <w:rsid w:val="00E96407"/>
    <w:rsid w:val="00E96CB2"/>
    <w:rsid w:val="00E97D18"/>
    <w:rsid w:val="00EA0095"/>
    <w:rsid w:val="00EA43A0"/>
    <w:rsid w:val="00EA4E8C"/>
    <w:rsid w:val="00EA5C77"/>
    <w:rsid w:val="00EA68C7"/>
    <w:rsid w:val="00EA6B97"/>
    <w:rsid w:val="00EB2A63"/>
    <w:rsid w:val="00EB3CD7"/>
    <w:rsid w:val="00EB5255"/>
    <w:rsid w:val="00EB5C47"/>
    <w:rsid w:val="00EB6818"/>
    <w:rsid w:val="00EC007E"/>
    <w:rsid w:val="00EC08DF"/>
    <w:rsid w:val="00EC0F98"/>
    <w:rsid w:val="00EC4A68"/>
    <w:rsid w:val="00EC564A"/>
    <w:rsid w:val="00ED0639"/>
    <w:rsid w:val="00ED1597"/>
    <w:rsid w:val="00ED2E26"/>
    <w:rsid w:val="00ED7933"/>
    <w:rsid w:val="00EE091A"/>
    <w:rsid w:val="00EE3E6D"/>
    <w:rsid w:val="00EF46D4"/>
    <w:rsid w:val="00EF4755"/>
    <w:rsid w:val="00EF4EA2"/>
    <w:rsid w:val="00EF7135"/>
    <w:rsid w:val="00F027DB"/>
    <w:rsid w:val="00F07D15"/>
    <w:rsid w:val="00F07E7A"/>
    <w:rsid w:val="00F103AD"/>
    <w:rsid w:val="00F10413"/>
    <w:rsid w:val="00F13794"/>
    <w:rsid w:val="00F141F8"/>
    <w:rsid w:val="00F14711"/>
    <w:rsid w:val="00F14A7A"/>
    <w:rsid w:val="00F178A9"/>
    <w:rsid w:val="00F22985"/>
    <w:rsid w:val="00F229AB"/>
    <w:rsid w:val="00F23AF5"/>
    <w:rsid w:val="00F25A00"/>
    <w:rsid w:val="00F3168B"/>
    <w:rsid w:val="00F3185B"/>
    <w:rsid w:val="00F3383E"/>
    <w:rsid w:val="00F465A7"/>
    <w:rsid w:val="00F50B7C"/>
    <w:rsid w:val="00F53B40"/>
    <w:rsid w:val="00F550E6"/>
    <w:rsid w:val="00F55A51"/>
    <w:rsid w:val="00F60C5E"/>
    <w:rsid w:val="00F64C95"/>
    <w:rsid w:val="00F6767F"/>
    <w:rsid w:val="00F74345"/>
    <w:rsid w:val="00F76957"/>
    <w:rsid w:val="00F80A0A"/>
    <w:rsid w:val="00F82B19"/>
    <w:rsid w:val="00F833AB"/>
    <w:rsid w:val="00F87C48"/>
    <w:rsid w:val="00F918BE"/>
    <w:rsid w:val="00F9212D"/>
    <w:rsid w:val="00F93582"/>
    <w:rsid w:val="00F95CB8"/>
    <w:rsid w:val="00F965DA"/>
    <w:rsid w:val="00FA072F"/>
    <w:rsid w:val="00FA105F"/>
    <w:rsid w:val="00FA406A"/>
    <w:rsid w:val="00FA48B0"/>
    <w:rsid w:val="00FA4D4A"/>
    <w:rsid w:val="00FB0E48"/>
    <w:rsid w:val="00FB14D7"/>
    <w:rsid w:val="00FB34FE"/>
    <w:rsid w:val="00FB4CF7"/>
    <w:rsid w:val="00FB503A"/>
    <w:rsid w:val="00FB516C"/>
    <w:rsid w:val="00FC1BD8"/>
    <w:rsid w:val="00FC3EE7"/>
    <w:rsid w:val="00FC6319"/>
    <w:rsid w:val="00FD0236"/>
    <w:rsid w:val="00FD18F4"/>
    <w:rsid w:val="00FD2312"/>
    <w:rsid w:val="00FD3562"/>
    <w:rsid w:val="00FD54DB"/>
    <w:rsid w:val="00FD60A0"/>
    <w:rsid w:val="00FD619F"/>
    <w:rsid w:val="00FD6BFB"/>
    <w:rsid w:val="00FE17EF"/>
    <w:rsid w:val="00FE56F8"/>
    <w:rsid w:val="00FE7DCC"/>
    <w:rsid w:val="00FF0A50"/>
    <w:rsid w:val="01290F7E"/>
    <w:rsid w:val="012E314F"/>
    <w:rsid w:val="015D1E09"/>
    <w:rsid w:val="01FC1ED9"/>
    <w:rsid w:val="02047C8A"/>
    <w:rsid w:val="02697903"/>
    <w:rsid w:val="02F96569"/>
    <w:rsid w:val="03EA7B21"/>
    <w:rsid w:val="047D1717"/>
    <w:rsid w:val="04D95D1F"/>
    <w:rsid w:val="04F067A7"/>
    <w:rsid w:val="05B60BC3"/>
    <w:rsid w:val="05F83EAE"/>
    <w:rsid w:val="063E7D85"/>
    <w:rsid w:val="07293586"/>
    <w:rsid w:val="07295285"/>
    <w:rsid w:val="07636392"/>
    <w:rsid w:val="07770C56"/>
    <w:rsid w:val="07872ED6"/>
    <w:rsid w:val="086128B0"/>
    <w:rsid w:val="08880FBA"/>
    <w:rsid w:val="092217DD"/>
    <w:rsid w:val="092D3CD0"/>
    <w:rsid w:val="093A7294"/>
    <w:rsid w:val="0A263993"/>
    <w:rsid w:val="0A2D3AC2"/>
    <w:rsid w:val="0AA755DF"/>
    <w:rsid w:val="0B120D44"/>
    <w:rsid w:val="0B4C6AC6"/>
    <w:rsid w:val="0BD27BF6"/>
    <w:rsid w:val="0C3B3C7D"/>
    <w:rsid w:val="0CAB2EAE"/>
    <w:rsid w:val="0D621C7D"/>
    <w:rsid w:val="0E73034D"/>
    <w:rsid w:val="0EA4797E"/>
    <w:rsid w:val="0F13775A"/>
    <w:rsid w:val="0F58300C"/>
    <w:rsid w:val="0F5F45FE"/>
    <w:rsid w:val="0F9A112B"/>
    <w:rsid w:val="106D2F64"/>
    <w:rsid w:val="10B63710"/>
    <w:rsid w:val="10F10820"/>
    <w:rsid w:val="111C2F7A"/>
    <w:rsid w:val="11665CA1"/>
    <w:rsid w:val="12913608"/>
    <w:rsid w:val="13951726"/>
    <w:rsid w:val="14396509"/>
    <w:rsid w:val="14DD2C3C"/>
    <w:rsid w:val="16087E1D"/>
    <w:rsid w:val="17701D14"/>
    <w:rsid w:val="17735226"/>
    <w:rsid w:val="18505E70"/>
    <w:rsid w:val="189F624C"/>
    <w:rsid w:val="1A1C66C0"/>
    <w:rsid w:val="1A42393B"/>
    <w:rsid w:val="1A630C66"/>
    <w:rsid w:val="1AAD45DE"/>
    <w:rsid w:val="1B046F80"/>
    <w:rsid w:val="1B3267B5"/>
    <w:rsid w:val="1B40161D"/>
    <w:rsid w:val="1B441859"/>
    <w:rsid w:val="1B6606B1"/>
    <w:rsid w:val="1C5E7925"/>
    <w:rsid w:val="1CEA2391"/>
    <w:rsid w:val="1CFD070F"/>
    <w:rsid w:val="1D5F6196"/>
    <w:rsid w:val="1D6132A5"/>
    <w:rsid w:val="1D8E56D5"/>
    <w:rsid w:val="1E7A43DA"/>
    <w:rsid w:val="1FE7539E"/>
    <w:rsid w:val="20671BE0"/>
    <w:rsid w:val="20963CB8"/>
    <w:rsid w:val="20A81A1B"/>
    <w:rsid w:val="20B07FB6"/>
    <w:rsid w:val="20B3573B"/>
    <w:rsid w:val="20B646FB"/>
    <w:rsid w:val="213B74B1"/>
    <w:rsid w:val="215A2310"/>
    <w:rsid w:val="21DE318A"/>
    <w:rsid w:val="21EF5B80"/>
    <w:rsid w:val="22576990"/>
    <w:rsid w:val="22F47480"/>
    <w:rsid w:val="233B752F"/>
    <w:rsid w:val="235342A6"/>
    <w:rsid w:val="237206B8"/>
    <w:rsid w:val="23DE1C48"/>
    <w:rsid w:val="240210CD"/>
    <w:rsid w:val="24BF09F7"/>
    <w:rsid w:val="24DA0F39"/>
    <w:rsid w:val="252D53FE"/>
    <w:rsid w:val="2542603D"/>
    <w:rsid w:val="258E53E4"/>
    <w:rsid w:val="25EC2D81"/>
    <w:rsid w:val="263F5E22"/>
    <w:rsid w:val="27167A14"/>
    <w:rsid w:val="271A3DEE"/>
    <w:rsid w:val="277057A2"/>
    <w:rsid w:val="27D22ED9"/>
    <w:rsid w:val="29206EB8"/>
    <w:rsid w:val="29595666"/>
    <w:rsid w:val="29676B1D"/>
    <w:rsid w:val="29874881"/>
    <w:rsid w:val="29E325E0"/>
    <w:rsid w:val="2A1B18B0"/>
    <w:rsid w:val="2A452503"/>
    <w:rsid w:val="2A796826"/>
    <w:rsid w:val="2BA936A8"/>
    <w:rsid w:val="2C315A5A"/>
    <w:rsid w:val="2C4B1C25"/>
    <w:rsid w:val="2C841DBC"/>
    <w:rsid w:val="2CC97CEC"/>
    <w:rsid w:val="2D8B5EBB"/>
    <w:rsid w:val="2D9E56F5"/>
    <w:rsid w:val="2DC63AA4"/>
    <w:rsid w:val="2E667F96"/>
    <w:rsid w:val="2E8226AB"/>
    <w:rsid w:val="2F7A56A8"/>
    <w:rsid w:val="2FD065E6"/>
    <w:rsid w:val="2FD96870"/>
    <w:rsid w:val="30410A1C"/>
    <w:rsid w:val="30580BC9"/>
    <w:rsid w:val="311E2ED7"/>
    <w:rsid w:val="315619EE"/>
    <w:rsid w:val="315C449C"/>
    <w:rsid w:val="31B82709"/>
    <w:rsid w:val="31D05482"/>
    <w:rsid w:val="32400B34"/>
    <w:rsid w:val="32566396"/>
    <w:rsid w:val="329E6876"/>
    <w:rsid w:val="32AC3ABF"/>
    <w:rsid w:val="32E15BAA"/>
    <w:rsid w:val="333015F2"/>
    <w:rsid w:val="334B6320"/>
    <w:rsid w:val="33D934D4"/>
    <w:rsid w:val="33FE2F6A"/>
    <w:rsid w:val="340E07E5"/>
    <w:rsid w:val="34235BF7"/>
    <w:rsid w:val="343C2331"/>
    <w:rsid w:val="358C5FA8"/>
    <w:rsid w:val="35C15DF1"/>
    <w:rsid w:val="36074A7F"/>
    <w:rsid w:val="3687097A"/>
    <w:rsid w:val="36923549"/>
    <w:rsid w:val="36B75FBF"/>
    <w:rsid w:val="36BD0C45"/>
    <w:rsid w:val="37E00298"/>
    <w:rsid w:val="38B302F9"/>
    <w:rsid w:val="38F12CD3"/>
    <w:rsid w:val="38F94775"/>
    <w:rsid w:val="392971ED"/>
    <w:rsid w:val="39325651"/>
    <w:rsid w:val="398532C7"/>
    <w:rsid w:val="39966686"/>
    <w:rsid w:val="3A872856"/>
    <w:rsid w:val="3AD366CA"/>
    <w:rsid w:val="3B3763D1"/>
    <w:rsid w:val="3C2F6E1E"/>
    <w:rsid w:val="3C4F64BA"/>
    <w:rsid w:val="3C992C20"/>
    <w:rsid w:val="3CDA245A"/>
    <w:rsid w:val="3D1E06B7"/>
    <w:rsid w:val="3E6616BF"/>
    <w:rsid w:val="3EDA0523"/>
    <w:rsid w:val="407A6407"/>
    <w:rsid w:val="4200449D"/>
    <w:rsid w:val="423A3BCC"/>
    <w:rsid w:val="42461BF5"/>
    <w:rsid w:val="424E57D2"/>
    <w:rsid w:val="42B26C49"/>
    <w:rsid w:val="433A6FE6"/>
    <w:rsid w:val="43480868"/>
    <w:rsid w:val="4350713C"/>
    <w:rsid w:val="436653E0"/>
    <w:rsid w:val="43C4431A"/>
    <w:rsid w:val="442A456A"/>
    <w:rsid w:val="44B951CC"/>
    <w:rsid w:val="44CD14E0"/>
    <w:rsid w:val="44F20B0B"/>
    <w:rsid w:val="452E5F4C"/>
    <w:rsid w:val="45612018"/>
    <w:rsid w:val="458946E9"/>
    <w:rsid w:val="45A47C0E"/>
    <w:rsid w:val="46577FD6"/>
    <w:rsid w:val="466435C2"/>
    <w:rsid w:val="46D955A7"/>
    <w:rsid w:val="47133957"/>
    <w:rsid w:val="47A07E0C"/>
    <w:rsid w:val="482C0822"/>
    <w:rsid w:val="4870272E"/>
    <w:rsid w:val="49DC7715"/>
    <w:rsid w:val="4A023139"/>
    <w:rsid w:val="4A7B576F"/>
    <w:rsid w:val="4AF561A9"/>
    <w:rsid w:val="4C4A0649"/>
    <w:rsid w:val="4C507240"/>
    <w:rsid w:val="4C7E5ECA"/>
    <w:rsid w:val="4C876AA5"/>
    <w:rsid w:val="4D0E00FB"/>
    <w:rsid w:val="4D176606"/>
    <w:rsid w:val="4D7D140D"/>
    <w:rsid w:val="4DAA4E2F"/>
    <w:rsid w:val="4DEC4FB0"/>
    <w:rsid w:val="4E075D8A"/>
    <w:rsid w:val="4EC00FAD"/>
    <w:rsid w:val="4F9843DC"/>
    <w:rsid w:val="4FC62A8C"/>
    <w:rsid w:val="4FCF00C7"/>
    <w:rsid w:val="4FE20F0D"/>
    <w:rsid w:val="4FE51552"/>
    <w:rsid w:val="50504C4B"/>
    <w:rsid w:val="509C6E7C"/>
    <w:rsid w:val="513D6F7F"/>
    <w:rsid w:val="51400875"/>
    <w:rsid w:val="5162104E"/>
    <w:rsid w:val="53A039CC"/>
    <w:rsid w:val="53A1505A"/>
    <w:rsid w:val="54063E08"/>
    <w:rsid w:val="543437E8"/>
    <w:rsid w:val="54F73313"/>
    <w:rsid w:val="54F80955"/>
    <w:rsid w:val="555170A7"/>
    <w:rsid w:val="5587536D"/>
    <w:rsid w:val="559B174B"/>
    <w:rsid w:val="55CE0CF4"/>
    <w:rsid w:val="56B22A9C"/>
    <w:rsid w:val="56F77D23"/>
    <w:rsid w:val="570C2CA8"/>
    <w:rsid w:val="572B19BD"/>
    <w:rsid w:val="57392881"/>
    <w:rsid w:val="578B763F"/>
    <w:rsid w:val="57B72A76"/>
    <w:rsid w:val="57C3426C"/>
    <w:rsid w:val="57CE1F93"/>
    <w:rsid w:val="57F54404"/>
    <w:rsid w:val="588743D1"/>
    <w:rsid w:val="5887701A"/>
    <w:rsid w:val="593437F9"/>
    <w:rsid w:val="59C0439F"/>
    <w:rsid w:val="5ABE2233"/>
    <w:rsid w:val="5B280C88"/>
    <w:rsid w:val="5BB12894"/>
    <w:rsid w:val="5BDF5D95"/>
    <w:rsid w:val="5BFE7528"/>
    <w:rsid w:val="5C1061D2"/>
    <w:rsid w:val="5C1604F8"/>
    <w:rsid w:val="5D2C0538"/>
    <w:rsid w:val="5D6D4B1B"/>
    <w:rsid w:val="5E2467F1"/>
    <w:rsid w:val="5E656BBF"/>
    <w:rsid w:val="5F1A2B43"/>
    <w:rsid w:val="5FB837BB"/>
    <w:rsid w:val="60CC405A"/>
    <w:rsid w:val="60EF1AFD"/>
    <w:rsid w:val="61E215D8"/>
    <w:rsid w:val="621B3775"/>
    <w:rsid w:val="62364782"/>
    <w:rsid w:val="631C4418"/>
    <w:rsid w:val="63246054"/>
    <w:rsid w:val="634B4FAE"/>
    <w:rsid w:val="63520F1A"/>
    <w:rsid w:val="6388111A"/>
    <w:rsid w:val="6394356A"/>
    <w:rsid w:val="63C61B2C"/>
    <w:rsid w:val="63D40BE9"/>
    <w:rsid w:val="64102431"/>
    <w:rsid w:val="645D5984"/>
    <w:rsid w:val="64A5243A"/>
    <w:rsid w:val="64F531DE"/>
    <w:rsid w:val="65373578"/>
    <w:rsid w:val="663C5795"/>
    <w:rsid w:val="66DC043B"/>
    <w:rsid w:val="671F124A"/>
    <w:rsid w:val="674D610E"/>
    <w:rsid w:val="677A33C6"/>
    <w:rsid w:val="681F6961"/>
    <w:rsid w:val="68516B38"/>
    <w:rsid w:val="68610A2F"/>
    <w:rsid w:val="68805514"/>
    <w:rsid w:val="69316E2F"/>
    <w:rsid w:val="694E2071"/>
    <w:rsid w:val="69766163"/>
    <w:rsid w:val="697A3B33"/>
    <w:rsid w:val="69D44760"/>
    <w:rsid w:val="69E9778A"/>
    <w:rsid w:val="69F3453A"/>
    <w:rsid w:val="6A520EC7"/>
    <w:rsid w:val="6AF87E20"/>
    <w:rsid w:val="6B1C51E8"/>
    <w:rsid w:val="6B244FE9"/>
    <w:rsid w:val="6B322639"/>
    <w:rsid w:val="6C636C38"/>
    <w:rsid w:val="6C9759B1"/>
    <w:rsid w:val="6D126519"/>
    <w:rsid w:val="6DB34098"/>
    <w:rsid w:val="6DB545B6"/>
    <w:rsid w:val="6DE02FB4"/>
    <w:rsid w:val="6E514CED"/>
    <w:rsid w:val="6EB563D5"/>
    <w:rsid w:val="6ED92677"/>
    <w:rsid w:val="6F225983"/>
    <w:rsid w:val="6FD75E31"/>
    <w:rsid w:val="6FFC5590"/>
    <w:rsid w:val="703856F5"/>
    <w:rsid w:val="706D1DD0"/>
    <w:rsid w:val="70856B87"/>
    <w:rsid w:val="70D527EE"/>
    <w:rsid w:val="712A17D2"/>
    <w:rsid w:val="715B5300"/>
    <w:rsid w:val="71D27F8A"/>
    <w:rsid w:val="72553024"/>
    <w:rsid w:val="73122968"/>
    <w:rsid w:val="731F5D5E"/>
    <w:rsid w:val="73C04529"/>
    <w:rsid w:val="73C51AD5"/>
    <w:rsid w:val="741E793C"/>
    <w:rsid w:val="745E3944"/>
    <w:rsid w:val="74744611"/>
    <w:rsid w:val="74F7513F"/>
    <w:rsid w:val="7635099D"/>
    <w:rsid w:val="76402F52"/>
    <w:rsid w:val="77762421"/>
    <w:rsid w:val="77B56B1F"/>
    <w:rsid w:val="780F09F4"/>
    <w:rsid w:val="781B760B"/>
    <w:rsid w:val="78A90480"/>
    <w:rsid w:val="7A364017"/>
    <w:rsid w:val="7A6F1A10"/>
    <w:rsid w:val="7A8265E1"/>
    <w:rsid w:val="7AF27A61"/>
    <w:rsid w:val="7B686D42"/>
    <w:rsid w:val="7B841746"/>
    <w:rsid w:val="7C394E50"/>
    <w:rsid w:val="7C6C5AC7"/>
    <w:rsid w:val="7CC6544B"/>
    <w:rsid w:val="7D0239FF"/>
    <w:rsid w:val="7D5E40CD"/>
    <w:rsid w:val="7DCD56F2"/>
    <w:rsid w:val="7E4070A9"/>
    <w:rsid w:val="7EE206BA"/>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qFormat="1" w:unhideWhenUsed="0" w:uiPriority="0"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iPriority="0" w:semiHidden="0" w:name="Normal Indent" w:locked="1"/>
    <w:lsdException w:uiPriority="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iPriority="99" w:semiHidden="0" w:name="Body Text First Indent 2" w:locked="1"/>
    <w:lsdException w:uiPriority="0" w:name="Note Heading" w:locked="1"/>
    <w:lsdException w:qFormat="1" w:unhideWhenUsed="0" w:uiPriority="0" w:semiHidden="0" w:name="Body Text 2" w:locked="1"/>
    <w:lsdException w:uiPriority="0" w:name="Body Text 3" w:locked="1"/>
    <w:lsdException w:qFormat="1" w:uiPriority="0" w:semiHidden="0" w:name="Body Text Indent 2" w:locked="1"/>
    <w:lsdException w:qFormat="1" w:uiPriority="0" w:semiHidden="0" w:name="Body Text Indent 3" w:locked="1"/>
    <w:lsdException w:uiPriority="0" w:name="Block Text" w:locked="1"/>
    <w:lsdException w:uiPriority="0" w:name="Hyperlink" w:locked="1"/>
    <w:lsdException w:uiPriority="99" w:name="FollowedHyperlink" w:locked="1"/>
    <w:lsdException w:qFormat="1" w:unhideWhenUsed="0" w:uiPriority="0" w:semiHidden="0" w:name="Strong" w:locked="1"/>
    <w:lsdException w:qFormat="1" w:unhideWhenUsed="0" w:uiPriority="0" w:semiHidden="0" w:name="Emphasis" w:locked="1"/>
    <w:lsdException w:qFormat="1" w:unhideWhenUsed="0" w:uiPriority="99" w:semiHidden="0" w:name="Document Map" w:locked="1"/>
    <w:lsdException w:qFormat="1" w:uiPriority="99"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99"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66"/>
    <w:semiHidden/>
    <w:unhideWhenUsed/>
    <w:qFormat/>
    <w:locked/>
    <w:uiPriority w:val="9"/>
    <w:pPr>
      <w:keepNext/>
      <w:keepLines/>
      <w:spacing w:before="260" w:after="260" w:line="415" w:lineRule="auto"/>
      <w:outlineLvl w:val="1"/>
    </w:pPr>
    <w:rPr>
      <w:rFonts w:ascii="Cambria" w:hAnsi="Cambria" w:cs="宋体"/>
      <w:b/>
      <w:bCs/>
      <w:sz w:val="32"/>
      <w:szCs w:val="32"/>
    </w:rPr>
  </w:style>
  <w:style w:type="paragraph" w:styleId="5">
    <w:name w:val="heading 3"/>
    <w:basedOn w:val="1"/>
    <w:next w:val="1"/>
    <w:link w:val="67"/>
    <w:unhideWhenUsed/>
    <w:qFormat/>
    <w:locked/>
    <w:uiPriority w:val="0"/>
    <w:pPr>
      <w:keepNext/>
      <w:keepLines/>
      <w:spacing w:before="260" w:after="260" w:line="415" w:lineRule="auto"/>
      <w:outlineLvl w:val="2"/>
    </w:pPr>
    <w:rPr>
      <w:b/>
      <w:bCs/>
      <w:sz w:val="32"/>
      <w:szCs w:val="32"/>
    </w:rPr>
  </w:style>
  <w:style w:type="paragraph" w:styleId="2">
    <w:name w:val="heading 4"/>
    <w:basedOn w:val="1"/>
    <w:next w:val="1"/>
    <w:link w:val="68"/>
    <w:semiHidden/>
    <w:unhideWhenUsed/>
    <w:qFormat/>
    <w:locked/>
    <w:uiPriority w:val="0"/>
    <w:pPr>
      <w:keepNext/>
      <w:keepLines/>
      <w:widowControl/>
      <w:spacing w:line="360" w:lineRule="auto"/>
      <w:ind w:firstLine="640" w:firstLineChars="200"/>
      <w:outlineLvl w:val="3"/>
    </w:pPr>
    <w:rPr>
      <w:b/>
      <w:bCs/>
      <w:color w:val="000000"/>
      <w:sz w:val="28"/>
      <w:szCs w:val="28"/>
    </w:rPr>
  </w:style>
  <w:style w:type="character" w:default="1" w:styleId="27">
    <w:name w:val="Default Paragraph Font"/>
    <w:semiHidden/>
    <w:unhideWhenUsed/>
    <w:qFormat/>
    <w:uiPriority w:val="1"/>
  </w:style>
  <w:style w:type="table" w:default="1" w:styleId="25">
    <w:name w:val="Normal Table"/>
    <w:semiHidden/>
    <w:unhideWhenUsed/>
    <w:uiPriority w:val="99"/>
    <w:tblPr>
      <w:tblLayout w:type="fixed"/>
      <w:tblCellMar>
        <w:top w:w="0" w:type="dxa"/>
        <w:left w:w="108" w:type="dxa"/>
        <w:bottom w:w="0" w:type="dxa"/>
        <w:right w:w="108" w:type="dxa"/>
      </w:tblCellMar>
    </w:tblPr>
  </w:style>
  <w:style w:type="paragraph" w:styleId="6">
    <w:name w:val="Normal Indent"/>
    <w:basedOn w:val="1"/>
    <w:next w:val="2"/>
    <w:link w:val="69"/>
    <w:unhideWhenUsed/>
    <w:qFormat/>
    <w:locked/>
    <w:uiPriority w:val="0"/>
    <w:pPr>
      <w:ind w:firstLine="420" w:firstLineChars="200"/>
    </w:pPr>
  </w:style>
  <w:style w:type="paragraph" w:styleId="7">
    <w:name w:val="Document Map"/>
    <w:basedOn w:val="1"/>
    <w:link w:val="49"/>
    <w:qFormat/>
    <w:locked/>
    <w:uiPriority w:val="99"/>
    <w:rPr>
      <w:rFonts w:ascii="宋体"/>
      <w:sz w:val="18"/>
      <w:szCs w:val="18"/>
    </w:rPr>
  </w:style>
  <w:style w:type="paragraph" w:styleId="8">
    <w:name w:val="annotation text"/>
    <w:basedOn w:val="1"/>
    <w:link w:val="38"/>
    <w:qFormat/>
    <w:uiPriority w:val="99"/>
    <w:pPr>
      <w:jc w:val="left"/>
    </w:pPr>
    <w:rPr>
      <w:kern w:val="0"/>
      <w:sz w:val="24"/>
      <w:szCs w:val="20"/>
    </w:rPr>
  </w:style>
  <w:style w:type="paragraph" w:styleId="9">
    <w:name w:val="Body Text"/>
    <w:basedOn w:val="1"/>
    <w:next w:val="10"/>
    <w:link w:val="37"/>
    <w:qFormat/>
    <w:uiPriority w:val="0"/>
    <w:pPr>
      <w:widowControl/>
      <w:snapToGrid w:val="0"/>
      <w:spacing w:before="60" w:after="160" w:line="259" w:lineRule="auto"/>
      <w:ind w:right="113"/>
    </w:pPr>
    <w:rPr>
      <w:kern w:val="0"/>
      <w:sz w:val="18"/>
      <w:szCs w:val="20"/>
    </w:rPr>
  </w:style>
  <w:style w:type="paragraph" w:styleId="10">
    <w:name w:val="Body Text 2"/>
    <w:basedOn w:val="1"/>
    <w:qFormat/>
    <w:locked/>
    <w:uiPriority w:val="0"/>
    <w:pPr>
      <w:spacing w:after="120" w:line="480" w:lineRule="auto"/>
    </w:pPr>
  </w:style>
  <w:style w:type="paragraph" w:styleId="11">
    <w:name w:val="Body Text Indent"/>
    <w:basedOn w:val="1"/>
    <w:link w:val="46"/>
    <w:qFormat/>
    <w:uiPriority w:val="99"/>
    <w:pPr>
      <w:spacing w:after="120"/>
      <w:ind w:left="420" w:leftChars="200"/>
    </w:pPr>
    <w:rPr>
      <w:kern w:val="0"/>
      <w:sz w:val="24"/>
      <w:szCs w:val="20"/>
    </w:rPr>
  </w:style>
  <w:style w:type="paragraph" w:styleId="12">
    <w:name w:val="Plain Text"/>
    <w:basedOn w:val="1"/>
    <w:link w:val="78"/>
    <w:unhideWhenUsed/>
    <w:qFormat/>
    <w:locked/>
    <w:uiPriority w:val="99"/>
    <w:rPr>
      <w:rFonts w:ascii="宋体" w:hAnsi="Courier New"/>
    </w:rPr>
  </w:style>
  <w:style w:type="paragraph" w:styleId="13">
    <w:name w:val="Date"/>
    <w:basedOn w:val="1"/>
    <w:next w:val="1"/>
    <w:link w:val="33"/>
    <w:qFormat/>
    <w:uiPriority w:val="0"/>
    <w:pPr>
      <w:ind w:left="100" w:leftChars="2500"/>
    </w:pPr>
    <w:rPr>
      <w:kern w:val="0"/>
      <w:sz w:val="24"/>
      <w:szCs w:val="20"/>
    </w:rPr>
  </w:style>
  <w:style w:type="paragraph" w:styleId="14">
    <w:name w:val="Body Text Indent 2"/>
    <w:basedOn w:val="1"/>
    <w:link w:val="74"/>
    <w:unhideWhenUsed/>
    <w:qFormat/>
    <w:locked/>
    <w:uiPriority w:val="0"/>
    <w:pPr>
      <w:spacing w:after="120" w:line="480" w:lineRule="auto"/>
      <w:ind w:left="420" w:leftChars="200"/>
    </w:pPr>
    <w:rPr>
      <w:rFonts w:ascii="Tahoma" w:hAnsi="Tahoma"/>
    </w:rPr>
  </w:style>
  <w:style w:type="paragraph" w:styleId="15">
    <w:name w:val="Balloon Text"/>
    <w:basedOn w:val="1"/>
    <w:link w:val="42"/>
    <w:semiHidden/>
    <w:qFormat/>
    <w:uiPriority w:val="99"/>
    <w:rPr>
      <w:kern w:val="0"/>
      <w:sz w:val="18"/>
      <w:szCs w:val="20"/>
    </w:rPr>
  </w:style>
  <w:style w:type="paragraph" w:styleId="16">
    <w:name w:val="footer"/>
    <w:basedOn w:val="1"/>
    <w:link w:val="32"/>
    <w:qFormat/>
    <w:uiPriority w:val="99"/>
    <w:pPr>
      <w:tabs>
        <w:tab w:val="center" w:pos="4153"/>
        <w:tab w:val="right" w:pos="8306"/>
      </w:tabs>
      <w:snapToGrid w:val="0"/>
      <w:jc w:val="left"/>
    </w:pPr>
    <w:rPr>
      <w:kern w:val="0"/>
      <w:sz w:val="18"/>
      <w:szCs w:val="20"/>
    </w:rPr>
  </w:style>
  <w:style w:type="paragraph" w:styleId="17">
    <w:name w:val="header"/>
    <w:basedOn w:val="1"/>
    <w:link w:val="44"/>
    <w:qFormat/>
    <w:uiPriority w:val="99"/>
    <w:pPr>
      <w:pBdr>
        <w:bottom w:val="single" w:color="auto" w:sz="6" w:space="1"/>
      </w:pBdr>
      <w:tabs>
        <w:tab w:val="center" w:pos="4153"/>
        <w:tab w:val="right" w:pos="8306"/>
      </w:tabs>
      <w:snapToGrid w:val="0"/>
      <w:jc w:val="center"/>
    </w:pPr>
    <w:rPr>
      <w:kern w:val="0"/>
      <w:sz w:val="18"/>
      <w:szCs w:val="20"/>
    </w:rPr>
  </w:style>
  <w:style w:type="paragraph" w:styleId="18">
    <w:name w:val="List"/>
    <w:basedOn w:val="1"/>
    <w:next w:val="1"/>
    <w:qFormat/>
    <w:locked/>
    <w:uiPriority w:val="0"/>
    <w:pPr>
      <w:ind w:left="200" w:hanging="200" w:hangingChars="200"/>
    </w:pPr>
    <w:rPr>
      <w:rFonts w:ascii="Calibri" w:hAnsi="Calibri"/>
    </w:rPr>
  </w:style>
  <w:style w:type="paragraph" w:styleId="19">
    <w:name w:val="Body Text Indent 3"/>
    <w:basedOn w:val="1"/>
    <w:link w:val="76"/>
    <w:unhideWhenUsed/>
    <w:qFormat/>
    <w:locked/>
    <w:uiPriority w:val="0"/>
    <w:pPr>
      <w:spacing w:after="120"/>
      <w:ind w:left="420" w:leftChars="200"/>
    </w:pPr>
    <w:rPr>
      <w:sz w:val="16"/>
      <w:szCs w:val="16"/>
    </w:rPr>
  </w:style>
  <w:style w:type="paragraph" w:styleId="20">
    <w:name w:val="toc 2"/>
    <w:basedOn w:val="1"/>
    <w:next w:val="1"/>
    <w:qFormat/>
    <w:locked/>
    <w:uiPriority w:val="0"/>
    <w:pPr>
      <w:ind w:left="420" w:leftChars="200"/>
    </w:pPr>
  </w:style>
  <w:style w:type="paragraph" w:styleId="21">
    <w:name w:val="Normal (Web)"/>
    <w:basedOn w:val="1"/>
    <w:link w:val="35"/>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8"/>
    <w:next w:val="8"/>
    <w:link w:val="43"/>
    <w:semiHidden/>
    <w:qFormat/>
    <w:uiPriority w:val="99"/>
    <w:rPr>
      <w:b/>
      <w:kern w:val="2"/>
    </w:rPr>
  </w:style>
  <w:style w:type="paragraph" w:styleId="23">
    <w:name w:val="Body Text First Indent"/>
    <w:basedOn w:val="9"/>
    <w:link w:val="72"/>
    <w:unhideWhenUsed/>
    <w:qFormat/>
    <w:locked/>
    <w:uiPriority w:val="99"/>
    <w:pPr>
      <w:widowControl w:val="0"/>
      <w:snapToGrid/>
      <w:spacing w:before="0" w:after="120" w:line="240" w:lineRule="auto"/>
      <w:ind w:right="0" w:firstLine="420" w:firstLineChars="100"/>
    </w:pPr>
    <w:rPr>
      <w:rFonts w:ascii="仿宋" w:hAnsi="仿宋" w:eastAsia="仿宋"/>
      <w:kern w:val="2"/>
      <w:sz w:val="21"/>
      <w:szCs w:val="24"/>
      <w:lang w:eastAsia="en-US"/>
    </w:rPr>
  </w:style>
  <w:style w:type="paragraph" w:styleId="24">
    <w:name w:val="Body Text First Indent 2"/>
    <w:basedOn w:val="11"/>
    <w:next w:val="9"/>
    <w:link w:val="106"/>
    <w:unhideWhenUsed/>
    <w:qFormat/>
    <w:locked/>
    <w:uiPriority w:val="99"/>
    <w:pPr>
      <w:ind w:firstLine="420" w:firstLineChars="200"/>
    </w:pPr>
    <w:rPr>
      <w:kern w:val="2"/>
      <w:sz w:val="21"/>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8">
    <w:name w:val="page number"/>
    <w:basedOn w:val="27"/>
    <w:qFormat/>
    <w:locked/>
    <w:uiPriority w:val="0"/>
  </w:style>
  <w:style w:type="character" w:styleId="29">
    <w:name w:val="annotation reference"/>
    <w:qFormat/>
    <w:uiPriority w:val="99"/>
    <w:rPr>
      <w:sz w:val="21"/>
    </w:rPr>
  </w:style>
  <w:style w:type="paragraph" w:customStyle="1" w:styleId="30">
    <w:name w:val="Body Text 21"/>
    <w:basedOn w:val="1"/>
    <w:qFormat/>
    <w:uiPriority w:val="0"/>
    <w:pPr>
      <w:spacing w:after="120" w:line="480" w:lineRule="auto"/>
    </w:pPr>
  </w:style>
  <w:style w:type="character" w:customStyle="1" w:styleId="31">
    <w:name w:val="标题 1 Char"/>
    <w:basedOn w:val="27"/>
    <w:link w:val="3"/>
    <w:qFormat/>
    <w:uiPriority w:val="0"/>
    <w:rPr>
      <w:rFonts w:eastAsia="黑体"/>
      <w:b/>
      <w:bCs/>
      <w:color w:val="000000"/>
      <w:kern w:val="44"/>
      <w:sz w:val="30"/>
      <w:szCs w:val="30"/>
    </w:rPr>
  </w:style>
  <w:style w:type="character" w:customStyle="1" w:styleId="32">
    <w:name w:val="页脚 Char"/>
    <w:link w:val="16"/>
    <w:qFormat/>
    <w:locked/>
    <w:uiPriority w:val="99"/>
    <w:rPr>
      <w:sz w:val="18"/>
    </w:rPr>
  </w:style>
  <w:style w:type="character" w:customStyle="1" w:styleId="33">
    <w:name w:val="日期 Char"/>
    <w:link w:val="13"/>
    <w:qFormat/>
    <w:locked/>
    <w:uiPriority w:val="0"/>
    <w:rPr>
      <w:rFonts w:ascii="Times New Roman" w:hAnsi="Times New Roman" w:eastAsia="宋体"/>
      <w:sz w:val="24"/>
    </w:rPr>
  </w:style>
  <w:style w:type="character" w:customStyle="1" w:styleId="34">
    <w:name w:val="页脚 字符"/>
    <w:basedOn w:val="27"/>
    <w:qFormat/>
    <w:uiPriority w:val="99"/>
  </w:style>
  <w:style w:type="character" w:customStyle="1" w:styleId="35">
    <w:name w:val="普通(网站) Char"/>
    <w:link w:val="21"/>
    <w:qFormat/>
    <w:locked/>
    <w:uiPriority w:val="0"/>
    <w:rPr>
      <w:rFonts w:ascii="宋体" w:hAnsi="宋体" w:eastAsia="宋体"/>
      <w:sz w:val="24"/>
    </w:rPr>
  </w:style>
  <w:style w:type="character" w:customStyle="1" w:styleId="36">
    <w:name w:val="正文文本 字符1"/>
    <w:semiHidden/>
    <w:qFormat/>
    <w:uiPriority w:val="0"/>
    <w:rPr>
      <w:rFonts w:ascii="Times New Roman" w:hAnsi="Times New Roman" w:eastAsia="宋体"/>
      <w:sz w:val="24"/>
    </w:rPr>
  </w:style>
  <w:style w:type="character" w:customStyle="1" w:styleId="37">
    <w:name w:val="正文文本 Char"/>
    <w:link w:val="9"/>
    <w:qFormat/>
    <w:locked/>
    <w:uiPriority w:val="0"/>
    <w:rPr>
      <w:sz w:val="18"/>
    </w:rPr>
  </w:style>
  <w:style w:type="character" w:customStyle="1" w:styleId="38">
    <w:name w:val="批注文字 Char"/>
    <w:link w:val="8"/>
    <w:qFormat/>
    <w:locked/>
    <w:uiPriority w:val="99"/>
    <w:rPr>
      <w:rFonts w:ascii="Times New Roman" w:hAnsi="Times New Roman" w:eastAsia="宋体"/>
      <w:sz w:val="24"/>
    </w:rPr>
  </w:style>
  <w:style w:type="character" w:customStyle="1" w:styleId="39">
    <w:name w:val="表格 Char"/>
    <w:link w:val="40"/>
    <w:qFormat/>
    <w:locked/>
    <w:uiPriority w:val="0"/>
    <w:rPr>
      <w:rFonts w:ascii="宋体"/>
      <w:sz w:val="21"/>
    </w:rPr>
  </w:style>
  <w:style w:type="paragraph" w:customStyle="1" w:styleId="40">
    <w:name w:val="表格"/>
    <w:basedOn w:val="18"/>
    <w:next w:val="1"/>
    <w:link w:val="39"/>
    <w:qFormat/>
    <w:uiPriority w:val="0"/>
    <w:pPr>
      <w:adjustRightInd w:val="0"/>
      <w:snapToGrid w:val="0"/>
      <w:spacing w:beforeLines="10" w:afterLines="10" w:line="259" w:lineRule="auto"/>
      <w:jc w:val="center"/>
    </w:pPr>
    <w:rPr>
      <w:rFonts w:ascii="宋体"/>
      <w:kern w:val="0"/>
      <w:szCs w:val="20"/>
    </w:rPr>
  </w:style>
  <w:style w:type="character" w:customStyle="1" w:styleId="41">
    <w:name w:val="日期 字符"/>
    <w:semiHidden/>
    <w:qFormat/>
    <w:uiPriority w:val="0"/>
    <w:rPr>
      <w:rFonts w:ascii="Times New Roman" w:hAnsi="Times New Roman" w:eastAsia="宋体"/>
      <w:sz w:val="24"/>
    </w:rPr>
  </w:style>
  <w:style w:type="character" w:customStyle="1" w:styleId="42">
    <w:name w:val="批注框文本 Char"/>
    <w:link w:val="15"/>
    <w:semiHidden/>
    <w:qFormat/>
    <w:locked/>
    <w:uiPriority w:val="99"/>
    <w:rPr>
      <w:rFonts w:ascii="Times New Roman" w:hAnsi="Times New Roman" w:eastAsia="宋体"/>
      <w:sz w:val="18"/>
    </w:rPr>
  </w:style>
  <w:style w:type="character" w:customStyle="1" w:styleId="43">
    <w:name w:val="批注主题 Char"/>
    <w:link w:val="22"/>
    <w:semiHidden/>
    <w:qFormat/>
    <w:locked/>
    <w:uiPriority w:val="99"/>
    <w:rPr>
      <w:rFonts w:ascii="Times New Roman" w:hAnsi="Times New Roman" w:eastAsia="宋体"/>
      <w:b/>
      <w:kern w:val="2"/>
      <w:sz w:val="24"/>
    </w:rPr>
  </w:style>
  <w:style w:type="character" w:customStyle="1" w:styleId="44">
    <w:name w:val="页眉 Char"/>
    <w:link w:val="17"/>
    <w:qFormat/>
    <w:locked/>
    <w:uiPriority w:val="99"/>
    <w:rPr>
      <w:sz w:val="18"/>
    </w:rPr>
  </w:style>
  <w:style w:type="character" w:customStyle="1" w:styleId="45">
    <w:name w:val="批注文字 字符1"/>
    <w:semiHidden/>
    <w:qFormat/>
    <w:uiPriority w:val="0"/>
    <w:rPr>
      <w:rFonts w:ascii="Times New Roman" w:hAnsi="Times New Roman" w:eastAsia="宋体"/>
      <w:sz w:val="24"/>
    </w:rPr>
  </w:style>
  <w:style w:type="character" w:customStyle="1" w:styleId="46">
    <w:name w:val="正文文本缩进 Char"/>
    <w:link w:val="11"/>
    <w:semiHidden/>
    <w:qFormat/>
    <w:locked/>
    <w:uiPriority w:val="99"/>
    <w:rPr>
      <w:rFonts w:ascii="Times New Roman" w:hAnsi="Times New Roman" w:eastAsia="宋体"/>
      <w:sz w:val="24"/>
    </w:rPr>
  </w:style>
  <w:style w:type="paragraph" w:customStyle="1" w:styleId="4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9">
    <w:name w:val="文档结构图 Char"/>
    <w:basedOn w:val="27"/>
    <w:link w:val="7"/>
    <w:qFormat/>
    <w:uiPriority w:val="99"/>
    <w:rPr>
      <w:rFonts w:ascii="宋体"/>
      <w:kern w:val="2"/>
      <w:sz w:val="18"/>
      <w:szCs w:val="18"/>
    </w:rPr>
  </w:style>
  <w:style w:type="character" w:customStyle="1" w:styleId="50">
    <w:name w:val="正文-1 Char"/>
    <w:link w:val="51"/>
    <w:qFormat/>
    <w:locked/>
    <w:uiPriority w:val="0"/>
    <w:rPr>
      <w:rFonts w:ascii="宋体" w:hAnsi="宋体" w:cs="宋体"/>
      <w:kern w:val="2"/>
      <w:sz w:val="24"/>
      <w:lang w:val="en-US" w:eastAsia="zh-CN" w:bidi="ar-SA"/>
    </w:rPr>
  </w:style>
  <w:style w:type="paragraph" w:customStyle="1" w:styleId="51">
    <w:name w:val="正文-1"/>
    <w:link w:val="50"/>
    <w:qFormat/>
    <w:uiPriority w:val="0"/>
    <w:pPr>
      <w:spacing w:line="480" w:lineRule="exact"/>
      <w:ind w:firstLine="200" w:firstLineChars="200"/>
      <w:jc w:val="both"/>
    </w:pPr>
    <w:rPr>
      <w:rFonts w:ascii="宋体" w:hAnsi="宋体" w:eastAsia="宋体" w:cs="宋体"/>
      <w:kern w:val="2"/>
      <w:sz w:val="24"/>
      <w:lang w:val="en-US" w:eastAsia="zh-CN" w:bidi="ar-SA"/>
    </w:rPr>
  </w:style>
  <w:style w:type="character" w:customStyle="1" w:styleId="52">
    <w:name w:val="正文新 字符"/>
    <w:link w:val="53"/>
    <w:qFormat/>
    <w:locked/>
    <w:uiPriority w:val="0"/>
    <w:rPr>
      <w:kern w:val="2"/>
      <w:sz w:val="24"/>
      <w:szCs w:val="24"/>
    </w:rPr>
  </w:style>
  <w:style w:type="paragraph" w:customStyle="1" w:styleId="53">
    <w:name w:val="正文新"/>
    <w:basedOn w:val="1"/>
    <w:link w:val="52"/>
    <w:qFormat/>
    <w:uiPriority w:val="0"/>
    <w:pPr>
      <w:spacing w:line="460" w:lineRule="exact"/>
      <w:ind w:firstLine="480" w:firstLineChars="200"/>
    </w:pPr>
    <w:rPr>
      <w:sz w:val="24"/>
    </w:rPr>
  </w:style>
  <w:style w:type="paragraph" w:customStyle="1" w:styleId="54">
    <w:name w:val="正文(首行缩进)"/>
    <w:basedOn w:val="1"/>
    <w:next w:val="1"/>
    <w:qFormat/>
    <w:uiPriority w:val="0"/>
    <w:pPr>
      <w:adjustRightInd w:val="0"/>
      <w:snapToGrid w:val="0"/>
      <w:spacing w:line="360" w:lineRule="auto"/>
      <w:ind w:firstLine="482" w:firstLineChars="200"/>
    </w:pPr>
    <w:rPr>
      <w:rFonts w:hAnsi="宋体"/>
      <w:b/>
      <w:bCs/>
      <w:color w:val="000000"/>
      <w:sz w:val="24"/>
      <w:szCs w:val="28"/>
    </w:rPr>
  </w:style>
  <w:style w:type="paragraph" w:customStyle="1" w:styleId="55">
    <w:name w:val="正文文本缩进1"/>
    <w:basedOn w:val="1"/>
    <w:qFormat/>
    <w:uiPriority w:val="99"/>
    <w:pPr>
      <w:spacing w:line="320" w:lineRule="exact"/>
      <w:ind w:firstLine="113"/>
      <w:jc w:val="center"/>
    </w:pPr>
    <w:rPr>
      <w:rFonts w:ascii="宋体" w:hAnsi="宋体"/>
      <w:bCs/>
      <w:color w:val="000000"/>
      <w:sz w:val="24"/>
      <w:szCs w:val="28"/>
    </w:rPr>
  </w:style>
  <w:style w:type="character" w:customStyle="1" w:styleId="56">
    <w:name w:val="表格内容1 字符"/>
    <w:link w:val="57"/>
    <w:qFormat/>
    <w:locked/>
    <w:uiPriority w:val="0"/>
    <w:rPr>
      <w:color w:val="000000"/>
      <w:sz w:val="21"/>
      <w:szCs w:val="21"/>
    </w:rPr>
  </w:style>
  <w:style w:type="paragraph" w:customStyle="1" w:styleId="57">
    <w:name w:val="表格内容1"/>
    <w:basedOn w:val="1"/>
    <w:link w:val="56"/>
    <w:qFormat/>
    <w:uiPriority w:val="0"/>
    <w:pPr>
      <w:widowControl/>
      <w:jc w:val="center"/>
    </w:pPr>
    <w:rPr>
      <w:color w:val="000000"/>
      <w:kern w:val="0"/>
      <w:szCs w:val="21"/>
    </w:rPr>
  </w:style>
  <w:style w:type="character" w:customStyle="1" w:styleId="58">
    <w:name w:val="表格内容 字符"/>
    <w:basedOn w:val="27"/>
    <w:link w:val="59"/>
    <w:qFormat/>
    <w:locked/>
    <w:uiPriority w:val="0"/>
    <w:rPr>
      <w:sz w:val="21"/>
      <w:szCs w:val="21"/>
      <w:lang w:eastAsia="en-US" w:bidi="en-US"/>
    </w:rPr>
  </w:style>
  <w:style w:type="paragraph" w:customStyle="1" w:styleId="59">
    <w:name w:val="表格内容"/>
    <w:basedOn w:val="1"/>
    <w:link w:val="58"/>
    <w:qFormat/>
    <w:uiPriority w:val="0"/>
    <w:pPr>
      <w:widowControl/>
      <w:spacing w:line="300" w:lineRule="exact"/>
      <w:jc w:val="center"/>
    </w:pPr>
    <w:rPr>
      <w:kern w:val="0"/>
      <w:szCs w:val="21"/>
      <w:lang w:eastAsia="en-US" w:bidi="en-US"/>
    </w:rPr>
  </w:style>
  <w:style w:type="paragraph" w:customStyle="1" w:styleId="60">
    <w:name w:val="Default"/>
    <w:basedOn w:val="61"/>
    <w:next w:val="1"/>
    <w:link w:val="63"/>
    <w:qFormat/>
    <w:uiPriority w:val="0"/>
    <w:pPr>
      <w:autoSpaceDE w:val="0"/>
      <w:autoSpaceDN w:val="0"/>
    </w:pPr>
    <w:rPr>
      <w:rFonts w:hAnsi="Times New Roman" w:cs="宋体"/>
      <w:color w:val="000000"/>
      <w:sz w:val="24"/>
      <w:szCs w:val="24"/>
    </w:rPr>
  </w:style>
  <w:style w:type="paragraph" w:customStyle="1" w:styleId="61">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62">
    <w:name w:val="纯文本1"/>
    <w:basedOn w:val="1"/>
    <w:qFormat/>
    <w:uiPriority w:val="0"/>
    <w:pPr>
      <w:adjustRightInd w:val="0"/>
    </w:pPr>
    <w:rPr>
      <w:rFonts w:ascii="宋体" w:hAnsi="Courier New"/>
      <w:szCs w:val="20"/>
    </w:rPr>
  </w:style>
  <w:style w:type="character" w:customStyle="1" w:styleId="63">
    <w:name w:val="Default Char"/>
    <w:link w:val="60"/>
    <w:qFormat/>
    <w:locked/>
    <w:uiPriority w:val="0"/>
    <w:rPr>
      <w:rFonts w:ascii="宋体" w:cs="宋体"/>
      <w:color w:val="000000"/>
      <w:sz w:val="24"/>
      <w:szCs w:val="24"/>
    </w:rPr>
  </w:style>
  <w:style w:type="character" w:customStyle="1" w:styleId="64">
    <w:name w:val="表格新 字符"/>
    <w:link w:val="65"/>
    <w:qFormat/>
    <w:locked/>
    <w:uiPriority w:val="0"/>
    <w:rPr>
      <w:bCs/>
      <w:kern w:val="2"/>
      <w:sz w:val="21"/>
      <w:szCs w:val="21"/>
    </w:rPr>
  </w:style>
  <w:style w:type="paragraph" w:customStyle="1" w:styleId="65">
    <w:name w:val="表格新"/>
    <w:basedOn w:val="1"/>
    <w:link w:val="64"/>
    <w:qFormat/>
    <w:uiPriority w:val="0"/>
    <w:pPr>
      <w:jc w:val="center"/>
    </w:pPr>
    <w:rPr>
      <w:bCs/>
      <w:szCs w:val="21"/>
    </w:rPr>
  </w:style>
  <w:style w:type="character" w:customStyle="1" w:styleId="66">
    <w:name w:val="标题 2 Char"/>
    <w:basedOn w:val="27"/>
    <w:link w:val="4"/>
    <w:semiHidden/>
    <w:qFormat/>
    <w:uiPriority w:val="9"/>
    <w:rPr>
      <w:rFonts w:ascii="Cambria" w:hAnsi="Cambria" w:cs="宋体"/>
      <w:b/>
      <w:bCs/>
      <w:kern w:val="2"/>
      <w:sz w:val="32"/>
      <w:szCs w:val="32"/>
    </w:rPr>
  </w:style>
  <w:style w:type="character" w:customStyle="1" w:styleId="67">
    <w:name w:val="标题 3 Char"/>
    <w:basedOn w:val="27"/>
    <w:link w:val="5"/>
    <w:qFormat/>
    <w:uiPriority w:val="0"/>
    <w:rPr>
      <w:b/>
      <w:bCs/>
      <w:kern w:val="2"/>
      <w:sz w:val="32"/>
      <w:szCs w:val="32"/>
    </w:rPr>
  </w:style>
  <w:style w:type="character" w:customStyle="1" w:styleId="68">
    <w:name w:val="标题 4 Char"/>
    <w:basedOn w:val="27"/>
    <w:link w:val="2"/>
    <w:semiHidden/>
    <w:qFormat/>
    <w:uiPriority w:val="0"/>
    <w:rPr>
      <w:b/>
      <w:bCs/>
      <w:color w:val="000000"/>
      <w:kern w:val="2"/>
      <w:sz w:val="28"/>
      <w:szCs w:val="28"/>
    </w:rPr>
  </w:style>
  <w:style w:type="character" w:customStyle="1" w:styleId="69">
    <w:name w:val="正文缩进 Char"/>
    <w:link w:val="6"/>
    <w:qFormat/>
    <w:locked/>
    <w:uiPriority w:val="0"/>
    <w:rPr>
      <w:kern w:val="2"/>
      <w:sz w:val="21"/>
      <w:szCs w:val="24"/>
    </w:rPr>
  </w:style>
  <w:style w:type="character" w:customStyle="1" w:styleId="70">
    <w:name w:val="正文首行缩进 Char1"/>
    <w:basedOn w:val="71"/>
    <w:qFormat/>
    <w:locked/>
    <w:uiPriority w:val="99"/>
    <w:rPr>
      <w:rFonts w:ascii="仿宋" w:hAnsi="仿宋" w:eastAsia="仿宋"/>
      <w:kern w:val="2"/>
      <w:sz w:val="21"/>
      <w:szCs w:val="24"/>
      <w:lang w:eastAsia="en-US"/>
    </w:rPr>
  </w:style>
  <w:style w:type="character" w:customStyle="1" w:styleId="71">
    <w:name w:val="正文文本 Char1"/>
    <w:basedOn w:val="27"/>
    <w:semiHidden/>
    <w:qFormat/>
    <w:locked/>
    <w:uiPriority w:val="1"/>
    <w:rPr>
      <w:rFonts w:ascii="仿宋" w:hAnsi="仿宋" w:eastAsia="仿宋"/>
      <w:sz w:val="32"/>
      <w:szCs w:val="32"/>
      <w:lang w:eastAsia="en-US"/>
    </w:rPr>
  </w:style>
  <w:style w:type="character" w:customStyle="1" w:styleId="72">
    <w:name w:val="正文首行缩进 Char"/>
    <w:basedOn w:val="37"/>
    <w:link w:val="23"/>
    <w:qFormat/>
    <w:uiPriority w:val="99"/>
    <w:rPr>
      <w:kern w:val="2"/>
      <w:sz w:val="21"/>
      <w:szCs w:val="24"/>
    </w:rPr>
  </w:style>
  <w:style w:type="character" w:customStyle="1" w:styleId="73">
    <w:name w:val="正文文本缩进 2 Char1"/>
    <w:basedOn w:val="27"/>
    <w:qFormat/>
    <w:locked/>
    <w:uiPriority w:val="0"/>
    <w:rPr>
      <w:rFonts w:ascii="Tahoma" w:hAnsi="Tahoma"/>
      <w:kern w:val="2"/>
      <w:sz w:val="21"/>
      <w:szCs w:val="24"/>
    </w:rPr>
  </w:style>
  <w:style w:type="character" w:customStyle="1" w:styleId="74">
    <w:name w:val="正文文本缩进 2 Char"/>
    <w:basedOn w:val="27"/>
    <w:link w:val="14"/>
    <w:qFormat/>
    <w:uiPriority w:val="0"/>
    <w:rPr>
      <w:kern w:val="2"/>
      <w:sz w:val="21"/>
      <w:szCs w:val="24"/>
    </w:rPr>
  </w:style>
  <w:style w:type="character" w:customStyle="1" w:styleId="75">
    <w:name w:val="正文文本缩进 3 Char1"/>
    <w:basedOn w:val="27"/>
    <w:qFormat/>
    <w:locked/>
    <w:uiPriority w:val="0"/>
    <w:rPr>
      <w:kern w:val="2"/>
      <w:sz w:val="16"/>
      <w:szCs w:val="16"/>
    </w:rPr>
  </w:style>
  <w:style w:type="character" w:customStyle="1" w:styleId="76">
    <w:name w:val="正文文本缩进 3 Char"/>
    <w:basedOn w:val="27"/>
    <w:link w:val="19"/>
    <w:qFormat/>
    <w:uiPriority w:val="0"/>
    <w:rPr>
      <w:kern w:val="2"/>
      <w:sz w:val="16"/>
      <w:szCs w:val="16"/>
    </w:rPr>
  </w:style>
  <w:style w:type="character" w:customStyle="1" w:styleId="77">
    <w:name w:val="纯文本 Char1"/>
    <w:basedOn w:val="27"/>
    <w:qFormat/>
    <w:locked/>
    <w:uiPriority w:val="0"/>
    <w:rPr>
      <w:rFonts w:ascii="宋体" w:hAnsi="Courier New"/>
      <w:kern w:val="2"/>
      <w:sz w:val="21"/>
      <w:szCs w:val="24"/>
    </w:rPr>
  </w:style>
  <w:style w:type="character" w:customStyle="1" w:styleId="78">
    <w:name w:val="纯文本 Char"/>
    <w:basedOn w:val="27"/>
    <w:link w:val="12"/>
    <w:qFormat/>
    <w:uiPriority w:val="99"/>
    <w:rPr>
      <w:rFonts w:ascii="宋体" w:hAnsi="Courier New" w:cs="Courier New"/>
      <w:kern w:val="2"/>
      <w:sz w:val="21"/>
      <w:szCs w:val="21"/>
    </w:rPr>
  </w:style>
  <w:style w:type="character" w:customStyle="1" w:styleId="79">
    <w:name w:val="表格文字 Char Char"/>
    <w:link w:val="80"/>
    <w:qFormat/>
    <w:locked/>
    <w:uiPriority w:val="0"/>
    <w:rPr>
      <w:kern w:val="2"/>
      <w:sz w:val="21"/>
      <w:szCs w:val="18"/>
    </w:rPr>
  </w:style>
  <w:style w:type="paragraph" w:customStyle="1" w:styleId="80">
    <w:name w:val="表格文字"/>
    <w:basedOn w:val="23"/>
    <w:next w:val="1"/>
    <w:link w:val="79"/>
    <w:qFormat/>
    <w:uiPriority w:val="0"/>
    <w:pPr>
      <w:overflowPunct w:val="0"/>
      <w:autoSpaceDE w:val="0"/>
      <w:autoSpaceDN w:val="0"/>
      <w:adjustRightInd w:val="0"/>
      <w:snapToGrid w:val="0"/>
      <w:spacing w:line="360" w:lineRule="auto"/>
      <w:ind w:firstLine="539" w:firstLineChars="0"/>
      <w:jc w:val="center"/>
    </w:pPr>
    <w:rPr>
      <w:rFonts w:ascii="Times New Roman" w:hAnsi="Times New Roman" w:eastAsia="宋体"/>
      <w:szCs w:val="18"/>
      <w:lang w:eastAsia="zh-CN"/>
    </w:rPr>
  </w:style>
  <w:style w:type="character" w:customStyle="1" w:styleId="81">
    <w:name w:val="表题 Char"/>
    <w:link w:val="82"/>
    <w:qFormat/>
    <w:locked/>
    <w:uiPriority w:val="0"/>
    <w:rPr>
      <w:rFonts w:ascii="宋体" w:hAnsi="宋体"/>
      <w:b/>
      <w:kern w:val="2"/>
      <w:sz w:val="21"/>
      <w:szCs w:val="24"/>
    </w:rPr>
  </w:style>
  <w:style w:type="paragraph" w:customStyle="1" w:styleId="82">
    <w:name w:val="表题"/>
    <w:link w:val="81"/>
    <w:qFormat/>
    <w:uiPriority w:val="0"/>
    <w:pPr>
      <w:spacing w:line="480" w:lineRule="exact"/>
      <w:jc w:val="center"/>
    </w:pPr>
    <w:rPr>
      <w:rFonts w:ascii="宋体" w:hAnsi="宋体" w:eastAsia="宋体" w:cs="Times New Roman"/>
      <w:b/>
      <w:kern w:val="2"/>
      <w:sz w:val="21"/>
      <w:szCs w:val="24"/>
      <w:lang w:val="en-US" w:eastAsia="zh-CN" w:bidi="ar-SA"/>
    </w:rPr>
  </w:style>
  <w:style w:type="character" w:customStyle="1" w:styleId="83">
    <w:name w:val="表格题目1 字符"/>
    <w:basedOn w:val="27"/>
    <w:link w:val="84"/>
    <w:qFormat/>
    <w:locked/>
    <w:uiPriority w:val="0"/>
    <w:rPr>
      <w:rFonts w:ascii="黑体" w:hAnsi="黑体" w:eastAsia="黑体"/>
      <w:color w:val="000000"/>
      <w:kern w:val="2"/>
      <w:sz w:val="21"/>
      <w:szCs w:val="24"/>
    </w:rPr>
  </w:style>
  <w:style w:type="paragraph" w:customStyle="1" w:styleId="84">
    <w:name w:val="表格题目1"/>
    <w:basedOn w:val="1"/>
    <w:link w:val="83"/>
    <w:qFormat/>
    <w:uiPriority w:val="0"/>
    <w:pPr>
      <w:ind w:firstLine="525" w:firstLineChars="250"/>
      <w:jc w:val="left"/>
    </w:pPr>
    <w:rPr>
      <w:rFonts w:ascii="黑体" w:hAnsi="黑体" w:eastAsia="黑体"/>
      <w:color w:val="000000"/>
    </w:rPr>
  </w:style>
  <w:style w:type="character" w:customStyle="1" w:styleId="85">
    <w:name w:val="正文1 字符"/>
    <w:basedOn w:val="27"/>
    <w:link w:val="86"/>
    <w:qFormat/>
    <w:locked/>
    <w:uiPriority w:val="0"/>
    <w:rPr>
      <w:rFonts w:ascii="宋体" w:hAnsi="宋体" w:cs="宋体"/>
      <w:color w:val="000000"/>
      <w:sz w:val="24"/>
      <w:szCs w:val="26"/>
    </w:rPr>
  </w:style>
  <w:style w:type="paragraph" w:customStyle="1" w:styleId="86">
    <w:name w:val="正文1"/>
    <w:basedOn w:val="1"/>
    <w:link w:val="85"/>
    <w:qFormat/>
    <w:uiPriority w:val="0"/>
    <w:pPr>
      <w:widowControl/>
      <w:spacing w:line="460" w:lineRule="exact"/>
      <w:ind w:firstLine="480" w:firstLineChars="200"/>
    </w:pPr>
    <w:rPr>
      <w:rFonts w:ascii="宋体" w:hAnsi="宋体" w:cs="宋体"/>
      <w:color w:val="000000"/>
      <w:kern w:val="0"/>
      <w:sz w:val="24"/>
      <w:szCs w:val="26"/>
    </w:rPr>
  </w:style>
  <w:style w:type="character" w:customStyle="1" w:styleId="87">
    <w:name w:val="！正文 Char"/>
    <w:link w:val="88"/>
    <w:qFormat/>
    <w:locked/>
    <w:uiPriority w:val="0"/>
    <w:rPr>
      <w:sz w:val="24"/>
      <w:szCs w:val="24"/>
    </w:rPr>
  </w:style>
  <w:style w:type="paragraph" w:customStyle="1" w:styleId="88">
    <w:name w:val="！正文"/>
    <w:basedOn w:val="1"/>
    <w:link w:val="87"/>
    <w:qFormat/>
    <w:uiPriority w:val="0"/>
    <w:pPr>
      <w:spacing w:line="500" w:lineRule="exact"/>
      <w:ind w:firstLine="200" w:firstLineChars="200"/>
    </w:pPr>
    <w:rPr>
      <w:kern w:val="0"/>
      <w:sz w:val="24"/>
    </w:rPr>
  </w:style>
  <w:style w:type="character" w:customStyle="1" w:styleId="89">
    <w:name w:val="表格题目新 字符"/>
    <w:link w:val="90"/>
    <w:qFormat/>
    <w:locked/>
    <w:uiPriority w:val="0"/>
    <w:rPr>
      <w:rFonts w:ascii="黑体" w:hAnsi="黑体" w:eastAsia="黑体"/>
      <w:kern w:val="2"/>
      <w:sz w:val="21"/>
      <w:szCs w:val="24"/>
    </w:rPr>
  </w:style>
  <w:style w:type="paragraph" w:customStyle="1" w:styleId="90">
    <w:name w:val="表格题目新"/>
    <w:basedOn w:val="1"/>
    <w:link w:val="89"/>
    <w:qFormat/>
    <w:uiPriority w:val="0"/>
    <w:pPr>
      <w:autoSpaceDE w:val="0"/>
      <w:autoSpaceDN w:val="0"/>
      <w:spacing w:line="360" w:lineRule="exact"/>
      <w:ind w:firstLine="200" w:firstLineChars="200"/>
      <w:jc w:val="left"/>
    </w:pPr>
    <w:rPr>
      <w:rFonts w:ascii="黑体" w:hAnsi="黑体" w:eastAsia="黑体"/>
    </w:rPr>
  </w:style>
  <w:style w:type="character" w:customStyle="1" w:styleId="91">
    <w:name w:val="1正文段落 Char"/>
    <w:link w:val="92"/>
    <w:qFormat/>
    <w:locked/>
    <w:uiPriority w:val="0"/>
    <w:rPr>
      <w:rFonts w:ascii="宋体" w:hAnsi="宋体"/>
      <w:snapToGrid w:val="0"/>
      <w:sz w:val="24"/>
      <w:szCs w:val="24"/>
    </w:rPr>
  </w:style>
  <w:style w:type="paragraph" w:customStyle="1" w:styleId="92">
    <w:name w:val="1正文段落"/>
    <w:basedOn w:val="1"/>
    <w:link w:val="91"/>
    <w:qFormat/>
    <w:uiPriority w:val="0"/>
    <w:pPr>
      <w:snapToGrid w:val="0"/>
      <w:spacing w:line="360" w:lineRule="auto"/>
      <w:ind w:firstLine="480" w:firstLineChars="200"/>
      <w:jc w:val="left"/>
    </w:pPr>
    <w:rPr>
      <w:rFonts w:ascii="宋体" w:hAnsi="宋体"/>
      <w:snapToGrid w:val="0"/>
      <w:kern w:val="0"/>
      <w:sz w:val="24"/>
    </w:rPr>
  </w:style>
  <w:style w:type="character" w:customStyle="1" w:styleId="93">
    <w:name w:val="表体 Char"/>
    <w:basedOn w:val="27"/>
    <w:link w:val="94"/>
    <w:qFormat/>
    <w:locked/>
    <w:uiPriority w:val="0"/>
    <w:rPr>
      <w:rFonts w:ascii="宋体" w:hAnsi="宋体" w:cs="宋体"/>
      <w:color w:val="000080"/>
      <w:sz w:val="24"/>
      <w:szCs w:val="24"/>
    </w:rPr>
  </w:style>
  <w:style w:type="paragraph" w:customStyle="1" w:styleId="94">
    <w:name w:val="表体"/>
    <w:link w:val="93"/>
    <w:qFormat/>
    <w:uiPriority w:val="0"/>
    <w:pPr>
      <w:spacing w:before="40" w:after="40"/>
      <w:jc w:val="center"/>
    </w:pPr>
    <w:rPr>
      <w:rFonts w:ascii="宋体" w:hAnsi="宋体" w:eastAsia="宋体" w:cs="宋体"/>
      <w:color w:val="000080"/>
      <w:sz w:val="24"/>
      <w:szCs w:val="24"/>
      <w:lang w:val="en-US" w:eastAsia="zh-CN" w:bidi="ar-SA"/>
    </w:rPr>
  </w:style>
  <w:style w:type="paragraph" w:customStyle="1" w:styleId="95">
    <w:name w:val="-表格"/>
    <w:basedOn w:val="1"/>
    <w:link w:val="96"/>
    <w:qFormat/>
    <w:uiPriority w:val="0"/>
  </w:style>
  <w:style w:type="character" w:customStyle="1" w:styleId="96">
    <w:name w:val="-表格 Char"/>
    <w:link w:val="95"/>
    <w:qFormat/>
    <w:locked/>
    <w:uiPriority w:val="0"/>
    <w:rPr>
      <w:kern w:val="2"/>
      <w:sz w:val="21"/>
      <w:szCs w:val="24"/>
    </w:rPr>
  </w:style>
  <w:style w:type="paragraph" w:customStyle="1" w:styleId="97">
    <w:name w:val="表头1"/>
    <w:basedOn w:val="1"/>
    <w:link w:val="98"/>
    <w:qFormat/>
    <w:uiPriority w:val="0"/>
  </w:style>
  <w:style w:type="character" w:customStyle="1" w:styleId="98">
    <w:name w:val="表头1 字符"/>
    <w:link w:val="97"/>
    <w:qFormat/>
    <w:locked/>
    <w:uiPriority w:val="0"/>
    <w:rPr>
      <w:kern w:val="2"/>
      <w:sz w:val="21"/>
      <w:szCs w:val="24"/>
    </w:rPr>
  </w:style>
  <w:style w:type="paragraph" w:customStyle="1" w:styleId="99">
    <w:name w:val="Char"/>
    <w:basedOn w:val="1"/>
    <w:qFormat/>
    <w:uiPriority w:val="0"/>
    <w:pPr>
      <w:spacing w:line="360" w:lineRule="auto"/>
      <w:ind w:firstLine="200" w:firstLineChars="200"/>
    </w:pPr>
    <w:rPr>
      <w:szCs w:val="20"/>
    </w:rPr>
  </w:style>
  <w:style w:type="paragraph" w:customStyle="1" w:styleId="100">
    <w:name w:val="表头，alt+D"/>
    <w:basedOn w:val="1"/>
    <w:link w:val="124"/>
    <w:qFormat/>
    <w:uiPriority w:val="0"/>
    <w:pPr>
      <w:spacing w:before="60" w:after="60" w:line="240" w:lineRule="atLeast"/>
      <w:ind w:left="-113" w:right="-113"/>
      <w:jc w:val="center"/>
    </w:pPr>
    <w:rPr>
      <w:color w:val="808000"/>
      <w:sz w:val="24"/>
      <w:szCs w:val="20"/>
    </w:rPr>
  </w:style>
  <w:style w:type="paragraph" w:customStyle="1" w:styleId="101">
    <w:name w:val="Table Paragraph"/>
    <w:basedOn w:val="1"/>
    <w:qFormat/>
    <w:uiPriority w:val="1"/>
    <w:pPr>
      <w:jc w:val="left"/>
    </w:pPr>
    <w:rPr>
      <w:rFonts w:ascii="Calibri" w:hAnsi="Calibri"/>
      <w:kern w:val="0"/>
      <w:sz w:val="22"/>
      <w:szCs w:val="22"/>
      <w:lang w:eastAsia="en-US"/>
    </w:rPr>
  </w:style>
  <w:style w:type="paragraph" w:customStyle="1" w:styleId="102">
    <w:name w:val="。。表头"/>
    <w:basedOn w:val="1"/>
    <w:qFormat/>
    <w:uiPriority w:val="0"/>
    <w:pPr>
      <w:spacing w:line="360" w:lineRule="auto"/>
      <w:ind w:firstLine="602" w:firstLineChars="200"/>
      <w:jc w:val="center"/>
    </w:pPr>
    <w:rPr>
      <w:b/>
      <w:bCs/>
      <w:sz w:val="24"/>
    </w:rPr>
  </w:style>
  <w:style w:type="paragraph" w:customStyle="1" w:styleId="103">
    <w:name w:val="标题2 Char Char Char Char Char Char Char Char Char Char"/>
    <w:basedOn w:val="1"/>
    <w:qFormat/>
    <w:uiPriority w:val="0"/>
    <w:pPr>
      <w:snapToGrid w:val="0"/>
      <w:spacing w:line="520" w:lineRule="exact"/>
    </w:pPr>
    <w:rPr>
      <w:rFonts w:eastAsia="Times New Roman"/>
      <w:color w:val="000000"/>
      <w:kern w:val="0"/>
      <w:sz w:val="20"/>
      <w:szCs w:val="21"/>
    </w:rPr>
  </w:style>
  <w:style w:type="paragraph" w:customStyle="1" w:styleId="104">
    <w:name w:val="样式35"/>
    <w:basedOn w:val="1"/>
    <w:next w:val="105"/>
    <w:qFormat/>
    <w:uiPriority w:val="0"/>
    <w:pPr>
      <w:spacing w:line="312" w:lineRule="auto"/>
      <w:ind w:firstLine="567"/>
    </w:pPr>
    <w:rPr>
      <w:rFonts w:ascii="宋体"/>
      <w:sz w:val="28"/>
    </w:rPr>
  </w:style>
  <w:style w:type="paragraph" w:customStyle="1" w:styleId="105">
    <w:name w:val="font6"/>
    <w:basedOn w:val="1"/>
    <w:next w:val="20"/>
    <w:qFormat/>
    <w:uiPriority w:val="0"/>
    <w:pPr>
      <w:widowControl/>
      <w:spacing w:before="280" w:after="280"/>
    </w:pPr>
  </w:style>
  <w:style w:type="character" w:customStyle="1" w:styleId="106">
    <w:name w:val="正文首行缩进 2 Char"/>
    <w:basedOn w:val="46"/>
    <w:link w:val="24"/>
    <w:qFormat/>
    <w:uiPriority w:val="99"/>
    <w:rPr>
      <w:rFonts w:ascii="Times New Roman" w:hAnsi="Times New Roman" w:eastAsia="宋体"/>
      <w:kern w:val="2"/>
      <w:sz w:val="21"/>
      <w:szCs w:val="24"/>
    </w:rPr>
  </w:style>
  <w:style w:type="character" w:styleId="107">
    <w:name w:val="Placeholder Text"/>
    <w:basedOn w:val="27"/>
    <w:unhideWhenUsed/>
    <w:qFormat/>
    <w:uiPriority w:val="99"/>
    <w:rPr>
      <w:color w:val="808080"/>
    </w:rPr>
  </w:style>
  <w:style w:type="paragraph" w:customStyle="1" w:styleId="108">
    <w:name w:val="表格题目2"/>
    <w:basedOn w:val="1"/>
    <w:link w:val="109"/>
    <w:qFormat/>
    <w:uiPriority w:val="0"/>
    <w:pPr>
      <w:autoSpaceDE w:val="0"/>
      <w:autoSpaceDN w:val="0"/>
      <w:spacing w:beforeLines="50" w:line="312" w:lineRule="auto"/>
      <w:ind w:firstLine="200" w:firstLineChars="200"/>
    </w:pPr>
    <w:rPr>
      <w:rFonts w:eastAsia="黑体" w:cs="宋体"/>
    </w:rPr>
  </w:style>
  <w:style w:type="character" w:customStyle="1" w:styleId="109">
    <w:name w:val="表格题目2 字符"/>
    <w:basedOn w:val="27"/>
    <w:link w:val="108"/>
    <w:qFormat/>
    <w:uiPriority w:val="0"/>
    <w:rPr>
      <w:rFonts w:eastAsia="黑体" w:cs="宋体"/>
      <w:kern w:val="2"/>
      <w:sz w:val="21"/>
      <w:szCs w:val="24"/>
    </w:rPr>
  </w:style>
  <w:style w:type="paragraph" w:customStyle="1" w:styleId="110">
    <w:name w:val="6"/>
    <w:basedOn w:val="1"/>
    <w:qFormat/>
    <w:uiPriority w:val="0"/>
    <w:pPr>
      <w:spacing w:line="460" w:lineRule="exact"/>
      <w:ind w:firstLine="560" w:firstLineChars="200"/>
    </w:pPr>
    <w:rPr>
      <w:rFonts w:ascii="宋体" w:hAnsi="Courier New" w:cs="Courier New"/>
      <w:kern w:val="0"/>
      <w:sz w:val="24"/>
      <w:szCs w:val="21"/>
    </w:rPr>
  </w:style>
  <w:style w:type="character" w:customStyle="1" w:styleId="111">
    <w:name w:val="内容 Char"/>
    <w:link w:val="112"/>
    <w:qFormat/>
    <w:locked/>
    <w:uiPriority w:val="0"/>
    <w:rPr>
      <w:color w:val="000000"/>
      <w:kern w:val="2"/>
      <w:sz w:val="24"/>
      <w:szCs w:val="24"/>
    </w:rPr>
  </w:style>
  <w:style w:type="paragraph" w:customStyle="1" w:styleId="112">
    <w:name w:val="内容"/>
    <w:basedOn w:val="1"/>
    <w:link w:val="111"/>
    <w:qFormat/>
    <w:uiPriority w:val="0"/>
    <w:pPr>
      <w:spacing w:beforeLines="50" w:afterLines="50"/>
      <w:ind w:firstLine="200" w:firstLineChars="200"/>
    </w:pPr>
    <w:rPr>
      <w:color w:val="000000"/>
      <w:sz w:val="24"/>
    </w:rPr>
  </w:style>
  <w:style w:type="paragraph" w:customStyle="1" w:styleId="113">
    <w:name w:val="正文 楷体"/>
    <w:basedOn w:val="1"/>
    <w:qFormat/>
    <w:uiPriority w:val="0"/>
    <w:pPr>
      <w:spacing w:line="500" w:lineRule="exact"/>
      <w:ind w:firstLine="200" w:firstLineChars="200"/>
    </w:pPr>
    <w:rPr>
      <w:rFonts w:ascii="楷体_GB2312" w:hAnsi="楷体_GB2312" w:eastAsia="楷体_GB2312"/>
    </w:rPr>
  </w:style>
  <w:style w:type="paragraph" w:customStyle="1" w:styleId="114">
    <w:name w:val="报告表正文"/>
    <w:basedOn w:val="1"/>
    <w:qFormat/>
    <w:uiPriority w:val="0"/>
    <w:pPr>
      <w:adjustRightInd w:val="0"/>
      <w:spacing w:line="312" w:lineRule="auto"/>
      <w:ind w:left="113" w:right="113" w:firstLine="482"/>
      <w:jc w:val="left"/>
      <w:textAlignment w:val="baseline"/>
    </w:pPr>
    <w:rPr>
      <w:rFonts w:ascii="Calibri" w:hAnsi="Calibri"/>
      <w:kern w:val="0"/>
      <w:sz w:val="24"/>
      <w:szCs w:val="20"/>
    </w:rPr>
  </w:style>
  <w:style w:type="paragraph" w:styleId="115">
    <w:name w:val="List Paragraph"/>
    <w:basedOn w:val="1"/>
    <w:qFormat/>
    <w:uiPriority w:val="1"/>
    <w:pPr>
      <w:spacing w:before="160"/>
      <w:ind w:left="708" w:hanging="360"/>
    </w:pPr>
    <w:rPr>
      <w:rFonts w:ascii="宋体" w:hAnsi="宋体" w:cs="宋体"/>
      <w:lang w:val="zh-CN" w:bidi="zh-CN"/>
    </w:rPr>
  </w:style>
  <w:style w:type="paragraph" w:customStyle="1" w:styleId="116">
    <w:name w:val="正文26"/>
    <w:basedOn w:val="1"/>
    <w:qFormat/>
    <w:uiPriority w:val="0"/>
    <w:pPr>
      <w:adjustRightInd w:val="0"/>
      <w:snapToGrid w:val="0"/>
      <w:spacing w:line="520" w:lineRule="exact"/>
      <w:ind w:firstLine="480" w:firstLineChars="200"/>
      <w:textAlignment w:val="baseline"/>
    </w:pPr>
    <w:rPr>
      <w:kern w:val="0"/>
      <w:sz w:val="24"/>
    </w:rPr>
  </w:style>
  <w:style w:type="paragraph" w:customStyle="1" w:styleId="117">
    <w:name w:val="农贸市场正文"/>
    <w:basedOn w:val="1"/>
    <w:qFormat/>
    <w:uiPriority w:val="0"/>
    <w:pPr>
      <w:spacing w:line="360" w:lineRule="auto"/>
      <w:ind w:firstLine="200" w:firstLineChars="200"/>
      <w:jc w:val="left"/>
    </w:pPr>
    <w:rPr>
      <w:snapToGrid w:val="0"/>
      <w:color w:val="000000"/>
      <w:kern w:val="0"/>
      <w:sz w:val="24"/>
      <w:szCs w:val="21"/>
    </w:rPr>
  </w:style>
  <w:style w:type="paragraph" w:customStyle="1" w:styleId="118">
    <w:name w:val="缩进"/>
    <w:basedOn w:val="1"/>
    <w:qFormat/>
    <w:uiPriority w:val="0"/>
    <w:pPr>
      <w:spacing w:line="360" w:lineRule="auto"/>
      <w:ind w:firstLine="200" w:firstLineChars="200"/>
    </w:pPr>
    <w:rPr>
      <w:sz w:val="24"/>
    </w:rPr>
  </w:style>
  <w:style w:type="paragraph" w:customStyle="1" w:styleId="119">
    <w:name w:val="表格小"/>
    <w:basedOn w:val="1"/>
    <w:qFormat/>
    <w:uiPriority w:val="0"/>
    <w:pPr>
      <w:jc w:val="center"/>
    </w:pPr>
    <w:rPr>
      <w:sz w:val="18"/>
    </w:rPr>
  </w:style>
  <w:style w:type="paragraph" w:customStyle="1" w:styleId="120">
    <w:name w:val="Char Char4"/>
    <w:basedOn w:val="1"/>
    <w:qFormat/>
    <w:uiPriority w:val="0"/>
    <w:pPr>
      <w:spacing w:line="360" w:lineRule="auto"/>
      <w:ind w:firstLine="200" w:firstLineChars="200"/>
    </w:pPr>
    <w:rPr>
      <w:rFonts w:ascii="宋体" w:hAnsi="宋体" w:cs="宋体"/>
      <w:sz w:val="24"/>
    </w:rPr>
  </w:style>
  <w:style w:type="table" w:customStyle="1" w:styleId="121">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2">
    <w:name w:val="Char31"/>
    <w:basedOn w:val="1"/>
    <w:qFormat/>
    <w:uiPriority w:val="0"/>
    <w:pPr>
      <w:spacing w:line="360" w:lineRule="auto"/>
      <w:ind w:firstLine="200" w:firstLineChars="200"/>
    </w:pPr>
    <w:rPr>
      <w:szCs w:val="20"/>
    </w:rPr>
  </w:style>
  <w:style w:type="paragraph" w:customStyle="1" w:styleId="123">
    <w:name w:val="样式1"/>
    <w:basedOn w:val="100"/>
    <w:link w:val="125"/>
    <w:qFormat/>
    <w:uiPriority w:val="0"/>
    <w:pPr>
      <w:adjustRightInd w:val="0"/>
      <w:snapToGrid w:val="0"/>
      <w:spacing w:before="0" w:after="0" w:line="240" w:lineRule="auto"/>
      <w:ind w:left="0" w:right="0"/>
    </w:pPr>
    <w:rPr>
      <w:color w:val="auto"/>
      <w:sz w:val="21"/>
      <w:szCs w:val="21"/>
    </w:rPr>
  </w:style>
  <w:style w:type="character" w:customStyle="1" w:styleId="124">
    <w:name w:val="表头，alt+D Char"/>
    <w:basedOn w:val="27"/>
    <w:link w:val="100"/>
    <w:qFormat/>
    <w:uiPriority w:val="0"/>
    <w:rPr>
      <w:rFonts w:ascii="Times New Roman" w:hAnsi="Times New Roman" w:eastAsia="宋体" w:cs="Times New Roman"/>
      <w:color w:val="808000"/>
      <w:kern w:val="2"/>
      <w:sz w:val="24"/>
    </w:rPr>
  </w:style>
  <w:style w:type="character" w:customStyle="1" w:styleId="125">
    <w:name w:val="样式1 Char"/>
    <w:basedOn w:val="124"/>
    <w:link w:val="123"/>
    <w:qFormat/>
    <w:uiPriority w:val="0"/>
    <w:rPr>
      <w:rFonts w:ascii="Times New Roman" w:hAnsi="Times New Roman" w:eastAsia="宋体" w:cs="Times New Roman"/>
      <w:color w:val="808000"/>
      <w:kern w:val="2"/>
      <w:sz w:val="21"/>
      <w:szCs w:val="21"/>
    </w:rPr>
  </w:style>
  <w:style w:type="paragraph" w:customStyle="1" w:styleId="126">
    <w:name w:val="正文格式"/>
    <w:basedOn w:val="1"/>
    <w:qFormat/>
    <w:uiPriority w:val="0"/>
    <w:pPr>
      <w:spacing w:before="25" w:beforeLines="25" w:after="25" w:afterLines="25" w:line="360" w:lineRule="auto"/>
      <w:ind w:firstLine="40"/>
      <w:jc w:val="left"/>
    </w:pPr>
    <w:rPr>
      <w:kern w:val="0"/>
      <w:sz w:val="24"/>
    </w:rPr>
  </w:style>
  <w:style w:type="paragraph" w:customStyle="1" w:styleId="127">
    <w:name w:val="表格内容5.21"/>
    <w:basedOn w:val="1"/>
    <w:qFormat/>
    <w:uiPriority w:val="0"/>
    <w:pPr>
      <w:widowControl/>
      <w:jc w:val="center"/>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emf"/><Relationship Id="rId15" Type="http://schemas.openxmlformats.org/officeDocument/2006/relationships/oleObject" Target="embeddings/oleObject2.bin"/><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66</Pages>
  <Words>27455</Words>
  <Characters>30287</Characters>
  <Lines>51</Lines>
  <Paragraphs>63</Paragraphs>
  <TotalTime>1</TotalTime>
  <ScaleCrop>false</ScaleCrop>
  <LinksUpToDate>false</LinksUpToDate>
  <CharactersWithSpaces>31014</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2021-03-08T04:12:00Z</dcterms:created>
  <dc:creator>lhj</dc:creator>
  <cp:lastModifiedBy>Administrator</cp:lastModifiedBy>
  <cp:lastPrinted>2021-06-07T02:40:00Z</cp:lastPrinted>
  <dcterms:modified xsi:type="dcterms:W3CDTF">2023-12-05T08:18:37Z</dcterms:modified>
  <dc:title>附件2</dc:title>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E848BF40F0634E19B3AF1F4229EB6650_12</vt:lpwstr>
  </property>
</Properties>
</file>