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简体"/>
          <w:b/>
          <w:color w:val="000000"/>
          <w:sz w:val="36"/>
          <w:szCs w:val="36"/>
        </w:rPr>
      </w:pPr>
      <w:bookmarkStart w:id="46" w:name="_GoBack"/>
      <w:bookmarkEnd w:id="46"/>
      <w:r>
        <w:rPr>
          <w:rFonts w:ascii="Times New Roman" w:hAnsi="Times New Roman" w:eastAsia="方正小标宋简体"/>
          <w:b/>
          <w:color w:val="000000"/>
          <w:sz w:val="36"/>
          <w:szCs w:val="36"/>
        </w:rPr>
        <w:drawing>
          <wp:inline distT="0" distB="0" distL="0" distR="0">
            <wp:extent cx="5162550" cy="7297420"/>
            <wp:effectExtent l="0" t="0" r="0" b="0"/>
            <wp:docPr id="5776529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52917"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2550" cy="7297420"/>
                    </a:xfrm>
                    <a:prstGeom prst="rect">
                      <a:avLst/>
                    </a:prstGeom>
                  </pic:spPr>
                </pic:pic>
              </a:graphicData>
            </a:graphic>
          </wp:inline>
        </w:drawing>
      </w:r>
    </w:p>
    <w:p>
      <w:pPr>
        <w:jc w:val="center"/>
        <w:rPr>
          <w:rFonts w:ascii="Times New Roman" w:hAnsi="Times New Roman" w:eastAsia="方正小标宋简体"/>
          <w:b/>
          <w:color w:val="000000"/>
          <w:sz w:val="36"/>
          <w:szCs w:val="36"/>
        </w:rPr>
      </w:pPr>
    </w:p>
    <w:p>
      <w:pPr>
        <w:spacing w:line="360" w:lineRule="auto"/>
        <w:jc w:val="left"/>
        <w:rPr>
          <w:rFonts w:ascii="Times New Roman" w:hAnsi="Times New Roman"/>
          <w:sz w:val="17"/>
        </w:rPr>
        <w:sectPr>
          <w:pgSz w:w="11730" w:h="16640"/>
          <w:pgMar w:top="1440" w:right="1800" w:bottom="1440" w:left="1800" w:header="720" w:footer="720" w:gutter="0"/>
          <w:cols w:space="720" w:num="1"/>
        </w:sectPr>
      </w:pPr>
      <w:r>
        <w:rPr>
          <w:rFonts w:ascii="Times New Roman" w:hAnsi="Times New Roman"/>
          <w:color w:val="000000"/>
          <w:sz w:val="36"/>
          <w:szCs w:val="36"/>
        </w:rPr>
        <w:drawing>
          <wp:inline distT="0" distB="0" distL="0" distR="0">
            <wp:extent cx="5162550" cy="7297420"/>
            <wp:effectExtent l="0" t="0" r="0" b="0"/>
            <wp:docPr id="1919190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0115"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2550" cy="7297420"/>
                    </a:xfrm>
                    <a:prstGeom prst="rect">
                      <a:avLst/>
                    </a:prstGeom>
                  </pic:spPr>
                </pic:pic>
              </a:graphicData>
            </a:graphic>
          </wp:inline>
        </w:drawing>
      </w:r>
      <w:r>
        <w:rPr>
          <w:rFonts w:ascii="Times New Roman" w:hAnsi="Times New Roman"/>
          <w:sz w:val="17"/>
        </w:rPr>
        <w:drawing>
          <wp:inline distT="0" distB="0" distL="0" distR="0">
            <wp:extent cx="5162550" cy="7297420"/>
            <wp:effectExtent l="0" t="0" r="0" b="0"/>
            <wp:docPr id="5863341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34158"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2550" cy="7297420"/>
                    </a:xfrm>
                    <a:prstGeom prst="rect">
                      <a:avLst/>
                    </a:prstGeom>
                  </pic:spPr>
                </pic:pic>
              </a:graphicData>
            </a:graphic>
          </wp:inline>
        </w:drawing>
      </w:r>
    </w:p>
    <w:p>
      <w:pPr>
        <w:adjustRightInd w:val="0"/>
        <w:snapToGrid w:val="0"/>
        <w:spacing w:line="360" w:lineRule="auto"/>
        <w:jc w:val="center"/>
        <w:rPr>
          <w:rFonts w:ascii="Times New Roman" w:hAnsi="Times New Roman"/>
          <w:sz w:val="28"/>
          <w:szCs w:val="28"/>
        </w:rPr>
      </w:pPr>
      <w:bookmarkStart w:id="0" w:name="_Toc457560665"/>
      <w:bookmarkStart w:id="1" w:name="_Toc19549"/>
      <w:bookmarkStart w:id="2" w:name="_Toc457304213"/>
      <w:bookmarkStart w:id="3" w:name="_Toc6111"/>
      <w:bookmarkStart w:id="4" w:name="_Toc3748"/>
      <w:r>
        <w:rPr>
          <w:rFonts w:ascii="Times New Roman" w:hAnsi="Times New Roman"/>
          <w:sz w:val="36"/>
          <w:szCs w:val="36"/>
        </w:rPr>
        <w:t>目   录</w:t>
      </w:r>
      <w:bookmarkEnd w:id="0"/>
      <w:bookmarkEnd w:id="1"/>
      <w:bookmarkEnd w:id="2"/>
      <w:bookmarkEnd w:id="3"/>
      <w:bookmarkEnd w:id="4"/>
      <w:r>
        <w:rPr>
          <w:rFonts w:ascii="Times New Roman" w:hAnsi="Times New Roman"/>
          <w:b/>
          <w:sz w:val="28"/>
          <w:szCs w:val="28"/>
        </w:rPr>
        <w:fldChar w:fldCharType="begin"/>
      </w:r>
      <w:r>
        <w:rPr>
          <w:rFonts w:ascii="Times New Roman" w:hAnsi="Times New Roman"/>
          <w:b/>
          <w:sz w:val="28"/>
          <w:szCs w:val="28"/>
        </w:rPr>
        <w:instrText xml:space="preserve"> TOC \o "1-2" \h \z \u </w:instrText>
      </w:r>
      <w:r>
        <w:rPr>
          <w:rFonts w:ascii="Times New Roman" w:hAnsi="Times New Roman"/>
          <w:b/>
          <w:sz w:val="28"/>
          <w:szCs w:val="28"/>
        </w:rPr>
        <w:fldChar w:fldCharType="separate"/>
      </w:r>
    </w:p>
    <w:p>
      <w:pPr>
        <w:pStyle w:val="13"/>
        <w:tabs>
          <w:tab w:val="right" w:leader="middleDot" w:pos="8306"/>
        </w:tabs>
        <w:spacing w:line="360" w:lineRule="auto"/>
        <w:ind w:firstLine="0" w:firstLineChars="0"/>
        <w:rPr>
          <w:sz w:val="28"/>
          <w:szCs w:val="28"/>
        </w:rPr>
      </w:pPr>
      <w:r>
        <w:fldChar w:fldCharType="begin"/>
      </w:r>
      <w:r>
        <w:instrText xml:space="preserve"> HYPERLINK \l "_Toc29660" </w:instrText>
      </w:r>
      <w:r>
        <w:fldChar w:fldCharType="separate"/>
      </w:r>
      <w:r>
        <w:rPr>
          <w:sz w:val="28"/>
          <w:szCs w:val="28"/>
        </w:rPr>
        <w:t>表1 项目基本情况</w:t>
      </w:r>
      <w:r>
        <w:rPr>
          <w:sz w:val="28"/>
          <w:szCs w:val="28"/>
        </w:rPr>
        <w:tab/>
      </w:r>
      <w:r>
        <w:rPr>
          <w:sz w:val="28"/>
          <w:szCs w:val="28"/>
        </w:rPr>
        <w:fldChar w:fldCharType="begin"/>
      </w:r>
      <w:r>
        <w:rPr>
          <w:sz w:val="28"/>
          <w:szCs w:val="28"/>
        </w:rPr>
        <w:instrText xml:space="preserve"> PAGEREF _Toc29660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"_Toc7529" </w:instrText>
      </w:r>
      <w:r>
        <w:fldChar w:fldCharType="separate"/>
      </w:r>
      <w:r>
        <w:rPr>
          <w:sz w:val="28"/>
          <w:szCs w:val="28"/>
        </w:rPr>
        <w:t>表2 放射源</w:t>
      </w:r>
      <w:r>
        <w:rPr>
          <w:sz w:val="28"/>
          <w:szCs w:val="28"/>
        </w:rPr>
        <w:tab/>
      </w:r>
      <w:r>
        <w:rPr>
          <w:sz w:val="28"/>
          <w:szCs w:val="28"/>
        </w:rPr>
        <w:fldChar w:fldCharType="begin"/>
      </w:r>
      <w:r>
        <w:rPr>
          <w:sz w:val="28"/>
          <w:szCs w:val="28"/>
        </w:rPr>
        <w:instrText xml:space="preserve"> PAGEREF _Toc7529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"_Toc30724" </w:instrText>
      </w:r>
      <w:r>
        <w:fldChar w:fldCharType="separate"/>
      </w:r>
      <w:r>
        <w:rPr>
          <w:sz w:val="28"/>
          <w:szCs w:val="28"/>
        </w:rPr>
        <w:t>表3 非密封放射性物质</w:t>
      </w:r>
      <w:r>
        <w:rPr>
          <w:sz w:val="28"/>
          <w:szCs w:val="28"/>
        </w:rPr>
        <w:tab/>
      </w:r>
      <w:r>
        <w:rPr>
          <w:sz w:val="28"/>
          <w:szCs w:val="28"/>
        </w:rPr>
        <w:fldChar w:fldCharType="begin"/>
      </w:r>
      <w:r>
        <w:rPr>
          <w:sz w:val="28"/>
          <w:szCs w:val="28"/>
        </w:rPr>
        <w:instrText xml:space="preserve"> PAGEREF _Toc30724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"_Toc7140" </w:instrText>
      </w:r>
      <w:r>
        <w:fldChar w:fldCharType="separate"/>
      </w:r>
      <w:r>
        <w:rPr>
          <w:sz w:val="28"/>
          <w:szCs w:val="28"/>
        </w:rPr>
        <w:t>表4 射线装置</w:t>
      </w:r>
      <w:r>
        <w:rPr>
          <w:sz w:val="28"/>
          <w:szCs w:val="28"/>
        </w:rPr>
        <w:tab/>
      </w:r>
      <w:r>
        <w:rPr>
          <w:sz w:val="28"/>
          <w:szCs w:val="28"/>
        </w:rPr>
        <w:fldChar w:fldCharType="begin"/>
      </w:r>
      <w:r>
        <w:rPr>
          <w:sz w:val="28"/>
          <w:szCs w:val="28"/>
        </w:rPr>
        <w:instrText xml:space="preserve"> PAGEREF _Toc7140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"_Toc10464" </w:instrText>
      </w:r>
      <w:r>
        <w:fldChar w:fldCharType="separate"/>
      </w:r>
      <w:r>
        <w:rPr>
          <w:sz w:val="28"/>
          <w:szCs w:val="28"/>
        </w:rPr>
        <w:t>表5 废弃物（重点是放射性废弃物）</w:t>
      </w:r>
      <w:r>
        <w:rPr>
          <w:sz w:val="28"/>
          <w:szCs w:val="28"/>
        </w:rPr>
        <w:tab/>
      </w:r>
      <w:r>
        <w:rPr>
          <w:sz w:val="28"/>
          <w:szCs w:val="28"/>
        </w:rPr>
        <w:fldChar w:fldCharType="begin"/>
      </w:r>
      <w:r>
        <w:rPr>
          <w:sz w:val="28"/>
          <w:szCs w:val="28"/>
        </w:rPr>
        <w:instrText xml:space="preserve"> PAGEREF _Toc10464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"_Toc7430" </w:instrText>
      </w:r>
      <w:r>
        <w:fldChar w:fldCharType="separate"/>
      </w:r>
      <w:r>
        <w:rPr>
          <w:sz w:val="28"/>
          <w:szCs w:val="28"/>
        </w:rPr>
        <w:t>表6 评价依据</w:t>
      </w:r>
      <w:r>
        <w:rPr>
          <w:sz w:val="28"/>
          <w:szCs w:val="28"/>
        </w:rPr>
        <w:tab/>
      </w:r>
      <w:r>
        <w:rPr>
          <w:sz w:val="28"/>
          <w:szCs w:val="28"/>
        </w:rPr>
        <w:fldChar w:fldCharType="begin"/>
      </w:r>
      <w:r>
        <w:rPr>
          <w:sz w:val="28"/>
          <w:szCs w:val="28"/>
        </w:rPr>
        <w:instrText xml:space="preserve"> PAGEREF _Toc7430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"_Toc8307" </w:instrText>
      </w:r>
      <w:r>
        <w:fldChar w:fldCharType="separate"/>
      </w:r>
      <w:r>
        <w:rPr>
          <w:sz w:val="28"/>
          <w:szCs w:val="28"/>
        </w:rPr>
        <w:t>表7 保护目标与评价标准</w:t>
      </w:r>
      <w:r>
        <w:rPr>
          <w:sz w:val="28"/>
          <w:szCs w:val="28"/>
        </w:rPr>
        <w:tab/>
      </w:r>
      <w:r>
        <w:rPr>
          <w:sz w:val="28"/>
          <w:szCs w:val="28"/>
        </w:rPr>
        <w:fldChar w:fldCharType="begin"/>
      </w:r>
      <w:r>
        <w:rPr>
          <w:sz w:val="28"/>
          <w:szCs w:val="28"/>
        </w:rPr>
        <w:instrText xml:space="preserve"> PAGEREF _Toc8307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"_Toc8955" </w:instrText>
      </w:r>
      <w:r>
        <w:fldChar w:fldCharType="separate"/>
      </w:r>
      <w:r>
        <w:rPr>
          <w:sz w:val="28"/>
          <w:szCs w:val="28"/>
        </w:rPr>
        <w:t>表8 环境质量和辐射现状</w:t>
      </w:r>
      <w:r>
        <w:rPr>
          <w:sz w:val="28"/>
          <w:szCs w:val="28"/>
        </w:rPr>
        <w:tab/>
      </w:r>
      <w:r>
        <w:rPr>
          <w:sz w:val="28"/>
          <w:szCs w:val="28"/>
        </w:rPr>
        <w:fldChar w:fldCharType="begin"/>
      </w:r>
      <w:r>
        <w:rPr>
          <w:sz w:val="28"/>
          <w:szCs w:val="28"/>
        </w:rPr>
        <w:instrText xml:space="preserve"> PAGEREF _Toc8955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"_Toc12200" </w:instrText>
      </w:r>
      <w:r>
        <w:fldChar w:fldCharType="separate"/>
      </w:r>
      <w:r>
        <w:rPr>
          <w:sz w:val="28"/>
          <w:szCs w:val="28"/>
        </w:rPr>
        <w:t>表9 项目工程分析与源项</w:t>
      </w:r>
      <w:r>
        <w:rPr>
          <w:sz w:val="28"/>
          <w:szCs w:val="28"/>
        </w:rPr>
        <w:tab/>
      </w:r>
      <w:r>
        <w:rPr>
          <w:sz w:val="28"/>
          <w:szCs w:val="28"/>
        </w:rPr>
        <w:fldChar w:fldCharType="begin"/>
      </w:r>
      <w:r>
        <w:rPr>
          <w:sz w:val="28"/>
          <w:szCs w:val="28"/>
        </w:rPr>
        <w:instrText xml:space="preserve"> PAGEREF _Toc12200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"_Toc23751" </w:instrText>
      </w:r>
      <w:r>
        <w:fldChar w:fldCharType="separate"/>
      </w:r>
      <w:r>
        <w:rPr>
          <w:sz w:val="28"/>
          <w:szCs w:val="28"/>
        </w:rPr>
        <w:t>表10 辐射安全与防护</w:t>
      </w:r>
      <w:r>
        <w:rPr>
          <w:sz w:val="28"/>
          <w:szCs w:val="28"/>
        </w:rPr>
        <w:tab/>
      </w:r>
      <w:r>
        <w:rPr>
          <w:sz w:val="28"/>
          <w:szCs w:val="28"/>
        </w:rPr>
        <w:fldChar w:fldCharType="begin"/>
      </w:r>
      <w:r>
        <w:rPr>
          <w:sz w:val="28"/>
          <w:szCs w:val="28"/>
        </w:rPr>
        <w:instrText xml:space="preserve"> PAGEREF _Toc23751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"_Toc30831" </w:instrText>
      </w:r>
      <w:r>
        <w:fldChar w:fldCharType="separate"/>
      </w:r>
      <w:r>
        <w:rPr>
          <w:sz w:val="28"/>
          <w:szCs w:val="28"/>
        </w:rPr>
        <w:t>表11 环境影响分析</w:t>
      </w:r>
      <w:r>
        <w:rPr>
          <w:sz w:val="28"/>
          <w:szCs w:val="28"/>
        </w:rPr>
        <w:tab/>
      </w:r>
      <w:r>
        <w:rPr>
          <w:sz w:val="28"/>
          <w:szCs w:val="28"/>
        </w:rPr>
        <w:fldChar w:fldCharType="begin"/>
      </w:r>
      <w:r>
        <w:rPr>
          <w:sz w:val="28"/>
          <w:szCs w:val="28"/>
        </w:rPr>
        <w:instrText xml:space="preserve"> PAGEREF _Toc30831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"_Toc6736" </w:instrText>
      </w:r>
      <w:r>
        <w:fldChar w:fldCharType="separate"/>
      </w:r>
      <w:r>
        <w:rPr>
          <w:sz w:val="28"/>
          <w:szCs w:val="28"/>
        </w:rPr>
        <w:t>表12 辐射安全管理</w:t>
      </w:r>
      <w:r>
        <w:rPr>
          <w:sz w:val="28"/>
          <w:szCs w:val="28"/>
        </w:rPr>
        <w:tab/>
      </w:r>
      <w:r>
        <w:rPr>
          <w:sz w:val="28"/>
          <w:szCs w:val="28"/>
        </w:rPr>
        <w:fldChar w:fldCharType="begin"/>
      </w:r>
      <w:r>
        <w:rPr>
          <w:sz w:val="28"/>
          <w:szCs w:val="28"/>
        </w:rPr>
        <w:instrText xml:space="preserve"> PAGEREF _Toc6736 \h </w:instrText>
      </w:r>
      <w:r>
        <w:rPr>
          <w:sz w:val="28"/>
          <w:szCs w:val="28"/>
        </w:rPr>
        <w:fldChar w:fldCharType="separate"/>
      </w:r>
      <w:r>
        <w:rPr>
          <w:sz w:val="28"/>
          <w:szCs w:val="28"/>
        </w:rPr>
        <w:t>34</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fldChar w:fldCharType="begin"/>
      </w:r>
      <w:r>
        <w:instrText xml:space="preserve"> HYPERLINK \l "_Toc31629" </w:instrText>
      </w:r>
      <w:r>
        <w:fldChar w:fldCharType="separate"/>
      </w:r>
      <w:r>
        <w:rPr>
          <w:sz w:val="28"/>
          <w:szCs w:val="28"/>
        </w:rPr>
        <w:t>表13 结论与建议</w:t>
      </w:r>
      <w:r>
        <w:rPr>
          <w:sz w:val="28"/>
          <w:szCs w:val="28"/>
        </w:rPr>
        <w:tab/>
      </w:r>
      <w:r>
        <w:rPr>
          <w:sz w:val="28"/>
          <w:szCs w:val="28"/>
        </w:rPr>
        <w:fldChar w:fldCharType="begin"/>
      </w:r>
      <w:r>
        <w:rPr>
          <w:sz w:val="28"/>
          <w:szCs w:val="28"/>
        </w:rPr>
        <w:instrText xml:space="preserve"> PAGEREF _Toc31629 \h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13"/>
        <w:tabs>
          <w:tab w:val="right" w:leader="middleDot" w:pos="8306"/>
        </w:tabs>
        <w:spacing w:line="360" w:lineRule="auto"/>
        <w:ind w:firstLine="0" w:firstLineChars="0"/>
        <w:rPr>
          <w:sz w:val="28"/>
          <w:szCs w:val="28"/>
        </w:rPr>
      </w:pPr>
      <w:r>
        <w:rPr>
          <w:sz w:val="28"/>
          <w:szCs w:val="28"/>
        </w:rPr>
        <w:t>附件一</w:t>
      </w:r>
      <w:r>
        <w:fldChar w:fldCharType="begin"/>
      </w:r>
      <w:r>
        <w:instrText xml:space="preserve"> HYPERLINK \l "_Toc31629" </w:instrText>
      </w:r>
      <w:r>
        <w:fldChar w:fldCharType="separate"/>
      </w:r>
      <w:r>
        <w:rPr>
          <w:sz w:val="28"/>
          <w:szCs w:val="28"/>
        </w:rPr>
        <w:tab/>
      </w:r>
      <w:r>
        <w:rPr>
          <w:sz w:val="28"/>
          <w:szCs w:val="28"/>
        </w:rPr>
        <w:t>4</w:t>
      </w:r>
      <w:r>
        <w:rPr>
          <w:sz w:val="28"/>
          <w:szCs w:val="28"/>
        </w:rPr>
        <w:fldChar w:fldCharType="end"/>
      </w:r>
      <w:r>
        <w:rPr>
          <w:sz w:val="28"/>
          <w:szCs w:val="28"/>
        </w:rPr>
        <w:t>3</w:t>
      </w:r>
    </w:p>
    <w:p>
      <w:pPr>
        <w:pStyle w:val="13"/>
        <w:tabs>
          <w:tab w:val="right" w:leader="middleDot" w:pos="8306"/>
        </w:tabs>
        <w:spacing w:line="360" w:lineRule="auto"/>
        <w:ind w:firstLine="0" w:firstLineChars="0"/>
        <w:rPr>
          <w:sz w:val="28"/>
          <w:szCs w:val="28"/>
        </w:rPr>
      </w:pPr>
    </w:p>
    <w:p>
      <w:pPr>
        <w:pStyle w:val="2"/>
        <w:adjustRightInd w:val="0"/>
        <w:snapToGrid w:val="0"/>
        <w:spacing w:line="360" w:lineRule="auto"/>
        <w:jc w:val="center"/>
        <w:rPr>
          <w:rFonts w:ascii="Times New Roman" w:hAnsi="Times New Roman"/>
          <w:sz w:val="28"/>
          <w:szCs w:val="28"/>
        </w:rPr>
      </w:pPr>
      <w:r>
        <w:rPr>
          <w:rFonts w:ascii="Times New Roman" w:hAnsi="Times New Roman"/>
          <w:sz w:val="28"/>
          <w:szCs w:val="28"/>
        </w:rPr>
        <w:fldChar w:fldCharType="end"/>
      </w:r>
      <w:bookmarkStart w:id="5" w:name="_Toc457303390"/>
    </w:p>
    <w:p>
      <w:pPr>
        <w:pStyle w:val="2"/>
        <w:spacing w:line="360" w:lineRule="auto"/>
        <w:rPr>
          <w:rFonts w:ascii="Times New Roman" w:hAnsi="Times New Roman"/>
          <w:sz w:val="28"/>
          <w:szCs w:val="28"/>
        </w:rPr>
        <w:sectPr>
          <w:headerReference r:id="rId3" w:type="default"/>
          <w:pgSz w:w="11906" w:h="16838"/>
          <w:pgMar w:top="1440" w:right="1800" w:bottom="1440" w:left="1800" w:header="851" w:footer="992" w:gutter="0"/>
          <w:pgNumType w:start="1"/>
          <w:cols w:space="720" w:num="1"/>
          <w:docGrid w:type="lines" w:linePitch="312" w:charSpace="0"/>
        </w:sectPr>
      </w:pPr>
    </w:p>
    <w:p>
      <w:pPr>
        <w:pStyle w:val="2"/>
        <w:rPr>
          <w:rFonts w:ascii="Times New Roman" w:hAnsi="Times New Roman"/>
          <w:sz w:val="28"/>
          <w:szCs w:val="28"/>
        </w:rPr>
      </w:pPr>
      <w:bookmarkStart w:id="6" w:name="_Toc29660"/>
      <w:r>
        <w:rPr>
          <w:rFonts w:ascii="Times New Roman" w:hAnsi="Times New Roman"/>
          <w:sz w:val="28"/>
          <w:szCs w:val="28"/>
        </w:rPr>
        <w:t>表1项目基本情况</w:t>
      </w:r>
      <w:bookmarkEnd w:id="5"/>
      <w:bookmarkEnd w:id="6"/>
      <w:r>
        <w:rPr>
          <w:rFonts w:hint="eastAsia" w:ascii="Times New Roman" w:hAnsi="Times New Roman"/>
          <w:sz w:val="28"/>
          <w:szCs w:val="28"/>
        </w:rPr>
        <w:t>3</w:t>
      </w:r>
    </w:p>
    <w:tbl>
      <w:tblPr>
        <w:tblStyle w:val="16"/>
        <w:tblW w:w="9262" w:type="dxa"/>
        <w:jc w:val="center"/>
        <w:tblLayout w:type="fixed"/>
        <w:tblCellMar>
          <w:top w:w="0" w:type="dxa"/>
          <w:left w:w="0" w:type="dxa"/>
          <w:bottom w:w="0" w:type="dxa"/>
          <w:right w:w="0" w:type="dxa"/>
        </w:tblCellMar>
      </w:tblPr>
      <w:tblGrid>
        <w:gridCol w:w="259"/>
        <w:gridCol w:w="1342"/>
        <w:gridCol w:w="1008"/>
        <w:gridCol w:w="268"/>
        <w:gridCol w:w="370"/>
        <w:gridCol w:w="1048"/>
        <w:gridCol w:w="575"/>
        <w:gridCol w:w="700"/>
        <w:gridCol w:w="486"/>
        <w:gridCol w:w="789"/>
        <w:gridCol w:w="568"/>
        <w:gridCol w:w="1849"/>
      </w:tblGrid>
      <w:tr>
        <w:tblPrEx>
          <w:tblCellMar>
            <w:top w:w="0" w:type="dxa"/>
            <w:left w:w="0" w:type="dxa"/>
            <w:bottom w:w="0" w:type="dxa"/>
            <w:right w:w="0" w:type="dxa"/>
          </w:tblCellMar>
        </w:tblPrEx>
        <w:trPr>
          <w:trHeight w:val="436" w:hRule="atLeast"/>
          <w:jc w:val="center"/>
        </w:trPr>
        <w:tc>
          <w:tcPr>
            <w:tcW w:w="1601"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建设项目名称</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4"/>
                <w:szCs w:val="32"/>
              </w:rPr>
            </w:pPr>
            <w:r>
              <w:rPr>
                <w:rFonts w:hint="eastAsia" w:ascii="Times New Roman" w:hAnsi="Times New Roman"/>
                <w:color w:val="000000"/>
                <w:sz w:val="24"/>
                <w:szCs w:val="32"/>
              </w:rPr>
              <w:t>新建</w:t>
            </w:r>
            <w:r>
              <w:rPr>
                <w:rFonts w:ascii="Times New Roman" w:hAnsi="Times New Roman"/>
                <w:color w:val="000000"/>
                <w:sz w:val="24"/>
                <w:szCs w:val="32"/>
              </w:rPr>
              <w:t>X射线现场探伤项目</w:t>
            </w:r>
          </w:p>
        </w:tc>
      </w:tr>
      <w:tr>
        <w:tblPrEx>
          <w:tblCellMar>
            <w:top w:w="0" w:type="dxa"/>
            <w:left w:w="0" w:type="dxa"/>
            <w:bottom w:w="0" w:type="dxa"/>
            <w:right w:w="0" w:type="dxa"/>
          </w:tblCellMar>
        </w:tblPrEx>
        <w:trPr>
          <w:trHeight w:val="20" w:hRule="atLeast"/>
          <w:jc w:val="center"/>
        </w:trPr>
        <w:tc>
          <w:tcPr>
            <w:tcW w:w="1601"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建设单位</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rPr>
                <w:rFonts w:hint="eastAsia"/>
                <w:color w:val="000000"/>
                <w:szCs w:val="32"/>
              </w:rPr>
              <w:t>新疆维吾尔自治区产品质量监督检验研究院（新疆维吾尔自治区建筑材料研究院、新疆维吾尔自治区建材非金属产品质量监督检验站）</w:t>
            </w:r>
          </w:p>
        </w:tc>
      </w:tr>
      <w:tr>
        <w:tblPrEx>
          <w:tblCellMar>
            <w:top w:w="0" w:type="dxa"/>
            <w:left w:w="0" w:type="dxa"/>
            <w:bottom w:w="0" w:type="dxa"/>
            <w:right w:w="0" w:type="dxa"/>
          </w:tblCellMar>
        </w:tblPrEx>
        <w:trPr>
          <w:trHeight w:val="20" w:hRule="atLeast"/>
          <w:jc w:val="center"/>
        </w:trPr>
        <w:tc>
          <w:tcPr>
            <w:tcW w:w="1601"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法人代表</w:t>
            </w:r>
          </w:p>
        </w:tc>
        <w:tc>
          <w:tcPr>
            <w:tcW w:w="1646" w:type="dxa"/>
            <w:gridSpan w:val="3"/>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rPr>
                <w:rFonts w:hint="eastAsia"/>
              </w:rPr>
              <w:t>李岩</w:t>
            </w:r>
          </w:p>
        </w:tc>
        <w:tc>
          <w:tcPr>
            <w:tcW w:w="104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联系人</w:t>
            </w:r>
          </w:p>
        </w:tc>
        <w:tc>
          <w:tcPr>
            <w:tcW w:w="1275"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rPr>
                <w:rFonts w:hint="eastAsia"/>
              </w:rPr>
              <w:t>张敬东</w:t>
            </w:r>
          </w:p>
        </w:tc>
        <w:tc>
          <w:tcPr>
            <w:tcW w:w="1275"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联系电话</w:t>
            </w:r>
          </w:p>
        </w:tc>
        <w:tc>
          <w:tcPr>
            <w:tcW w:w="2417"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18099608082</w:t>
            </w:r>
          </w:p>
        </w:tc>
      </w:tr>
      <w:tr>
        <w:tblPrEx>
          <w:tblCellMar>
            <w:top w:w="0" w:type="dxa"/>
            <w:left w:w="0" w:type="dxa"/>
            <w:bottom w:w="0" w:type="dxa"/>
            <w:right w:w="0" w:type="dxa"/>
          </w:tblCellMar>
        </w:tblPrEx>
        <w:trPr>
          <w:trHeight w:val="20" w:hRule="atLeast"/>
          <w:jc w:val="center"/>
        </w:trPr>
        <w:tc>
          <w:tcPr>
            <w:tcW w:w="1601"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注册地址</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rPr>
                <w:color w:val="000000"/>
                <w:szCs w:val="32"/>
              </w:rPr>
              <w:t>乌鲁木齐市新市区河北东路188号</w:t>
            </w:r>
          </w:p>
        </w:tc>
      </w:tr>
      <w:tr>
        <w:tblPrEx>
          <w:tblCellMar>
            <w:top w:w="0" w:type="dxa"/>
            <w:left w:w="0" w:type="dxa"/>
            <w:bottom w:w="0" w:type="dxa"/>
            <w:right w:w="0" w:type="dxa"/>
          </w:tblCellMar>
        </w:tblPrEx>
        <w:trPr>
          <w:trHeight w:val="20" w:hRule="atLeast"/>
          <w:jc w:val="center"/>
        </w:trPr>
        <w:tc>
          <w:tcPr>
            <w:tcW w:w="1601"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建设地址</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rPr>
                <w:color w:val="000000"/>
                <w:szCs w:val="32"/>
              </w:rPr>
            </w:pPr>
            <w:r>
              <w:rPr>
                <w:rFonts w:hint="eastAsia"/>
                <w:color w:val="000000"/>
                <w:szCs w:val="32"/>
              </w:rPr>
              <w:t>探伤地点：全疆各地，不固定；</w:t>
            </w:r>
          </w:p>
          <w:p>
            <w:pPr>
              <w:pStyle w:val="33"/>
              <w:kinsoku w:val="0"/>
              <w:overflowPunct w:val="0"/>
              <w:adjustRightInd/>
              <w:spacing w:before="22"/>
              <w:jc w:val="center"/>
            </w:pPr>
            <w:r>
              <w:rPr>
                <w:rFonts w:hint="eastAsia"/>
                <w:color w:val="000000"/>
                <w:szCs w:val="32"/>
              </w:rPr>
              <w:t>探伤机储存场所：</w:t>
            </w:r>
            <w:r>
              <w:rPr>
                <w:color w:val="000000"/>
                <w:szCs w:val="32"/>
              </w:rPr>
              <w:t>新疆昌吉高新技术产业开发区辉煌大道南侧</w:t>
            </w:r>
          </w:p>
        </w:tc>
      </w:tr>
      <w:tr>
        <w:tblPrEx>
          <w:tblCellMar>
            <w:top w:w="0" w:type="dxa"/>
            <w:left w:w="0" w:type="dxa"/>
            <w:bottom w:w="0" w:type="dxa"/>
            <w:right w:w="0" w:type="dxa"/>
          </w:tblCellMar>
        </w:tblPrEx>
        <w:trPr>
          <w:trHeight w:val="20" w:hRule="atLeast"/>
          <w:jc w:val="center"/>
        </w:trPr>
        <w:tc>
          <w:tcPr>
            <w:tcW w:w="1601"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立项审批部门</w:t>
            </w:r>
          </w:p>
        </w:tc>
        <w:tc>
          <w:tcPr>
            <w:tcW w:w="3269" w:type="dxa"/>
            <w:gridSpan w:val="5"/>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w:t>
            </w:r>
          </w:p>
        </w:tc>
        <w:tc>
          <w:tcPr>
            <w:tcW w:w="1186"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批准文号</w:t>
            </w:r>
          </w:p>
        </w:tc>
        <w:tc>
          <w:tcPr>
            <w:tcW w:w="3206" w:type="dxa"/>
            <w:gridSpan w:val="3"/>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w:t>
            </w:r>
          </w:p>
        </w:tc>
      </w:tr>
      <w:tr>
        <w:tblPrEx>
          <w:tblCellMar>
            <w:top w:w="0" w:type="dxa"/>
            <w:left w:w="0" w:type="dxa"/>
            <w:bottom w:w="0" w:type="dxa"/>
            <w:right w:w="0" w:type="dxa"/>
          </w:tblCellMar>
        </w:tblPrEx>
        <w:trPr>
          <w:trHeight w:val="20" w:hRule="atLeast"/>
          <w:jc w:val="center"/>
        </w:trPr>
        <w:tc>
          <w:tcPr>
            <w:tcW w:w="1601"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13" w:line="286" w:lineRule="auto"/>
              <w:ind w:right="162" w:firstLine="120" w:firstLineChars="50"/>
              <w:jc w:val="center"/>
            </w:pPr>
            <w:r>
              <w:t>建设项目总投资(万元)</w:t>
            </w: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kern w:val="0"/>
                <w:sz w:val="24"/>
                <w:szCs w:val="24"/>
              </w:rPr>
            </w:pPr>
            <w:r>
              <w:rPr>
                <w:rFonts w:hint="eastAsia" w:ascii="Times New Roman" w:hAnsi="Times New Roman"/>
                <w:kern w:val="0"/>
                <w:sz w:val="24"/>
                <w:szCs w:val="24"/>
              </w:rPr>
              <w:t>5</w:t>
            </w:r>
            <w:r>
              <w:rPr>
                <w:rFonts w:ascii="Times New Roman" w:hAnsi="Times New Roman"/>
                <w:kern w:val="0"/>
                <w:sz w:val="24"/>
                <w:szCs w:val="24"/>
              </w:rPr>
              <w:t>3</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31"/>
              <w:ind w:left="0"/>
              <w:jc w:val="center"/>
              <w:rPr>
                <w:rFonts w:ascii="Times New Roman" w:cs="Times New Roman"/>
              </w:rPr>
            </w:pPr>
            <w:r>
              <w:rPr>
                <w:rFonts w:ascii="Times New Roman" w:cs="Times New Roman"/>
              </w:rPr>
              <w:t>项目环保投资</w:t>
            </w:r>
            <w:r>
              <w:rPr>
                <w:rFonts w:ascii="Times New Roman" w:cs="Times New Roman"/>
                <w:spacing w:val="-11"/>
              </w:rPr>
              <w:t>(万元)</w:t>
            </w:r>
          </w:p>
        </w:tc>
        <w:tc>
          <w:tcPr>
            <w:tcW w:w="127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kern w:val="0"/>
                <w:sz w:val="24"/>
                <w:szCs w:val="24"/>
              </w:rPr>
            </w:pPr>
            <w:r>
              <w:rPr>
                <w:rFonts w:ascii="Times New Roman" w:hAnsi="Times New Roman"/>
                <w:kern w:val="0"/>
                <w:sz w:val="24"/>
                <w:szCs w:val="24"/>
              </w:rPr>
              <w:t>23</w:t>
            </w:r>
          </w:p>
        </w:tc>
        <w:tc>
          <w:tcPr>
            <w:tcW w:w="1843" w:type="dxa"/>
            <w:gridSpan w:val="3"/>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13" w:line="286" w:lineRule="auto"/>
              <w:ind w:left="101" w:right="100"/>
              <w:jc w:val="center"/>
            </w:pPr>
            <w:r>
              <w:t>投资比</w:t>
            </w:r>
            <w:r>
              <w:rPr>
                <w:spacing w:val="-53"/>
              </w:rPr>
              <w:t>例</w:t>
            </w:r>
            <w:r>
              <w:t>（环</w:t>
            </w:r>
            <w:r>
              <w:rPr>
                <w:rFonts w:hint="eastAsia"/>
              </w:rPr>
              <w:t>保</w:t>
            </w:r>
            <w:r>
              <w:t>投资/总投资）</w:t>
            </w:r>
          </w:p>
        </w:tc>
        <w:tc>
          <w:tcPr>
            <w:tcW w:w="184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kern w:val="0"/>
                <w:sz w:val="24"/>
                <w:szCs w:val="24"/>
              </w:rPr>
            </w:pPr>
            <w:r>
              <w:rPr>
                <w:rFonts w:ascii="Times New Roman" w:hAnsi="Times New Roman"/>
                <w:kern w:val="0"/>
                <w:sz w:val="24"/>
                <w:szCs w:val="24"/>
              </w:rPr>
              <w:t>43%</w:t>
            </w:r>
          </w:p>
        </w:tc>
      </w:tr>
      <w:tr>
        <w:tblPrEx>
          <w:tblCellMar>
            <w:top w:w="0" w:type="dxa"/>
            <w:left w:w="0" w:type="dxa"/>
            <w:bottom w:w="0" w:type="dxa"/>
            <w:right w:w="0" w:type="dxa"/>
          </w:tblCellMar>
        </w:tblPrEx>
        <w:trPr>
          <w:trHeight w:val="20" w:hRule="atLeast"/>
          <w:jc w:val="center"/>
        </w:trPr>
        <w:tc>
          <w:tcPr>
            <w:tcW w:w="1601" w:type="dxa"/>
            <w:gridSpan w:val="2"/>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contextualSpacing/>
              <w:jc w:val="center"/>
            </w:pPr>
            <w:r>
              <w:t>项目性质</w:t>
            </w:r>
          </w:p>
        </w:tc>
        <w:tc>
          <w:tcPr>
            <w:tcW w:w="3969" w:type="dxa"/>
            <w:gridSpan w:val="6"/>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rPr>
                <w:rFonts w:ascii="Segoe UI Symbol" w:hAnsi="Segoe UI Symbol" w:cs="Segoe UI Symbol"/>
              </w:rPr>
              <w:t>☑</w:t>
            </w:r>
            <w:r>
              <w:t>新建□改建□扩建□其它</w:t>
            </w:r>
          </w:p>
        </w:tc>
        <w:tc>
          <w:tcPr>
            <w:tcW w:w="1843" w:type="dxa"/>
            <w:gridSpan w:val="3"/>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占地面积(m</w:t>
            </w:r>
            <w:r>
              <w:rPr>
                <w:vertAlign w:val="superscript"/>
              </w:rPr>
              <w:t>2</w:t>
            </w:r>
            <w:r>
              <w:t>)</w:t>
            </w:r>
          </w:p>
        </w:tc>
        <w:tc>
          <w:tcPr>
            <w:tcW w:w="1849" w:type="dxa"/>
            <w:tcBorders>
              <w:top w:val="single" w:color="000000" w:sz="4" w:space="0"/>
              <w:left w:val="single" w:color="000000" w:sz="4" w:space="0"/>
              <w:bottom w:val="single" w:color="000000" w:sz="4" w:space="0"/>
              <w:right w:val="single" w:color="000000" w:sz="4" w:space="0"/>
            </w:tcBorders>
            <w:vAlign w:val="center"/>
          </w:tcPr>
          <w:p>
            <w:pPr>
              <w:spacing w:before="22"/>
              <w:jc w:val="center"/>
              <w:rPr>
                <w:rFonts w:ascii="Times New Roman" w:hAnsi="Times New Roman"/>
                <w:sz w:val="24"/>
                <w:szCs w:val="24"/>
              </w:rPr>
            </w:pPr>
            <w:r>
              <w:rPr>
                <w:rFonts w:ascii="Times New Roman" w:hAnsi="Times New Roman"/>
                <w:sz w:val="24"/>
                <w:szCs w:val="24"/>
              </w:rPr>
              <w:t>/</w:t>
            </w:r>
          </w:p>
        </w:tc>
      </w:tr>
      <w:tr>
        <w:tblPrEx>
          <w:tblCellMar>
            <w:top w:w="0" w:type="dxa"/>
            <w:left w:w="0" w:type="dxa"/>
            <w:bottom w:w="0" w:type="dxa"/>
            <w:right w:w="0" w:type="dxa"/>
          </w:tblCellMar>
        </w:tblPrEx>
        <w:trPr>
          <w:trHeight w:val="20" w:hRule="atLeast"/>
          <w:jc w:val="center"/>
        </w:trPr>
        <w:tc>
          <w:tcPr>
            <w:tcW w:w="259"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line="286" w:lineRule="auto"/>
              <w:ind w:right="154"/>
              <w:jc w:val="right"/>
            </w:pPr>
            <w:r>
              <w:t>应用类型</w:t>
            </w:r>
          </w:p>
        </w:tc>
        <w:tc>
          <w:tcPr>
            <w:tcW w:w="1342"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jc w:val="center"/>
            </w:pPr>
            <w:r>
              <w:t>放射源</w:t>
            </w: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□销售</w:t>
            </w:r>
          </w:p>
        </w:tc>
        <w:tc>
          <w:tcPr>
            <w:tcW w:w="6653" w:type="dxa"/>
            <w:gridSpan w:val="9"/>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□Ⅰ类 □</w:t>
            </w:r>
            <w:r>
              <w:rPr>
                <w:spacing w:val="-1"/>
              </w:rPr>
              <w:t>Ⅱ类</w:t>
            </w:r>
            <w:r>
              <w:t xml:space="preserve"> □Ⅲ类 □Ⅳ类 □</w:t>
            </w:r>
            <w:r>
              <w:rPr>
                <w:spacing w:val="-1"/>
              </w:rPr>
              <w:t>Ⅴ类</w:t>
            </w:r>
          </w:p>
        </w:tc>
      </w:tr>
      <w:tr>
        <w:tblPrEx>
          <w:tblCellMar>
            <w:top w:w="0" w:type="dxa"/>
            <w:left w:w="0" w:type="dxa"/>
            <w:bottom w:w="0" w:type="dxa"/>
            <w:right w:w="0" w:type="dxa"/>
          </w:tblCellMar>
        </w:tblPrEx>
        <w:trPr>
          <w:trHeight w:val="20" w:hRule="atLeast"/>
          <w:jc w:val="center"/>
        </w:trPr>
        <w:tc>
          <w:tcPr>
            <w:tcW w:w="25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421"/>
              <w:jc w:val="center"/>
            </w:pPr>
          </w:p>
        </w:tc>
        <w:tc>
          <w:tcPr>
            <w:tcW w:w="1342"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421"/>
              <w:jc w:val="cente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□使用</w:t>
            </w:r>
          </w:p>
        </w:tc>
        <w:tc>
          <w:tcPr>
            <w:tcW w:w="6653" w:type="dxa"/>
            <w:gridSpan w:val="9"/>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w:t>
            </w:r>
            <w:r>
              <w:rPr>
                <w:spacing w:val="-11"/>
              </w:rPr>
              <w:t>Ⅰ类（医疗使用</w:t>
            </w:r>
            <w:r>
              <w:t>□</w:t>
            </w:r>
            <w:r>
              <w:rPr>
                <w:spacing w:val="-11"/>
              </w:rPr>
              <w:t>）</w:t>
            </w:r>
            <w:r>
              <w:t>□</w:t>
            </w:r>
            <w:r>
              <w:rPr>
                <w:spacing w:val="-9"/>
              </w:rPr>
              <w:t>Ⅱ类</w:t>
            </w:r>
            <w:r>
              <w:t>□</w:t>
            </w:r>
            <w:r>
              <w:rPr>
                <w:spacing w:val="-8"/>
              </w:rPr>
              <w:t>Ⅲ类</w:t>
            </w:r>
            <w:r>
              <w:t>□</w:t>
            </w:r>
            <w:r>
              <w:rPr>
                <w:spacing w:val="-9"/>
              </w:rPr>
              <w:t>Ⅳ类</w:t>
            </w:r>
            <w:r>
              <w:t>□</w:t>
            </w:r>
            <w:r>
              <w:rPr>
                <w:spacing w:val="-1"/>
              </w:rPr>
              <w:t>Ⅴ类</w:t>
            </w:r>
          </w:p>
        </w:tc>
      </w:tr>
      <w:tr>
        <w:tblPrEx>
          <w:tblCellMar>
            <w:top w:w="0" w:type="dxa"/>
            <w:left w:w="0" w:type="dxa"/>
            <w:bottom w:w="0" w:type="dxa"/>
            <w:right w:w="0" w:type="dxa"/>
          </w:tblCellMar>
        </w:tblPrEx>
        <w:trPr>
          <w:trHeight w:val="20" w:hRule="atLeast"/>
          <w:jc w:val="center"/>
        </w:trPr>
        <w:tc>
          <w:tcPr>
            <w:tcW w:w="25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940"/>
              <w:jc w:val="center"/>
            </w:pPr>
          </w:p>
        </w:tc>
        <w:tc>
          <w:tcPr>
            <w:tcW w:w="1342"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line="286" w:lineRule="auto"/>
              <w:ind w:right="106"/>
              <w:jc w:val="center"/>
            </w:pPr>
            <w:r>
              <w:t>非密封放射性物质</w:t>
            </w: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□生产</w:t>
            </w:r>
          </w:p>
        </w:tc>
        <w:tc>
          <w:tcPr>
            <w:tcW w:w="6653" w:type="dxa"/>
            <w:gridSpan w:val="9"/>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w:t>
            </w:r>
            <w:r>
              <w:rPr>
                <w:spacing w:val="-8"/>
              </w:rPr>
              <w:t>制备</w:t>
            </w:r>
            <w:r>
              <w:rPr>
                <w:spacing w:val="-4"/>
              </w:rPr>
              <w:t>PET</w:t>
            </w:r>
            <w:r>
              <w:rPr>
                <w:spacing w:val="-13"/>
              </w:rPr>
              <w:t>用放射性药物</w:t>
            </w:r>
          </w:p>
        </w:tc>
      </w:tr>
      <w:tr>
        <w:tblPrEx>
          <w:tblCellMar>
            <w:top w:w="0" w:type="dxa"/>
            <w:left w:w="0" w:type="dxa"/>
            <w:bottom w:w="0" w:type="dxa"/>
            <w:right w:w="0" w:type="dxa"/>
          </w:tblCellMar>
        </w:tblPrEx>
        <w:trPr>
          <w:trHeight w:val="20" w:hRule="atLeast"/>
          <w:jc w:val="center"/>
        </w:trPr>
        <w:tc>
          <w:tcPr>
            <w:tcW w:w="25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983"/>
              <w:jc w:val="center"/>
            </w:pPr>
          </w:p>
        </w:tc>
        <w:tc>
          <w:tcPr>
            <w:tcW w:w="1342"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983"/>
              <w:jc w:val="cente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□销售</w:t>
            </w:r>
          </w:p>
        </w:tc>
        <w:tc>
          <w:tcPr>
            <w:tcW w:w="6653" w:type="dxa"/>
            <w:gridSpan w:val="9"/>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w:t>
            </w:r>
          </w:p>
        </w:tc>
      </w:tr>
      <w:tr>
        <w:tblPrEx>
          <w:tblCellMar>
            <w:top w:w="0" w:type="dxa"/>
            <w:left w:w="0" w:type="dxa"/>
            <w:bottom w:w="0" w:type="dxa"/>
            <w:right w:w="0" w:type="dxa"/>
          </w:tblCellMar>
        </w:tblPrEx>
        <w:trPr>
          <w:trHeight w:val="20" w:hRule="atLeast"/>
          <w:jc w:val="center"/>
        </w:trPr>
        <w:tc>
          <w:tcPr>
            <w:tcW w:w="25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5"/>
              <w:jc w:val="center"/>
            </w:pPr>
          </w:p>
        </w:tc>
        <w:tc>
          <w:tcPr>
            <w:tcW w:w="1342"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5"/>
              <w:jc w:val="cente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□使用</w:t>
            </w:r>
          </w:p>
        </w:tc>
        <w:tc>
          <w:tcPr>
            <w:tcW w:w="6653" w:type="dxa"/>
            <w:gridSpan w:val="9"/>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firstLine="2520" w:firstLineChars="1050"/>
            </w:pPr>
            <w:r>
              <w:t>□</w:t>
            </w:r>
            <w:r>
              <w:rPr>
                <w:spacing w:val="-6"/>
              </w:rPr>
              <w:t xml:space="preserve">乙 </w:t>
            </w:r>
            <w:r>
              <w:t>□</w:t>
            </w:r>
            <w:r>
              <w:rPr>
                <w:spacing w:val="-8"/>
              </w:rPr>
              <w:t>丙</w:t>
            </w:r>
          </w:p>
        </w:tc>
      </w:tr>
      <w:tr>
        <w:tblPrEx>
          <w:tblCellMar>
            <w:top w:w="0" w:type="dxa"/>
            <w:left w:w="0" w:type="dxa"/>
            <w:bottom w:w="0" w:type="dxa"/>
            <w:right w:w="0" w:type="dxa"/>
          </w:tblCellMar>
        </w:tblPrEx>
        <w:trPr>
          <w:trHeight w:val="20" w:hRule="atLeast"/>
          <w:jc w:val="center"/>
        </w:trPr>
        <w:tc>
          <w:tcPr>
            <w:tcW w:w="25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0"/>
              <w:jc w:val="center"/>
            </w:pPr>
          </w:p>
        </w:tc>
        <w:tc>
          <w:tcPr>
            <w:tcW w:w="1342"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152"/>
              <w:jc w:val="center"/>
            </w:pPr>
            <w:r>
              <w:t>射线装置</w:t>
            </w: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□生产</w:t>
            </w:r>
          </w:p>
        </w:tc>
        <w:tc>
          <w:tcPr>
            <w:tcW w:w="6653" w:type="dxa"/>
            <w:gridSpan w:val="9"/>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firstLine="2400" w:firstLineChars="1000"/>
              <w:jc w:val="both"/>
            </w:pPr>
            <w:r>
              <w:t xml:space="preserve">□Ⅱ类 </w:t>
            </w:r>
            <w:r>
              <w:rPr>
                <w:spacing w:val="-1"/>
              </w:rPr>
              <w:t>□Ⅲ类</w:t>
            </w:r>
          </w:p>
        </w:tc>
      </w:tr>
      <w:tr>
        <w:tblPrEx>
          <w:tblCellMar>
            <w:top w:w="0" w:type="dxa"/>
            <w:left w:w="0" w:type="dxa"/>
            <w:bottom w:w="0" w:type="dxa"/>
            <w:right w:w="0" w:type="dxa"/>
          </w:tblCellMar>
        </w:tblPrEx>
        <w:trPr>
          <w:trHeight w:val="20" w:hRule="atLeast"/>
          <w:jc w:val="center"/>
        </w:trPr>
        <w:tc>
          <w:tcPr>
            <w:tcW w:w="25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782"/>
              <w:jc w:val="center"/>
            </w:pPr>
          </w:p>
        </w:tc>
        <w:tc>
          <w:tcPr>
            <w:tcW w:w="1342"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782"/>
              <w:jc w:val="cente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□销售</w:t>
            </w:r>
          </w:p>
        </w:tc>
        <w:tc>
          <w:tcPr>
            <w:tcW w:w="6653" w:type="dxa"/>
            <w:gridSpan w:val="9"/>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firstLine="2400" w:firstLineChars="1000"/>
              <w:jc w:val="both"/>
            </w:pPr>
            <w:r>
              <w:t xml:space="preserve">□Ⅱ类 </w:t>
            </w:r>
            <w:r>
              <w:rPr>
                <w:spacing w:val="-1"/>
              </w:rPr>
              <w:t>□Ⅲ类</w:t>
            </w:r>
          </w:p>
        </w:tc>
      </w:tr>
      <w:tr>
        <w:tblPrEx>
          <w:tblCellMar>
            <w:top w:w="0" w:type="dxa"/>
            <w:left w:w="0" w:type="dxa"/>
            <w:bottom w:w="0" w:type="dxa"/>
            <w:right w:w="0" w:type="dxa"/>
          </w:tblCellMar>
        </w:tblPrEx>
        <w:trPr>
          <w:trHeight w:val="20" w:hRule="atLeast"/>
          <w:jc w:val="center"/>
        </w:trPr>
        <w:tc>
          <w:tcPr>
            <w:tcW w:w="25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782"/>
              <w:jc w:val="center"/>
            </w:pPr>
          </w:p>
        </w:tc>
        <w:tc>
          <w:tcPr>
            <w:tcW w:w="1342"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782"/>
              <w:jc w:val="cente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rPr>
                <w:spacing w:val="-8"/>
              </w:rPr>
              <w:sym w:font="Wingdings" w:char="00FE"/>
            </w:r>
            <w:r>
              <w:t>使用</w:t>
            </w:r>
          </w:p>
        </w:tc>
        <w:tc>
          <w:tcPr>
            <w:tcW w:w="6653" w:type="dxa"/>
            <w:gridSpan w:val="9"/>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firstLine="2419" w:firstLineChars="1080"/>
            </w:pPr>
            <w:r>
              <w:rPr>
                <w:spacing w:val="-8"/>
              </w:rPr>
              <w:sym w:font="Wingdings" w:char="00FE"/>
            </w:r>
            <w:r>
              <w:t>Ⅱ类</w:t>
            </w:r>
            <w:r>
              <w:rPr>
                <w:spacing w:val="-1"/>
              </w:rPr>
              <w:t>□Ⅲ类</w:t>
            </w:r>
          </w:p>
        </w:tc>
      </w:tr>
      <w:tr>
        <w:tblPrEx>
          <w:tblCellMar>
            <w:top w:w="0" w:type="dxa"/>
            <w:left w:w="0" w:type="dxa"/>
            <w:bottom w:w="0" w:type="dxa"/>
            <w:right w:w="0" w:type="dxa"/>
          </w:tblCellMar>
        </w:tblPrEx>
        <w:trPr>
          <w:trHeight w:val="20" w:hRule="atLeast"/>
          <w:jc w:val="center"/>
        </w:trPr>
        <w:tc>
          <w:tcPr>
            <w:tcW w:w="25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ind w:left="1782"/>
              <w:jc w:val="center"/>
            </w:pPr>
          </w:p>
        </w:tc>
        <w:tc>
          <w:tcPr>
            <w:tcW w:w="1342"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adjustRightInd/>
              <w:spacing w:before="22"/>
              <w:jc w:val="center"/>
            </w:pPr>
            <w:r>
              <w:t>其他</w:t>
            </w:r>
          </w:p>
        </w:tc>
        <w:tc>
          <w:tcPr>
            <w:tcW w:w="7661"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p>
        </w:tc>
      </w:tr>
      <w:tr>
        <w:tblPrEx>
          <w:tblCellMar>
            <w:top w:w="0" w:type="dxa"/>
            <w:left w:w="0" w:type="dxa"/>
            <w:bottom w:w="0" w:type="dxa"/>
            <w:right w:w="0" w:type="dxa"/>
          </w:tblCellMar>
        </w:tblPrEx>
        <w:trPr>
          <w:trHeight w:val="90" w:hRule="atLeast"/>
          <w:jc w:val="center"/>
        </w:trPr>
        <w:tc>
          <w:tcPr>
            <w:tcW w:w="9262" w:type="dxa"/>
            <w:gridSpan w:val="12"/>
            <w:tcBorders>
              <w:top w:val="single" w:color="000000" w:sz="4" w:space="0"/>
              <w:left w:val="single" w:color="000000" w:sz="4" w:space="0"/>
              <w:bottom w:val="single" w:color="000000" w:sz="4" w:space="0"/>
              <w:right w:val="single" w:color="000000" w:sz="4" w:space="0"/>
            </w:tcBorders>
            <w:vAlign w:val="center"/>
          </w:tcPr>
          <w:p>
            <w:pPr>
              <w:widowControl/>
              <w:snapToGrid w:val="0"/>
              <w:contextualSpacing/>
              <w:rPr>
                <w:rFonts w:ascii="Times New Roman" w:hAnsi="Times New Roman"/>
                <w:b/>
                <w:sz w:val="10"/>
                <w:szCs w:val="10"/>
              </w:rPr>
            </w:pPr>
          </w:p>
          <w:p>
            <w:pPr>
              <w:widowControl/>
              <w:snapToGrid w:val="0"/>
              <w:spacing w:line="360" w:lineRule="auto"/>
              <w:contextualSpacing/>
              <w:rPr>
                <w:rFonts w:ascii="Times New Roman" w:hAnsi="Times New Roman"/>
                <w:b/>
                <w:sz w:val="28"/>
                <w:szCs w:val="28"/>
              </w:rPr>
            </w:pPr>
            <w:r>
              <w:rPr>
                <w:rFonts w:ascii="Times New Roman" w:hAnsi="Times New Roman"/>
                <w:b/>
                <w:sz w:val="28"/>
                <w:szCs w:val="28"/>
              </w:rPr>
              <w:t>1.1项目概况</w:t>
            </w:r>
          </w:p>
          <w:p>
            <w:pPr>
              <w:spacing w:line="360" w:lineRule="auto"/>
              <w:rPr>
                <w:rFonts w:ascii="Times New Roman" w:hAnsi="Times New Roman"/>
                <w:b/>
                <w:sz w:val="24"/>
                <w:szCs w:val="24"/>
              </w:rPr>
            </w:pPr>
            <w:r>
              <w:rPr>
                <w:rFonts w:ascii="Times New Roman" w:hAnsi="Times New Roman"/>
                <w:b/>
                <w:sz w:val="24"/>
                <w:szCs w:val="24"/>
              </w:rPr>
              <w:t>1.1.1建设单位简介</w:t>
            </w:r>
          </w:p>
          <w:p>
            <w:pPr>
              <w:spacing w:line="360" w:lineRule="auto"/>
              <w:ind w:firstLine="480" w:firstLineChars="200"/>
              <w:rPr>
                <w:rFonts w:ascii="Times New Roman" w:hAnsi="Times New Roman"/>
                <w:color w:val="000000"/>
                <w:sz w:val="24"/>
                <w:szCs w:val="32"/>
              </w:rPr>
            </w:pPr>
            <w:r>
              <w:rPr>
                <w:rFonts w:hint="eastAsia" w:ascii="Times New Roman" w:hAnsi="Times New Roman"/>
                <w:color w:val="000000"/>
                <w:sz w:val="24"/>
                <w:szCs w:val="32"/>
              </w:rPr>
              <w:t>新疆维吾尔自治区产品质量监督检验研究院（新疆维吾尔自治区建筑材料研究院、新疆维吾尔自治区建材非金属产品质量监督检验站）（以下简称“新疆质检院”）</w:t>
            </w:r>
            <w:r>
              <w:rPr>
                <w:rFonts w:ascii="Times New Roman" w:hAnsi="Times New Roman"/>
                <w:color w:val="000000"/>
                <w:sz w:val="24"/>
                <w:szCs w:val="32"/>
              </w:rPr>
              <w:t>是由自治区人民政府批准成立，其前身是1980年成立的新疆维吾尔自治区产品质量监督检验所。2005年，更名为新疆维吾尔自治区产品质量监督检验研究院，是一个集检验、检测、验货、科研、认证、咨询与培训的综合性产品质量监督检验研究机构。</w:t>
            </w:r>
          </w:p>
          <w:p>
            <w:pPr>
              <w:spacing w:line="360" w:lineRule="auto"/>
              <w:ind w:firstLine="480" w:firstLineChars="200"/>
              <w:rPr>
                <w:rFonts w:ascii="Times New Roman" w:hAnsi="Times New Roman"/>
                <w:color w:val="000000"/>
                <w:sz w:val="24"/>
                <w:szCs w:val="32"/>
              </w:rPr>
            </w:pPr>
            <w:r>
              <w:rPr>
                <w:rFonts w:ascii="Times New Roman" w:hAnsi="Times New Roman"/>
                <w:color w:val="000000"/>
                <w:sz w:val="24"/>
                <w:szCs w:val="32"/>
              </w:rPr>
              <w:t>现内设8个专业检验所：食品农副产品质量监督检验所、能源化工产品质量监督检验所、轻工产品质量监督检验所、机械产品质量监督检验所、电器产品质量监督检验所、金银珠宝产品质量监督检验所、节水产品质量监督检验所、建材产品质量监督检验所；经营部门1个：技术服务中心；市场化运行机构2个：新疆新检质量检测有限公司、新疆新世纪建筑材料技术开发中心；职能部门8个。</w:t>
            </w:r>
          </w:p>
          <w:p>
            <w:pPr>
              <w:spacing w:line="360" w:lineRule="auto"/>
              <w:ind w:firstLine="480" w:firstLineChars="200"/>
              <w:rPr>
                <w:rFonts w:ascii="Times New Roman" w:hAnsi="Times New Roman"/>
                <w:color w:val="000000"/>
                <w:sz w:val="24"/>
                <w:szCs w:val="32"/>
              </w:rPr>
            </w:pPr>
            <w:r>
              <w:rPr>
                <w:rFonts w:hint="eastAsia" w:ascii="Times New Roman" w:hAnsi="Times New Roman"/>
                <w:color w:val="000000"/>
                <w:sz w:val="24"/>
                <w:szCs w:val="32"/>
              </w:rPr>
              <w:t>坚持以“质量立院、人才兴院、创新强院、文化铸院”，以建设面向全社会领域服务高质量发展，疆内第一、西北领先、国内争先的的综合性技术机构为目标，形成一中心（河北路基地）、两基地（昌吉二基地、成果转化基地）、多场所（9个分场所办公场地）的配套能力，总实验室面积达6.3万平方米。“一中心”--位于乌鲁木齐市高新区（新市区）河北路基地，实验室面积21190.44平方米。“两基地”--位于昌吉市高新技术开发区的昌吉二基地，建设的实验室面积29700平方米，综合楼面积18400平方米；位于乌鲁木齐市高新北区的科研成果转化基地，实验室面积12975平方米。多场所--位于乌鲁木齐五星路、塔城、独山子、和田等9个分场所办公场地，实现全区检验检测机构一体化协作发展，不断提升市场竞争力，实现检测资源共用、发展成果共享，更好服务地方经济建设。</w:t>
            </w:r>
          </w:p>
          <w:p>
            <w:pPr>
              <w:spacing w:line="360" w:lineRule="auto"/>
              <w:ind w:firstLine="480" w:firstLineChars="200"/>
              <w:rPr>
                <w:rFonts w:ascii="Times New Roman" w:hAnsi="Times New Roman"/>
                <w:color w:val="000000"/>
                <w:sz w:val="24"/>
                <w:szCs w:val="32"/>
              </w:rPr>
            </w:pPr>
            <w:r>
              <w:rPr>
                <w:rFonts w:hint="eastAsia" w:ascii="Times New Roman" w:hAnsi="Times New Roman"/>
                <w:color w:val="000000"/>
                <w:sz w:val="24"/>
                <w:szCs w:val="32"/>
              </w:rPr>
              <w:t>新疆质检院目前有6个国家质检中心、1个国家市场监管重点实验室（易制爆危化品）、13个省级质检中心，现有仪器设备2104余台（套），总值2.05亿元；依法取得CMA资质认定与CNAS中国合格评定国家认可委员会实验室认可资格，并依据ISO17025进行管理。通过CNAS实验室认可和资质认定的产品2380个、参数8910个；省级资质认定的产品3122个、参数8978个；涵盖食品、石化产品、机械、电器轻工、建材等。2021到2022年，每年承担自治区级以下监督抽查任务2.3万批次，国家本级抽查任务1000余批次，有效守住了产品质量安全底线。检验检测覆盖产品类别及检验检测能力在同行业处于西北地区领先地位。</w:t>
            </w:r>
          </w:p>
          <w:p>
            <w:pPr>
              <w:spacing w:line="360" w:lineRule="auto"/>
              <w:ind w:firstLine="480" w:firstLineChars="200"/>
              <w:rPr>
                <w:rFonts w:ascii="Times New Roman" w:hAnsi="Times New Roman"/>
                <w:color w:val="000000"/>
                <w:sz w:val="24"/>
                <w:szCs w:val="32"/>
              </w:rPr>
            </w:pPr>
            <w:r>
              <w:rPr>
                <w:rFonts w:hint="eastAsia" w:ascii="Times New Roman" w:hAnsi="Times New Roman"/>
                <w:color w:val="000000"/>
                <w:sz w:val="24"/>
                <w:szCs w:val="32"/>
              </w:rPr>
              <w:t>目前在职员工430人，其中博士5人；在读博士研究生4人；硕士71人；本科258人；正高级工程师27人；高级工程师95人；工程师116人。培养享受国务院特贴专家、国家新世纪百千万工程国家级人才、自治区突出贡献专家2人；入选自治区天山英才计划4人；注册实验室评审员11人；注册珠宝检验师（鉴定师）15人，珠宝评估师2人；ISO9000实习审核员20人；参加全国标准化专业技术委员会11个。2013年8月，经国家人力资源和社会保障部批准，在我院设立了博士后科研工作站，并开展工作，已顺利出站3人，在站博士后3人。</w:t>
            </w:r>
          </w:p>
          <w:p>
            <w:pPr>
              <w:spacing w:line="360" w:lineRule="auto"/>
              <w:ind w:firstLine="480" w:firstLineChars="200"/>
              <w:rPr>
                <w:rFonts w:ascii="Times New Roman" w:hAnsi="Times New Roman"/>
                <w:color w:val="000000"/>
                <w:sz w:val="24"/>
                <w:szCs w:val="32"/>
              </w:rPr>
            </w:pPr>
            <w:r>
              <w:rPr>
                <w:rFonts w:hint="eastAsia" w:ascii="Times New Roman" w:hAnsi="Times New Roman"/>
                <w:color w:val="000000"/>
                <w:sz w:val="24"/>
                <w:szCs w:val="32"/>
              </w:rPr>
              <w:t>近五年，主持和参与国家级科研项目2项，其中重点研发计划1项，省部级科研项目25项，自治区重大科技专项1项，其他各类课题36项，获国拨经费1569.8万元，各类科技奖励3项，发布标准46项，授权专利133件，发表论文267篇；充分发挥我院检验检测公益属性作用，为国家和地方政府出台相关政策提供大量的数据基础和决策依据。承担了4个自治区级标准化技术委员会秘书处工作，在标准制修订、技术审查以及行业交流等方面发挥了重要作用；合作开发新疆特色乳制品和特色干果食品安全的质量安全评价与监控技术体系和新疆食品安全监管综合大数据中心及食品信用体系平台，有力支撑了国家和自治区食品安全评价治理体系构建及质量安全风险快速预警和有效监管。先后与中国检验检疫科学研究院、天津大学、新疆大学、新疆医科大学等建立了合作机制，成为行业人才、技术和成果对接的桥梁，有效推动了我区地方产业和经济的高质量发展。</w:t>
            </w:r>
          </w:p>
          <w:p>
            <w:pPr>
              <w:spacing w:line="360" w:lineRule="auto"/>
              <w:rPr>
                <w:rFonts w:ascii="Times New Roman" w:hAnsi="Times New Roman"/>
                <w:b/>
                <w:sz w:val="24"/>
                <w:szCs w:val="24"/>
              </w:rPr>
            </w:pPr>
            <w:r>
              <w:rPr>
                <w:rFonts w:ascii="Times New Roman" w:hAnsi="Times New Roman"/>
                <w:b/>
                <w:sz w:val="24"/>
                <w:szCs w:val="24"/>
              </w:rPr>
              <w:t>1.1.2项目目的和任务的由来</w:t>
            </w:r>
          </w:p>
          <w:p>
            <w:pPr>
              <w:pStyle w:val="33"/>
              <w:adjustRightInd/>
              <w:spacing w:line="360" w:lineRule="auto"/>
              <w:ind w:firstLine="480" w:firstLineChars="200"/>
              <w:rPr>
                <w:color w:val="000000"/>
              </w:rPr>
            </w:pPr>
            <w:r>
              <w:rPr>
                <w:rFonts w:hint="eastAsia"/>
                <w:color w:val="000000"/>
                <w:szCs w:val="32"/>
              </w:rPr>
              <w:t>新疆质检院</w:t>
            </w:r>
            <w:r>
              <w:t>拟购置3</w:t>
            </w:r>
            <w:r>
              <w:rPr>
                <w:color w:val="000000"/>
              </w:rPr>
              <w:t>台</w:t>
            </w:r>
            <w:r>
              <w:rPr>
                <w:rFonts w:hint="eastAsia"/>
                <w:color w:val="000000"/>
              </w:rPr>
              <w:t>工业用</w:t>
            </w:r>
            <w:r>
              <w:rPr>
                <w:color w:val="000000"/>
              </w:rPr>
              <w:t>X射线探伤</w:t>
            </w:r>
            <w:r>
              <w:rPr>
                <w:rFonts w:hint="eastAsia"/>
                <w:color w:val="000000"/>
              </w:rPr>
              <w:t>机</w:t>
            </w:r>
            <w:r>
              <w:rPr>
                <w:color w:val="000000"/>
              </w:rPr>
              <w:t>（具体情况见表1-1），主要用于开展</w:t>
            </w:r>
            <w:r>
              <w:rPr>
                <w:rFonts w:hint="eastAsia"/>
                <w:color w:val="000000"/>
                <w:szCs w:val="32"/>
              </w:rPr>
              <w:t>钢结构、管道、非承压、承压设备等</w:t>
            </w:r>
            <w:r>
              <w:rPr>
                <w:color w:val="000000"/>
              </w:rPr>
              <w:t>的现场无损探伤工作，保证产品的质量与生产的安全。</w:t>
            </w:r>
          </w:p>
          <w:p>
            <w:pPr>
              <w:pStyle w:val="8"/>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表1-1  </w:t>
            </w:r>
            <w:r>
              <w:rPr>
                <w:rFonts w:hint="eastAsia" w:ascii="Times New Roman" w:hAnsi="Times New Roman"/>
                <w:color w:val="000000"/>
                <w:sz w:val="24"/>
                <w:szCs w:val="32"/>
              </w:rPr>
              <w:t>新疆质检院</w:t>
            </w:r>
            <w:r>
              <w:rPr>
                <w:rFonts w:ascii="Times New Roman" w:hAnsi="Times New Roman" w:cs="Times New Roman"/>
                <w:sz w:val="24"/>
              </w:rPr>
              <w:t>X射线</w:t>
            </w:r>
            <w:r>
              <w:rPr>
                <w:rFonts w:ascii="Times New Roman" w:hAnsi="Times New Roman" w:cs="Times New Roman"/>
                <w:sz w:val="24"/>
                <w:szCs w:val="24"/>
              </w:rPr>
              <w:t>探伤项目情况一览表</w:t>
            </w:r>
          </w:p>
          <w:tbl>
            <w:tblPr>
              <w:tblStyle w:val="17"/>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2307"/>
              <w:gridCol w:w="425"/>
              <w:gridCol w:w="1134"/>
              <w:gridCol w:w="1276"/>
              <w:gridCol w:w="854"/>
              <w:gridCol w:w="113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494" w:type="dxa"/>
                  <w:vAlign w:val="center"/>
                </w:tcPr>
                <w:p>
                  <w:pPr>
                    <w:pStyle w:val="8"/>
                    <w:jc w:val="center"/>
                    <w:rPr>
                      <w:rFonts w:ascii="Times New Roman" w:hAnsi="Times New Roman" w:cs="Times New Roman"/>
                    </w:rPr>
                  </w:pPr>
                  <w:r>
                    <w:rPr>
                      <w:rFonts w:ascii="Times New Roman" w:hAnsi="Times New Roman" w:cs="Times New Roman"/>
                    </w:rPr>
                    <w:t>序号</w:t>
                  </w:r>
                </w:p>
              </w:tc>
              <w:tc>
                <w:tcPr>
                  <w:tcW w:w="2307" w:type="dxa"/>
                  <w:vAlign w:val="center"/>
                </w:tcPr>
                <w:p>
                  <w:pPr>
                    <w:pStyle w:val="8"/>
                    <w:jc w:val="center"/>
                    <w:rPr>
                      <w:rFonts w:ascii="Times New Roman" w:hAnsi="Times New Roman" w:cs="Times New Roman"/>
                    </w:rPr>
                  </w:pPr>
                  <w:r>
                    <w:rPr>
                      <w:rFonts w:ascii="Times New Roman" w:hAnsi="Times New Roman" w:cs="Times New Roman"/>
                    </w:rPr>
                    <w:t>射线装置名称</w:t>
                  </w:r>
                </w:p>
                <w:p>
                  <w:pPr>
                    <w:pStyle w:val="8"/>
                    <w:jc w:val="center"/>
                    <w:rPr>
                      <w:rFonts w:ascii="Times New Roman" w:hAnsi="Times New Roman" w:cs="Times New Roman"/>
                    </w:rPr>
                  </w:pPr>
                  <w:r>
                    <w:rPr>
                      <w:rFonts w:ascii="Times New Roman" w:hAnsi="Times New Roman" w:cs="Times New Roman"/>
                    </w:rPr>
                    <w:t>（型号）</w:t>
                  </w:r>
                </w:p>
              </w:tc>
              <w:tc>
                <w:tcPr>
                  <w:tcW w:w="425" w:type="dxa"/>
                  <w:vAlign w:val="center"/>
                </w:tcPr>
                <w:p>
                  <w:pPr>
                    <w:pStyle w:val="8"/>
                    <w:jc w:val="center"/>
                    <w:rPr>
                      <w:rFonts w:ascii="Times New Roman" w:hAnsi="Times New Roman" w:cs="Times New Roman"/>
                    </w:rPr>
                  </w:pPr>
                  <w:r>
                    <w:rPr>
                      <w:rFonts w:ascii="Times New Roman" w:hAnsi="Times New Roman" w:cs="Times New Roman"/>
                    </w:rPr>
                    <w:t>数量</w:t>
                  </w:r>
                </w:p>
              </w:tc>
              <w:tc>
                <w:tcPr>
                  <w:tcW w:w="1134" w:type="dxa"/>
                  <w:vAlign w:val="center"/>
                </w:tcPr>
                <w:p>
                  <w:pPr>
                    <w:pStyle w:val="8"/>
                    <w:jc w:val="center"/>
                    <w:rPr>
                      <w:rFonts w:ascii="Times New Roman" w:hAnsi="Times New Roman" w:cs="Times New Roman"/>
                    </w:rPr>
                  </w:pPr>
                  <w:r>
                    <w:rPr>
                      <w:rFonts w:ascii="Times New Roman" w:hAnsi="Times New Roman" w:cs="Times New Roman"/>
                    </w:rPr>
                    <w:t>最大管电压（kV）</w:t>
                  </w:r>
                </w:p>
              </w:tc>
              <w:tc>
                <w:tcPr>
                  <w:tcW w:w="1276" w:type="dxa"/>
                  <w:vAlign w:val="center"/>
                </w:tcPr>
                <w:p>
                  <w:pPr>
                    <w:pStyle w:val="8"/>
                    <w:jc w:val="center"/>
                    <w:rPr>
                      <w:rFonts w:ascii="Times New Roman" w:hAnsi="Times New Roman" w:cs="Times New Roman"/>
                    </w:rPr>
                  </w:pPr>
                  <w:r>
                    <w:rPr>
                      <w:rFonts w:ascii="Times New Roman" w:hAnsi="Times New Roman" w:cs="Times New Roman"/>
                    </w:rPr>
                    <w:t>最大管电流（mA）</w:t>
                  </w:r>
                </w:p>
              </w:tc>
              <w:tc>
                <w:tcPr>
                  <w:tcW w:w="854" w:type="dxa"/>
                  <w:vAlign w:val="center"/>
                </w:tcPr>
                <w:p>
                  <w:pPr>
                    <w:pStyle w:val="8"/>
                    <w:jc w:val="center"/>
                    <w:rPr>
                      <w:rFonts w:ascii="Times New Roman" w:hAnsi="Times New Roman" w:cs="Times New Roman"/>
                    </w:rPr>
                  </w:pPr>
                  <w:r>
                    <w:rPr>
                      <w:rFonts w:ascii="Times New Roman" w:hAnsi="Times New Roman" w:cs="Times New Roman"/>
                    </w:rPr>
                    <w:t>射线装置类别</w:t>
                  </w:r>
                </w:p>
              </w:tc>
              <w:tc>
                <w:tcPr>
                  <w:tcW w:w="1134" w:type="dxa"/>
                  <w:vAlign w:val="center"/>
                </w:tcPr>
                <w:p>
                  <w:pPr>
                    <w:pStyle w:val="8"/>
                    <w:jc w:val="center"/>
                    <w:rPr>
                      <w:rFonts w:ascii="Times New Roman" w:hAnsi="Times New Roman" w:cs="Times New Roman"/>
                    </w:rPr>
                  </w:pPr>
                  <w:r>
                    <w:rPr>
                      <w:rFonts w:ascii="Times New Roman" w:hAnsi="Times New Roman" w:cs="Times New Roman"/>
                    </w:rPr>
                    <w:t>用途</w:t>
                  </w:r>
                </w:p>
              </w:tc>
              <w:tc>
                <w:tcPr>
                  <w:tcW w:w="1296" w:type="dxa"/>
                  <w:vAlign w:val="center"/>
                </w:tcPr>
                <w:p>
                  <w:pPr>
                    <w:pStyle w:val="8"/>
                    <w:jc w:val="center"/>
                    <w:rPr>
                      <w:rFonts w:ascii="Times New Roman" w:hAnsi="Times New Roman" w:cs="Times New Roman"/>
                    </w:rPr>
                  </w:pPr>
                  <w:r>
                    <w:rPr>
                      <w:rFonts w:ascii="Times New Roman" w:hAnsi="Times New Roman" w:cs="Times New Roman"/>
                    </w:rPr>
                    <w:t>环评情况及审批时间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94" w:type="dxa"/>
                  <w:vAlign w:val="center"/>
                </w:tcPr>
                <w:p>
                  <w:pPr>
                    <w:pStyle w:val="8"/>
                    <w:jc w:val="center"/>
                    <w:rPr>
                      <w:rFonts w:ascii="Times New Roman" w:hAnsi="Times New Roman" w:cs="Times New Roman"/>
                    </w:rPr>
                  </w:pPr>
                  <w:r>
                    <w:rPr>
                      <w:rFonts w:ascii="Times New Roman" w:hAnsi="Times New Roman" w:cs="Times New Roman"/>
                    </w:rPr>
                    <w:t>1</w:t>
                  </w:r>
                </w:p>
              </w:tc>
              <w:tc>
                <w:tcPr>
                  <w:tcW w:w="2307" w:type="dxa"/>
                  <w:vAlign w:val="center"/>
                </w:tcPr>
                <w:p>
                  <w:pPr>
                    <w:pStyle w:val="8"/>
                    <w:jc w:val="center"/>
                    <w:rPr>
                      <w:rFonts w:ascii="Times New Roman" w:hAnsi="Times New Roman" w:cs="Times New Roman"/>
                      <w:color w:val="000000"/>
                      <w:kern w:val="0"/>
                      <w:sz w:val="22"/>
                    </w:rPr>
                  </w:pPr>
                  <w:r>
                    <w:rPr>
                      <w:rFonts w:ascii="Times New Roman" w:hAnsi="Times New Roman" w:cs="Times New Roman"/>
                      <w:color w:val="000000"/>
                      <w:kern w:val="0"/>
                      <w:sz w:val="22"/>
                    </w:rPr>
                    <w:t>XXG2505型</w:t>
                  </w:r>
                </w:p>
                <w:p>
                  <w:pPr>
                    <w:pStyle w:val="8"/>
                    <w:jc w:val="center"/>
                    <w:rPr>
                      <w:rFonts w:ascii="Times New Roman" w:hAnsi="Times New Roman" w:cs="Times New Roman"/>
                    </w:rPr>
                  </w:pPr>
                  <w:r>
                    <w:rPr>
                      <w:rFonts w:hint="eastAsia" w:ascii="Times New Roman" w:hAnsi="Times New Roman" w:cs="Times New Roman"/>
                    </w:rPr>
                    <w:t>工业用</w:t>
                  </w:r>
                  <w:r>
                    <w:rPr>
                      <w:rFonts w:ascii="Times New Roman" w:hAnsi="Times New Roman" w:cs="Times New Roman"/>
                    </w:rPr>
                    <w:t>X射线探伤</w:t>
                  </w:r>
                  <w:r>
                    <w:rPr>
                      <w:rFonts w:hint="eastAsia" w:ascii="Times New Roman" w:hAnsi="Times New Roman" w:cs="Times New Roman"/>
                    </w:rPr>
                    <w:t>机</w:t>
                  </w:r>
                </w:p>
              </w:tc>
              <w:tc>
                <w:tcPr>
                  <w:tcW w:w="425" w:type="dxa"/>
                  <w:vAlign w:val="center"/>
                </w:tcPr>
                <w:p>
                  <w:pPr>
                    <w:pStyle w:val="8"/>
                    <w:jc w:val="center"/>
                    <w:rPr>
                      <w:rFonts w:ascii="Times New Roman" w:hAnsi="Times New Roman" w:cs="Times New Roman"/>
                    </w:rPr>
                  </w:pPr>
                  <w:r>
                    <w:rPr>
                      <w:rFonts w:ascii="Times New Roman" w:hAnsi="Times New Roman" w:cs="Times New Roman"/>
                    </w:rPr>
                    <w:t>1</w:t>
                  </w:r>
                </w:p>
              </w:tc>
              <w:tc>
                <w:tcPr>
                  <w:tcW w:w="1134" w:type="dxa"/>
                  <w:vAlign w:val="center"/>
                </w:tcPr>
                <w:p>
                  <w:pPr>
                    <w:jc w:val="center"/>
                    <w:rPr>
                      <w:rFonts w:ascii="Times New Roman" w:hAnsi="Times New Roman"/>
                      <w:szCs w:val="21"/>
                    </w:rPr>
                  </w:pPr>
                  <w:r>
                    <w:rPr>
                      <w:rFonts w:ascii="Times New Roman" w:hAnsi="Times New Roman"/>
                      <w:szCs w:val="21"/>
                    </w:rPr>
                    <w:t>250kV</w:t>
                  </w:r>
                </w:p>
              </w:tc>
              <w:tc>
                <w:tcPr>
                  <w:tcW w:w="1276" w:type="dxa"/>
                  <w:vAlign w:val="center"/>
                </w:tcPr>
                <w:p>
                  <w:pPr>
                    <w:autoSpaceDE w:val="0"/>
                    <w:autoSpaceDN w:val="0"/>
                    <w:adjustRightInd w:val="0"/>
                    <w:jc w:val="center"/>
                    <w:rPr>
                      <w:rFonts w:ascii="Times New Roman" w:hAnsi="Times New Roman"/>
                      <w:szCs w:val="21"/>
                    </w:rPr>
                  </w:pPr>
                  <w:r>
                    <w:rPr>
                      <w:rFonts w:ascii="Times New Roman" w:hAnsi="Times New Roman"/>
                      <w:szCs w:val="21"/>
                    </w:rPr>
                    <w:t>5mA</w:t>
                  </w:r>
                </w:p>
              </w:tc>
              <w:tc>
                <w:tcPr>
                  <w:tcW w:w="854" w:type="dxa"/>
                  <w:vAlign w:val="center"/>
                </w:tcPr>
                <w:p>
                  <w:pPr>
                    <w:pStyle w:val="8"/>
                    <w:jc w:val="center"/>
                    <w:rPr>
                      <w:rFonts w:ascii="Times New Roman" w:hAnsi="Times New Roman" w:cs="Times New Roman"/>
                    </w:rPr>
                  </w:pPr>
                  <w:r>
                    <w:rPr>
                      <w:rFonts w:ascii="Times New Roman" w:hAnsi="Times New Roman" w:cs="Times New Roman"/>
                    </w:rPr>
                    <w:t>Ⅱ类</w:t>
                  </w:r>
                </w:p>
              </w:tc>
              <w:tc>
                <w:tcPr>
                  <w:tcW w:w="1134" w:type="dxa"/>
                  <w:vAlign w:val="center"/>
                </w:tcPr>
                <w:p>
                  <w:pPr>
                    <w:pStyle w:val="8"/>
                    <w:jc w:val="center"/>
                    <w:rPr>
                      <w:rFonts w:ascii="Times New Roman" w:hAnsi="Times New Roman" w:cs="Times New Roman"/>
                    </w:rPr>
                  </w:pPr>
                  <w:r>
                    <w:rPr>
                      <w:rFonts w:ascii="Times New Roman" w:hAnsi="Times New Roman" w:cs="Times New Roman"/>
                    </w:rPr>
                    <w:t>现场探伤</w:t>
                  </w:r>
                </w:p>
              </w:tc>
              <w:tc>
                <w:tcPr>
                  <w:tcW w:w="1296" w:type="dxa"/>
                  <w:vAlign w:val="center"/>
                </w:tcPr>
                <w:p>
                  <w:pPr>
                    <w:pStyle w:val="8"/>
                    <w:jc w:val="center"/>
                    <w:rPr>
                      <w:rFonts w:ascii="Times New Roman" w:hAnsi="Times New Roman" w:cs="Times New Roman"/>
                    </w:rPr>
                  </w:pPr>
                  <w:r>
                    <w:rPr>
                      <w:rFonts w:ascii="Times New Roman" w:hAnsi="Times New Roman" w:cs="Times New Roman"/>
                    </w:rPr>
                    <w:t>本次环评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494" w:type="dxa"/>
                  <w:vAlign w:val="center"/>
                </w:tcPr>
                <w:p>
                  <w:pPr>
                    <w:pStyle w:val="8"/>
                    <w:jc w:val="center"/>
                    <w:rPr>
                      <w:rFonts w:ascii="Times New Roman" w:hAnsi="Times New Roman" w:cs="Times New Roman"/>
                    </w:rPr>
                  </w:pPr>
                  <w:r>
                    <w:rPr>
                      <w:rFonts w:ascii="Times New Roman" w:hAnsi="Times New Roman" w:cs="Times New Roman"/>
                    </w:rPr>
                    <w:t>2</w:t>
                  </w:r>
                </w:p>
              </w:tc>
              <w:tc>
                <w:tcPr>
                  <w:tcW w:w="2307" w:type="dxa"/>
                  <w:vAlign w:val="center"/>
                </w:tcPr>
                <w:p>
                  <w:pPr>
                    <w:pStyle w:val="8"/>
                    <w:jc w:val="center"/>
                    <w:rPr>
                      <w:rFonts w:ascii="Times New Roman" w:hAnsi="Times New Roman" w:cs="Times New Roman"/>
                      <w:color w:val="000000"/>
                      <w:kern w:val="0"/>
                      <w:sz w:val="22"/>
                    </w:rPr>
                  </w:pPr>
                  <w:r>
                    <w:rPr>
                      <w:rFonts w:ascii="Times New Roman" w:hAnsi="Times New Roman" w:cs="Times New Roman"/>
                      <w:color w:val="000000"/>
                      <w:kern w:val="0"/>
                      <w:sz w:val="22"/>
                    </w:rPr>
                    <w:t>XT3005型</w:t>
                  </w:r>
                </w:p>
                <w:p>
                  <w:pPr>
                    <w:pStyle w:val="8"/>
                    <w:jc w:val="center"/>
                    <w:rPr>
                      <w:rFonts w:ascii="Times New Roman" w:hAnsi="Times New Roman" w:cs="Times New Roman"/>
                    </w:rPr>
                  </w:pPr>
                  <w:r>
                    <w:rPr>
                      <w:rFonts w:hint="eastAsia" w:ascii="Times New Roman" w:hAnsi="Times New Roman" w:cs="Times New Roman"/>
                    </w:rPr>
                    <w:t>工业用</w:t>
                  </w:r>
                  <w:r>
                    <w:rPr>
                      <w:rFonts w:ascii="Times New Roman" w:hAnsi="Times New Roman" w:cs="Times New Roman"/>
                    </w:rPr>
                    <w:t>X射线探伤机</w:t>
                  </w:r>
                </w:p>
              </w:tc>
              <w:tc>
                <w:tcPr>
                  <w:tcW w:w="425" w:type="dxa"/>
                  <w:vAlign w:val="center"/>
                </w:tcPr>
                <w:p>
                  <w:pPr>
                    <w:pStyle w:val="8"/>
                    <w:jc w:val="center"/>
                    <w:rPr>
                      <w:rFonts w:ascii="Times New Roman" w:hAnsi="Times New Roman" w:cs="Times New Roman"/>
                    </w:rPr>
                  </w:pPr>
                  <w:r>
                    <w:rPr>
                      <w:rFonts w:ascii="Times New Roman" w:hAnsi="Times New Roman" w:cs="Times New Roman"/>
                    </w:rPr>
                    <w:t>1</w:t>
                  </w:r>
                </w:p>
              </w:tc>
              <w:tc>
                <w:tcPr>
                  <w:tcW w:w="1134" w:type="dxa"/>
                  <w:vAlign w:val="center"/>
                </w:tcPr>
                <w:p>
                  <w:pPr>
                    <w:jc w:val="center"/>
                    <w:rPr>
                      <w:rFonts w:ascii="Times New Roman" w:hAnsi="Times New Roman"/>
                      <w:szCs w:val="21"/>
                    </w:rPr>
                  </w:pPr>
                  <w:r>
                    <w:rPr>
                      <w:rFonts w:ascii="Times New Roman" w:hAnsi="Times New Roman"/>
                      <w:szCs w:val="21"/>
                    </w:rPr>
                    <w:t>300kV</w:t>
                  </w:r>
                </w:p>
              </w:tc>
              <w:tc>
                <w:tcPr>
                  <w:tcW w:w="1276" w:type="dxa"/>
                  <w:vAlign w:val="center"/>
                </w:tcPr>
                <w:p>
                  <w:pPr>
                    <w:autoSpaceDE w:val="0"/>
                    <w:autoSpaceDN w:val="0"/>
                    <w:adjustRightInd w:val="0"/>
                    <w:jc w:val="center"/>
                    <w:rPr>
                      <w:rFonts w:ascii="Times New Roman" w:hAnsi="Times New Roman"/>
                      <w:szCs w:val="21"/>
                    </w:rPr>
                  </w:pPr>
                  <w:r>
                    <w:rPr>
                      <w:rFonts w:ascii="Times New Roman" w:hAnsi="Times New Roman"/>
                      <w:szCs w:val="21"/>
                    </w:rPr>
                    <w:t>5mA</w:t>
                  </w:r>
                </w:p>
              </w:tc>
              <w:tc>
                <w:tcPr>
                  <w:tcW w:w="854" w:type="dxa"/>
                  <w:vAlign w:val="center"/>
                </w:tcPr>
                <w:p>
                  <w:pPr>
                    <w:pStyle w:val="8"/>
                    <w:jc w:val="center"/>
                    <w:rPr>
                      <w:rFonts w:ascii="Times New Roman" w:hAnsi="Times New Roman" w:cs="Times New Roman"/>
                    </w:rPr>
                  </w:pPr>
                  <w:r>
                    <w:rPr>
                      <w:rFonts w:ascii="Times New Roman" w:hAnsi="Times New Roman" w:cs="Times New Roman"/>
                    </w:rPr>
                    <w:t>Ⅱ类</w:t>
                  </w:r>
                </w:p>
              </w:tc>
              <w:tc>
                <w:tcPr>
                  <w:tcW w:w="1134" w:type="dxa"/>
                  <w:vAlign w:val="center"/>
                </w:tcPr>
                <w:p>
                  <w:pPr>
                    <w:pStyle w:val="8"/>
                    <w:jc w:val="center"/>
                    <w:rPr>
                      <w:rFonts w:ascii="Times New Roman" w:hAnsi="Times New Roman" w:cs="Times New Roman"/>
                    </w:rPr>
                  </w:pPr>
                  <w:r>
                    <w:rPr>
                      <w:rFonts w:ascii="Times New Roman" w:hAnsi="Times New Roman" w:cs="Times New Roman"/>
                    </w:rPr>
                    <w:t>现场探伤</w:t>
                  </w:r>
                </w:p>
              </w:tc>
              <w:tc>
                <w:tcPr>
                  <w:tcW w:w="1296" w:type="dxa"/>
                  <w:vAlign w:val="center"/>
                </w:tcPr>
                <w:p>
                  <w:pPr>
                    <w:pStyle w:val="8"/>
                    <w:jc w:val="center"/>
                    <w:rPr>
                      <w:rFonts w:ascii="Times New Roman" w:hAnsi="Times New Roman" w:cs="Times New Roman"/>
                    </w:rPr>
                  </w:pPr>
                  <w:r>
                    <w:rPr>
                      <w:rFonts w:ascii="Times New Roman" w:hAnsi="Times New Roman" w:cs="Times New Roman"/>
                    </w:rPr>
                    <w:t>本次环评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94" w:type="dxa"/>
                  <w:vAlign w:val="center"/>
                </w:tcPr>
                <w:p>
                  <w:pPr>
                    <w:pStyle w:val="8"/>
                    <w:jc w:val="center"/>
                    <w:rPr>
                      <w:rFonts w:ascii="Times New Roman" w:hAnsi="Times New Roman" w:cs="Times New Roman"/>
                    </w:rPr>
                  </w:pPr>
                  <w:r>
                    <w:rPr>
                      <w:rFonts w:ascii="Times New Roman" w:hAnsi="Times New Roman" w:cs="Times New Roman"/>
                    </w:rPr>
                    <w:t>3</w:t>
                  </w:r>
                </w:p>
              </w:tc>
              <w:tc>
                <w:tcPr>
                  <w:tcW w:w="2307" w:type="dxa"/>
                  <w:vAlign w:val="center"/>
                </w:tcPr>
                <w:p>
                  <w:pPr>
                    <w:pStyle w:val="8"/>
                    <w:jc w:val="center"/>
                    <w:rPr>
                      <w:rFonts w:ascii="Times New Roman" w:hAnsi="Times New Roman" w:cs="Times New Roman"/>
                      <w:kern w:val="0"/>
                      <w:sz w:val="22"/>
                    </w:rPr>
                  </w:pPr>
                  <w:r>
                    <w:rPr>
                      <w:rFonts w:ascii="Times New Roman" w:hAnsi="Times New Roman" w:cs="Times New Roman"/>
                      <w:kern w:val="0"/>
                      <w:sz w:val="22"/>
                    </w:rPr>
                    <w:t>XXG3005型</w:t>
                  </w:r>
                </w:p>
                <w:p>
                  <w:pPr>
                    <w:pStyle w:val="8"/>
                    <w:jc w:val="center"/>
                    <w:rPr>
                      <w:rFonts w:ascii="Times New Roman" w:hAnsi="Times New Roman" w:cs="Times New Roman"/>
                    </w:rPr>
                  </w:pPr>
                  <w:r>
                    <w:rPr>
                      <w:rFonts w:hint="eastAsia" w:ascii="Times New Roman" w:hAnsi="Times New Roman" w:cs="Times New Roman"/>
                    </w:rPr>
                    <w:t>工业用</w:t>
                  </w:r>
                  <w:r>
                    <w:rPr>
                      <w:rFonts w:ascii="Times New Roman" w:hAnsi="Times New Roman" w:cs="Times New Roman"/>
                    </w:rPr>
                    <w:t>X射线探伤机</w:t>
                  </w:r>
                </w:p>
              </w:tc>
              <w:tc>
                <w:tcPr>
                  <w:tcW w:w="425" w:type="dxa"/>
                  <w:vAlign w:val="center"/>
                </w:tcPr>
                <w:p>
                  <w:pPr>
                    <w:pStyle w:val="8"/>
                    <w:jc w:val="center"/>
                    <w:rPr>
                      <w:rFonts w:ascii="Times New Roman" w:hAnsi="Times New Roman" w:cs="Times New Roman"/>
                    </w:rPr>
                  </w:pPr>
                  <w:r>
                    <w:rPr>
                      <w:rFonts w:ascii="Times New Roman" w:hAnsi="Times New Roman" w:cs="Times New Roman"/>
                    </w:rPr>
                    <w:t>1</w:t>
                  </w:r>
                </w:p>
              </w:tc>
              <w:tc>
                <w:tcPr>
                  <w:tcW w:w="1134" w:type="dxa"/>
                  <w:vAlign w:val="center"/>
                </w:tcPr>
                <w:p>
                  <w:pPr>
                    <w:jc w:val="center"/>
                    <w:rPr>
                      <w:rFonts w:ascii="Times New Roman" w:hAnsi="Times New Roman"/>
                      <w:szCs w:val="21"/>
                    </w:rPr>
                  </w:pPr>
                  <w:r>
                    <w:rPr>
                      <w:rFonts w:ascii="Times New Roman" w:hAnsi="Times New Roman"/>
                      <w:szCs w:val="21"/>
                    </w:rPr>
                    <w:t>300kV</w:t>
                  </w:r>
                </w:p>
              </w:tc>
              <w:tc>
                <w:tcPr>
                  <w:tcW w:w="1276" w:type="dxa"/>
                  <w:vAlign w:val="center"/>
                </w:tcPr>
                <w:p>
                  <w:pPr>
                    <w:autoSpaceDE w:val="0"/>
                    <w:autoSpaceDN w:val="0"/>
                    <w:adjustRightInd w:val="0"/>
                    <w:jc w:val="center"/>
                    <w:rPr>
                      <w:rFonts w:ascii="Times New Roman" w:hAnsi="Times New Roman"/>
                      <w:szCs w:val="21"/>
                    </w:rPr>
                  </w:pPr>
                  <w:r>
                    <w:rPr>
                      <w:rFonts w:ascii="Times New Roman" w:hAnsi="Times New Roman"/>
                      <w:szCs w:val="21"/>
                    </w:rPr>
                    <w:t>5mA</w:t>
                  </w:r>
                </w:p>
              </w:tc>
              <w:tc>
                <w:tcPr>
                  <w:tcW w:w="854" w:type="dxa"/>
                  <w:vAlign w:val="center"/>
                </w:tcPr>
                <w:p>
                  <w:pPr>
                    <w:pStyle w:val="8"/>
                    <w:jc w:val="center"/>
                    <w:rPr>
                      <w:rFonts w:ascii="Times New Roman" w:hAnsi="Times New Roman" w:cs="Times New Roman"/>
                    </w:rPr>
                  </w:pPr>
                  <w:r>
                    <w:rPr>
                      <w:rFonts w:ascii="Times New Roman" w:hAnsi="Times New Roman" w:cs="Times New Roman"/>
                    </w:rPr>
                    <w:t>Ⅱ类</w:t>
                  </w:r>
                </w:p>
              </w:tc>
              <w:tc>
                <w:tcPr>
                  <w:tcW w:w="1134" w:type="dxa"/>
                  <w:vAlign w:val="center"/>
                </w:tcPr>
                <w:p>
                  <w:pPr>
                    <w:pStyle w:val="8"/>
                    <w:jc w:val="center"/>
                    <w:rPr>
                      <w:rFonts w:ascii="Times New Roman" w:hAnsi="Times New Roman" w:cs="Times New Roman"/>
                    </w:rPr>
                  </w:pPr>
                  <w:r>
                    <w:rPr>
                      <w:rFonts w:ascii="Times New Roman" w:hAnsi="Times New Roman" w:cs="Times New Roman"/>
                    </w:rPr>
                    <w:t>现场探伤</w:t>
                  </w:r>
                </w:p>
              </w:tc>
              <w:tc>
                <w:tcPr>
                  <w:tcW w:w="1296" w:type="dxa"/>
                  <w:vAlign w:val="center"/>
                </w:tcPr>
                <w:p>
                  <w:pPr>
                    <w:pStyle w:val="8"/>
                    <w:jc w:val="center"/>
                    <w:rPr>
                      <w:rFonts w:ascii="Times New Roman" w:hAnsi="Times New Roman" w:cs="Times New Roman"/>
                    </w:rPr>
                  </w:pPr>
                  <w:r>
                    <w:rPr>
                      <w:rFonts w:ascii="Times New Roman" w:hAnsi="Times New Roman" w:cs="Times New Roman"/>
                    </w:rPr>
                    <w:t>本次环评</w:t>
                  </w:r>
                </w:p>
              </w:tc>
            </w:tr>
          </w:tbl>
          <w:p>
            <w:pPr>
              <w:spacing w:line="360" w:lineRule="auto"/>
              <w:ind w:firstLine="480" w:firstLineChars="200"/>
              <w:rPr>
                <w:rFonts w:ascii="Times New Roman" w:hAnsi="Times New Roman"/>
                <w:sz w:val="24"/>
                <w:szCs w:val="24"/>
              </w:rPr>
            </w:pPr>
            <w:r>
              <w:rPr>
                <w:rFonts w:ascii="Times New Roman" w:hAnsi="Times New Roman"/>
                <w:sz w:val="24"/>
                <w:szCs w:val="24"/>
              </w:rPr>
              <w:t>按照国务院449号令《放射性同位素与射线装置安全和防护条例》及生态环境部《放射性同位素与射线装置安全许可管理办法》和《建设项目环境影响评价分类管理名录》的有关规定要求，本项目应编制环境影响报告表。受</w:t>
            </w:r>
            <w:r>
              <w:rPr>
                <w:rFonts w:hint="eastAsia" w:ascii="Times New Roman" w:hAnsi="Times New Roman"/>
                <w:color w:val="000000"/>
                <w:sz w:val="24"/>
                <w:szCs w:val="32"/>
              </w:rPr>
              <w:t>新疆质检院</w:t>
            </w:r>
            <w:r>
              <w:rPr>
                <w:rFonts w:ascii="Times New Roman" w:hAnsi="Times New Roman"/>
                <w:sz w:val="24"/>
                <w:szCs w:val="24"/>
              </w:rPr>
              <w:t>的委托，通过现场勘查、收集资料等工作，结合本项目的特点，按照国家有关技术规范要求，我公司编制完成了《</w:t>
            </w:r>
            <w:r>
              <w:rPr>
                <w:rFonts w:ascii="Times New Roman" w:hAnsi="Times New Roman"/>
                <w:color w:val="000000"/>
                <w:sz w:val="24"/>
                <w:szCs w:val="32"/>
              </w:rPr>
              <w:t>新疆维吾尔自治区产品质量监督检验研究院</w:t>
            </w:r>
            <w:r>
              <w:rPr>
                <w:rFonts w:hint="eastAsia" w:ascii="Times New Roman" w:hAnsi="Times New Roman"/>
                <w:color w:val="000000"/>
                <w:sz w:val="24"/>
                <w:szCs w:val="32"/>
              </w:rPr>
              <w:t>新建</w:t>
            </w:r>
            <w:r>
              <w:rPr>
                <w:rFonts w:ascii="Times New Roman" w:hAnsi="Times New Roman"/>
                <w:color w:val="000000"/>
                <w:sz w:val="24"/>
                <w:szCs w:val="32"/>
              </w:rPr>
              <w:t>X射线现场探伤项目环境影响报告表</w:t>
            </w:r>
            <w:r>
              <w:rPr>
                <w:rFonts w:ascii="Times New Roman" w:hAnsi="Times New Roman"/>
                <w:sz w:val="24"/>
                <w:szCs w:val="24"/>
              </w:rPr>
              <w:t>》。</w:t>
            </w:r>
          </w:p>
          <w:p>
            <w:pPr>
              <w:spacing w:line="360" w:lineRule="auto"/>
              <w:rPr>
                <w:rFonts w:ascii="Times New Roman" w:hAnsi="Times New Roman"/>
                <w:b/>
                <w:sz w:val="24"/>
                <w:szCs w:val="24"/>
              </w:rPr>
            </w:pPr>
            <w:r>
              <w:rPr>
                <w:rFonts w:ascii="Times New Roman" w:hAnsi="Times New Roman"/>
                <w:b/>
                <w:sz w:val="24"/>
                <w:szCs w:val="24"/>
              </w:rPr>
              <w:t>1.1.3建设项目概况</w:t>
            </w:r>
          </w:p>
          <w:p>
            <w:pPr>
              <w:pStyle w:val="33"/>
              <w:adjustRightInd/>
              <w:spacing w:line="360" w:lineRule="auto"/>
              <w:ind w:firstLine="480" w:firstLineChars="200"/>
              <w:rPr>
                <w:b/>
              </w:rPr>
            </w:pPr>
            <w:r>
              <w:rPr>
                <w:rFonts w:hint="eastAsia"/>
                <w:color w:val="000000"/>
                <w:szCs w:val="32"/>
              </w:rPr>
              <w:t>新疆质检院</w:t>
            </w:r>
            <w:r>
              <w:t>拟使用3</w:t>
            </w:r>
            <w:r>
              <w:rPr>
                <w:color w:val="000000"/>
              </w:rPr>
              <w:t>台工业用X射线探伤</w:t>
            </w:r>
            <w:r>
              <w:rPr>
                <w:rFonts w:hint="eastAsia"/>
                <w:color w:val="000000"/>
              </w:rPr>
              <w:t>机</w:t>
            </w:r>
            <w:r>
              <w:rPr>
                <w:color w:val="000000"/>
              </w:rPr>
              <w:t>在全疆范围内开展</w:t>
            </w:r>
            <w:r>
              <w:rPr>
                <w:rFonts w:hint="eastAsia"/>
                <w:color w:val="000000"/>
              </w:rPr>
              <w:t>钢结构、管道、非承压、承压设备等</w:t>
            </w:r>
            <w:r>
              <w:rPr>
                <w:color w:val="000000"/>
              </w:rPr>
              <w:t>的现场无损探伤工作，</w:t>
            </w:r>
            <w:r>
              <w:t>无固定探伤作业场所，</w:t>
            </w:r>
            <w:bookmarkStart w:id="7" w:name="_Hlk150764702"/>
            <w:r>
              <w:t>探伤装置不使用时存放在</w:t>
            </w:r>
            <w:r>
              <w:rPr>
                <w:szCs w:val="32"/>
              </w:rPr>
              <w:t>新疆昌吉高新技术产业开发区辉煌大道南侧机械所负一层无损检测室（2）</w:t>
            </w:r>
            <w:r>
              <w:rPr>
                <w:spacing w:val="-4"/>
              </w:rPr>
              <w:t>内，</w:t>
            </w:r>
            <w:r>
              <w:rPr>
                <w:rFonts w:hint="eastAsia"/>
                <w:spacing w:val="-4"/>
              </w:rPr>
              <w:t>并</w:t>
            </w:r>
            <w:r>
              <w:rPr>
                <w:spacing w:val="-4"/>
              </w:rPr>
              <w:t>在</w:t>
            </w:r>
            <w:r>
              <w:rPr>
                <w:rFonts w:hint="eastAsia"/>
                <w:spacing w:val="-4"/>
              </w:rPr>
              <w:t>机械所</w:t>
            </w:r>
            <w:r>
              <w:rPr>
                <w:spacing w:val="-4"/>
              </w:rPr>
              <w:t>负一</w:t>
            </w:r>
            <w:r>
              <w:rPr>
                <w:rFonts w:hint="eastAsia"/>
                <w:spacing w:val="-4"/>
              </w:rPr>
              <w:t>层配套建设</w:t>
            </w:r>
            <w:r>
              <w:rPr>
                <w:spacing w:val="-4"/>
              </w:rPr>
              <w:t>冲片室、暗室和废物暂存间</w:t>
            </w:r>
            <w:r>
              <w:t>。</w:t>
            </w:r>
            <w:bookmarkEnd w:id="7"/>
          </w:p>
          <w:p>
            <w:pPr>
              <w:spacing w:line="440" w:lineRule="exact"/>
              <w:rPr>
                <w:rFonts w:ascii="Times New Roman" w:hAnsi="Times New Roman"/>
                <w:b/>
                <w:sz w:val="28"/>
                <w:szCs w:val="28"/>
              </w:rPr>
            </w:pPr>
            <w:r>
              <w:rPr>
                <w:rFonts w:ascii="Times New Roman" w:hAnsi="Times New Roman"/>
                <w:b/>
                <w:sz w:val="28"/>
                <w:szCs w:val="28"/>
              </w:rPr>
              <w:t>1.2项目地理位置与周边关系</w:t>
            </w:r>
          </w:p>
          <w:p>
            <w:pPr>
              <w:spacing w:line="440" w:lineRule="exact"/>
              <w:contextualSpacing/>
              <w:rPr>
                <w:rFonts w:ascii="Times New Roman" w:hAnsi="Times New Roman"/>
                <w:b/>
                <w:sz w:val="24"/>
                <w:szCs w:val="24"/>
              </w:rPr>
            </w:pPr>
            <w:r>
              <w:rPr>
                <w:rFonts w:ascii="Times New Roman" w:hAnsi="Times New Roman"/>
                <w:b/>
                <w:sz w:val="24"/>
                <w:szCs w:val="24"/>
              </w:rPr>
              <w:t>1.2.1项目地理位置</w:t>
            </w:r>
          </w:p>
          <w:p>
            <w:pPr>
              <w:pStyle w:val="33"/>
              <w:spacing w:before="10" w:line="360" w:lineRule="auto"/>
              <w:ind w:left="107" w:right="91" w:firstLine="480"/>
              <w:jc w:val="both"/>
              <w:rPr>
                <w:spacing w:val="-3"/>
              </w:rPr>
            </w:pPr>
            <w:r>
              <w:rPr>
                <w:rFonts w:hint="eastAsia"/>
                <w:color w:val="000000"/>
                <w:szCs w:val="32"/>
              </w:rPr>
              <w:t>新疆质检院注册地址</w:t>
            </w:r>
            <w:r>
              <w:rPr>
                <w:rFonts w:hint="eastAsia"/>
                <w:spacing w:val="-3"/>
              </w:rPr>
              <w:t>位于乌鲁木齐市新市区河北东路1</w:t>
            </w:r>
            <w:r>
              <w:rPr>
                <w:spacing w:val="-3"/>
              </w:rPr>
              <w:t>88</w:t>
            </w:r>
            <w:r>
              <w:rPr>
                <w:rFonts w:hint="eastAsia"/>
                <w:spacing w:val="-3"/>
              </w:rPr>
              <w:t>号，地理坐标为</w:t>
            </w:r>
            <w:r>
              <w:rPr>
                <w:spacing w:val="-3"/>
              </w:rPr>
              <w:t>N43°53'11"</w:t>
            </w:r>
            <w:r>
              <w:rPr>
                <w:rFonts w:hint="eastAsia"/>
                <w:spacing w:val="-3"/>
              </w:rPr>
              <w:t>，E</w:t>
            </w:r>
            <w:r>
              <w:rPr>
                <w:spacing w:val="-3"/>
              </w:rPr>
              <w:t>87°35'38"</w:t>
            </w:r>
            <w:r>
              <w:rPr>
                <w:rFonts w:hint="eastAsia"/>
                <w:spacing w:val="-3"/>
              </w:rPr>
              <w:t>，地理位置见图1</w:t>
            </w:r>
            <w:r>
              <w:rPr>
                <w:spacing w:val="-3"/>
              </w:rPr>
              <w:t>-1</w:t>
            </w:r>
            <w:r>
              <w:rPr>
                <w:rFonts w:hint="eastAsia"/>
                <w:spacing w:val="-3"/>
              </w:rPr>
              <w:t>。</w:t>
            </w:r>
          </w:p>
          <w:p>
            <w:pPr>
              <w:pStyle w:val="33"/>
              <w:spacing w:before="10" w:line="360" w:lineRule="auto"/>
              <w:ind w:right="91"/>
              <w:rPr>
                <w:spacing w:val="-3"/>
              </w:rPr>
            </w:pPr>
            <w:r>
              <w:drawing>
                <wp:anchor distT="0" distB="0" distL="114300" distR="114300" simplePos="0" relativeHeight="251661312" behindDoc="0" locked="0" layoutInCell="1" allowOverlap="1">
                  <wp:simplePos x="0" y="0"/>
                  <wp:positionH relativeFrom="column">
                    <wp:posOffset>5398135</wp:posOffset>
                  </wp:positionH>
                  <wp:positionV relativeFrom="paragraph">
                    <wp:posOffset>86995</wp:posOffset>
                  </wp:positionV>
                  <wp:extent cx="365760" cy="412750"/>
                  <wp:effectExtent l="0" t="0" r="2540" b="6350"/>
                  <wp:wrapNone/>
                  <wp:docPr id="298971272" name="图片 298971272" descr="C:/Users/jonhum/AppData/Local/Temp/picturecompress_202105291032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71272" name="图片 298971272" descr="C:/Users/jonhum/AppData/Local/Temp/picturecompress_20210529103249/output_1.jpgoutput_1"/>
                          <pic:cNvPicPr>
                            <a:picLocks noChangeAspect="1"/>
                          </pic:cNvPicPr>
                        </pic:nvPicPr>
                        <pic:blipFill>
                          <a:blip r:embed="rId9"/>
                          <a:stretch>
                            <a:fillRect/>
                          </a:stretch>
                        </pic:blipFill>
                        <pic:spPr>
                          <a:xfrm>
                            <a:off x="0" y="0"/>
                            <a:ext cx="365760" cy="412750"/>
                          </a:xfrm>
                          <a:prstGeom prst="rect">
                            <a:avLst/>
                          </a:prstGeom>
                          <a:noFill/>
                          <a:ln>
                            <a:noFill/>
                          </a:ln>
                        </pic:spPr>
                      </pic:pic>
                    </a:graphicData>
                  </a:graphic>
                </wp:anchor>
              </w:drawing>
            </w:r>
            <w:r>
              <w:rPr>
                <w:b/>
                <w:bCs/>
                <w:sz w:val="22"/>
                <w:szCs w:val="21"/>
              </w:rPr>
              <w:drawing>
                <wp:inline distT="0" distB="0" distL="0" distR="0">
                  <wp:extent cx="5803900" cy="3670935"/>
                  <wp:effectExtent l="0" t="0" r="6350" b="5715"/>
                  <wp:docPr id="1099863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6301"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46524" cy="3697885"/>
                          </a:xfrm>
                          <a:prstGeom prst="rect">
                            <a:avLst/>
                          </a:prstGeom>
                        </pic:spPr>
                      </pic:pic>
                    </a:graphicData>
                  </a:graphic>
                </wp:inline>
              </w:drawing>
            </w:r>
          </w:p>
          <w:p>
            <w:pPr>
              <w:pStyle w:val="33"/>
              <w:spacing w:before="10" w:line="360" w:lineRule="auto"/>
              <w:ind w:right="91"/>
              <w:jc w:val="center"/>
              <w:rPr>
                <w:b/>
                <w:bCs/>
                <w:sz w:val="21"/>
                <w:szCs w:val="21"/>
              </w:rPr>
            </w:pPr>
            <w:r>
              <w:rPr>
                <w:b/>
                <w:bCs/>
                <w:sz w:val="21"/>
                <w:szCs w:val="21"/>
              </w:rPr>
              <w:t>图1-1  项目</w:t>
            </w:r>
            <w:r>
              <w:rPr>
                <w:rFonts w:hint="eastAsia"/>
                <w:b/>
                <w:bCs/>
                <w:sz w:val="21"/>
                <w:szCs w:val="21"/>
              </w:rPr>
              <w:t>注册</w:t>
            </w:r>
            <w:r>
              <w:rPr>
                <w:b/>
                <w:bCs/>
                <w:sz w:val="21"/>
                <w:szCs w:val="21"/>
              </w:rPr>
              <w:t>地址地理位置图</w:t>
            </w:r>
          </w:p>
          <w:p>
            <w:pPr>
              <w:pStyle w:val="33"/>
              <w:spacing w:before="10" w:line="360" w:lineRule="auto"/>
              <w:ind w:left="107" w:right="91" w:firstLine="480"/>
              <w:rPr>
                <w:color w:val="000000"/>
                <w:szCs w:val="32"/>
              </w:rPr>
            </w:pPr>
            <w:r>
              <w:rPr>
                <w:rFonts w:hint="eastAsia"/>
                <w:spacing w:val="-3"/>
              </w:rPr>
              <w:t>工业X射线探伤机存放场所及配套</w:t>
            </w:r>
            <w:r>
              <w:rPr>
                <w:spacing w:val="-4"/>
              </w:rPr>
              <w:t>冲片室、暗室和废物暂存间</w:t>
            </w:r>
            <w:r>
              <w:rPr>
                <w:spacing w:val="-3"/>
              </w:rPr>
              <w:t>位于</w:t>
            </w:r>
            <w:r>
              <w:rPr>
                <w:color w:val="000000"/>
                <w:szCs w:val="32"/>
              </w:rPr>
              <w:t>新疆昌吉高新技术产业开发区辉煌大道南侧机械所内</w:t>
            </w:r>
            <w:r>
              <w:rPr>
                <w:rFonts w:hint="eastAsia"/>
                <w:spacing w:val="-3"/>
              </w:rPr>
              <w:t>，</w:t>
            </w:r>
            <w:r>
              <w:rPr>
                <w:color w:val="000000"/>
                <w:szCs w:val="32"/>
              </w:rPr>
              <w:t>机械所</w:t>
            </w:r>
            <w:r>
              <w:rPr>
                <w:rFonts w:hint="eastAsia"/>
                <w:color w:val="000000"/>
                <w:szCs w:val="32"/>
              </w:rPr>
              <w:t>的地理坐标为</w:t>
            </w:r>
            <w:r>
              <w:rPr>
                <w:spacing w:val="-3"/>
              </w:rPr>
              <w:t>N44°06'42"</w:t>
            </w:r>
            <w:r>
              <w:rPr>
                <w:rFonts w:hint="eastAsia"/>
                <w:spacing w:val="-3"/>
              </w:rPr>
              <w:t>，E</w:t>
            </w:r>
            <w:r>
              <w:rPr>
                <w:spacing w:val="-3"/>
              </w:rPr>
              <w:t>87°02'46"</w:t>
            </w:r>
            <w:r>
              <w:t>，北侧为</w:t>
            </w:r>
            <w:r>
              <w:rPr>
                <w:rFonts w:hint="eastAsia"/>
                <w:color w:val="000000"/>
                <w:szCs w:val="32"/>
              </w:rPr>
              <w:t>新疆质检院</w:t>
            </w:r>
            <w:r>
              <w:rPr>
                <w:color w:val="000000"/>
                <w:szCs w:val="32"/>
              </w:rPr>
              <w:t>节水所和综合楼，南侧为</w:t>
            </w:r>
            <w:r>
              <w:rPr>
                <w:rFonts w:hint="eastAsia"/>
                <w:color w:val="000000"/>
                <w:szCs w:val="32"/>
              </w:rPr>
              <w:t>新疆质检院</w:t>
            </w:r>
            <w:r>
              <w:rPr>
                <w:color w:val="000000"/>
                <w:szCs w:val="32"/>
              </w:rPr>
              <w:t>电器所，西北侧为昌吉高新明德热力有限公司，西南侧为恒晟能源，东侧为</w:t>
            </w:r>
            <w:r>
              <w:rPr>
                <w:rFonts w:hint="eastAsia"/>
                <w:color w:val="000000"/>
                <w:szCs w:val="32"/>
              </w:rPr>
              <w:t>新疆质检院</w:t>
            </w:r>
            <w:r>
              <w:rPr>
                <w:color w:val="000000"/>
                <w:szCs w:val="32"/>
              </w:rPr>
              <w:t>建材所，位置关系见图1-2。</w:t>
            </w:r>
          </w:p>
          <w:p>
            <w:pPr>
              <w:pStyle w:val="33"/>
              <w:spacing w:before="10" w:line="360" w:lineRule="auto"/>
              <w:ind w:left="108" w:right="91"/>
              <w:jc w:val="center"/>
              <w:rPr>
                <w:color w:val="000000"/>
                <w:szCs w:val="32"/>
              </w:rPr>
            </w:pPr>
            <w:r>
              <w:drawing>
                <wp:anchor distT="0" distB="0" distL="114300" distR="114300" simplePos="0" relativeHeight="251660288" behindDoc="0" locked="0" layoutInCell="1" allowOverlap="1">
                  <wp:simplePos x="0" y="0"/>
                  <wp:positionH relativeFrom="column">
                    <wp:posOffset>5402580</wp:posOffset>
                  </wp:positionH>
                  <wp:positionV relativeFrom="paragraph">
                    <wp:posOffset>66040</wp:posOffset>
                  </wp:positionV>
                  <wp:extent cx="365760" cy="412750"/>
                  <wp:effectExtent l="0" t="0" r="2540" b="6350"/>
                  <wp:wrapNone/>
                  <wp:docPr id="17" name="图片 21" descr="C:/Users/jonhum/AppData/Local/Temp/picturecompress_202105291032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Users/jonhum/AppData/Local/Temp/picturecompress_20210529103249/output_1.jpgoutput_1"/>
                          <pic:cNvPicPr>
                            <a:picLocks noChangeAspect="1"/>
                          </pic:cNvPicPr>
                        </pic:nvPicPr>
                        <pic:blipFill>
                          <a:blip r:embed="rId9"/>
                          <a:stretch>
                            <a:fillRect/>
                          </a:stretch>
                        </pic:blipFill>
                        <pic:spPr>
                          <a:xfrm>
                            <a:off x="0" y="0"/>
                            <a:ext cx="365760" cy="412750"/>
                          </a:xfrm>
                          <a:prstGeom prst="rect">
                            <a:avLst/>
                          </a:prstGeom>
                          <a:noFill/>
                          <a:ln>
                            <a:noFill/>
                          </a:ln>
                        </pic:spPr>
                      </pic:pic>
                    </a:graphicData>
                  </a:graphic>
                </wp:anchor>
              </w:drawing>
            </w:r>
            <w:r>
              <w:rPr>
                <w:b/>
                <w:bCs/>
                <w:sz w:val="22"/>
                <w:szCs w:val="21"/>
              </w:rPr>
              <w:drawing>
                <wp:inline distT="0" distB="0" distL="0" distR="0">
                  <wp:extent cx="5727700" cy="3118485"/>
                  <wp:effectExtent l="0" t="0" r="6350" b="5715"/>
                  <wp:docPr id="1317923687" name="图片 131792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23687" name="图片 131792368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617" cy="3153393"/>
                          </a:xfrm>
                          <a:prstGeom prst="rect">
                            <a:avLst/>
                          </a:prstGeom>
                        </pic:spPr>
                      </pic:pic>
                    </a:graphicData>
                  </a:graphic>
                </wp:inline>
              </w:drawing>
            </w:r>
          </w:p>
          <w:p>
            <w:pPr>
              <w:pStyle w:val="33"/>
              <w:spacing w:before="10" w:line="360" w:lineRule="auto"/>
              <w:ind w:right="91"/>
              <w:jc w:val="center"/>
              <w:rPr>
                <w:b/>
                <w:bCs/>
                <w:sz w:val="21"/>
                <w:szCs w:val="21"/>
              </w:rPr>
            </w:pPr>
            <w:r>
              <w:rPr>
                <w:b/>
                <w:bCs/>
                <w:sz w:val="21"/>
                <w:szCs w:val="21"/>
              </w:rPr>
              <w:t xml:space="preserve">图1-2  </w:t>
            </w:r>
            <w:r>
              <w:rPr>
                <w:rFonts w:hint="eastAsia"/>
                <w:b/>
                <w:bCs/>
                <w:sz w:val="21"/>
                <w:szCs w:val="21"/>
              </w:rPr>
              <w:t>工业用</w:t>
            </w:r>
            <w:r>
              <w:rPr>
                <w:b/>
                <w:bCs/>
                <w:sz w:val="21"/>
                <w:szCs w:val="21"/>
              </w:rPr>
              <w:t>X射线探伤</w:t>
            </w:r>
            <w:r>
              <w:rPr>
                <w:rFonts w:hint="eastAsia"/>
                <w:b/>
                <w:bCs/>
                <w:sz w:val="21"/>
                <w:szCs w:val="21"/>
              </w:rPr>
              <w:t>机</w:t>
            </w:r>
            <w:r>
              <w:rPr>
                <w:b/>
                <w:bCs/>
                <w:sz w:val="21"/>
                <w:szCs w:val="21"/>
              </w:rPr>
              <w:t>暂存位置周边环境示意图</w:t>
            </w:r>
          </w:p>
          <w:p>
            <w:pPr>
              <w:pStyle w:val="33"/>
              <w:spacing w:before="10" w:line="360" w:lineRule="auto"/>
              <w:ind w:left="107" w:right="91" w:firstLine="480"/>
            </w:pPr>
            <w:r>
              <w:rPr>
                <w:color w:val="000000"/>
                <w:szCs w:val="32"/>
              </w:rPr>
              <w:t>本项目</w:t>
            </w:r>
            <w:r>
              <w:rPr>
                <w:rFonts w:hint="eastAsia"/>
                <w:color w:val="000000"/>
                <w:szCs w:val="32"/>
              </w:rPr>
              <w:t>工业用X射线探伤机</w:t>
            </w:r>
            <w:r>
              <w:rPr>
                <w:color w:val="000000"/>
                <w:szCs w:val="32"/>
              </w:rPr>
              <w:t>存放地址位于机械所负一楼无损检验室（2）内，暗室、洗片室</w:t>
            </w:r>
            <w:r>
              <w:rPr>
                <w:spacing w:val="-4"/>
              </w:rPr>
              <w:t>和废物暂存间</w:t>
            </w:r>
            <w:r>
              <w:rPr>
                <w:color w:val="000000"/>
                <w:szCs w:val="32"/>
              </w:rPr>
              <w:t>位于机械所负一层，具体平面布置见图1-3。</w:t>
            </w:r>
          </w:p>
          <w:p>
            <w:pPr>
              <w:spacing w:line="360" w:lineRule="auto"/>
              <w:contextualSpacing/>
              <w:jc w:val="center"/>
              <w:rPr>
                <w:rFonts w:ascii="Times New Roman" w:hAnsi="Times New Roman"/>
                <w:sz w:val="28"/>
                <w:szCs w:val="28"/>
              </w:rPr>
            </w:pPr>
            <w:r>
              <w:rPr>
                <w:rFonts w:ascii="Times New Roman" w:hAnsi="Times New Roman"/>
                <w:sz w:val="28"/>
                <w:szCs w:val="28"/>
              </w:rPr>
              <w:object>
                <v:shape id="_x0000_i1025" o:spt="75" type="#_x0000_t75" style="height:307.65pt;width:456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r:id="rId12">
                  <o:LockedField>false</o:LockedField>
                </o:OLEObject>
              </w:object>
            </w:r>
          </w:p>
          <w:p>
            <w:pPr>
              <w:spacing w:line="360" w:lineRule="auto"/>
              <w:contextualSpacing/>
              <w:jc w:val="center"/>
              <w:rPr>
                <w:rFonts w:ascii="Times New Roman" w:hAnsi="Times New Roman"/>
                <w:b/>
                <w:bCs/>
                <w:szCs w:val="21"/>
              </w:rPr>
            </w:pPr>
            <w:r>
              <w:rPr>
                <w:rFonts w:ascii="Times New Roman" w:hAnsi="Times New Roman"/>
                <w:b/>
                <w:bCs/>
                <w:szCs w:val="21"/>
              </w:rPr>
              <w:t xml:space="preserve">图1-3  </w:t>
            </w:r>
            <w:r>
              <w:rPr>
                <w:rFonts w:hint="eastAsia" w:ascii="Times New Roman" w:hAnsi="Times New Roman"/>
                <w:b/>
                <w:bCs/>
                <w:szCs w:val="21"/>
              </w:rPr>
              <w:t>机械所负一层</w:t>
            </w:r>
            <w:r>
              <w:rPr>
                <w:rFonts w:ascii="Times New Roman" w:hAnsi="Times New Roman"/>
                <w:b/>
                <w:bCs/>
                <w:szCs w:val="21"/>
              </w:rPr>
              <w:t>平面布置示意图</w:t>
            </w:r>
          </w:p>
          <w:p>
            <w:pPr>
              <w:spacing w:line="440" w:lineRule="exact"/>
              <w:contextualSpacing/>
              <w:rPr>
                <w:rFonts w:ascii="Times New Roman" w:hAnsi="Times New Roman"/>
                <w:b/>
                <w:sz w:val="24"/>
                <w:szCs w:val="24"/>
              </w:rPr>
            </w:pPr>
            <w:r>
              <w:rPr>
                <w:rFonts w:ascii="Times New Roman" w:hAnsi="Times New Roman"/>
                <w:b/>
                <w:sz w:val="24"/>
                <w:szCs w:val="24"/>
              </w:rPr>
              <w:t>1.2.2项目周边环境概况及选址合理性</w:t>
            </w:r>
          </w:p>
          <w:p>
            <w:pPr>
              <w:snapToGrid w:val="0"/>
              <w:spacing w:line="480" w:lineRule="exact"/>
              <w:ind w:firstLine="480" w:firstLineChars="200"/>
              <w:contextualSpacing/>
              <w:rPr>
                <w:rFonts w:ascii="Times New Roman" w:hAnsi="Times New Roman"/>
                <w:color w:val="000000"/>
                <w:sz w:val="24"/>
              </w:rPr>
            </w:pPr>
            <w:r>
              <w:rPr>
                <w:rFonts w:ascii="Times New Roman" w:hAnsi="Times New Roman"/>
                <w:color w:val="000000"/>
                <w:sz w:val="24"/>
              </w:rPr>
              <w:t>本项目</w:t>
            </w:r>
            <w:r>
              <w:rPr>
                <w:rFonts w:hint="eastAsia" w:ascii="Times New Roman" w:hAnsi="Times New Roman"/>
                <w:color w:val="000000"/>
                <w:sz w:val="24"/>
              </w:rPr>
              <w:t>工业用X射线探伤机</w:t>
            </w:r>
            <w:r>
              <w:rPr>
                <w:rFonts w:ascii="Times New Roman" w:hAnsi="Times New Roman"/>
                <w:color w:val="000000"/>
                <w:sz w:val="24"/>
              </w:rPr>
              <w:t>工作方式为</w:t>
            </w:r>
            <w:r>
              <w:rPr>
                <w:rFonts w:hint="eastAsia" w:ascii="Times New Roman" w:hAnsi="Times New Roman"/>
                <w:color w:val="000000"/>
                <w:sz w:val="24"/>
              </w:rPr>
              <w:t>现场</w:t>
            </w:r>
            <w:r>
              <w:rPr>
                <w:rFonts w:ascii="Times New Roman" w:hAnsi="Times New Roman"/>
                <w:color w:val="000000"/>
                <w:sz w:val="24"/>
              </w:rPr>
              <w:t>探伤，无固定探伤工作场所。拟购置的3台</w:t>
            </w:r>
            <w:r>
              <w:rPr>
                <w:rFonts w:hint="eastAsia" w:ascii="Times New Roman" w:hAnsi="Times New Roman"/>
                <w:color w:val="000000"/>
                <w:sz w:val="24"/>
              </w:rPr>
              <w:t>工业用X射线探伤机</w:t>
            </w:r>
            <w:r>
              <w:rPr>
                <w:rFonts w:ascii="Times New Roman" w:hAnsi="Times New Roman"/>
                <w:color w:val="000000"/>
                <w:sz w:val="24"/>
              </w:rPr>
              <w:t>无检测任务时存放于新疆昌吉高新技术产业开发区辉煌大道南侧机械所负一层无损检测室（2）内，且不在该场所进行探伤工作。因此不对本项目进行选址和平面布局合理性的分析。</w:t>
            </w:r>
          </w:p>
          <w:p>
            <w:pPr>
              <w:spacing w:line="440" w:lineRule="exact"/>
              <w:rPr>
                <w:rFonts w:ascii="Times New Roman" w:hAnsi="Times New Roman"/>
                <w:b/>
                <w:sz w:val="28"/>
                <w:szCs w:val="28"/>
              </w:rPr>
            </w:pPr>
            <w:r>
              <w:rPr>
                <w:rFonts w:ascii="Times New Roman" w:hAnsi="Times New Roman"/>
                <w:b/>
                <w:sz w:val="28"/>
                <w:szCs w:val="28"/>
              </w:rPr>
              <w:t>1.3产业政策的符合性</w:t>
            </w:r>
          </w:p>
          <w:p>
            <w:pPr>
              <w:snapToGrid w:val="0"/>
              <w:spacing w:line="480" w:lineRule="exact"/>
              <w:ind w:firstLine="480" w:firstLineChars="200"/>
              <w:contextualSpacing/>
              <w:jc w:val="left"/>
              <w:rPr>
                <w:rFonts w:ascii="Times New Roman" w:hAnsi="Times New Roman"/>
                <w:color w:val="000000"/>
                <w:sz w:val="24"/>
              </w:rPr>
            </w:pPr>
            <w:r>
              <w:rPr>
                <w:rFonts w:ascii="Times New Roman" w:hAnsi="Times New Roman"/>
                <w:color w:val="000000"/>
                <w:sz w:val="24"/>
              </w:rPr>
              <w:t>本项目属于国家发展和改革委员会《产业结构调整指导目录（2019年本）》中鼓励类项目（第六项核能第6条同位素、加速器及辐照应用技术开发；第三十一项科技服务业第1条质量认证和检验检测服务），本工程不涉及自然保护区、风景名胜区、森林公园、饮用水水源保护区等生态敏感区域，项目建设符合国家产业政策、环保政策和相关规划。</w:t>
            </w:r>
          </w:p>
        </w:tc>
      </w:tr>
    </w:tbl>
    <w:p>
      <w:pPr>
        <w:pStyle w:val="6"/>
        <w:kinsoku w:val="0"/>
        <w:overflowPunct w:val="0"/>
        <w:spacing w:before="35"/>
        <w:ind w:left="0"/>
        <w:rPr>
          <w:rFonts w:ascii="Times New Roman" w:cs="Times New Roman"/>
        </w:rPr>
        <w:sectPr>
          <w:footerReference r:id="rId4" w:type="default"/>
          <w:pgSz w:w="11906" w:h="16838"/>
          <w:pgMar w:top="1440" w:right="1800" w:bottom="1440" w:left="1800" w:header="851" w:footer="992" w:gutter="0"/>
          <w:pgNumType w:start="1"/>
          <w:cols w:space="720" w:num="1"/>
          <w:docGrid w:type="lines" w:linePitch="312" w:charSpace="0"/>
        </w:sectPr>
      </w:pPr>
    </w:p>
    <w:p>
      <w:pPr>
        <w:pStyle w:val="2"/>
        <w:rPr>
          <w:rFonts w:ascii="Times New Roman" w:hAnsi="Times New Roman"/>
          <w:sz w:val="28"/>
          <w:szCs w:val="28"/>
        </w:rPr>
      </w:pPr>
      <w:bookmarkStart w:id="8" w:name="_Toc7529"/>
      <w:r>
        <w:rPr>
          <w:rFonts w:ascii="Times New Roman" w:hAnsi="Times New Roman"/>
          <w:sz w:val="28"/>
          <w:szCs w:val="28"/>
        </w:rPr>
        <w:t>表2 放射源</w:t>
      </w:r>
      <w:bookmarkEnd w:id="8"/>
    </w:p>
    <w:tbl>
      <w:tblPr>
        <w:tblStyle w:val="16"/>
        <w:tblW w:w="14322" w:type="dxa"/>
        <w:tblInd w:w="0" w:type="dxa"/>
        <w:tblLayout w:type="fixed"/>
        <w:tblCellMar>
          <w:top w:w="0" w:type="dxa"/>
          <w:left w:w="0" w:type="dxa"/>
          <w:bottom w:w="0" w:type="dxa"/>
          <w:right w:w="0" w:type="dxa"/>
        </w:tblCellMar>
      </w:tblPr>
      <w:tblGrid>
        <w:gridCol w:w="714"/>
        <w:gridCol w:w="1321"/>
        <w:gridCol w:w="2790"/>
        <w:gridCol w:w="607"/>
        <w:gridCol w:w="1416"/>
        <w:gridCol w:w="1521"/>
        <w:gridCol w:w="1984"/>
        <w:gridCol w:w="2693"/>
        <w:gridCol w:w="1276"/>
      </w:tblGrid>
      <w:tr>
        <w:tblPrEx>
          <w:tblCellMar>
            <w:top w:w="0" w:type="dxa"/>
            <w:left w:w="0" w:type="dxa"/>
            <w:bottom w:w="0" w:type="dxa"/>
            <w:right w:w="0" w:type="dxa"/>
          </w:tblCellMar>
        </w:tblPrEx>
        <w:trPr>
          <w:trHeight w:val="567"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序号</w:t>
            </w:r>
          </w:p>
        </w:tc>
        <w:tc>
          <w:tcPr>
            <w:tcW w:w="1321"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核素名称</w:t>
            </w:r>
          </w:p>
        </w:tc>
        <w:tc>
          <w:tcPr>
            <w:tcW w:w="2790"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总活度(Bq)/活度（Bq）×枚数</w:t>
            </w:r>
          </w:p>
        </w:tc>
        <w:tc>
          <w:tcPr>
            <w:tcW w:w="607"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类别</w:t>
            </w:r>
          </w:p>
        </w:tc>
        <w:tc>
          <w:tcPr>
            <w:tcW w:w="1416"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活动种类</w:t>
            </w:r>
          </w:p>
        </w:tc>
        <w:tc>
          <w:tcPr>
            <w:tcW w:w="1521"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用途</w:t>
            </w:r>
          </w:p>
        </w:tc>
        <w:tc>
          <w:tcPr>
            <w:tcW w:w="1984"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使用场所</w:t>
            </w:r>
          </w:p>
        </w:tc>
        <w:tc>
          <w:tcPr>
            <w:tcW w:w="2693"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贮存方式与地点</w:t>
            </w:r>
          </w:p>
        </w:tc>
        <w:tc>
          <w:tcPr>
            <w:tcW w:w="1276" w:type="dxa"/>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备注</w:t>
            </w:r>
          </w:p>
        </w:tc>
      </w:tr>
      <w:tr>
        <w:tblPrEx>
          <w:tblCellMar>
            <w:top w:w="0" w:type="dxa"/>
            <w:left w:w="0" w:type="dxa"/>
            <w:bottom w:w="0" w:type="dxa"/>
            <w:right w:w="0" w:type="dxa"/>
          </w:tblCellMar>
        </w:tblPrEx>
        <w:trPr>
          <w:trHeight w:val="567"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32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279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52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9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269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r>
      <w:tr>
        <w:tblPrEx>
          <w:tblCellMar>
            <w:top w:w="0" w:type="dxa"/>
            <w:left w:w="0" w:type="dxa"/>
            <w:bottom w:w="0" w:type="dxa"/>
            <w:right w:w="0" w:type="dxa"/>
          </w:tblCellMar>
        </w:tblPrEx>
        <w:trPr>
          <w:trHeight w:val="567"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32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279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60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52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9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269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r>
    </w:tbl>
    <w:p>
      <w:pPr>
        <w:pStyle w:val="6"/>
        <w:kinsoku w:val="0"/>
        <w:overflowPunct w:val="0"/>
        <w:spacing w:before="9"/>
        <w:rPr>
          <w:rFonts w:ascii="Times New Roman" w:cs="Times New Roman"/>
          <w:sz w:val="18"/>
          <w:szCs w:val="18"/>
        </w:rPr>
      </w:pPr>
      <w:r>
        <w:rPr>
          <w:rFonts w:ascii="Times New Roman" w:cs="Times New Roman"/>
          <w:sz w:val="18"/>
          <w:szCs w:val="18"/>
        </w:rPr>
        <w:t>注：放射源包括放射性中子源，对其要说明是何种核素以及产生的中子流强度（n/s</w:t>
      </w:r>
      <w:r>
        <w:rPr>
          <w:rFonts w:ascii="Times New Roman" w:cs="Times New Roman"/>
          <w:spacing w:val="-90"/>
          <w:sz w:val="18"/>
          <w:szCs w:val="18"/>
        </w:rPr>
        <w:t>）</w:t>
      </w:r>
      <w:r>
        <w:rPr>
          <w:rFonts w:ascii="Times New Roman" w:cs="Times New Roman"/>
          <w:sz w:val="18"/>
          <w:szCs w:val="18"/>
        </w:rPr>
        <w:t>。</w:t>
      </w:r>
    </w:p>
    <w:p>
      <w:pPr>
        <w:pStyle w:val="2"/>
        <w:rPr>
          <w:rFonts w:ascii="Times New Roman" w:hAnsi="Times New Roman"/>
          <w:sz w:val="28"/>
          <w:szCs w:val="28"/>
        </w:rPr>
      </w:pPr>
      <w:bookmarkStart w:id="9" w:name="_Toc30724"/>
      <w:r>
        <w:rPr>
          <w:rFonts w:ascii="Times New Roman" w:hAnsi="Times New Roman"/>
          <w:sz w:val="28"/>
          <w:szCs w:val="28"/>
        </w:rPr>
        <w:t>表3 非密封放射性物质</w:t>
      </w:r>
      <w:bookmarkEnd w:id="9"/>
    </w:p>
    <w:tbl>
      <w:tblPr>
        <w:tblStyle w:val="16"/>
        <w:tblW w:w="14322" w:type="dxa"/>
        <w:tblInd w:w="0" w:type="dxa"/>
        <w:tblLayout w:type="fixed"/>
        <w:tblCellMar>
          <w:top w:w="0" w:type="dxa"/>
          <w:left w:w="0" w:type="dxa"/>
          <w:bottom w:w="0" w:type="dxa"/>
          <w:right w:w="0" w:type="dxa"/>
        </w:tblCellMar>
      </w:tblPr>
      <w:tblGrid>
        <w:gridCol w:w="536"/>
        <w:gridCol w:w="567"/>
        <w:gridCol w:w="2163"/>
        <w:gridCol w:w="850"/>
        <w:gridCol w:w="1559"/>
        <w:gridCol w:w="1560"/>
        <w:gridCol w:w="1417"/>
        <w:gridCol w:w="1134"/>
        <w:gridCol w:w="1134"/>
        <w:gridCol w:w="992"/>
        <w:gridCol w:w="2410"/>
      </w:tblGrid>
      <w:tr>
        <w:tblPrEx>
          <w:tblCellMar>
            <w:top w:w="0" w:type="dxa"/>
            <w:left w:w="0" w:type="dxa"/>
            <w:bottom w:w="0" w:type="dxa"/>
            <w:right w:w="0" w:type="dxa"/>
          </w:tblCellMar>
        </w:tblPrEx>
        <w:trPr>
          <w:trHeight w:val="567" w:hRule="atLeast"/>
        </w:trPr>
        <w:tc>
          <w:tcPr>
            <w:tcW w:w="536"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jc w:val="center"/>
              <w:rPr>
                <w:sz w:val="21"/>
                <w:szCs w:val="21"/>
              </w:rPr>
            </w:pPr>
            <w:r>
              <w:rPr>
                <w:sz w:val="21"/>
                <w:szCs w:val="21"/>
              </w:rPr>
              <w:t>序号</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jc w:val="center"/>
              <w:rPr>
                <w:sz w:val="21"/>
                <w:szCs w:val="21"/>
              </w:rPr>
            </w:pPr>
            <w:r>
              <w:rPr>
                <w:sz w:val="21"/>
                <w:szCs w:val="21"/>
              </w:rPr>
              <w:t>核素</w:t>
            </w:r>
          </w:p>
          <w:p>
            <w:pPr>
              <w:pStyle w:val="33"/>
              <w:kinsoku w:val="0"/>
              <w:overflowPunct w:val="0"/>
              <w:spacing w:before="37"/>
              <w:jc w:val="center"/>
            </w:pPr>
            <w:r>
              <w:rPr>
                <w:sz w:val="21"/>
                <w:szCs w:val="21"/>
              </w:rPr>
              <w:t>名称</w:t>
            </w:r>
          </w:p>
        </w:tc>
        <w:tc>
          <w:tcPr>
            <w:tcW w:w="2163"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19"/>
              <w:jc w:val="center"/>
              <w:rPr>
                <w:sz w:val="21"/>
                <w:szCs w:val="21"/>
              </w:rPr>
            </w:pPr>
            <w:r>
              <w:rPr>
                <w:sz w:val="21"/>
                <w:szCs w:val="21"/>
              </w:rPr>
              <w:t>理化</w:t>
            </w:r>
          </w:p>
          <w:p>
            <w:pPr>
              <w:pStyle w:val="33"/>
              <w:kinsoku w:val="0"/>
              <w:overflowPunct w:val="0"/>
              <w:ind w:left="219"/>
              <w:jc w:val="center"/>
              <w:rPr>
                <w:sz w:val="21"/>
                <w:szCs w:val="21"/>
              </w:rPr>
            </w:pPr>
            <w:r>
              <w:rPr>
                <w:sz w:val="21"/>
                <w:szCs w:val="21"/>
              </w:rPr>
              <w:t>性质</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jc w:val="center"/>
              <w:rPr>
                <w:sz w:val="21"/>
                <w:szCs w:val="21"/>
              </w:rPr>
            </w:pPr>
            <w:r>
              <w:rPr>
                <w:sz w:val="21"/>
                <w:szCs w:val="21"/>
              </w:rPr>
              <w:t>活动</w:t>
            </w:r>
          </w:p>
          <w:p>
            <w:pPr>
              <w:pStyle w:val="33"/>
              <w:kinsoku w:val="0"/>
              <w:overflowPunct w:val="0"/>
              <w:spacing w:before="37"/>
              <w:jc w:val="center"/>
            </w:pPr>
            <w:r>
              <w:rPr>
                <w:sz w:val="21"/>
                <w:szCs w:val="21"/>
              </w:rPr>
              <w:t>种类</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02" w:right="-3" w:firstLine="34"/>
              <w:jc w:val="center"/>
              <w:rPr>
                <w:sz w:val="21"/>
                <w:szCs w:val="21"/>
              </w:rPr>
            </w:pPr>
            <w:r>
              <w:rPr>
                <w:sz w:val="21"/>
                <w:szCs w:val="21"/>
              </w:rPr>
              <w:t>实际日最大</w:t>
            </w:r>
          </w:p>
          <w:p>
            <w:pPr>
              <w:pStyle w:val="33"/>
              <w:kinsoku w:val="0"/>
              <w:overflowPunct w:val="0"/>
              <w:spacing w:before="37"/>
              <w:ind w:left="102" w:right="-3"/>
              <w:jc w:val="center"/>
            </w:pPr>
            <w:r>
              <w:rPr>
                <w:spacing w:val="-1"/>
                <w:sz w:val="21"/>
                <w:szCs w:val="21"/>
              </w:rPr>
              <w:t>操作</w:t>
            </w:r>
            <w:r>
              <w:rPr>
                <w:spacing w:val="-35"/>
                <w:sz w:val="21"/>
                <w:szCs w:val="21"/>
              </w:rPr>
              <w:t>量</w:t>
            </w:r>
            <w:r>
              <w:rPr>
                <w:spacing w:val="-1"/>
                <w:sz w:val="21"/>
                <w:szCs w:val="21"/>
              </w:rPr>
              <w:t>（Bq）</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02" w:right="-3" w:firstLine="34"/>
              <w:jc w:val="center"/>
              <w:rPr>
                <w:sz w:val="21"/>
                <w:szCs w:val="21"/>
              </w:rPr>
            </w:pPr>
            <w:r>
              <w:rPr>
                <w:sz w:val="21"/>
                <w:szCs w:val="21"/>
              </w:rPr>
              <w:t>日等效最大</w:t>
            </w:r>
          </w:p>
          <w:p>
            <w:pPr>
              <w:pStyle w:val="33"/>
              <w:kinsoku w:val="0"/>
              <w:overflowPunct w:val="0"/>
              <w:spacing w:before="37"/>
              <w:ind w:left="102" w:right="-3"/>
              <w:jc w:val="center"/>
            </w:pPr>
            <w:r>
              <w:rPr>
                <w:spacing w:val="-1"/>
                <w:sz w:val="21"/>
                <w:szCs w:val="21"/>
              </w:rPr>
              <w:t>操作</w:t>
            </w:r>
            <w:r>
              <w:rPr>
                <w:spacing w:val="-35"/>
                <w:sz w:val="21"/>
                <w:szCs w:val="21"/>
              </w:rPr>
              <w:t>量</w:t>
            </w:r>
            <w:r>
              <w:rPr>
                <w:spacing w:val="-1"/>
                <w:sz w:val="21"/>
                <w:szCs w:val="21"/>
              </w:rPr>
              <w:t>（Bq）</w:t>
            </w: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right="1"/>
              <w:jc w:val="center"/>
              <w:rPr>
                <w:sz w:val="21"/>
                <w:szCs w:val="21"/>
              </w:rPr>
            </w:pPr>
            <w:r>
              <w:rPr>
                <w:sz w:val="21"/>
                <w:szCs w:val="21"/>
              </w:rPr>
              <w:t>年最大用量</w:t>
            </w:r>
          </w:p>
          <w:p>
            <w:pPr>
              <w:pStyle w:val="33"/>
              <w:kinsoku w:val="0"/>
              <w:overflowPunct w:val="0"/>
              <w:spacing w:before="37"/>
              <w:jc w:val="center"/>
            </w:pPr>
            <w:r>
              <w:rPr>
                <w:sz w:val="21"/>
                <w:szCs w:val="21"/>
              </w:rPr>
              <w:t>（Bq）</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jc w:val="center"/>
            </w:pPr>
            <w:r>
              <w:rPr>
                <w:sz w:val="21"/>
                <w:szCs w:val="21"/>
              </w:rPr>
              <w:t>用途</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jc w:val="center"/>
              <w:rPr>
                <w:sz w:val="21"/>
                <w:szCs w:val="21"/>
              </w:rPr>
            </w:pPr>
            <w:r>
              <w:rPr>
                <w:sz w:val="21"/>
                <w:szCs w:val="21"/>
              </w:rPr>
              <w:t>操作</w:t>
            </w:r>
          </w:p>
          <w:p>
            <w:pPr>
              <w:pStyle w:val="33"/>
              <w:kinsoku w:val="0"/>
              <w:overflowPunct w:val="0"/>
              <w:spacing w:before="140"/>
              <w:jc w:val="center"/>
            </w:pPr>
            <w:r>
              <w:rPr>
                <w:sz w:val="21"/>
                <w:szCs w:val="21"/>
              </w:rPr>
              <w:t>方式</w:t>
            </w:r>
          </w:p>
        </w:tc>
        <w:tc>
          <w:tcPr>
            <w:tcW w:w="992"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jc w:val="center"/>
              <w:rPr>
                <w:sz w:val="21"/>
                <w:szCs w:val="21"/>
              </w:rPr>
            </w:pPr>
            <w:r>
              <w:rPr>
                <w:sz w:val="21"/>
                <w:szCs w:val="21"/>
              </w:rPr>
              <w:t>使用</w:t>
            </w:r>
          </w:p>
          <w:p>
            <w:pPr>
              <w:pStyle w:val="33"/>
              <w:kinsoku w:val="0"/>
              <w:overflowPunct w:val="0"/>
              <w:spacing w:before="140"/>
              <w:jc w:val="center"/>
            </w:pPr>
            <w:r>
              <w:rPr>
                <w:sz w:val="21"/>
                <w:szCs w:val="21"/>
              </w:rPr>
              <w:t>场所</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ind w:left="154"/>
              <w:jc w:val="center"/>
            </w:pPr>
            <w:r>
              <w:rPr>
                <w:sz w:val="21"/>
                <w:szCs w:val="21"/>
              </w:rPr>
              <w:t>贮存方式与地点</w:t>
            </w:r>
          </w:p>
        </w:tc>
      </w:tr>
      <w:tr>
        <w:tblPrEx>
          <w:tblCellMar>
            <w:top w:w="0" w:type="dxa"/>
            <w:left w:w="0" w:type="dxa"/>
            <w:bottom w:w="0" w:type="dxa"/>
            <w:right w:w="0" w:type="dxa"/>
          </w:tblCellMar>
        </w:tblPrEx>
        <w:trPr>
          <w:trHeight w:val="567" w:hRule="atLeast"/>
        </w:trPr>
        <w:tc>
          <w:tcPr>
            <w:tcW w:w="53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216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r>
    </w:tbl>
    <w:p>
      <w:pPr>
        <w:pStyle w:val="6"/>
        <w:kinsoku w:val="0"/>
        <w:overflowPunct w:val="0"/>
        <w:spacing w:before="9"/>
        <w:rPr>
          <w:rFonts w:ascii="Times New Roman" w:cs="Times New Roman"/>
          <w:sz w:val="18"/>
          <w:szCs w:val="18"/>
        </w:rPr>
      </w:pPr>
      <w:r>
        <w:rPr>
          <w:rFonts w:ascii="Times New Roman" w:cs="Times New Roman"/>
          <w:sz w:val="18"/>
          <w:szCs w:val="18"/>
        </w:rPr>
        <w:t>注：日等效最大操作量和操作方式见《电离辐射防护与辐射源安全基本标准》（GB18871-2002）。</w:t>
      </w:r>
    </w:p>
    <w:p>
      <w:pPr>
        <w:pStyle w:val="2"/>
        <w:rPr>
          <w:rFonts w:ascii="Times New Roman" w:hAnsi="Times New Roman"/>
          <w:sz w:val="28"/>
          <w:szCs w:val="28"/>
        </w:rPr>
      </w:pPr>
      <w:bookmarkStart w:id="10" w:name="_Toc7140"/>
      <w:r>
        <w:rPr>
          <w:rFonts w:ascii="Times New Roman" w:hAnsi="Times New Roman"/>
          <w:sz w:val="28"/>
          <w:szCs w:val="28"/>
        </w:rPr>
        <w:t>表4 射线装置</w:t>
      </w:r>
      <w:bookmarkEnd w:id="10"/>
    </w:p>
    <w:p>
      <w:pPr>
        <w:pStyle w:val="31"/>
        <w:kinsoku w:val="0"/>
        <w:overflowPunct w:val="0"/>
        <w:spacing w:before="141"/>
        <w:outlineLvl w:val="9"/>
        <w:rPr>
          <w:rFonts w:ascii="Times New Roman" w:cs="Times New Roman"/>
        </w:rPr>
      </w:pPr>
      <w:r>
        <w:rPr>
          <w:rFonts w:ascii="Times New Roman" w:cs="Times New Roman"/>
        </w:rPr>
        <w:t>（一）加速器：包括医用、工农业、科研、教学等用途的各种类型加速器</w:t>
      </w:r>
    </w:p>
    <w:tbl>
      <w:tblPr>
        <w:tblStyle w:val="16"/>
        <w:tblW w:w="13974" w:type="dxa"/>
        <w:tblInd w:w="5" w:type="dxa"/>
        <w:tblLayout w:type="fixed"/>
        <w:tblCellMar>
          <w:top w:w="0" w:type="dxa"/>
          <w:left w:w="0" w:type="dxa"/>
          <w:bottom w:w="0" w:type="dxa"/>
          <w:right w:w="0" w:type="dxa"/>
        </w:tblCellMar>
      </w:tblPr>
      <w:tblGrid>
        <w:gridCol w:w="966"/>
        <w:gridCol w:w="1699"/>
        <w:gridCol w:w="709"/>
        <w:gridCol w:w="708"/>
        <w:gridCol w:w="1276"/>
        <w:gridCol w:w="850"/>
        <w:gridCol w:w="1276"/>
        <w:gridCol w:w="1700"/>
        <w:gridCol w:w="1532"/>
        <w:gridCol w:w="1638"/>
        <w:gridCol w:w="1620"/>
      </w:tblGrid>
      <w:tr>
        <w:tblPrEx>
          <w:tblCellMar>
            <w:top w:w="0" w:type="dxa"/>
            <w:left w:w="0" w:type="dxa"/>
            <w:bottom w:w="0" w:type="dxa"/>
            <w:right w:w="0" w:type="dxa"/>
          </w:tblCellMar>
        </w:tblPrEx>
        <w:trPr>
          <w:trHeight w:val="634" w:hRule="exact"/>
        </w:trPr>
        <w:tc>
          <w:tcPr>
            <w:tcW w:w="966"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ind w:left="109"/>
              <w:jc w:val="center"/>
              <w:rPr>
                <w:sz w:val="21"/>
                <w:szCs w:val="21"/>
              </w:rPr>
            </w:pPr>
            <w:r>
              <w:rPr>
                <w:sz w:val="21"/>
                <w:szCs w:val="21"/>
              </w:rPr>
              <w:t>序号</w:t>
            </w:r>
          </w:p>
        </w:tc>
        <w:tc>
          <w:tcPr>
            <w:tcW w:w="1699"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jc w:val="center"/>
              <w:rPr>
                <w:sz w:val="21"/>
                <w:szCs w:val="21"/>
              </w:rPr>
            </w:pPr>
            <w:r>
              <w:rPr>
                <w:sz w:val="21"/>
                <w:szCs w:val="21"/>
              </w:rPr>
              <w:t>名称</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ind w:left="138"/>
              <w:jc w:val="center"/>
              <w:rPr>
                <w:sz w:val="21"/>
                <w:szCs w:val="21"/>
              </w:rPr>
            </w:pPr>
            <w:r>
              <w:rPr>
                <w:sz w:val="21"/>
                <w:szCs w:val="21"/>
              </w:rPr>
              <w:t>类别</w:t>
            </w: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ind w:left="138"/>
              <w:jc w:val="center"/>
              <w:rPr>
                <w:sz w:val="21"/>
                <w:szCs w:val="21"/>
              </w:rPr>
            </w:pPr>
            <w:r>
              <w:rPr>
                <w:sz w:val="21"/>
                <w:szCs w:val="21"/>
              </w:rPr>
              <w:t>数量</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ind w:right="1"/>
              <w:jc w:val="center"/>
              <w:rPr>
                <w:sz w:val="21"/>
                <w:szCs w:val="21"/>
              </w:rPr>
            </w:pPr>
            <w:r>
              <w:rPr>
                <w:sz w:val="21"/>
                <w:szCs w:val="21"/>
              </w:rPr>
              <w:t>型号</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59" w:lineRule="exact"/>
              <w:ind w:left="208"/>
              <w:jc w:val="center"/>
              <w:rPr>
                <w:sz w:val="21"/>
                <w:szCs w:val="21"/>
              </w:rPr>
            </w:pPr>
            <w:r>
              <w:rPr>
                <w:sz w:val="21"/>
                <w:szCs w:val="21"/>
              </w:rPr>
              <w:t>加速</w:t>
            </w:r>
          </w:p>
          <w:p>
            <w:pPr>
              <w:pStyle w:val="33"/>
              <w:kinsoku w:val="0"/>
              <w:overflowPunct w:val="0"/>
              <w:spacing w:before="37"/>
              <w:ind w:left="208"/>
              <w:jc w:val="center"/>
              <w:rPr>
                <w:sz w:val="21"/>
                <w:szCs w:val="21"/>
              </w:rPr>
            </w:pPr>
            <w:r>
              <w:rPr>
                <w:sz w:val="21"/>
                <w:szCs w:val="21"/>
              </w:rPr>
              <w:t>粒子</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59" w:lineRule="exact"/>
              <w:ind w:right="1"/>
              <w:jc w:val="center"/>
              <w:rPr>
                <w:sz w:val="21"/>
                <w:szCs w:val="21"/>
              </w:rPr>
            </w:pPr>
            <w:r>
              <w:rPr>
                <w:sz w:val="21"/>
                <w:szCs w:val="21"/>
              </w:rPr>
              <w:t>最大</w:t>
            </w:r>
          </w:p>
          <w:p>
            <w:pPr>
              <w:pStyle w:val="33"/>
              <w:kinsoku w:val="0"/>
              <w:overflowPunct w:val="0"/>
              <w:spacing w:before="37"/>
              <w:ind w:left="96"/>
              <w:jc w:val="center"/>
              <w:rPr>
                <w:sz w:val="21"/>
                <w:szCs w:val="21"/>
              </w:rPr>
            </w:pPr>
            <w:r>
              <w:rPr>
                <w:sz w:val="21"/>
                <w:szCs w:val="21"/>
              </w:rPr>
              <w:t>能量（MeV）</w:t>
            </w: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59" w:lineRule="exact"/>
              <w:ind w:left="109" w:hanging="8"/>
              <w:jc w:val="center"/>
              <w:rPr>
                <w:sz w:val="21"/>
                <w:szCs w:val="21"/>
              </w:rPr>
            </w:pPr>
            <w:r>
              <w:rPr>
                <w:spacing w:val="-1"/>
                <w:sz w:val="21"/>
                <w:szCs w:val="21"/>
              </w:rPr>
              <w:t>额定电</w:t>
            </w:r>
            <w:r>
              <w:rPr>
                <w:spacing w:val="-45"/>
                <w:sz w:val="21"/>
                <w:szCs w:val="21"/>
              </w:rPr>
              <w:t>流</w:t>
            </w:r>
            <w:r>
              <w:rPr>
                <w:spacing w:val="-1"/>
                <w:sz w:val="21"/>
                <w:szCs w:val="21"/>
              </w:rPr>
              <w:t>（mA</w:t>
            </w:r>
            <w:r>
              <w:rPr>
                <w:spacing w:val="-45"/>
                <w:sz w:val="21"/>
                <w:szCs w:val="21"/>
              </w:rPr>
              <w:t>）</w:t>
            </w:r>
            <w:r>
              <w:rPr>
                <w:sz w:val="21"/>
                <w:szCs w:val="21"/>
              </w:rPr>
              <w:t>/</w:t>
            </w:r>
          </w:p>
          <w:p>
            <w:pPr>
              <w:pStyle w:val="33"/>
              <w:kinsoku w:val="0"/>
              <w:overflowPunct w:val="0"/>
              <w:spacing w:before="37"/>
              <w:ind w:left="109"/>
              <w:jc w:val="center"/>
              <w:rPr>
                <w:sz w:val="21"/>
                <w:szCs w:val="21"/>
              </w:rPr>
            </w:pPr>
            <w:r>
              <w:rPr>
                <w:sz w:val="21"/>
                <w:szCs w:val="21"/>
              </w:rPr>
              <w:t>剂量率（Gy/h）</w:t>
            </w:r>
          </w:p>
        </w:tc>
        <w:tc>
          <w:tcPr>
            <w:tcW w:w="1532"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jc w:val="center"/>
              <w:rPr>
                <w:sz w:val="21"/>
                <w:szCs w:val="21"/>
              </w:rPr>
            </w:pPr>
            <w:r>
              <w:rPr>
                <w:sz w:val="21"/>
                <w:szCs w:val="21"/>
              </w:rPr>
              <w:t>用途</w:t>
            </w:r>
          </w:p>
        </w:tc>
        <w:tc>
          <w:tcPr>
            <w:tcW w:w="163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ind w:left="307"/>
              <w:jc w:val="center"/>
              <w:rPr>
                <w:sz w:val="21"/>
                <w:szCs w:val="21"/>
              </w:rPr>
            </w:pPr>
            <w:r>
              <w:rPr>
                <w:sz w:val="21"/>
                <w:szCs w:val="21"/>
              </w:rPr>
              <w:t>工作场所</w:t>
            </w: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before="140"/>
              <w:ind w:left="281"/>
              <w:jc w:val="center"/>
              <w:rPr>
                <w:sz w:val="21"/>
                <w:szCs w:val="21"/>
              </w:rPr>
            </w:pPr>
            <w:r>
              <w:rPr>
                <w:sz w:val="21"/>
                <w:szCs w:val="21"/>
              </w:rPr>
              <w:t>备注</w:t>
            </w:r>
          </w:p>
        </w:tc>
      </w:tr>
      <w:tr>
        <w:tblPrEx>
          <w:tblCellMar>
            <w:top w:w="0" w:type="dxa"/>
            <w:left w:w="0" w:type="dxa"/>
            <w:bottom w:w="0" w:type="dxa"/>
            <w:right w:w="0" w:type="dxa"/>
          </w:tblCellMar>
        </w:tblPrEx>
        <w:trPr>
          <w:trHeight w:val="616" w:hRule="exact"/>
        </w:trPr>
        <w:tc>
          <w:tcPr>
            <w:tcW w:w="96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7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5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63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62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r>
    </w:tbl>
    <w:p>
      <w:pPr>
        <w:pStyle w:val="6"/>
        <w:kinsoku w:val="0"/>
        <w:overflowPunct w:val="0"/>
        <w:spacing w:before="26"/>
        <w:rPr>
          <w:rFonts w:ascii="Times New Roman" w:cs="Times New Roman"/>
          <w:sz w:val="24"/>
          <w:szCs w:val="24"/>
        </w:rPr>
      </w:pPr>
    </w:p>
    <w:p>
      <w:pPr>
        <w:pStyle w:val="6"/>
        <w:kinsoku w:val="0"/>
        <w:overflowPunct w:val="0"/>
        <w:spacing w:before="26"/>
        <w:rPr>
          <w:rFonts w:ascii="Times New Roman" w:cs="Times New Roman"/>
          <w:sz w:val="24"/>
          <w:szCs w:val="24"/>
        </w:rPr>
      </w:pPr>
    </w:p>
    <w:p>
      <w:pPr>
        <w:pStyle w:val="6"/>
        <w:kinsoku w:val="0"/>
        <w:overflowPunct w:val="0"/>
        <w:spacing w:before="26"/>
        <w:rPr>
          <w:rFonts w:ascii="Times New Roman" w:cs="Times New Roman"/>
          <w:sz w:val="24"/>
          <w:szCs w:val="24"/>
        </w:rPr>
      </w:pPr>
      <w:r>
        <w:rPr>
          <w:rFonts w:ascii="Times New Roman" w:cs="Times New Roman"/>
          <w:sz w:val="24"/>
          <w:szCs w:val="24"/>
        </w:rPr>
        <w:t>(二)X射线机，包括工业探伤、医用诊断和治疗、分析等用途</w:t>
      </w:r>
    </w:p>
    <w:tbl>
      <w:tblPr>
        <w:tblStyle w:val="16"/>
        <w:tblW w:w="13620" w:type="dxa"/>
        <w:tblInd w:w="6" w:type="dxa"/>
        <w:tblLayout w:type="fixed"/>
        <w:tblCellMar>
          <w:top w:w="0" w:type="dxa"/>
          <w:left w:w="0" w:type="dxa"/>
          <w:bottom w:w="0" w:type="dxa"/>
          <w:right w:w="0" w:type="dxa"/>
        </w:tblCellMar>
      </w:tblPr>
      <w:tblGrid>
        <w:gridCol w:w="713"/>
        <w:gridCol w:w="2162"/>
        <w:gridCol w:w="1068"/>
        <w:gridCol w:w="648"/>
        <w:gridCol w:w="1352"/>
        <w:gridCol w:w="1336"/>
        <w:gridCol w:w="1332"/>
        <w:gridCol w:w="2268"/>
        <w:gridCol w:w="1356"/>
        <w:gridCol w:w="1385"/>
      </w:tblGrid>
      <w:tr>
        <w:tblPrEx>
          <w:tblCellMar>
            <w:top w:w="0" w:type="dxa"/>
            <w:left w:w="0" w:type="dxa"/>
            <w:bottom w:w="0" w:type="dxa"/>
            <w:right w:w="0" w:type="dxa"/>
          </w:tblCellMar>
        </w:tblPrEx>
        <w:trPr>
          <w:trHeight w:val="796"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73" w:lineRule="exact"/>
              <w:ind w:left="138"/>
              <w:jc w:val="center"/>
              <w:rPr>
                <w:sz w:val="21"/>
                <w:szCs w:val="21"/>
              </w:rPr>
            </w:pPr>
            <w:r>
              <w:rPr>
                <w:sz w:val="21"/>
                <w:szCs w:val="21"/>
              </w:rPr>
              <w:t>序号</w:t>
            </w:r>
          </w:p>
        </w:tc>
        <w:tc>
          <w:tcPr>
            <w:tcW w:w="216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bCs/>
                <w:color w:val="000000"/>
                <w:kern w:val="0"/>
                <w:szCs w:val="21"/>
              </w:rPr>
            </w:pPr>
            <w:r>
              <w:rPr>
                <w:rFonts w:ascii="Times New Roman" w:hAnsi="Times New Roman"/>
                <w:bCs/>
                <w:color w:val="000000"/>
                <w:kern w:val="0"/>
                <w:szCs w:val="21"/>
              </w:rPr>
              <w:t>名称</w:t>
            </w:r>
          </w:p>
        </w:tc>
        <w:tc>
          <w:tcPr>
            <w:tcW w:w="106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73" w:lineRule="exact"/>
              <w:jc w:val="center"/>
              <w:rPr>
                <w:sz w:val="21"/>
                <w:szCs w:val="21"/>
              </w:rPr>
            </w:pPr>
            <w:r>
              <w:rPr>
                <w:sz w:val="21"/>
                <w:szCs w:val="21"/>
              </w:rPr>
              <w:t>类别</w:t>
            </w:r>
          </w:p>
        </w:tc>
        <w:tc>
          <w:tcPr>
            <w:tcW w:w="64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73" w:lineRule="exact"/>
              <w:jc w:val="center"/>
              <w:rPr>
                <w:sz w:val="21"/>
                <w:szCs w:val="21"/>
              </w:rPr>
            </w:pPr>
            <w:r>
              <w:rPr>
                <w:sz w:val="21"/>
                <w:szCs w:val="21"/>
              </w:rPr>
              <w:t>数量</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73" w:lineRule="exact"/>
              <w:jc w:val="center"/>
              <w:rPr>
                <w:sz w:val="21"/>
                <w:szCs w:val="21"/>
              </w:rPr>
            </w:pPr>
            <w:r>
              <w:rPr>
                <w:sz w:val="21"/>
                <w:szCs w:val="21"/>
              </w:rPr>
              <w:t>型号</w:t>
            </w:r>
          </w:p>
        </w:tc>
        <w:tc>
          <w:tcPr>
            <w:tcW w:w="1336"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73" w:lineRule="exact"/>
              <w:jc w:val="center"/>
              <w:rPr>
                <w:sz w:val="21"/>
                <w:szCs w:val="21"/>
              </w:rPr>
            </w:pPr>
            <w:r>
              <w:rPr>
                <w:sz w:val="21"/>
                <w:szCs w:val="21"/>
              </w:rPr>
              <w:t>最大管电压</w:t>
            </w:r>
          </w:p>
          <w:p>
            <w:pPr>
              <w:pStyle w:val="33"/>
              <w:kinsoku w:val="0"/>
              <w:overflowPunct w:val="0"/>
              <w:spacing w:line="273" w:lineRule="exact"/>
              <w:jc w:val="center"/>
              <w:rPr>
                <w:sz w:val="21"/>
                <w:szCs w:val="21"/>
              </w:rPr>
            </w:pPr>
            <w:r>
              <w:rPr>
                <w:sz w:val="21"/>
                <w:szCs w:val="21"/>
              </w:rPr>
              <w:t>（kV）</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73" w:lineRule="exact"/>
              <w:jc w:val="center"/>
              <w:rPr>
                <w:sz w:val="21"/>
                <w:szCs w:val="21"/>
              </w:rPr>
            </w:pPr>
            <w:r>
              <w:rPr>
                <w:sz w:val="21"/>
                <w:szCs w:val="21"/>
              </w:rPr>
              <w:t>最大管电流</w:t>
            </w:r>
          </w:p>
          <w:p>
            <w:pPr>
              <w:pStyle w:val="33"/>
              <w:kinsoku w:val="0"/>
              <w:overflowPunct w:val="0"/>
              <w:spacing w:line="273" w:lineRule="exact"/>
              <w:jc w:val="center"/>
              <w:rPr>
                <w:sz w:val="21"/>
                <w:szCs w:val="21"/>
              </w:rPr>
            </w:pPr>
            <w:r>
              <w:rPr>
                <w:sz w:val="21"/>
                <w:szCs w:val="21"/>
              </w:rPr>
              <w:t>（mA）</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73" w:lineRule="exact"/>
              <w:jc w:val="center"/>
              <w:rPr>
                <w:sz w:val="21"/>
                <w:szCs w:val="21"/>
              </w:rPr>
            </w:pPr>
            <w:r>
              <w:rPr>
                <w:sz w:val="21"/>
                <w:szCs w:val="21"/>
              </w:rPr>
              <w:t>用途</w:t>
            </w:r>
          </w:p>
        </w:tc>
        <w:tc>
          <w:tcPr>
            <w:tcW w:w="1356"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73" w:lineRule="exact"/>
              <w:jc w:val="center"/>
              <w:rPr>
                <w:sz w:val="21"/>
                <w:szCs w:val="21"/>
              </w:rPr>
            </w:pPr>
            <w:r>
              <w:rPr>
                <w:sz w:val="21"/>
                <w:szCs w:val="21"/>
              </w:rPr>
              <w:t>工作场所</w:t>
            </w:r>
          </w:p>
        </w:tc>
        <w:tc>
          <w:tcPr>
            <w:tcW w:w="1385"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spacing w:line="273" w:lineRule="exact"/>
              <w:jc w:val="center"/>
              <w:rPr>
                <w:sz w:val="21"/>
                <w:szCs w:val="21"/>
              </w:rPr>
            </w:pPr>
            <w:r>
              <w:rPr>
                <w:sz w:val="21"/>
                <w:szCs w:val="21"/>
              </w:rPr>
              <w:t>备注</w:t>
            </w:r>
          </w:p>
        </w:tc>
      </w:tr>
      <w:tr>
        <w:tblPrEx>
          <w:tblCellMar>
            <w:top w:w="0" w:type="dxa"/>
            <w:left w:w="0" w:type="dxa"/>
            <w:bottom w:w="0" w:type="dxa"/>
            <w:right w:w="0" w:type="dxa"/>
          </w:tblCellMar>
        </w:tblPrEx>
        <w:trPr>
          <w:trHeight w:val="571"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1</w:t>
            </w:r>
          </w:p>
        </w:tc>
        <w:tc>
          <w:tcPr>
            <w:tcW w:w="216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bCs/>
                <w:color w:val="000000"/>
                <w:kern w:val="0"/>
                <w:szCs w:val="21"/>
              </w:rPr>
            </w:pPr>
            <w:r>
              <w:rPr>
                <w:rFonts w:hint="eastAsia" w:ascii="Times New Roman" w:hAnsi="Times New Roman"/>
                <w:color w:val="000000"/>
                <w:kern w:val="0"/>
                <w:szCs w:val="21"/>
              </w:rPr>
              <w:t>工业用</w:t>
            </w:r>
            <w:r>
              <w:rPr>
                <w:rFonts w:ascii="Times New Roman" w:hAnsi="Times New Roman"/>
                <w:color w:val="000000"/>
                <w:kern w:val="0"/>
                <w:szCs w:val="21"/>
              </w:rPr>
              <w:t>X射线探伤机</w:t>
            </w:r>
          </w:p>
        </w:tc>
        <w:tc>
          <w:tcPr>
            <w:tcW w:w="10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szCs w:val="21"/>
              </w:rPr>
            </w:pPr>
            <w:r>
              <w:rPr>
                <w:rFonts w:ascii="Times New Roman" w:hAnsi="Times New Roman"/>
              </w:rPr>
              <w:t>Ⅱ类</w:t>
            </w:r>
          </w:p>
        </w:tc>
        <w:tc>
          <w:tcPr>
            <w:tcW w:w="6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szCs w:val="21"/>
              </w:rPr>
            </w:pPr>
            <w:r>
              <w:rPr>
                <w:rFonts w:ascii="Times New Roman" w:hAnsi="Times New Roman"/>
                <w:szCs w:val="21"/>
              </w:rPr>
              <w:t>1</w:t>
            </w:r>
          </w:p>
        </w:tc>
        <w:tc>
          <w:tcPr>
            <w:tcW w:w="135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olor w:val="000000"/>
                <w:szCs w:val="21"/>
              </w:rPr>
            </w:pPr>
            <w:r>
              <w:rPr>
                <w:rFonts w:ascii="Times New Roman" w:hAnsi="Times New Roman"/>
                <w:color w:val="000000"/>
                <w:kern w:val="0"/>
                <w:szCs w:val="21"/>
              </w:rPr>
              <w:t>XXG2505</w:t>
            </w:r>
            <w:r>
              <w:rPr>
                <w:rFonts w:hint="eastAsia" w:ascii="Times New Roman" w:hAnsi="Times New Roman"/>
                <w:color w:val="000000"/>
                <w:kern w:val="0"/>
                <w:szCs w:val="21"/>
              </w:rPr>
              <w:t>型</w:t>
            </w:r>
          </w:p>
        </w:tc>
        <w:tc>
          <w:tcPr>
            <w:tcW w:w="133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olor w:val="000000"/>
                <w:szCs w:val="21"/>
              </w:rPr>
            </w:pPr>
            <w:r>
              <w:rPr>
                <w:rFonts w:hint="eastAsia" w:ascii="Times New Roman" w:hAnsi="Times New Roman"/>
                <w:color w:val="000000"/>
                <w:szCs w:val="21"/>
              </w:rPr>
              <w:t>2</w:t>
            </w:r>
            <w:r>
              <w:rPr>
                <w:rFonts w:ascii="Times New Roman" w:hAnsi="Times New Roman"/>
                <w:color w:val="000000"/>
                <w:szCs w:val="21"/>
              </w:rPr>
              <w:t>50</w:t>
            </w:r>
          </w:p>
        </w:tc>
        <w:tc>
          <w:tcPr>
            <w:tcW w:w="13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olor w:val="000000"/>
                <w:szCs w:val="21"/>
              </w:rPr>
            </w:pPr>
            <w:r>
              <w:rPr>
                <w:rFonts w:ascii="Times New Roman" w:hAnsi="Times New Roman"/>
                <w:color w:val="000000"/>
                <w:szCs w:val="21"/>
              </w:rPr>
              <w:t>5</w:t>
            </w:r>
          </w:p>
        </w:tc>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szCs w:val="21"/>
              </w:rPr>
            </w:pPr>
            <w:r>
              <w:rPr>
                <w:rFonts w:ascii="Times New Roman" w:hAnsi="Times New Roman"/>
                <w:szCs w:val="21"/>
              </w:rPr>
              <w:t>工业X射线探伤</w:t>
            </w:r>
          </w:p>
        </w:tc>
        <w:tc>
          <w:tcPr>
            <w:tcW w:w="135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szCs w:val="21"/>
              </w:rPr>
            </w:pPr>
            <w:r>
              <w:rPr>
                <w:rFonts w:ascii="Times New Roman" w:hAnsi="Times New Roman"/>
                <w:szCs w:val="21"/>
              </w:rPr>
              <w:t>现场探伤</w:t>
            </w:r>
          </w:p>
        </w:tc>
        <w:tc>
          <w:tcPr>
            <w:tcW w:w="1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定向</w:t>
            </w:r>
          </w:p>
        </w:tc>
      </w:tr>
      <w:tr>
        <w:tblPrEx>
          <w:tblCellMar>
            <w:top w:w="0" w:type="dxa"/>
            <w:left w:w="0" w:type="dxa"/>
            <w:bottom w:w="0" w:type="dxa"/>
            <w:right w:w="0" w:type="dxa"/>
          </w:tblCellMar>
        </w:tblPrEx>
        <w:trPr>
          <w:trHeight w:val="547"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2</w:t>
            </w:r>
          </w:p>
        </w:tc>
        <w:tc>
          <w:tcPr>
            <w:tcW w:w="216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bCs/>
                <w:color w:val="000000"/>
                <w:kern w:val="0"/>
                <w:szCs w:val="21"/>
              </w:rPr>
            </w:pPr>
            <w:r>
              <w:rPr>
                <w:rFonts w:hint="eastAsia" w:ascii="Times New Roman" w:hAnsi="Times New Roman"/>
                <w:color w:val="000000"/>
                <w:kern w:val="0"/>
                <w:szCs w:val="21"/>
              </w:rPr>
              <w:t>工业用</w:t>
            </w:r>
            <w:r>
              <w:rPr>
                <w:rFonts w:ascii="Times New Roman" w:hAnsi="Times New Roman"/>
                <w:color w:val="000000"/>
                <w:kern w:val="0"/>
                <w:szCs w:val="21"/>
              </w:rPr>
              <w:t>X射线探伤机</w:t>
            </w:r>
          </w:p>
        </w:tc>
        <w:tc>
          <w:tcPr>
            <w:tcW w:w="10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szCs w:val="21"/>
              </w:rPr>
            </w:pPr>
            <w:r>
              <w:rPr>
                <w:rFonts w:ascii="Times New Roman" w:hAnsi="Times New Roman"/>
              </w:rPr>
              <w:t>Ⅱ类</w:t>
            </w:r>
          </w:p>
        </w:tc>
        <w:tc>
          <w:tcPr>
            <w:tcW w:w="6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szCs w:val="21"/>
              </w:rPr>
            </w:pPr>
            <w:r>
              <w:rPr>
                <w:rFonts w:ascii="Times New Roman" w:hAnsi="Times New Roman"/>
                <w:szCs w:val="21"/>
              </w:rPr>
              <w:t>1</w:t>
            </w:r>
          </w:p>
        </w:tc>
        <w:tc>
          <w:tcPr>
            <w:tcW w:w="135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olor w:val="000000"/>
                <w:szCs w:val="21"/>
              </w:rPr>
            </w:pPr>
            <w:r>
              <w:rPr>
                <w:rFonts w:ascii="Times New Roman" w:hAnsi="Times New Roman"/>
                <w:color w:val="000000"/>
                <w:kern w:val="0"/>
                <w:szCs w:val="21"/>
              </w:rPr>
              <w:t>XT3005</w:t>
            </w:r>
            <w:r>
              <w:rPr>
                <w:rFonts w:hint="eastAsia" w:ascii="Times New Roman" w:hAnsi="Times New Roman"/>
                <w:color w:val="000000"/>
                <w:kern w:val="0"/>
                <w:szCs w:val="21"/>
              </w:rPr>
              <w:t>型</w:t>
            </w:r>
          </w:p>
        </w:tc>
        <w:tc>
          <w:tcPr>
            <w:tcW w:w="133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olor w:val="000000"/>
                <w:szCs w:val="21"/>
              </w:rPr>
            </w:pPr>
            <w:r>
              <w:rPr>
                <w:rFonts w:ascii="Times New Roman" w:hAnsi="Times New Roman"/>
                <w:color w:val="000000"/>
                <w:szCs w:val="21"/>
              </w:rPr>
              <w:t>300</w:t>
            </w:r>
          </w:p>
        </w:tc>
        <w:tc>
          <w:tcPr>
            <w:tcW w:w="13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olor w:val="000000"/>
                <w:szCs w:val="21"/>
              </w:rPr>
            </w:pPr>
            <w:r>
              <w:rPr>
                <w:rFonts w:ascii="Times New Roman" w:hAnsi="Times New Roman"/>
                <w:color w:val="000000"/>
                <w:szCs w:val="21"/>
              </w:rPr>
              <w:t>5</w:t>
            </w:r>
          </w:p>
        </w:tc>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szCs w:val="21"/>
              </w:rPr>
            </w:pPr>
            <w:r>
              <w:rPr>
                <w:rFonts w:ascii="Times New Roman" w:hAnsi="Times New Roman"/>
                <w:szCs w:val="21"/>
              </w:rPr>
              <w:t>工业X射线探伤</w:t>
            </w:r>
          </w:p>
        </w:tc>
        <w:tc>
          <w:tcPr>
            <w:tcW w:w="135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szCs w:val="21"/>
              </w:rPr>
            </w:pPr>
            <w:r>
              <w:rPr>
                <w:rFonts w:ascii="Times New Roman" w:hAnsi="Times New Roman"/>
                <w:szCs w:val="21"/>
              </w:rPr>
              <w:t>现场探伤</w:t>
            </w:r>
          </w:p>
        </w:tc>
        <w:tc>
          <w:tcPr>
            <w:tcW w:w="1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定向</w:t>
            </w:r>
          </w:p>
        </w:tc>
      </w:tr>
      <w:tr>
        <w:tblPrEx>
          <w:tblCellMar>
            <w:top w:w="0" w:type="dxa"/>
            <w:left w:w="0" w:type="dxa"/>
            <w:bottom w:w="0" w:type="dxa"/>
            <w:right w:w="0" w:type="dxa"/>
          </w:tblCellMar>
        </w:tblPrEx>
        <w:trPr>
          <w:trHeight w:val="569"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Fonts w:ascii="Times New Roman" w:hAnsi="Times New Roman"/>
                <w:szCs w:val="21"/>
              </w:rPr>
            </w:pPr>
            <w:r>
              <w:rPr>
                <w:rFonts w:ascii="Times New Roman" w:hAnsi="Times New Roman"/>
                <w:szCs w:val="21"/>
              </w:rPr>
              <w:t>3</w:t>
            </w:r>
          </w:p>
        </w:tc>
        <w:tc>
          <w:tcPr>
            <w:tcW w:w="216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bCs/>
                <w:color w:val="000000"/>
                <w:kern w:val="0"/>
                <w:szCs w:val="21"/>
              </w:rPr>
            </w:pPr>
            <w:r>
              <w:rPr>
                <w:rFonts w:hint="eastAsia" w:ascii="Times New Roman" w:hAnsi="Times New Roman"/>
                <w:color w:val="000000"/>
                <w:kern w:val="0"/>
                <w:szCs w:val="21"/>
              </w:rPr>
              <w:t>工业用</w:t>
            </w:r>
            <w:r>
              <w:rPr>
                <w:rFonts w:ascii="Times New Roman" w:hAnsi="Times New Roman"/>
                <w:color w:val="000000"/>
                <w:kern w:val="0"/>
                <w:szCs w:val="21"/>
              </w:rPr>
              <w:t>X射线探伤机</w:t>
            </w:r>
          </w:p>
        </w:tc>
        <w:tc>
          <w:tcPr>
            <w:tcW w:w="10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szCs w:val="21"/>
              </w:rPr>
            </w:pPr>
            <w:r>
              <w:rPr>
                <w:rFonts w:ascii="Times New Roman" w:hAnsi="Times New Roman"/>
              </w:rPr>
              <w:t>Ⅱ类</w:t>
            </w:r>
          </w:p>
        </w:tc>
        <w:tc>
          <w:tcPr>
            <w:tcW w:w="6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szCs w:val="21"/>
              </w:rPr>
            </w:pPr>
            <w:r>
              <w:rPr>
                <w:rFonts w:ascii="Times New Roman" w:hAnsi="Times New Roman"/>
                <w:szCs w:val="21"/>
              </w:rPr>
              <w:t>1</w:t>
            </w:r>
          </w:p>
        </w:tc>
        <w:tc>
          <w:tcPr>
            <w:tcW w:w="135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olor w:val="000000"/>
                <w:szCs w:val="21"/>
              </w:rPr>
            </w:pPr>
            <w:r>
              <w:rPr>
                <w:rFonts w:ascii="Times New Roman" w:hAnsi="Times New Roman"/>
                <w:kern w:val="0"/>
                <w:szCs w:val="21"/>
              </w:rPr>
              <w:t>XXG3005</w:t>
            </w:r>
            <w:r>
              <w:rPr>
                <w:rFonts w:hint="eastAsia" w:ascii="Times New Roman" w:hAnsi="Times New Roman"/>
                <w:color w:val="000000"/>
                <w:kern w:val="0"/>
                <w:szCs w:val="21"/>
              </w:rPr>
              <w:t>型</w:t>
            </w:r>
          </w:p>
        </w:tc>
        <w:tc>
          <w:tcPr>
            <w:tcW w:w="133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olor w:val="000000"/>
                <w:szCs w:val="21"/>
              </w:rPr>
            </w:pPr>
            <w:r>
              <w:rPr>
                <w:rFonts w:ascii="Times New Roman" w:hAnsi="Times New Roman"/>
                <w:color w:val="000000"/>
                <w:szCs w:val="21"/>
              </w:rPr>
              <w:t>300</w:t>
            </w:r>
          </w:p>
        </w:tc>
        <w:tc>
          <w:tcPr>
            <w:tcW w:w="13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olor w:val="000000"/>
                <w:szCs w:val="21"/>
              </w:rPr>
            </w:pPr>
            <w:r>
              <w:rPr>
                <w:rFonts w:ascii="Times New Roman" w:hAnsi="Times New Roman"/>
                <w:color w:val="000000"/>
                <w:szCs w:val="21"/>
              </w:rPr>
              <w:t>5</w:t>
            </w:r>
          </w:p>
        </w:tc>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szCs w:val="21"/>
              </w:rPr>
            </w:pPr>
            <w:r>
              <w:rPr>
                <w:rFonts w:ascii="Times New Roman" w:hAnsi="Times New Roman"/>
                <w:szCs w:val="21"/>
              </w:rPr>
              <w:t>工业X射线探伤</w:t>
            </w:r>
          </w:p>
        </w:tc>
        <w:tc>
          <w:tcPr>
            <w:tcW w:w="135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szCs w:val="21"/>
              </w:rPr>
            </w:pPr>
            <w:r>
              <w:rPr>
                <w:rFonts w:ascii="Times New Roman" w:hAnsi="Times New Roman"/>
                <w:szCs w:val="21"/>
              </w:rPr>
              <w:t>现场探伤</w:t>
            </w:r>
          </w:p>
        </w:tc>
        <w:tc>
          <w:tcPr>
            <w:tcW w:w="13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定向</w:t>
            </w:r>
          </w:p>
        </w:tc>
      </w:tr>
    </w:tbl>
    <w:p>
      <w:pPr>
        <w:pStyle w:val="6"/>
        <w:kinsoku w:val="0"/>
        <w:overflowPunct w:val="0"/>
        <w:spacing w:before="26"/>
        <w:ind w:left="0"/>
        <w:rPr>
          <w:rFonts w:ascii="Times New Roman" w:cs="Times New Roman"/>
          <w:sz w:val="24"/>
          <w:szCs w:val="24"/>
        </w:rPr>
      </w:pPr>
      <w:r>
        <w:rPr>
          <w:rFonts w:ascii="Times New Roman" w:cs="Times New Roman"/>
          <w:sz w:val="24"/>
          <w:szCs w:val="24"/>
        </w:rPr>
        <w:t>(三)中子发生器，包括中子管，但不包括放射性中子源</w:t>
      </w:r>
    </w:p>
    <w:tbl>
      <w:tblPr>
        <w:tblStyle w:val="16"/>
        <w:tblW w:w="13608" w:type="dxa"/>
        <w:tblInd w:w="0" w:type="dxa"/>
        <w:tblLayout w:type="fixed"/>
        <w:tblCellMar>
          <w:top w:w="0" w:type="dxa"/>
          <w:left w:w="0" w:type="dxa"/>
          <w:bottom w:w="0" w:type="dxa"/>
          <w:right w:w="0" w:type="dxa"/>
        </w:tblCellMar>
      </w:tblPr>
      <w:tblGrid>
        <w:gridCol w:w="851"/>
        <w:gridCol w:w="850"/>
        <w:gridCol w:w="821"/>
        <w:gridCol w:w="739"/>
        <w:gridCol w:w="713"/>
        <w:gridCol w:w="1276"/>
        <w:gridCol w:w="1276"/>
        <w:gridCol w:w="1134"/>
        <w:gridCol w:w="709"/>
        <w:gridCol w:w="957"/>
        <w:gridCol w:w="1277"/>
        <w:gridCol w:w="1134"/>
        <w:gridCol w:w="709"/>
        <w:gridCol w:w="1162"/>
      </w:tblGrid>
      <w:tr>
        <w:trPr>
          <w:trHeight w:val="349" w:hRule="exact"/>
        </w:trPr>
        <w:tc>
          <w:tcPr>
            <w:tcW w:w="851"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45" w:right="143"/>
              <w:jc w:val="center"/>
            </w:pPr>
            <w:r>
              <w:rPr>
                <w:sz w:val="21"/>
                <w:szCs w:val="21"/>
              </w:rPr>
              <w:t>序号</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right="1"/>
              <w:jc w:val="center"/>
            </w:pPr>
            <w:r>
              <w:rPr>
                <w:sz w:val="21"/>
                <w:szCs w:val="21"/>
              </w:rPr>
              <w:t>名称</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02" w:right="99"/>
              <w:jc w:val="center"/>
            </w:pPr>
            <w:r>
              <w:rPr>
                <w:sz w:val="21"/>
                <w:szCs w:val="21"/>
              </w:rPr>
              <w:t>类别</w:t>
            </w:r>
          </w:p>
        </w:tc>
        <w:tc>
          <w:tcPr>
            <w:tcW w:w="739"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02" w:right="100"/>
              <w:jc w:val="center"/>
            </w:pPr>
            <w:r>
              <w:rPr>
                <w:sz w:val="21"/>
                <w:szCs w:val="21"/>
              </w:rPr>
              <w:t>数量</w:t>
            </w:r>
          </w:p>
        </w:tc>
        <w:tc>
          <w:tcPr>
            <w:tcW w:w="713"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jc w:val="center"/>
            </w:pPr>
            <w:r>
              <w:rPr>
                <w:sz w:val="21"/>
                <w:szCs w:val="21"/>
              </w:rPr>
              <w:t>型号</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40" w:right="138"/>
              <w:jc w:val="center"/>
            </w:pPr>
            <w:r>
              <w:rPr>
                <w:sz w:val="21"/>
                <w:szCs w:val="21"/>
              </w:rPr>
              <w:t>最大管电压（kV）</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02" w:right="72" w:firstLine="38"/>
              <w:jc w:val="center"/>
            </w:pPr>
            <w:r>
              <w:rPr>
                <w:sz w:val="21"/>
                <w:szCs w:val="21"/>
              </w:rPr>
              <w:t>最大靶电流（μA）</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22" w:right="121" w:firstLine="52"/>
              <w:jc w:val="center"/>
            </w:pPr>
            <w:r>
              <w:rPr>
                <w:sz w:val="21"/>
                <w:szCs w:val="21"/>
              </w:rPr>
              <w:t>中子强</w:t>
            </w:r>
            <w:r>
              <w:rPr>
                <w:spacing w:val="-1"/>
                <w:sz w:val="21"/>
                <w:szCs w:val="21"/>
              </w:rPr>
              <w:t>度(n/s)</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firstLine="102" w:firstLineChars="49"/>
            </w:pPr>
            <w:r>
              <w:rPr>
                <w:sz w:val="21"/>
                <w:szCs w:val="21"/>
              </w:rPr>
              <w:t>用途</w:t>
            </w:r>
          </w:p>
        </w:tc>
        <w:tc>
          <w:tcPr>
            <w:tcW w:w="957"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40"/>
              <w:jc w:val="center"/>
              <w:rPr>
                <w:sz w:val="21"/>
                <w:szCs w:val="21"/>
              </w:rPr>
            </w:pPr>
            <w:r>
              <w:rPr>
                <w:sz w:val="21"/>
                <w:szCs w:val="21"/>
              </w:rPr>
              <w:t>工作</w:t>
            </w:r>
          </w:p>
          <w:p>
            <w:pPr>
              <w:pStyle w:val="33"/>
              <w:kinsoku w:val="0"/>
              <w:overflowPunct w:val="0"/>
              <w:ind w:left="140"/>
              <w:jc w:val="center"/>
            </w:pPr>
            <w:r>
              <w:rPr>
                <w:sz w:val="21"/>
                <w:szCs w:val="21"/>
              </w:rPr>
              <w:t>场所</w:t>
            </w:r>
          </w:p>
        </w:tc>
        <w:tc>
          <w:tcPr>
            <w:tcW w:w="3120" w:type="dxa"/>
            <w:gridSpan w:val="3"/>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jc w:val="center"/>
            </w:pPr>
            <w:r>
              <w:rPr>
                <w:sz w:val="21"/>
                <w:szCs w:val="21"/>
              </w:rPr>
              <w:t>氚靶情况</w:t>
            </w:r>
          </w:p>
        </w:tc>
        <w:tc>
          <w:tcPr>
            <w:tcW w:w="1162" w:type="dxa"/>
            <w:vMerge w:val="restart"/>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r>
              <w:rPr>
                <w:sz w:val="21"/>
                <w:szCs w:val="21"/>
              </w:rPr>
              <w:t>备注</w:t>
            </w:r>
          </w:p>
        </w:tc>
      </w:tr>
      <w:tr>
        <w:tblPrEx>
          <w:tblCellMar>
            <w:top w:w="0" w:type="dxa"/>
            <w:left w:w="0" w:type="dxa"/>
            <w:bottom w:w="0" w:type="dxa"/>
            <w:right w:w="0" w:type="dxa"/>
          </w:tblCellMar>
        </w:tblPrEx>
        <w:trPr>
          <w:trHeight w:val="350" w:hRule="exact"/>
        </w:trPr>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73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713"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957"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236"/>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06"/>
              <w:jc w:val="center"/>
            </w:pPr>
            <w:r>
              <w:rPr>
                <w:sz w:val="21"/>
                <w:szCs w:val="21"/>
              </w:rPr>
              <w:t>活度（Bq）</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40"/>
              <w:jc w:val="center"/>
            </w:pPr>
            <w:r>
              <w:rPr>
                <w:sz w:val="21"/>
                <w:szCs w:val="21"/>
              </w:rPr>
              <w:t>贮存方式</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38"/>
              <w:jc w:val="center"/>
            </w:pPr>
            <w:r>
              <w:rPr>
                <w:sz w:val="21"/>
                <w:szCs w:val="21"/>
              </w:rPr>
              <w:t>数量</w:t>
            </w:r>
          </w:p>
        </w:tc>
        <w:tc>
          <w:tcPr>
            <w:tcW w:w="1162" w:type="dxa"/>
            <w:vMerge w:val="continue"/>
            <w:tcBorders>
              <w:top w:val="single" w:color="000000" w:sz="4" w:space="0"/>
              <w:left w:val="single" w:color="000000" w:sz="4" w:space="0"/>
              <w:bottom w:val="single" w:color="000000" w:sz="4" w:space="0"/>
              <w:right w:val="single" w:color="000000" w:sz="4" w:space="0"/>
            </w:tcBorders>
            <w:vAlign w:val="center"/>
          </w:tcPr>
          <w:p>
            <w:pPr>
              <w:pStyle w:val="33"/>
              <w:kinsoku w:val="0"/>
              <w:overflowPunct w:val="0"/>
              <w:ind w:left="138"/>
              <w:jc w:val="center"/>
            </w:pPr>
          </w:p>
        </w:tc>
      </w:tr>
      <w:tr>
        <w:tblPrEx>
          <w:tblCellMar>
            <w:top w:w="0" w:type="dxa"/>
            <w:left w:w="0" w:type="dxa"/>
            <w:bottom w:w="0" w:type="dxa"/>
            <w:right w:w="0" w:type="dxa"/>
          </w:tblCellMar>
        </w:tblPrEx>
        <w:trPr>
          <w:trHeight w:val="441" w:hRule="exact"/>
        </w:trPr>
        <w:tc>
          <w:tcPr>
            <w:tcW w:w="85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82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7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71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95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c>
          <w:tcPr>
            <w:tcW w:w="116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w:t>
            </w:r>
          </w:p>
        </w:tc>
      </w:tr>
    </w:tbl>
    <w:p>
      <w:pPr>
        <w:pStyle w:val="2"/>
        <w:rPr>
          <w:rFonts w:ascii="Times New Roman" w:hAnsi="Times New Roman"/>
          <w:sz w:val="28"/>
          <w:szCs w:val="28"/>
        </w:rPr>
      </w:pPr>
      <w:bookmarkStart w:id="11" w:name="_Toc10464"/>
      <w:r>
        <w:rPr>
          <w:rFonts w:ascii="Times New Roman" w:hAnsi="Times New Roman"/>
          <w:sz w:val="28"/>
          <w:szCs w:val="28"/>
        </w:rPr>
        <w:t>表5 废弃物（重点是放射性废弃物）</w:t>
      </w:r>
      <w:bookmarkEnd w:id="11"/>
    </w:p>
    <w:tbl>
      <w:tblPr>
        <w:tblStyle w:val="16"/>
        <w:tblW w:w="1360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992"/>
        <w:gridCol w:w="1134"/>
        <w:gridCol w:w="567"/>
        <w:gridCol w:w="1417"/>
        <w:gridCol w:w="1276"/>
        <w:gridCol w:w="1418"/>
        <w:gridCol w:w="2438"/>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vAlign w:val="center"/>
          </w:tcPr>
          <w:p>
            <w:pPr>
              <w:pStyle w:val="6"/>
              <w:kinsoku w:val="0"/>
              <w:overflowPunct w:val="0"/>
              <w:adjustRightInd/>
              <w:spacing w:before="35"/>
              <w:ind w:left="0"/>
              <w:contextualSpacing/>
              <w:jc w:val="center"/>
              <w:rPr>
                <w:rFonts w:ascii="Times New Roman" w:cs="Times New Roman"/>
                <w:spacing w:val="-1"/>
              </w:rPr>
            </w:pPr>
            <w:r>
              <w:rPr>
                <w:rFonts w:ascii="Times New Roman" w:cs="Times New Roman"/>
                <w:spacing w:val="-1"/>
              </w:rPr>
              <w:t>名称</w:t>
            </w:r>
          </w:p>
        </w:tc>
        <w:tc>
          <w:tcPr>
            <w:tcW w:w="992" w:type="dxa"/>
            <w:vAlign w:val="center"/>
          </w:tcPr>
          <w:p>
            <w:pPr>
              <w:pStyle w:val="6"/>
              <w:kinsoku w:val="0"/>
              <w:overflowPunct w:val="0"/>
              <w:adjustRightInd/>
              <w:spacing w:before="35"/>
              <w:ind w:left="0"/>
              <w:contextualSpacing/>
              <w:jc w:val="center"/>
              <w:rPr>
                <w:rFonts w:ascii="Times New Roman" w:cs="Times New Roman"/>
                <w:b/>
                <w:spacing w:val="-1"/>
                <w:sz w:val="32"/>
                <w:szCs w:val="32"/>
              </w:rPr>
            </w:pPr>
            <w:r>
              <w:rPr>
                <w:rFonts w:ascii="Times New Roman" w:cs="Times New Roman"/>
                <w:spacing w:val="-1"/>
              </w:rPr>
              <w:t>状态</w:t>
            </w:r>
          </w:p>
        </w:tc>
        <w:tc>
          <w:tcPr>
            <w:tcW w:w="1134" w:type="dxa"/>
            <w:vAlign w:val="center"/>
          </w:tcPr>
          <w:p>
            <w:pPr>
              <w:pStyle w:val="6"/>
              <w:kinsoku w:val="0"/>
              <w:overflowPunct w:val="0"/>
              <w:adjustRightInd/>
              <w:spacing w:before="35"/>
              <w:ind w:left="0"/>
              <w:contextualSpacing/>
              <w:jc w:val="center"/>
              <w:rPr>
                <w:rFonts w:ascii="Times New Roman" w:cs="Times New Roman"/>
                <w:spacing w:val="-1"/>
              </w:rPr>
            </w:pPr>
            <w:r>
              <w:rPr>
                <w:rFonts w:ascii="Times New Roman" w:cs="Times New Roman"/>
                <w:spacing w:val="-1"/>
              </w:rPr>
              <w:t>核素名称</w:t>
            </w:r>
          </w:p>
        </w:tc>
        <w:tc>
          <w:tcPr>
            <w:tcW w:w="567" w:type="dxa"/>
            <w:vAlign w:val="center"/>
          </w:tcPr>
          <w:p>
            <w:pPr>
              <w:pStyle w:val="6"/>
              <w:kinsoku w:val="0"/>
              <w:overflowPunct w:val="0"/>
              <w:adjustRightInd/>
              <w:spacing w:before="35"/>
              <w:ind w:left="0"/>
              <w:contextualSpacing/>
              <w:jc w:val="center"/>
              <w:rPr>
                <w:rFonts w:ascii="Times New Roman" w:cs="Times New Roman"/>
                <w:spacing w:val="-1"/>
              </w:rPr>
            </w:pPr>
            <w:r>
              <w:rPr>
                <w:rFonts w:ascii="Times New Roman" w:cs="Times New Roman"/>
                <w:spacing w:val="-1"/>
              </w:rPr>
              <w:t>活度</w:t>
            </w:r>
          </w:p>
        </w:tc>
        <w:tc>
          <w:tcPr>
            <w:tcW w:w="1417" w:type="dxa"/>
            <w:vAlign w:val="center"/>
          </w:tcPr>
          <w:p>
            <w:pPr>
              <w:pStyle w:val="6"/>
              <w:kinsoku w:val="0"/>
              <w:overflowPunct w:val="0"/>
              <w:adjustRightInd/>
              <w:spacing w:before="35"/>
              <w:ind w:left="0"/>
              <w:contextualSpacing/>
              <w:jc w:val="center"/>
              <w:rPr>
                <w:rFonts w:ascii="Times New Roman" w:cs="Times New Roman"/>
                <w:spacing w:val="-1"/>
              </w:rPr>
            </w:pPr>
            <w:r>
              <w:rPr>
                <w:rFonts w:ascii="Times New Roman" w:cs="Times New Roman"/>
              </w:rPr>
              <w:t>一次排放量(Bq)</w:t>
            </w:r>
          </w:p>
        </w:tc>
        <w:tc>
          <w:tcPr>
            <w:tcW w:w="1276" w:type="dxa"/>
            <w:vAlign w:val="center"/>
          </w:tcPr>
          <w:p>
            <w:pPr>
              <w:pStyle w:val="6"/>
              <w:kinsoku w:val="0"/>
              <w:overflowPunct w:val="0"/>
              <w:adjustRightInd/>
              <w:spacing w:before="35"/>
              <w:ind w:left="0"/>
              <w:contextualSpacing/>
              <w:jc w:val="center"/>
              <w:rPr>
                <w:rFonts w:ascii="Times New Roman" w:cs="Times New Roman"/>
                <w:b/>
                <w:spacing w:val="-1"/>
                <w:sz w:val="32"/>
                <w:szCs w:val="32"/>
              </w:rPr>
            </w:pPr>
            <w:r>
              <w:rPr>
                <w:rFonts w:ascii="Times New Roman" w:cs="Times New Roman"/>
              </w:rPr>
              <w:t>年排放总量(Bq)</w:t>
            </w:r>
          </w:p>
        </w:tc>
        <w:tc>
          <w:tcPr>
            <w:tcW w:w="1418" w:type="dxa"/>
            <w:vAlign w:val="center"/>
          </w:tcPr>
          <w:p>
            <w:pPr>
              <w:pStyle w:val="33"/>
              <w:kinsoku w:val="0"/>
              <w:overflowPunct w:val="0"/>
              <w:adjustRightInd/>
              <w:spacing w:line="259" w:lineRule="exact"/>
              <w:contextualSpacing/>
              <w:jc w:val="center"/>
              <w:rPr>
                <w:sz w:val="21"/>
                <w:szCs w:val="21"/>
              </w:rPr>
            </w:pPr>
            <w:r>
              <w:rPr>
                <w:sz w:val="21"/>
                <w:szCs w:val="21"/>
              </w:rPr>
              <w:t>排放口浓度</w:t>
            </w:r>
          </w:p>
        </w:tc>
        <w:tc>
          <w:tcPr>
            <w:tcW w:w="2438" w:type="dxa"/>
            <w:vAlign w:val="center"/>
          </w:tcPr>
          <w:p>
            <w:pPr>
              <w:pStyle w:val="6"/>
              <w:kinsoku w:val="0"/>
              <w:overflowPunct w:val="0"/>
              <w:adjustRightInd/>
              <w:spacing w:before="35"/>
              <w:ind w:left="0"/>
              <w:contextualSpacing/>
              <w:jc w:val="center"/>
              <w:rPr>
                <w:rFonts w:ascii="Times New Roman" w:cs="Times New Roman"/>
                <w:b/>
                <w:spacing w:val="-1"/>
                <w:sz w:val="32"/>
                <w:szCs w:val="32"/>
              </w:rPr>
            </w:pPr>
            <w:r>
              <w:rPr>
                <w:rFonts w:ascii="Times New Roman" w:cs="Times New Roman"/>
              </w:rPr>
              <w:t>暂存情况</w:t>
            </w:r>
          </w:p>
        </w:tc>
        <w:tc>
          <w:tcPr>
            <w:tcW w:w="2098" w:type="dxa"/>
            <w:vAlign w:val="center"/>
          </w:tcPr>
          <w:p>
            <w:pPr>
              <w:pStyle w:val="33"/>
              <w:kinsoku w:val="0"/>
              <w:overflowPunct w:val="0"/>
              <w:adjustRightInd/>
              <w:spacing w:line="259" w:lineRule="exact"/>
              <w:contextualSpacing/>
              <w:jc w:val="center"/>
              <w:rPr>
                <w:sz w:val="21"/>
                <w:szCs w:val="21"/>
              </w:rPr>
            </w:pPr>
            <w:r>
              <w:rPr>
                <w:sz w:val="21"/>
                <w:szCs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vAlign w:val="center"/>
          </w:tcPr>
          <w:p>
            <w:pPr>
              <w:jc w:val="center"/>
              <w:rPr>
                <w:rFonts w:ascii="Times New Roman" w:hAnsi="Times New Roman"/>
                <w:kern w:val="0"/>
                <w:szCs w:val="21"/>
              </w:rPr>
            </w:pPr>
            <w:r>
              <w:rPr>
                <w:rFonts w:ascii="Times New Roman" w:hAnsi="Times New Roman"/>
                <w:kern w:val="0"/>
                <w:szCs w:val="21"/>
              </w:rPr>
              <w:t>洗片废液</w:t>
            </w:r>
          </w:p>
        </w:tc>
        <w:tc>
          <w:tcPr>
            <w:tcW w:w="992" w:type="dxa"/>
            <w:vAlign w:val="center"/>
          </w:tcPr>
          <w:p>
            <w:pPr>
              <w:jc w:val="center"/>
              <w:rPr>
                <w:rFonts w:ascii="Times New Roman" w:hAnsi="Times New Roman"/>
                <w:kern w:val="0"/>
                <w:szCs w:val="21"/>
              </w:rPr>
            </w:pPr>
            <w:r>
              <w:rPr>
                <w:rFonts w:ascii="Times New Roman" w:hAnsi="Times New Roman"/>
                <w:kern w:val="0"/>
                <w:szCs w:val="21"/>
              </w:rPr>
              <w:t>液体</w:t>
            </w:r>
          </w:p>
        </w:tc>
        <w:tc>
          <w:tcPr>
            <w:tcW w:w="1134" w:type="dxa"/>
            <w:vAlign w:val="center"/>
          </w:tcPr>
          <w:p>
            <w:pPr>
              <w:jc w:val="center"/>
              <w:rPr>
                <w:rFonts w:ascii="Times New Roman" w:hAnsi="Times New Roman"/>
                <w:kern w:val="0"/>
                <w:szCs w:val="21"/>
              </w:rPr>
            </w:pPr>
            <w:r>
              <w:rPr>
                <w:rFonts w:ascii="Times New Roman" w:hAnsi="Times New Roman"/>
                <w:kern w:val="0"/>
                <w:szCs w:val="21"/>
              </w:rPr>
              <w:t>/</w:t>
            </w:r>
          </w:p>
        </w:tc>
        <w:tc>
          <w:tcPr>
            <w:tcW w:w="567" w:type="dxa"/>
            <w:vAlign w:val="center"/>
          </w:tcPr>
          <w:p>
            <w:pPr>
              <w:jc w:val="center"/>
              <w:rPr>
                <w:rFonts w:ascii="Times New Roman" w:hAnsi="Times New Roman"/>
                <w:kern w:val="0"/>
                <w:szCs w:val="21"/>
              </w:rPr>
            </w:pPr>
            <w:r>
              <w:rPr>
                <w:rFonts w:ascii="Times New Roman" w:hAnsi="Times New Roman"/>
                <w:kern w:val="0"/>
                <w:szCs w:val="21"/>
              </w:rPr>
              <w:t>/</w:t>
            </w:r>
          </w:p>
        </w:tc>
        <w:tc>
          <w:tcPr>
            <w:tcW w:w="1417" w:type="dxa"/>
            <w:vAlign w:val="center"/>
          </w:tcPr>
          <w:p>
            <w:pPr>
              <w:jc w:val="center"/>
              <w:rPr>
                <w:rFonts w:ascii="Times New Roman" w:hAnsi="Times New Roman"/>
                <w:kern w:val="0"/>
                <w:szCs w:val="21"/>
              </w:rPr>
            </w:pPr>
            <w:r>
              <w:rPr>
                <w:rFonts w:ascii="Times New Roman" w:hAnsi="Times New Roman"/>
                <w:kern w:val="0"/>
                <w:szCs w:val="21"/>
              </w:rPr>
              <w:t>/</w:t>
            </w:r>
          </w:p>
        </w:tc>
        <w:tc>
          <w:tcPr>
            <w:tcW w:w="1276" w:type="dxa"/>
            <w:vAlign w:val="center"/>
          </w:tcPr>
          <w:p>
            <w:pPr>
              <w:jc w:val="center"/>
              <w:rPr>
                <w:rFonts w:ascii="Times New Roman" w:hAnsi="Times New Roman"/>
                <w:kern w:val="0"/>
                <w:szCs w:val="21"/>
              </w:rPr>
            </w:pPr>
            <w:r>
              <w:rPr>
                <w:rFonts w:ascii="Times New Roman" w:hAnsi="Times New Roman"/>
                <w:kern w:val="0"/>
                <w:szCs w:val="21"/>
              </w:rPr>
              <w:t>100kg</w:t>
            </w:r>
          </w:p>
        </w:tc>
        <w:tc>
          <w:tcPr>
            <w:tcW w:w="1418" w:type="dxa"/>
            <w:vAlign w:val="center"/>
          </w:tcPr>
          <w:p>
            <w:pPr>
              <w:jc w:val="center"/>
              <w:rPr>
                <w:rFonts w:ascii="Times New Roman" w:hAnsi="Times New Roman"/>
                <w:kern w:val="0"/>
                <w:szCs w:val="21"/>
              </w:rPr>
            </w:pPr>
            <w:r>
              <w:rPr>
                <w:rFonts w:ascii="Times New Roman" w:hAnsi="Times New Roman"/>
                <w:kern w:val="0"/>
                <w:szCs w:val="21"/>
              </w:rPr>
              <w:t>/</w:t>
            </w:r>
          </w:p>
        </w:tc>
        <w:tc>
          <w:tcPr>
            <w:tcW w:w="2438" w:type="dxa"/>
            <w:vAlign w:val="center"/>
          </w:tcPr>
          <w:p>
            <w:pPr>
              <w:jc w:val="center"/>
              <w:rPr>
                <w:rFonts w:ascii="Times New Roman" w:hAnsi="Times New Roman"/>
                <w:kern w:val="0"/>
                <w:szCs w:val="21"/>
              </w:rPr>
            </w:pPr>
            <w:r>
              <w:rPr>
                <w:rFonts w:ascii="Times New Roman" w:hAnsi="Times New Roman"/>
                <w:kern w:val="0"/>
                <w:szCs w:val="21"/>
              </w:rPr>
              <w:t>废液桶收集，</w:t>
            </w:r>
            <w:r>
              <w:rPr>
                <w:rFonts w:ascii="Times New Roman" w:hAnsi="Times New Roman"/>
                <w:szCs w:val="21"/>
              </w:rPr>
              <w:t>并存放至废物暂存间</w:t>
            </w:r>
          </w:p>
        </w:tc>
        <w:tc>
          <w:tcPr>
            <w:tcW w:w="2098" w:type="dxa"/>
            <w:vAlign w:val="center"/>
          </w:tcPr>
          <w:p>
            <w:pPr>
              <w:jc w:val="center"/>
              <w:rPr>
                <w:rFonts w:ascii="Times New Roman" w:hAnsi="Times New Roman"/>
                <w:kern w:val="0"/>
                <w:szCs w:val="21"/>
              </w:rPr>
            </w:pPr>
            <w:r>
              <w:rPr>
                <w:rFonts w:ascii="Times New Roman" w:hAnsi="Times New Roman"/>
                <w:szCs w:val="21"/>
              </w:rPr>
              <w:t>定期交由有资质单位回收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vAlign w:val="center"/>
          </w:tcPr>
          <w:p>
            <w:pPr>
              <w:spacing w:line="240" w:lineRule="atLeast"/>
              <w:jc w:val="center"/>
              <w:rPr>
                <w:rFonts w:ascii="Times New Roman" w:hAnsi="Times New Roman"/>
                <w:kern w:val="0"/>
                <w:szCs w:val="21"/>
              </w:rPr>
            </w:pPr>
            <w:r>
              <w:rPr>
                <w:rFonts w:ascii="Times New Roman" w:hAnsi="Times New Roman"/>
                <w:szCs w:val="21"/>
              </w:rPr>
              <w:t>废胶片</w:t>
            </w:r>
          </w:p>
        </w:tc>
        <w:tc>
          <w:tcPr>
            <w:tcW w:w="992" w:type="dxa"/>
            <w:vAlign w:val="center"/>
          </w:tcPr>
          <w:p>
            <w:pPr>
              <w:spacing w:line="240" w:lineRule="atLeast"/>
              <w:jc w:val="center"/>
              <w:rPr>
                <w:rFonts w:ascii="Times New Roman" w:hAnsi="Times New Roman"/>
                <w:kern w:val="0"/>
                <w:szCs w:val="21"/>
              </w:rPr>
            </w:pPr>
            <w:r>
              <w:rPr>
                <w:rFonts w:ascii="Times New Roman" w:hAnsi="Times New Roman"/>
                <w:szCs w:val="21"/>
              </w:rPr>
              <w:t>固态</w:t>
            </w:r>
          </w:p>
        </w:tc>
        <w:tc>
          <w:tcPr>
            <w:tcW w:w="1134" w:type="dxa"/>
            <w:vAlign w:val="center"/>
          </w:tcPr>
          <w:p>
            <w:pPr>
              <w:jc w:val="center"/>
              <w:rPr>
                <w:rFonts w:ascii="Times New Roman" w:hAnsi="Times New Roman"/>
                <w:kern w:val="0"/>
                <w:szCs w:val="21"/>
              </w:rPr>
            </w:pPr>
            <w:r>
              <w:rPr>
                <w:rFonts w:ascii="Times New Roman" w:hAnsi="Times New Roman"/>
                <w:kern w:val="0"/>
                <w:szCs w:val="21"/>
              </w:rPr>
              <w:t>/</w:t>
            </w:r>
          </w:p>
        </w:tc>
        <w:tc>
          <w:tcPr>
            <w:tcW w:w="567" w:type="dxa"/>
            <w:vAlign w:val="center"/>
          </w:tcPr>
          <w:p>
            <w:pPr>
              <w:jc w:val="center"/>
              <w:rPr>
                <w:rFonts w:ascii="Times New Roman" w:hAnsi="Times New Roman"/>
                <w:kern w:val="0"/>
                <w:szCs w:val="21"/>
              </w:rPr>
            </w:pPr>
            <w:r>
              <w:rPr>
                <w:rFonts w:ascii="Times New Roman" w:hAnsi="Times New Roman"/>
                <w:kern w:val="0"/>
                <w:szCs w:val="21"/>
              </w:rPr>
              <w:t>/</w:t>
            </w:r>
          </w:p>
        </w:tc>
        <w:tc>
          <w:tcPr>
            <w:tcW w:w="1417" w:type="dxa"/>
            <w:vAlign w:val="center"/>
          </w:tcPr>
          <w:p>
            <w:pPr>
              <w:jc w:val="center"/>
              <w:rPr>
                <w:rFonts w:ascii="Times New Roman" w:hAnsi="Times New Roman"/>
                <w:kern w:val="0"/>
                <w:szCs w:val="21"/>
              </w:rPr>
            </w:pPr>
            <w:r>
              <w:rPr>
                <w:rFonts w:ascii="Times New Roman" w:hAnsi="Times New Roman"/>
                <w:kern w:val="0"/>
                <w:szCs w:val="21"/>
              </w:rPr>
              <w:t>/</w:t>
            </w:r>
          </w:p>
        </w:tc>
        <w:tc>
          <w:tcPr>
            <w:tcW w:w="1276" w:type="dxa"/>
            <w:vAlign w:val="center"/>
          </w:tcPr>
          <w:p>
            <w:pPr>
              <w:jc w:val="center"/>
              <w:rPr>
                <w:rFonts w:ascii="Times New Roman" w:hAnsi="Times New Roman"/>
                <w:kern w:val="0"/>
                <w:szCs w:val="21"/>
              </w:rPr>
            </w:pPr>
            <w:r>
              <w:rPr>
                <w:rFonts w:ascii="Times New Roman" w:hAnsi="Times New Roman"/>
                <w:kern w:val="0"/>
                <w:szCs w:val="21"/>
              </w:rPr>
              <w:t>100张</w:t>
            </w:r>
          </w:p>
        </w:tc>
        <w:tc>
          <w:tcPr>
            <w:tcW w:w="1418" w:type="dxa"/>
            <w:vAlign w:val="center"/>
          </w:tcPr>
          <w:p>
            <w:pPr>
              <w:jc w:val="center"/>
              <w:rPr>
                <w:rFonts w:ascii="Times New Roman" w:hAnsi="Times New Roman"/>
                <w:kern w:val="0"/>
                <w:szCs w:val="21"/>
              </w:rPr>
            </w:pPr>
            <w:r>
              <w:rPr>
                <w:rFonts w:ascii="Times New Roman" w:hAnsi="Times New Roman"/>
                <w:kern w:val="0"/>
                <w:szCs w:val="21"/>
              </w:rPr>
              <w:t>/</w:t>
            </w:r>
          </w:p>
        </w:tc>
        <w:tc>
          <w:tcPr>
            <w:tcW w:w="2438" w:type="dxa"/>
            <w:vAlign w:val="center"/>
          </w:tcPr>
          <w:p>
            <w:pPr>
              <w:spacing w:line="240" w:lineRule="atLeast"/>
              <w:jc w:val="center"/>
              <w:rPr>
                <w:rFonts w:ascii="Times New Roman" w:hAnsi="Times New Roman"/>
                <w:kern w:val="0"/>
                <w:szCs w:val="21"/>
              </w:rPr>
            </w:pPr>
            <w:r>
              <w:rPr>
                <w:rFonts w:ascii="Times New Roman" w:hAnsi="Times New Roman"/>
                <w:szCs w:val="21"/>
              </w:rPr>
              <w:t>纸袋保存,并存放至废物暂存间</w:t>
            </w:r>
          </w:p>
        </w:tc>
        <w:tc>
          <w:tcPr>
            <w:tcW w:w="2098" w:type="dxa"/>
            <w:vAlign w:val="center"/>
          </w:tcPr>
          <w:p>
            <w:pPr>
              <w:spacing w:line="240" w:lineRule="atLeast"/>
              <w:jc w:val="center"/>
              <w:rPr>
                <w:rFonts w:ascii="Times New Roman" w:hAnsi="Times New Roman"/>
                <w:kern w:val="0"/>
                <w:szCs w:val="21"/>
              </w:rPr>
            </w:pPr>
            <w:r>
              <w:rPr>
                <w:rFonts w:ascii="Times New Roman" w:hAnsi="Times New Roman"/>
                <w:szCs w:val="21"/>
              </w:rPr>
              <w:t>定期交由有资质单位回收</w:t>
            </w:r>
          </w:p>
        </w:tc>
      </w:tr>
    </w:tbl>
    <w:p>
      <w:pPr>
        <w:pStyle w:val="6"/>
        <w:kinsoku w:val="0"/>
        <w:overflowPunct w:val="0"/>
        <w:snapToGrid w:val="0"/>
        <w:spacing w:line="380" w:lineRule="exact"/>
        <w:ind w:left="445" w:hanging="445" w:hangingChars="250"/>
        <w:contextualSpacing/>
        <w:jc w:val="both"/>
        <w:rPr>
          <w:rFonts w:ascii="Times New Roman" w:cs="Times New Roman"/>
          <w:spacing w:val="102"/>
          <w:sz w:val="18"/>
          <w:szCs w:val="18"/>
        </w:rPr>
      </w:pPr>
      <w:r>
        <w:rPr>
          <w:rFonts w:ascii="Times New Roman" w:cs="Times New Roman"/>
          <w:spacing w:val="-1"/>
          <w:sz w:val="18"/>
          <w:szCs w:val="18"/>
        </w:rPr>
        <w:t>注：1.常规废弃物排放浓度，对于液态单位为mg/L，固体为mg/kg，气态为mg/m</w:t>
      </w:r>
      <w:r>
        <w:rPr>
          <w:rFonts w:ascii="Times New Roman" w:cs="Times New Roman"/>
          <w:spacing w:val="-1"/>
          <w:position w:val="9"/>
          <w:sz w:val="9"/>
          <w:szCs w:val="9"/>
        </w:rPr>
        <w:t>3</w:t>
      </w:r>
      <w:r>
        <w:rPr>
          <w:rFonts w:ascii="Times New Roman" w:cs="Times New Roman"/>
          <w:spacing w:val="-1"/>
          <w:sz w:val="18"/>
          <w:szCs w:val="18"/>
        </w:rPr>
        <w:t>；年排放总量用kg。</w:t>
      </w:r>
    </w:p>
    <w:p>
      <w:pPr>
        <w:pStyle w:val="6"/>
        <w:kinsoku w:val="0"/>
        <w:overflowPunct w:val="0"/>
        <w:snapToGrid w:val="0"/>
        <w:spacing w:line="380" w:lineRule="exact"/>
        <w:ind w:left="0" w:firstLine="356" w:firstLineChars="200"/>
        <w:contextualSpacing/>
        <w:jc w:val="both"/>
        <w:rPr>
          <w:rFonts w:ascii="Times New Roman" w:cs="Times New Roman"/>
          <w:spacing w:val="102"/>
          <w:sz w:val="18"/>
          <w:szCs w:val="18"/>
        </w:rPr>
      </w:pPr>
      <w:r>
        <w:rPr>
          <w:rFonts w:ascii="Times New Roman" w:cs="Times New Roman"/>
          <w:spacing w:val="-1"/>
          <w:sz w:val="18"/>
          <w:szCs w:val="18"/>
        </w:rPr>
        <w:t>2.含有放射性废物要注明其排放浓度、年排放总量分别用比活度（Bq/L或Bq/kg或Bq/m</w:t>
      </w:r>
      <w:r>
        <w:rPr>
          <w:rFonts w:ascii="Times New Roman" w:cs="Times New Roman"/>
          <w:spacing w:val="-1"/>
          <w:position w:val="9"/>
          <w:sz w:val="9"/>
          <w:szCs w:val="9"/>
        </w:rPr>
        <w:t>3</w:t>
      </w:r>
      <w:r>
        <w:rPr>
          <w:rFonts w:ascii="Times New Roman" w:cs="Times New Roman"/>
          <w:spacing w:val="-1"/>
          <w:sz w:val="18"/>
          <w:szCs w:val="18"/>
        </w:rPr>
        <w:t>）和活度（Bq）。</w:t>
      </w:r>
    </w:p>
    <w:p>
      <w:pPr>
        <w:pStyle w:val="6"/>
        <w:kinsoku w:val="0"/>
        <w:overflowPunct w:val="0"/>
        <w:adjustRightInd/>
        <w:spacing w:before="35"/>
        <w:ind w:left="0"/>
        <w:jc w:val="both"/>
        <w:rPr>
          <w:rFonts w:ascii="Times New Roman" w:cs="Times New Roman"/>
          <w:b/>
          <w:spacing w:val="-1"/>
          <w:sz w:val="32"/>
          <w:szCs w:val="32"/>
        </w:rPr>
        <w:sectPr>
          <w:pgSz w:w="16838" w:h="11906" w:orient="landscape"/>
          <w:pgMar w:top="1800" w:right="1440" w:bottom="1800" w:left="1440" w:header="851" w:footer="992" w:gutter="0"/>
          <w:cols w:space="720" w:num="1"/>
          <w:docGrid w:type="lines" w:linePitch="312" w:charSpace="0"/>
        </w:sectPr>
      </w:pPr>
    </w:p>
    <w:p>
      <w:pPr>
        <w:pStyle w:val="2"/>
        <w:rPr>
          <w:rFonts w:ascii="Times New Roman" w:hAnsi="Times New Roman"/>
          <w:sz w:val="28"/>
          <w:szCs w:val="28"/>
        </w:rPr>
      </w:pPr>
      <w:bookmarkStart w:id="12" w:name="_Toc7430"/>
      <w:r>
        <w:rPr>
          <w:rFonts w:ascii="Times New Roman" w:hAnsi="Times New Roman"/>
          <w:sz w:val="28"/>
          <w:szCs w:val="28"/>
        </w:rPr>
        <w:t>表6评价依据</w:t>
      </w:r>
      <w:bookmarkEnd w:id="12"/>
    </w:p>
    <w:tbl>
      <w:tblPr>
        <w:tblStyle w:val="16"/>
        <w:tblW w:w="9652" w:type="dxa"/>
        <w:jc w:val="center"/>
        <w:tblLayout w:type="fixed"/>
        <w:tblCellMar>
          <w:top w:w="0" w:type="dxa"/>
          <w:left w:w="0" w:type="dxa"/>
          <w:bottom w:w="0" w:type="dxa"/>
          <w:right w:w="0" w:type="dxa"/>
        </w:tblCellMar>
      </w:tblPr>
      <w:tblGrid>
        <w:gridCol w:w="620"/>
        <w:gridCol w:w="9032"/>
      </w:tblGrid>
      <w:tr>
        <w:tblPrEx>
          <w:tblCellMar>
            <w:top w:w="0" w:type="dxa"/>
            <w:left w:w="0" w:type="dxa"/>
            <w:bottom w:w="0" w:type="dxa"/>
            <w:right w:w="0" w:type="dxa"/>
          </w:tblCellMar>
        </w:tblPrEx>
        <w:trPr>
          <w:trHeight w:val="6591" w:hRule="atLeast"/>
          <w:jc w:val="center"/>
        </w:trPr>
        <w:tc>
          <w:tcPr>
            <w:tcW w:w="620" w:type="dxa"/>
            <w:tcBorders>
              <w:top w:val="single" w:color="000000" w:sz="4" w:space="0"/>
              <w:left w:val="single" w:color="000000" w:sz="4" w:space="0"/>
              <w:bottom w:val="single" w:color="000000" w:sz="4" w:space="0"/>
              <w:right w:val="single" w:color="000000" w:sz="4" w:space="0"/>
            </w:tcBorders>
          </w:tcPr>
          <w:p>
            <w:pPr>
              <w:pStyle w:val="33"/>
              <w:kinsoku w:val="0"/>
              <w:overflowPunct w:val="0"/>
              <w:spacing w:line="340" w:lineRule="auto"/>
              <w:ind w:right="120" w:firstLine="114" w:firstLineChars="50"/>
              <w:rPr>
                <w:b/>
                <w:bCs/>
                <w:w w:val="95"/>
              </w:rPr>
            </w:pPr>
          </w:p>
          <w:p>
            <w:pPr>
              <w:pStyle w:val="33"/>
              <w:kinsoku w:val="0"/>
              <w:overflowPunct w:val="0"/>
              <w:spacing w:line="340" w:lineRule="auto"/>
              <w:ind w:right="120"/>
              <w:rPr>
                <w:b/>
                <w:bCs/>
                <w:w w:val="95"/>
              </w:rPr>
            </w:pPr>
          </w:p>
          <w:p>
            <w:pPr>
              <w:pStyle w:val="33"/>
              <w:kinsoku w:val="0"/>
              <w:overflowPunct w:val="0"/>
              <w:spacing w:line="340" w:lineRule="auto"/>
              <w:ind w:right="120"/>
              <w:rPr>
                <w:b/>
                <w:bCs/>
                <w:w w:val="95"/>
              </w:rPr>
            </w:pPr>
          </w:p>
          <w:p>
            <w:pPr>
              <w:pStyle w:val="33"/>
              <w:kinsoku w:val="0"/>
              <w:overflowPunct w:val="0"/>
              <w:spacing w:line="340" w:lineRule="auto"/>
              <w:ind w:right="120" w:firstLine="114" w:firstLineChars="50"/>
              <w:rPr>
                <w:b/>
                <w:bCs/>
                <w:w w:val="95"/>
              </w:rPr>
            </w:pPr>
            <w:r>
              <w:rPr>
                <w:b/>
                <w:bCs/>
                <w:w w:val="95"/>
              </w:rPr>
              <w:t>法</w:t>
            </w:r>
          </w:p>
          <w:p>
            <w:pPr>
              <w:pStyle w:val="33"/>
              <w:kinsoku w:val="0"/>
              <w:overflowPunct w:val="0"/>
              <w:spacing w:line="340" w:lineRule="auto"/>
              <w:ind w:left="122" w:right="120"/>
              <w:rPr>
                <w:b/>
                <w:bCs/>
                <w:w w:val="95"/>
              </w:rPr>
            </w:pPr>
          </w:p>
          <w:p>
            <w:pPr>
              <w:pStyle w:val="33"/>
              <w:kinsoku w:val="0"/>
              <w:overflowPunct w:val="0"/>
              <w:spacing w:line="340" w:lineRule="auto"/>
              <w:ind w:left="122" w:right="120"/>
              <w:rPr>
                <w:b/>
                <w:bCs/>
                <w:w w:val="95"/>
              </w:rPr>
            </w:pPr>
          </w:p>
          <w:p>
            <w:pPr>
              <w:pStyle w:val="33"/>
              <w:kinsoku w:val="0"/>
              <w:overflowPunct w:val="0"/>
              <w:spacing w:line="340" w:lineRule="auto"/>
              <w:ind w:left="122" w:right="120"/>
              <w:rPr>
                <w:b/>
                <w:bCs/>
                <w:spacing w:val="1"/>
                <w:w w:val="99"/>
              </w:rPr>
            </w:pPr>
            <w:r>
              <w:rPr>
                <w:b/>
                <w:bCs/>
                <w:w w:val="95"/>
              </w:rPr>
              <w:t>规</w:t>
            </w:r>
          </w:p>
          <w:p>
            <w:pPr>
              <w:pStyle w:val="33"/>
              <w:kinsoku w:val="0"/>
              <w:overflowPunct w:val="0"/>
              <w:spacing w:line="340" w:lineRule="auto"/>
              <w:ind w:left="122" w:right="120"/>
              <w:rPr>
                <w:b/>
                <w:bCs/>
                <w:spacing w:val="1"/>
                <w:w w:val="99"/>
              </w:rPr>
            </w:pPr>
          </w:p>
          <w:p>
            <w:pPr>
              <w:pStyle w:val="33"/>
              <w:kinsoku w:val="0"/>
              <w:overflowPunct w:val="0"/>
              <w:spacing w:line="340" w:lineRule="auto"/>
              <w:ind w:left="122" w:right="120"/>
              <w:rPr>
                <w:b/>
                <w:bCs/>
                <w:spacing w:val="1"/>
                <w:w w:val="99"/>
              </w:rPr>
            </w:pPr>
          </w:p>
          <w:p>
            <w:pPr>
              <w:pStyle w:val="33"/>
              <w:kinsoku w:val="0"/>
              <w:overflowPunct w:val="0"/>
              <w:spacing w:line="340" w:lineRule="auto"/>
              <w:ind w:left="122" w:right="120"/>
              <w:rPr>
                <w:b/>
                <w:bCs/>
                <w:w w:val="95"/>
              </w:rPr>
            </w:pPr>
            <w:r>
              <w:rPr>
                <w:b/>
                <w:bCs/>
                <w:w w:val="95"/>
              </w:rPr>
              <w:t>文</w:t>
            </w:r>
          </w:p>
          <w:p>
            <w:pPr>
              <w:pStyle w:val="33"/>
              <w:kinsoku w:val="0"/>
              <w:overflowPunct w:val="0"/>
              <w:spacing w:line="340" w:lineRule="auto"/>
              <w:ind w:left="122" w:right="120"/>
              <w:rPr>
                <w:b/>
                <w:bCs/>
                <w:w w:val="95"/>
              </w:rPr>
            </w:pPr>
          </w:p>
          <w:p>
            <w:pPr>
              <w:pStyle w:val="33"/>
              <w:kinsoku w:val="0"/>
              <w:overflowPunct w:val="0"/>
              <w:spacing w:line="340" w:lineRule="auto"/>
              <w:ind w:left="122" w:right="120"/>
              <w:rPr>
                <w:b/>
                <w:bCs/>
                <w:w w:val="95"/>
              </w:rPr>
            </w:pPr>
          </w:p>
          <w:p>
            <w:pPr>
              <w:pStyle w:val="33"/>
              <w:kinsoku w:val="0"/>
              <w:overflowPunct w:val="0"/>
              <w:spacing w:line="340" w:lineRule="auto"/>
              <w:ind w:left="122" w:right="120"/>
            </w:pPr>
            <w:r>
              <w:rPr>
                <w:b/>
                <w:bCs/>
                <w:w w:val="95"/>
              </w:rPr>
              <w:t>件</w:t>
            </w:r>
          </w:p>
        </w:tc>
        <w:tc>
          <w:tcPr>
            <w:tcW w:w="9032" w:type="dxa"/>
            <w:tcBorders>
              <w:top w:val="single" w:color="000000" w:sz="4" w:space="0"/>
              <w:left w:val="single" w:color="000000" w:sz="4" w:space="0"/>
              <w:bottom w:val="single" w:color="000000" w:sz="4" w:space="0"/>
              <w:right w:val="single" w:color="000000" w:sz="4" w:space="0"/>
            </w:tcBorders>
          </w:tcPr>
          <w:p>
            <w:pPr>
              <w:spacing w:line="400" w:lineRule="atLeast"/>
              <w:rPr>
                <w:rFonts w:ascii="Times New Roman" w:hAnsi="Times New Roman"/>
                <w:sz w:val="24"/>
              </w:rPr>
            </w:pPr>
            <w:r>
              <w:rPr>
                <w:rFonts w:ascii="Times New Roman" w:hAnsi="Times New Roman"/>
                <w:sz w:val="24"/>
              </w:rPr>
              <w:t>（1）《中华人民共和国环境保护法》（2015年1月）；</w:t>
            </w:r>
          </w:p>
          <w:p>
            <w:pPr>
              <w:spacing w:line="400" w:lineRule="atLeast"/>
              <w:rPr>
                <w:rFonts w:ascii="Times New Roman" w:hAnsi="Times New Roman"/>
                <w:sz w:val="24"/>
              </w:rPr>
            </w:pPr>
            <w:r>
              <w:rPr>
                <w:rFonts w:ascii="Times New Roman" w:hAnsi="Times New Roman"/>
                <w:sz w:val="24"/>
              </w:rPr>
              <w:t>（2）《中华人民共和国环境影响评价法》（2018年12月29日修正）；</w:t>
            </w:r>
          </w:p>
          <w:p>
            <w:pPr>
              <w:spacing w:line="400" w:lineRule="atLeast"/>
              <w:rPr>
                <w:rFonts w:ascii="Times New Roman" w:hAnsi="Times New Roman"/>
                <w:sz w:val="24"/>
              </w:rPr>
            </w:pPr>
            <w:r>
              <w:rPr>
                <w:rFonts w:ascii="Times New Roman" w:hAnsi="Times New Roman"/>
                <w:sz w:val="24"/>
              </w:rPr>
              <w:t>（3）《中华人民共和国放射性污染防治法》（2003年10月）；</w:t>
            </w:r>
          </w:p>
          <w:p>
            <w:pPr>
              <w:spacing w:line="400" w:lineRule="atLeast"/>
              <w:rPr>
                <w:rFonts w:ascii="Times New Roman" w:hAnsi="Times New Roman"/>
                <w:sz w:val="24"/>
              </w:rPr>
            </w:pPr>
            <w:r>
              <w:rPr>
                <w:rFonts w:ascii="Times New Roman" w:hAnsi="Times New Roman"/>
                <w:sz w:val="24"/>
              </w:rPr>
              <w:t>（4）《建设项目环境保护管理条例》国务院令第682号，（2017年7月16日）；</w:t>
            </w:r>
          </w:p>
          <w:p>
            <w:pPr>
              <w:spacing w:line="400" w:lineRule="atLeast"/>
              <w:rPr>
                <w:rFonts w:ascii="Times New Roman" w:hAnsi="Times New Roman"/>
                <w:sz w:val="24"/>
              </w:rPr>
            </w:pPr>
            <w:r>
              <w:rPr>
                <w:rFonts w:ascii="Times New Roman" w:hAnsi="Times New Roman"/>
                <w:sz w:val="24"/>
              </w:rPr>
              <w:t>（5）《放射性同位素与射线装置安全和防护条例》（国务院令第449号，2005年12月1日起施行；2019年修改，国务院令709号，2019年3月2日施行）；</w:t>
            </w:r>
          </w:p>
          <w:p>
            <w:pPr>
              <w:spacing w:line="400" w:lineRule="atLeast"/>
              <w:rPr>
                <w:rFonts w:ascii="Times New Roman" w:hAnsi="Times New Roman"/>
                <w:sz w:val="24"/>
              </w:rPr>
            </w:pPr>
            <w:r>
              <w:rPr>
                <w:rFonts w:ascii="Times New Roman" w:hAnsi="Times New Roman"/>
                <w:sz w:val="24"/>
              </w:rPr>
              <w:t>（6）《建设项目环境影响评价分类管理名录》，生态环境部令第16号，2021年1月1日；</w:t>
            </w:r>
          </w:p>
          <w:p>
            <w:pPr>
              <w:spacing w:line="400" w:lineRule="atLeast"/>
              <w:rPr>
                <w:rFonts w:ascii="Times New Roman" w:hAnsi="Times New Roman"/>
                <w:sz w:val="24"/>
              </w:rPr>
            </w:pPr>
            <w:r>
              <w:rPr>
                <w:rFonts w:ascii="Times New Roman" w:hAnsi="Times New Roman"/>
                <w:sz w:val="24"/>
              </w:rPr>
              <w:t>（7）《放射性同位素与射线装置安全许可管理办法》（生态环境部部令第7号，2021年1月4日第四次修正）；</w:t>
            </w:r>
          </w:p>
          <w:p>
            <w:pPr>
              <w:spacing w:line="400" w:lineRule="atLeast"/>
              <w:rPr>
                <w:rFonts w:ascii="Times New Roman" w:hAnsi="Times New Roman"/>
                <w:sz w:val="24"/>
              </w:rPr>
            </w:pPr>
            <w:r>
              <w:rPr>
                <w:rFonts w:ascii="Times New Roman" w:hAnsi="Times New Roman"/>
                <w:sz w:val="24"/>
              </w:rPr>
              <w:t>（8）《放射性同位素与射线装置安全和防护管理办法》（2021年1月4日修订）；</w:t>
            </w:r>
          </w:p>
          <w:p>
            <w:pPr>
              <w:spacing w:line="400" w:lineRule="atLeast"/>
              <w:rPr>
                <w:rFonts w:ascii="Times New Roman" w:hAnsi="Times New Roman"/>
                <w:sz w:val="24"/>
              </w:rPr>
            </w:pPr>
            <w:r>
              <w:rPr>
                <w:rFonts w:ascii="Times New Roman" w:hAnsi="Times New Roman"/>
                <w:sz w:val="24"/>
              </w:rPr>
              <w:t>（9）《关于发布《射线装置分类》的公告》，环境保护部、国家卫生和计划生育委员会、2017年12月5日；</w:t>
            </w:r>
          </w:p>
          <w:p>
            <w:pPr>
              <w:autoSpaceDE w:val="0"/>
              <w:autoSpaceDN w:val="0"/>
              <w:adjustRightInd w:val="0"/>
              <w:spacing w:line="400" w:lineRule="atLeast"/>
              <w:jc w:val="left"/>
              <w:rPr>
                <w:rFonts w:ascii="Times New Roman" w:hAnsi="Times New Roman"/>
                <w:sz w:val="24"/>
              </w:rPr>
            </w:pPr>
            <w:r>
              <w:rPr>
                <w:rFonts w:ascii="Times New Roman" w:hAnsi="Times New Roman"/>
                <w:sz w:val="24"/>
              </w:rPr>
              <w:t>（10）《新疆维吾尔自治区辐射污染防治办法》（政府令第192号，2015年）；</w:t>
            </w:r>
          </w:p>
          <w:p>
            <w:pPr>
              <w:spacing w:line="400" w:lineRule="atLeast"/>
              <w:rPr>
                <w:rStyle w:val="45"/>
                <w:rFonts w:ascii="Times New Roman" w:hAnsi="Times New Roman"/>
                <w:sz w:val="24"/>
              </w:rPr>
            </w:pPr>
            <w:r>
              <w:rPr>
                <w:rFonts w:ascii="Times New Roman" w:hAnsi="Times New Roman"/>
                <w:sz w:val="24"/>
              </w:rPr>
              <w:t>（11）《关于建立放射性同位素与射线装置事故分级处理报告制度的通知》国家环保总局，环发[2006]145号，2006年9月26日起施行。</w:t>
            </w:r>
          </w:p>
        </w:tc>
      </w:tr>
      <w:tr>
        <w:tblPrEx>
          <w:tblCellMar>
            <w:top w:w="0" w:type="dxa"/>
            <w:left w:w="0" w:type="dxa"/>
            <w:bottom w:w="0" w:type="dxa"/>
            <w:right w:w="0" w:type="dxa"/>
          </w:tblCellMar>
        </w:tblPrEx>
        <w:trPr>
          <w:trHeight w:val="3830" w:hRule="atLeast"/>
          <w:jc w:val="center"/>
        </w:trPr>
        <w:tc>
          <w:tcPr>
            <w:tcW w:w="620" w:type="dxa"/>
            <w:tcBorders>
              <w:top w:val="single" w:color="000000" w:sz="4" w:space="0"/>
              <w:left w:val="single" w:color="000000" w:sz="4" w:space="0"/>
              <w:bottom w:val="single" w:color="000000" w:sz="4" w:space="0"/>
              <w:right w:val="single" w:color="000000" w:sz="4" w:space="0"/>
            </w:tcBorders>
          </w:tcPr>
          <w:p>
            <w:pPr>
              <w:pStyle w:val="33"/>
              <w:kinsoku w:val="0"/>
              <w:overflowPunct w:val="0"/>
              <w:spacing w:line="340" w:lineRule="auto"/>
              <w:ind w:right="120" w:firstLine="114" w:firstLineChars="50"/>
              <w:rPr>
                <w:b/>
                <w:bCs/>
                <w:w w:val="95"/>
              </w:rPr>
            </w:pPr>
          </w:p>
          <w:p>
            <w:pPr>
              <w:pStyle w:val="33"/>
              <w:kinsoku w:val="0"/>
              <w:overflowPunct w:val="0"/>
              <w:spacing w:line="340" w:lineRule="auto"/>
              <w:ind w:right="120" w:firstLine="114" w:firstLineChars="50"/>
              <w:rPr>
                <w:b/>
                <w:bCs/>
                <w:w w:val="95"/>
              </w:rPr>
            </w:pPr>
            <w:r>
              <w:rPr>
                <w:b/>
                <w:bCs/>
                <w:w w:val="95"/>
              </w:rPr>
              <w:t>技</w:t>
            </w:r>
          </w:p>
          <w:p>
            <w:pPr>
              <w:pStyle w:val="33"/>
              <w:kinsoku w:val="0"/>
              <w:overflowPunct w:val="0"/>
              <w:spacing w:line="340" w:lineRule="auto"/>
              <w:ind w:right="120"/>
              <w:rPr>
                <w:b/>
                <w:bCs/>
                <w:w w:val="95"/>
              </w:rPr>
            </w:pPr>
          </w:p>
          <w:p>
            <w:pPr>
              <w:pStyle w:val="33"/>
              <w:kinsoku w:val="0"/>
              <w:overflowPunct w:val="0"/>
              <w:spacing w:line="340" w:lineRule="auto"/>
              <w:ind w:left="122" w:right="120"/>
              <w:rPr>
                <w:b/>
                <w:bCs/>
                <w:spacing w:val="1"/>
                <w:w w:val="99"/>
              </w:rPr>
            </w:pPr>
            <w:r>
              <w:rPr>
                <w:b/>
                <w:bCs/>
                <w:w w:val="95"/>
              </w:rPr>
              <w:t>术</w:t>
            </w:r>
          </w:p>
          <w:p>
            <w:pPr>
              <w:pStyle w:val="33"/>
              <w:kinsoku w:val="0"/>
              <w:overflowPunct w:val="0"/>
              <w:spacing w:line="340" w:lineRule="auto"/>
              <w:ind w:right="120"/>
              <w:rPr>
                <w:b/>
                <w:bCs/>
                <w:spacing w:val="1"/>
                <w:w w:val="99"/>
              </w:rPr>
            </w:pPr>
          </w:p>
          <w:p>
            <w:pPr>
              <w:pStyle w:val="33"/>
              <w:kinsoku w:val="0"/>
              <w:overflowPunct w:val="0"/>
              <w:spacing w:line="340" w:lineRule="auto"/>
              <w:ind w:left="122" w:right="120"/>
              <w:rPr>
                <w:b/>
                <w:bCs/>
                <w:w w:val="95"/>
              </w:rPr>
            </w:pPr>
            <w:r>
              <w:rPr>
                <w:b/>
                <w:bCs/>
                <w:w w:val="95"/>
              </w:rPr>
              <w:t>标</w:t>
            </w:r>
          </w:p>
          <w:p>
            <w:pPr>
              <w:pStyle w:val="33"/>
              <w:kinsoku w:val="0"/>
              <w:overflowPunct w:val="0"/>
              <w:spacing w:line="340" w:lineRule="auto"/>
              <w:ind w:right="120"/>
              <w:rPr>
                <w:b/>
                <w:bCs/>
                <w:w w:val="95"/>
              </w:rPr>
            </w:pPr>
          </w:p>
          <w:p>
            <w:pPr>
              <w:pStyle w:val="33"/>
              <w:kinsoku w:val="0"/>
              <w:overflowPunct w:val="0"/>
              <w:spacing w:line="340" w:lineRule="auto"/>
              <w:ind w:left="122" w:right="120"/>
            </w:pPr>
            <w:r>
              <w:rPr>
                <w:b/>
                <w:bCs/>
                <w:w w:val="95"/>
              </w:rPr>
              <w:t>准</w:t>
            </w:r>
          </w:p>
        </w:tc>
        <w:tc>
          <w:tcPr>
            <w:tcW w:w="9032" w:type="dxa"/>
            <w:tcBorders>
              <w:top w:val="single" w:color="000000" w:sz="4" w:space="0"/>
              <w:left w:val="single" w:color="000000" w:sz="4" w:space="0"/>
              <w:bottom w:val="single" w:color="000000" w:sz="4" w:space="0"/>
              <w:right w:val="single" w:color="000000" w:sz="4" w:space="0"/>
            </w:tcBorders>
          </w:tcPr>
          <w:p>
            <w:pPr>
              <w:spacing w:line="400" w:lineRule="atLeast"/>
              <w:rPr>
                <w:rFonts w:ascii="Times New Roman" w:hAnsi="Times New Roman"/>
                <w:sz w:val="24"/>
              </w:rPr>
            </w:pPr>
            <w:r>
              <w:rPr>
                <w:rFonts w:ascii="Times New Roman" w:hAnsi="Times New Roman"/>
                <w:sz w:val="24"/>
              </w:rPr>
              <w:t>（1）《建设项目环境影响评价技术导则总纲》（HJ2.1-2016）；</w:t>
            </w:r>
          </w:p>
          <w:p>
            <w:pPr>
              <w:spacing w:line="400" w:lineRule="atLeast"/>
              <w:rPr>
                <w:rFonts w:ascii="Times New Roman" w:hAnsi="Times New Roman"/>
                <w:sz w:val="24"/>
              </w:rPr>
            </w:pPr>
            <w:r>
              <w:rPr>
                <w:rFonts w:ascii="Times New Roman" w:hAnsi="Times New Roman"/>
                <w:sz w:val="24"/>
              </w:rPr>
              <w:t>（2）《</w:t>
            </w:r>
            <w:r>
              <w:fldChar w:fldCharType="begin"/>
            </w:r>
            <w:r>
              <w:instrText xml:space="preserve"> HYPERLINK "http://kjs.mep.gov.cn/hjbhbz/bzwb/hxxhj/xgbz/201604/W020160406326946554784.pdf" </w:instrText>
            </w:r>
            <w:r>
              <w:fldChar w:fldCharType="separate"/>
            </w:r>
            <w:r>
              <w:rPr>
                <w:rFonts w:ascii="Times New Roman" w:hAnsi="Times New Roman"/>
                <w:sz w:val="24"/>
              </w:rPr>
              <w:t>辐射环境保护管理导则核技术利用建设项目环境影响评价文件的内容和格式</w:t>
            </w:r>
            <w:r>
              <w:rPr>
                <w:rFonts w:ascii="Times New Roman" w:hAnsi="Times New Roman"/>
                <w:sz w:val="24"/>
              </w:rPr>
              <w:fldChar w:fldCharType="end"/>
            </w:r>
            <w:r>
              <w:rPr>
                <w:rFonts w:ascii="Times New Roman" w:hAnsi="Times New Roman"/>
                <w:sz w:val="24"/>
              </w:rPr>
              <w:t>》（HJ/T10.1—2016）；</w:t>
            </w:r>
          </w:p>
          <w:p>
            <w:pPr>
              <w:spacing w:line="400" w:lineRule="atLeast"/>
              <w:rPr>
                <w:rFonts w:ascii="Times New Roman" w:hAnsi="Times New Roman"/>
                <w:sz w:val="24"/>
              </w:rPr>
            </w:pPr>
            <w:r>
              <w:rPr>
                <w:rFonts w:ascii="Times New Roman" w:hAnsi="Times New Roman"/>
                <w:sz w:val="24"/>
              </w:rPr>
              <w:t>（3）《电离辐射防护与辐射源安全基本标准》（GB18871-2002）；</w:t>
            </w:r>
          </w:p>
          <w:p>
            <w:pPr>
              <w:spacing w:line="400" w:lineRule="atLeast"/>
              <w:rPr>
                <w:rFonts w:ascii="Times New Roman" w:hAnsi="Times New Roman"/>
                <w:sz w:val="24"/>
              </w:rPr>
            </w:pPr>
            <w:r>
              <w:rPr>
                <w:rFonts w:ascii="Times New Roman" w:hAnsi="Times New Roman"/>
                <w:sz w:val="24"/>
              </w:rPr>
              <w:t>（4）《辐射环境监测技术规范》（HJ61-2021）；</w:t>
            </w:r>
          </w:p>
          <w:p>
            <w:pPr>
              <w:spacing w:line="400" w:lineRule="atLeast"/>
              <w:rPr>
                <w:rFonts w:ascii="Times New Roman" w:hAnsi="Times New Roman"/>
                <w:sz w:val="24"/>
              </w:rPr>
            </w:pPr>
            <w:r>
              <w:rPr>
                <w:rFonts w:ascii="Times New Roman" w:hAnsi="Times New Roman"/>
                <w:sz w:val="24"/>
              </w:rPr>
              <w:t>（5）《职业性外照射个人监测规范》（GBZ128-2019）；</w:t>
            </w:r>
          </w:p>
          <w:p>
            <w:pPr>
              <w:spacing w:line="400" w:lineRule="atLeast"/>
              <w:rPr>
                <w:rFonts w:ascii="Times New Roman" w:hAnsi="Times New Roman"/>
                <w:sz w:val="24"/>
              </w:rPr>
            </w:pPr>
            <w:r>
              <w:rPr>
                <w:rFonts w:ascii="Times New Roman" w:hAnsi="Times New Roman"/>
                <w:sz w:val="24"/>
              </w:rPr>
              <w:t>（6）《生产经营单位生产安全事故应急预案编制导则》（GB/T29639-2020）；</w:t>
            </w:r>
          </w:p>
          <w:p>
            <w:pPr>
              <w:spacing w:line="400" w:lineRule="atLeast"/>
              <w:rPr>
                <w:rFonts w:ascii="Times New Roman" w:hAnsi="Times New Roman"/>
                <w:sz w:val="24"/>
              </w:rPr>
            </w:pPr>
            <w:r>
              <w:rPr>
                <w:rFonts w:ascii="Times New Roman" w:hAnsi="Times New Roman"/>
                <w:sz w:val="24"/>
              </w:rPr>
              <w:t>（7）《工业探伤放射防护标准》（GBZ117-2022）；</w:t>
            </w:r>
          </w:p>
          <w:p>
            <w:pPr>
              <w:spacing w:line="400" w:lineRule="atLeast"/>
              <w:rPr>
                <w:rFonts w:ascii="Times New Roman" w:hAnsi="Times New Roman"/>
                <w:color w:val="000000"/>
                <w:sz w:val="24"/>
              </w:rPr>
            </w:pPr>
            <w:r>
              <w:rPr>
                <w:rFonts w:ascii="Times New Roman" w:hAnsi="Times New Roman"/>
                <w:sz w:val="24"/>
              </w:rPr>
              <w:t>（8）《危险废物贮存污染控制标准》（GB18597-2023）。</w:t>
            </w:r>
          </w:p>
        </w:tc>
      </w:tr>
      <w:tr>
        <w:tblPrEx>
          <w:tblCellMar>
            <w:top w:w="0" w:type="dxa"/>
            <w:left w:w="0" w:type="dxa"/>
            <w:bottom w:w="0" w:type="dxa"/>
            <w:right w:w="0" w:type="dxa"/>
          </w:tblCellMar>
        </w:tblPrEx>
        <w:trPr>
          <w:trHeight w:val="1883" w:hRule="atLeast"/>
          <w:jc w:val="center"/>
        </w:trPr>
        <w:tc>
          <w:tcPr>
            <w:tcW w:w="620" w:type="dxa"/>
            <w:tcBorders>
              <w:top w:val="single" w:color="000000" w:sz="4" w:space="0"/>
              <w:left w:val="single" w:color="000000" w:sz="4" w:space="0"/>
              <w:bottom w:val="single" w:color="000000" w:sz="4" w:space="0"/>
              <w:right w:val="single" w:color="000000" w:sz="4" w:space="0"/>
            </w:tcBorders>
          </w:tcPr>
          <w:p>
            <w:pPr>
              <w:pStyle w:val="33"/>
              <w:kinsoku w:val="0"/>
              <w:overflowPunct w:val="0"/>
              <w:rPr>
                <w:b/>
                <w:bCs/>
                <w:spacing w:val="1"/>
                <w:sz w:val="21"/>
                <w:szCs w:val="21"/>
              </w:rPr>
            </w:pPr>
          </w:p>
          <w:p>
            <w:pPr>
              <w:pStyle w:val="33"/>
              <w:kinsoku w:val="0"/>
              <w:overflowPunct w:val="0"/>
              <w:spacing w:line="340" w:lineRule="auto"/>
              <w:ind w:left="122" w:right="120"/>
              <w:rPr>
                <w:b/>
                <w:bCs/>
                <w:w w:val="95"/>
              </w:rPr>
            </w:pPr>
            <w:r>
              <w:rPr>
                <w:b/>
                <w:bCs/>
                <w:w w:val="95"/>
              </w:rPr>
              <w:t>其</w:t>
            </w:r>
          </w:p>
          <w:p>
            <w:pPr>
              <w:pStyle w:val="33"/>
              <w:kinsoku w:val="0"/>
              <w:overflowPunct w:val="0"/>
              <w:spacing w:line="340" w:lineRule="auto"/>
              <w:ind w:left="122" w:right="120"/>
              <w:rPr>
                <w:b/>
                <w:bCs/>
                <w:w w:val="95"/>
              </w:rPr>
            </w:pPr>
          </w:p>
          <w:p>
            <w:pPr>
              <w:pStyle w:val="33"/>
              <w:kinsoku w:val="0"/>
              <w:overflowPunct w:val="0"/>
              <w:spacing w:line="340" w:lineRule="auto"/>
              <w:ind w:left="122" w:right="120"/>
            </w:pPr>
            <w:r>
              <w:rPr>
                <w:b/>
                <w:bCs/>
                <w:w w:val="95"/>
              </w:rPr>
              <w:t>他</w:t>
            </w:r>
          </w:p>
        </w:tc>
        <w:tc>
          <w:tcPr>
            <w:tcW w:w="9032" w:type="dxa"/>
            <w:tcBorders>
              <w:top w:val="single" w:color="000000" w:sz="4" w:space="0"/>
              <w:left w:val="single" w:color="000000" w:sz="4" w:space="0"/>
              <w:bottom w:val="single" w:color="000000" w:sz="4" w:space="0"/>
              <w:right w:val="single" w:color="000000" w:sz="4" w:space="0"/>
            </w:tcBorders>
            <w:vAlign w:val="center"/>
          </w:tcPr>
          <w:p>
            <w:pPr>
              <w:spacing w:line="400" w:lineRule="atLeast"/>
              <w:contextualSpacing/>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《新疆维吾尔自治区环境天然放射性水平调查报告》（1989年）</w:t>
            </w:r>
            <w:r>
              <w:rPr>
                <w:rFonts w:ascii="Times New Roman" w:hAnsi="Times New Roman"/>
                <w:sz w:val="24"/>
                <w:szCs w:val="24"/>
              </w:rPr>
              <w:t>；</w:t>
            </w:r>
          </w:p>
          <w:p>
            <w:pPr>
              <w:spacing w:line="400" w:lineRule="atLeast"/>
              <w:contextualSpacing/>
              <w:rPr>
                <w:rFonts w:ascii="Times New Roman" w:hAnsi="Times New Roman"/>
                <w:sz w:val="24"/>
              </w:rPr>
            </w:pPr>
            <w:r>
              <w:rPr>
                <w:rFonts w:ascii="Times New Roman" w:hAnsi="Times New Roman"/>
                <w:sz w:val="24"/>
                <w:szCs w:val="24"/>
              </w:rPr>
              <w:t>（2）</w:t>
            </w:r>
            <w:r>
              <w:rPr>
                <w:rFonts w:hint="eastAsia" w:ascii="Times New Roman" w:hAnsi="Times New Roman"/>
                <w:color w:val="000000"/>
                <w:sz w:val="24"/>
                <w:szCs w:val="32"/>
              </w:rPr>
              <w:t>新疆质检院</w:t>
            </w:r>
            <w:r>
              <w:rPr>
                <w:rFonts w:ascii="Times New Roman" w:hAnsi="Times New Roman"/>
                <w:sz w:val="24"/>
                <w:szCs w:val="24"/>
              </w:rPr>
              <w:t>提供的其他资料。</w:t>
            </w:r>
          </w:p>
        </w:tc>
      </w:tr>
    </w:tbl>
    <w:p>
      <w:pPr>
        <w:pStyle w:val="2"/>
        <w:rPr>
          <w:rFonts w:ascii="Times New Roman" w:hAnsi="Times New Roman"/>
          <w:sz w:val="28"/>
          <w:szCs w:val="28"/>
        </w:rPr>
      </w:pPr>
      <w:bookmarkStart w:id="13" w:name="_Toc457303394"/>
      <w:bookmarkStart w:id="14" w:name="_Toc8307"/>
      <w:bookmarkStart w:id="15" w:name="_Toc457302973"/>
      <w:r>
        <w:rPr>
          <w:rFonts w:ascii="Times New Roman" w:hAnsi="Times New Roman"/>
          <w:sz w:val="28"/>
          <w:szCs w:val="28"/>
        </w:rPr>
        <w:t>表7保护目标与评价标准</w:t>
      </w:r>
      <w:bookmarkEnd w:id="13"/>
      <w:bookmarkEnd w:id="14"/>
      <w:bookmarkEnd w:id="15"/>
    </w:p>
    <w:tbl>
      <w:tblPr>
        <w:tblStyle w:val="16"/>
        <w:tblW w:w="9001"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7" w:hRule="atLeast"/>
        </w:trPr>
        <w:tc>
          <w:tcPr>
            <w:tcW w:w="9001" w:type="dxa"/>
          </w:tcPr>
          <w:p>
            <w:pPr>
              <w:pStyle w:val="33"/>
              <w:kinsoku w:val="0"/>
              <w:overflowPunct w:val="0"/>
              <w:adjustRightInd/>
              <w:spacing w:line="500" w:lineRule="exact"/>
              <w:contextualSpacing/>
              <w:jc w:val="both"/>
              <w:rPr>
                <w:b/>
                <w:bCs/>
                <w:spacing w:val="1"/>
                <w:sz w:val="28"/>
                <w:szCs w:val="28"/>
              </w:rPr>
            </w:pPr>
            <w:r>
              <w:rPr>
                <w:b/>
                <w:bCs/>
                <w:spacing w:val="1"/>
                <w:sz w:val="28"/>
                <w:szCs w:val="28"/>
              </w:rPr>
              <w:t>7.1评价范围</w:t>
            </w:r>
          </w:p>
          <w:p>
            <w:pPr>
              <w:pStyle w:val="33"/>
              <w:kinsoku w:val="0"/>
              <w:overflowPunct w:val="0"/>
              <w:adjustRightInd/>
              <w:spacing w:line="500" w:lineRule="exact"/>
              <w:ind w:firstLine="480" w:firstLineChars="200"/>
              <w:contextualSpacing/>
              <w:jc w:val="both"/>
              <w:rPr>
                <w:b/>
                <w:bCs/>
                <w:spacing w:val="1"/>
              </w:rPr>
            </w:pPr>
            <w:r>
              <w:t>根据《</w:t>
            </w:r>
            <w:r>
              <w:fldChar w:fldCharType="begin"/>
            </w:r>
            <w:r>
              <w:instrText xml:space="preserve"> HYPERLINK "http://kjs.mep.gov.cn/hjbhbz/bzwb/hxxhj/xgbz/201604/W020160406326946554784.pdf" </w:instrText>
            </w:r>
            <w:r>
              <w:fldChar w:fldCharType="separate"/>
            </w:r>
            <w:r>
              <w:t>辐射环境保护管理导则核技术利用建设项目环境影响评价文件的内容和格式</w:t>
            </w:r>
            <w:r>
              <w:fldChar w:fldCharType="end"/>
            </w:r>
            <w:r>
              <w:t>》(HJ/T10.1-2016)和《工业探伤放射防护标准》(GBZ117-2022)的</w:t>
            </w:r>
            <w:r>
              <w:rPr>
                <w:rFonts w:hint="eastAsia"/>
              </w:rPr>
              <w:t>要求</w:t>
            </w:r>
            <w:r>
              <w:t>，结合本项目环境影响因素的特征和项目周围环境的特点，确定本项目的辐射评价范围是</w:t>
            </w:r>
            <w:r>
              <w:rPr>
                <w:color w:val="000000"/>
              </w:rPr>
              <w:t>X射线探伤</w:t>
            </w:r>
            <w:r>
              <w:t>作业现场100m范围内的区域。</w:t>
            </w:r>
          </w:p>
          <w:p>
            <w:pPr>
              <w:pStyle w:val="33"/>
              <w:kinsoku w:val="0"/>
              <w:overflowPunct w:val="0"/>
              <w:adjustRightInd/>
              <w:spacing w:line="500" w:lineRule="exact"/>
              <w:contextualSpacing/>
              <w:jc w:val="both"/>
              <w:rPr>
                <w:b/>
                <w:bCs/>
                <w:spacing w:val="1"/>
                <w:sz w:val="28"/>
                <w:szCs w:val="28"/>
              </w:rPr>
            </w:pPr>
            <w:r>
              <w:rPr>
                <w:b/>
                <w:bCs/>
                <w:spacing w:val="1"/>
                <w:sz w:val="28"/>
                <w:szCs w:val="28"/>
              </w:rPr>
              <w:t>7.2保护目标</w:t>
            </w:r>
          </w:p>
          <w:p>
            <w:pPr>
              <w:pStyle w:val="33"/>
              <w:kinsoku w:val="0"/>
              <w:overflowPunct w:val="0"/>
              <w:adjustRightInd/>
              <w:spacing w:line="500" w:lineRule="exact"/>
              <w:ind w:firstLine="480" w:firstLineChars="200"/>
              <w:contextualSpacing/>
              <w:jc w:val="both"/>
            </w:pPr>
            <w:r>
              <w:rPr>
                <w:rFonts w:hint="eastAsia"/>
              </w:rPr>
              <w:t>本项目主要为现场探伤，选择夜晚并对探伤场所进行清场处理后开展探伤工作。所以本项目的环境保护目标主要为操作X射线探伤装置的职业人员（控制区外，监督区内），以及周围其他非辐射工作人员和公众（监督区外）。</w:t>
            </w:r>
          </w:p>
          <w:p>
            <w:pPr>
              <w:pStyle w:val="33"/>
              <w:overflowPunct w:val="0"/>
              <w:spacing w:line="500" w:lineRule="exact"/>
              <w:ind w:firstLine="474" w:firstLineChars="200"/>
              <w:contextualSpacing/>
              <w:jc w:val="center"/>
              <w:rPr>
                <w:b/>
                <w:bCs/>
                <w:spacing w:val="-2"/>
              </w:rPr>
            </w:pPr>
            <w:r>
              <w:rPr>
                <w:rFonts w:hint="eastAsia"/>
                <w:b/>
                <w:bCs/>
                <w:spacing w:val="-2"/>
              </w:rPr>
              <w:t>表7</w:t>
            </w:r>
            <w:r>
              <w:rPr>
                <w:b/>
                <w:bCs/>
                <w:spacing w:val="-2"/>
              </w:rPr>
              <w:t xml:space="preserve">-1  </w:t>
            </w:r>
            <w:r>
              <w:rPr>
                <w:rFonts w:hint="eastAsia"/>
                <w:b/>
                <w:bCs/>
                <w:spacing w:val="-2"/>
              </w:rPr>
              <w:t>环境保护目标一览表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43"/>
              <w:gridCol w:w="2410"/>
              <w:gridCol w:w="1376"/>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vAlign w:val="center"/>
                </w:tcPr>
                <w:p>
                  <w:pPr>
                    <w:pStyle w:val="33"/>
                    <w:overflowPunct w:val="0"/>
                    <w:contextualSpacing/>
                    <w:jc w:val="center"/>
                    <w:rPr>
                      <w:b/>
                      <w:bCs/>
                      <w:sz w:val="21"/>
                      <w:szCs w:val="21"/>
                    </w:rPr>
                  </w:pPr>
                  <w:r>
                    <w:rPr>
                      <w:rFonts w:hint="eastAsia"/>
                      <w:b/>
                      <w:bCs/>
                      <w:sz w:val="21"/>
                      <w:szCs w:val="21"/>
                    </w:rPr>
                    <w:t>保护目标</w:t>
                  </w:r>
                </w:p>
              </w:tc>
              <w:tc>
                <w:tcPr>
                  <w:tcW w:w="1843" w:type="dxa"/>
                  <w:vAlign w:val="center"/>
                </w:tcPr>
                <w:p>
                  <w:pPr>
                    <w:pStyle w:val="33"/>
                    <w:overflowPunct w:val="0"/>
                    <w:contextualSpacing/>
                    <w:jc w:val="center"/>
                    <w:rPr>
                      <w:b/>
                      <w:bCs/>
                      <w:sz w:val="21"/>
                      <w:szCs w:val="21"/>
                    </w:rPr>
                  </w:pPr>
                  <w:r>
                    <w:rPr>
                      <w:rFonts w:hint="eastAsia"/>
                      <w:b/>
                      <w:bCs/>
                      <w:sz w:val="21"/>
                      <w:szCs w:val="21"/>
                    </w:rPr>
                    <w:t>相对探伤机方位</w:t>
                  </w:r>
                </w:p>
              </w:tc>
              <w:tc>
                <w:tcPr>
                  <w:tcW w:w="2410" w:type="dxa"/>
                  <w:vAlign w:val="center"/>
                </w:tcPr>
                <w:p>
                  <w:pPr>
                    <w:pStyle w:val="33"/>
                    <w:overflowPunct w:val="0"/>
                    <w:contextualSpacing/>
                    <w:jc w:val="center"/>
                    <w:rPr>
                      <w:b/>
                      <w:bCs/>
                      <w:sz w:val="21"/>
                      <w:szCs w:val="21"/>
                    </w:rPr>
                  </w:pPr>
                  <w:r>
                    <w:rPr>
                      <w:rFonts w:hint="eastAsia"/>
                      <w:b/>
                      <w:bCs/>
                      <w:sz w:val="21"/>
                      <w:szCs w:val="21"/>
                    </w:rPr>
                    <w:t>与探伤机的距离（m）</w:t>
                  </w:r>
                </w:p>
              </w:tc>
              <w:tc>
                <w:tcPr>
                  <w:tcW w:w="1376" w:type="dxa"/>
                  <w:vAlign w:val="center"/>
                </w:tcPr>
                <w:p>
                  <w:pPr>
                    <w:pStyle w:val="33"/>
                    <w:overflowPunct w:val="0"/>
                    <w:contextualSpacing/>
                    <w:jc w:val="center"/>
                    <w:rPr>
                      <w:b/>
                      <w:bCs/>
                      <w:sz w:val="21"/>
                      <w:szCs w:val="21"/>
                    </w:rPr>
                  </w:pPr>
                  <w:r>
                    <w:rPr>
                      <w:rFonts w:hint="eastAsia"/>
                      <w:b/>
                      <w:bCs/>
                      <w:sz w:val="21"/>
                      <w:szCs w:val="21"/>
                    </w:rPr>
                    <w:t>人数（人）</w:t>
                  </w:r>
                </w:p>
              </w:tc>
              <w:tc>
                <w:tcPr>
                  <w:tcW w:w="1755" w:type="dxa"/>
                  <w:vAlign w:val="center"/>
                </w:tcPr>
                <w:p>
                  <w:pPr>
                    <w:pStyle w:val="33"/>
                    <w:overflowPunct w:val="0"/>
                    <w:contextualSpacing/>
                    <w:jc w:val="center"/>
                    <w:rPr>
                      <w:b/>
                      <w:bCs/>
                      <w:sz w:val="21"/>
                      <w:szCs w:val="21"/>
                    </w:rPr>
                  </w:pPr>
                  <w:r>
                    <w:rPr>
                      <w:rFonts w:hint="eastAsia"/>
                      <w:b/>
                      <w:bCs/>
                      <w:sz w:val="21"/>
                      <w:szCs w:val="21"/>
                    </w:rPr>
                    <w:t>年剂量约束值（m</w:t>
                  </w:r>
                  <w:r>
                    <w:rPr>
                      <w:b/>
                      <w:bCs/>
                      <w:sz w:val="21"/>
                      <w:szCs w:val="21"/>
                    </w:rPr>
                    <w:t>S</w:t>
                  </w:r>
                  <w:r>
                    <w:rPr>
                      <w:rFonts w:hint="eastAsia"/>
                      <w:b/>
                      <w:bCs/>
                      <w:sz w:val="21"/>
                      <w:szCs w:val="21"/>
                    </w:rPr>
                    <w:t>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vAlign w:val="center"/>
                </w:tcPr>
                <w:p>
                  <w:pPr>
                    <w:pStyle w:val="33"/>
                    <w:overflowPunct w:val="0"/>
                    <w:contextualSpacing/>
                    <w:jc w:val="center"/>
                    <w:rPr>
                      <w:sz w:val="21"/>
                      <w:szCs w:val="21"/>
                    </w:rPr>
                  </w:pPr>
                  <w:r>
                    <w:rPr>
                      <w:rFonts w:hint="eastAsia"/>
                      <w:sz w:val="21"/>
                      <w:szCs w:val="21"/>
                    </w:rPr>
                    <w:t>职业人员</w:t>
                  </w:r>
                </w:p>
              </w:tc>
              <w:tc>
                <w:tcPr>
                  <w:tcW w:w="1843" w:type="dxa"/>
                  <w:vAlign w:val="center"/>
                </w:tcPr>
                <w:p>
                  <w:pPr>
                    <w:pStyle w:val="33"/>
                    <w:overflowPunct w:val="0"/>
                    <w:contextualSpacing/>
                    <w:jc w:val="center"/>
                    <w:rPr>
                      <w:sz w:val="21"/>
                      <w:szCs w:val="21"/>
                    </w:rPr>
                  </w:pPr>
                  <w:r>
                    <w:rPr>
                      <w:rFonts w:hint="eastAsia"/>
                      <w:sz w:val="21"/>
                      <w:szCs w:val="21"/>
                    </w:rPr>
                    <w:t>非主射方向</w:t>
                  </w:r>
                </w:p>
              </w:tc>
              <w:tc>
                <w:tcPr>
                  <w:tcW w:w="2410" w:type="dxa"/>
                  <w:vAlign w:val="center"/>
                </w:tcPr>
                <w:p>
                  <w:pPr>
                    <w:pStyle w:val="33"/>
                    <w:overflowPunct w:val="0"/>
                    <w:contextualSpacing/>
                    <w:jc w:val="center"/>
                    <w:rPr>
                      <w:sz w:val="21"/>
                      <w:szCs w:val="21"/>
                    </w:rPr>
                  </w:pPr>
                  <w:r>
                    <w:rPr>
                      <w:rFonts w:hint="eastAsia"/>
                      <w:sz w:val="21"/>
                      <w:szCs w:val="21"/>
                    </w:rPr>
                    <w:t>控制区外，监督区内</w:t>
                  </w:r>
                </w:p>
              </w:tc>
              <w:tc>
                <w:tcPr>
                  <w:tcW w:w="1376" w:type="dxa"/>
                  <w:vAlign w:val="center"/>
                </w:tcPr>
                <w:p>
                  <w:pPr>
                    <w:pStyle w:val="33"/>
                    <w:overflowPunct w:val="0"/>
                    <w:contextualSpacing/>
                    <w:jc w:val="center"/>
                    <w:rPr>
                      <w:sz w:val="21"/>
                      <w:szCs w:val="21"/>
                    </w:rPr>
                  </w:pPr>
                  <w:r>
                    <w:rPr>
                      <w:sz w:val="21"/>
                      <w:szCs w:val="21"/>
                    </w:rPr>
                    <w:t>6</w:t>
                  </w:r>
                </w:p>
              </w:tc>
              <w:tc>
                <w:tcPr>
                  <w:tcW w:w="1755" w:type="dxa"/>
                  <w:vAlign w:val="center"/>
                </w:tcPr>
                <w:p>
                  <w:pPr>
                    <w:pStyle w:val="33"/>
                    <w:overflowPunct w:val="0"/>
                    <w:contextualSpacing/>
                    <w:jc w:val="center"/>
                    <w:rPr>
                      <w:sz w:val="21"/>
                      <w:szCs w:val="21"/>
                    </w:rPr>
                  </w:pP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vAlign w:val="center"/>
                </w:tcPr>
                <w:p>
                  <w:pPr>
                    <w:pStyle w:val="33"/>
                    <w:overflowPunct w:val="0"/>
                    <w:contextualSpacing/>
                    <w:jc w:val="center"/>
                    <w:rPr>
                      <w:sz w:val="21"/>
                      <w:szCs w:val="21"/>
                    </w:rPr>
                  </w:pPr>
                  <w:r>
                    <w:rPr>
                      <w:rFonts w:hint="eastAsia"/>
                      <w:sz w:val="21"/>
                      <w:szCs w:val="21"/>
                    </w:rPr>
                    <w:t>公众</w:t>
                  </w:r>
                </w:p>
              </w:tc>
              <w:tc>
                <w:tcPr>
                  <w:tcW w:w="1843" w:type="dxa"/>
                  <w:vAlign w:val="center"/>
                </w:tcPr>
                <w:p>
                  <w:pPr>
                    <w:pStyle w:val="33"/>
                    <w:overflowPunct w:val="0"/>
                    <w:contextualSpacing/>
                    <w:jc w:val="center"/>
                    <w:rPr>
                      <w:sz w:val="21"/>
                      <w:szCs w:val="21"/>
                    </w:rPr>
                  </w:pPr>
                  <w:r>
                    <w:rPr>
                      <w:rFonts w:hint="eastAsia"/>
                      <w:sz w:val="21"/>
                      <w:szCs w:val="21"/>
                    </w:rPr>
                    <w:t>不定</w:t>
                  </w:r>
                </w:p>
              </w:tc>
              <w:tc>
                <w:tcPr>
                  <w:tcW w:w="2410" w:type="dxa"/>
                  <w:vAlign w:val="center"/>
                </w:tcPr>
                <w:p>
                  <w:pPr>
                    <w:pStyle w:val="33"/>
                    <w:overflowPunct w:val="0"/>
                    <w:contextualSpacing/>
                    <w:jc w:val="center"/>
                    <w:rPr>
                      <w:sz w:val="21"/>
                      <w:szCs w:val="21"/>
                    </w:rPr>
                  </w:pPr>
                  <w:r>
                    <w:rPr>
                      <w:rFonts w:hint="eastAsia"/>
                      <w:sz w:val="21"/>
                      <w:szCs w:val="21"/>
                    </w:rPr>
                    <w:t>监督区外，评价范围内</w:t>
                  </w:r>
                </w:p>
              </w:tc>
              <w:tc>
                <w:tcPr>
                  <w:tcW w:w="1376" w:type="dxa"/>
                  <w:vAlign w:val="center"/>
                </w:tcPr>
                <w:p>
                  <w:pPr>
                    <w:pStyle w:val="33"/>
                    <w:overflowPunct w:val="0"/>
                    <w:contextualSpacing/>
                    <w:jc w:val="center"/>
                    <w:rPr>
                      <w:sz w:val="21"/>
                      <w:szCs w:val="21"/>
                    </w:rPr>
                  </w:pPr>
                  <w:r>
                    <w:rPr>
                      <w:rFonts w:hint="eastAsia"/>
                      <w:sz w:val="21"/>
                      <w:szCs w:val="21"/>
                    </w:rPr>
                    <w:t>不定</w:t>
                  </w:r>
                </w:p>
              </w:tc>
              <w:tc>
                <w:tcPr>
                  <w:tcW w:w="1755" w:type="dxa"/>
                  <w:vAlign w:val="center"/>
                </w:tcPr>
                <w:p>
                  <w:pPr>
                    <w:pStyle w:val="33"/>
                    <w:overflowPunct w:val="0"/>
                    <w:contextualSpacing/>
                    <w:jc w:val="center"/>
                    <w:rPr>
                      <w:sz w:val="21"/>
                      <w:szCs w:val="21"/>
                    </w:rPr>
                  </w:pPr>
                  <w:r>
                    <w:rPr>
                      <w:rFonts w:hint="eastAsia"/>
                      <w:sz w:val="21"/>
                      <w:szCs w:val="21"/>
                    </w:rPr>
                    <w:t>0</w:t>
                  </w:r>
                  <w:r>
                    <w:rPr>
                      <w:sz w:val="21"/>
                      <w:szCs w:val="21"/>
                    </w:rPr>
                    <w:t>.1</w:t>
                  </w:r>
                </w:p>
              </w:tc>
            </w:tr>
          </w:tbl>
          <w:p>
            <w:pPr>
              <w:pStyle w:val="33"/>
              <w:kinsoku w:val="0"/>
              <w:overflowPunct w:val="0"/>
              <w:adjustRightInd/>
              <w:spacing w:line="500" w:lineRule="exact"/>
              <w:contextualSpacing/>
              <w:jc w:val="both"/>
              <w:rPr>
                <w:b/>
                <w:bCs/>
                <w:spacing w:val="1"/>
                <w:sz w:val="28"/>
                <w:szCs w:val="28"/>
              </w:rPr>
            </w:pPr>
            <w:r>
              <w:rPr>
                <w:b/>
                <w:bCs/>
                <w:spacing w:val="1"/>
                <w:sz w:val="28"/>
                <w:szCs w:val="28"/>
              </w:rPr>
              <w:t>7.3评价标准</w:t>
            </w:r>
          </w:p>
          <w:p>
            <w:pPr>
              <w:adjustRightInd w:val="0"/>
              <w:snapToGrid w:val="0"/>
              <w:spacing w:line="360" w:lineRule="auto"/>
              <w:ind w:firstLine="477" w:firstLineChars="198"/>
              <w:rPr>
                <w:rFonts w:ascii="Times New Roman" w:hAnsi="Times New Roman"/>
                <w:b/>
                <w:sz w:val="24"/>
                <w:szCs w:val="24"/>
              </w:rPr>
            </w:pPr>
            <w:r>
              <w:rPr>
                <w:rFonts w:ascii="Times New Roman" w:hAnsi="Times New Roman"/>
                <w:b/>
                <w:kern w:val="0"/>
                <w:sz w:val="24"/>
                <w:szCs w:val="24"/>
              </w:rPr>
              <w:t>1、</w:t>
            </w:r>
            <w:r>
              <w:rPr>
                <w:rFonts w:ascii="Times New Roman" w:hAnsi="Times New Roman"/>
                <w:b/>
                <w:sz w:val="24"/>
                <w:szCs w:val="24"/>
              </w:rPr>
              <w:t>《电离辐射防护与辐射源安全基本标准》（GB18871-2002）</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本标准适用于实践和干预中人员所受电离辐射照射的防护和实践中源的安全。</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（1）防护与安全的最优化</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4.3.3.1对于来自一项实践中的任一特定源的照射，应使防护与安全最优化，使得在考虑了经济和社会因素之后，个人受照剂量的大小、受照射的人数以及受照射的可能性均保持在可合理达到的尽量低水平；这种最优化应以该源所致个人剂量和潜在照射危险分别低于剂量约束和潜在照射危险约束为前提条件（治疗性医疗照射除外）。</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4.3.3.2防护与安全最优化的过程，可以从直观的定性分析一直到使用辅助决策技术的定量分析，但均应以某种适当的方法将一切有关因素加以考虑，以实现下列目标：</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a)相对于主导情况确定出最优化的防护与安全措施，确定这些措施时应考虑可供利用的防护与安全选择以及照射的性质、大小和可能性；</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b)根据最优化的结果制定相应的准则，据以采取预防事故和减轻事故后果的措施，从而限制照射的大小及受照的可能性。</w:t>
            </w:r>
          </w:p>
          <w:p>
            <w:pPr>
              <w:adjustRightInd w:val="0"/>
              <w:snapToGrid w:val="0"/>
              <w:spacing w:line="360" w:lineRule="auto"/>
              <w:ind w:firstLine="480" w:firstLineChars="200"/>
              <w:rPr>
                <w:rFonts w:ascii="Times New Roman" w:hAnsi="Times New Roman"/>
                <w:bCs/>
                <w:sz w:val="24"/>
              </w:rPr>
            </w:pPr>
            <w:r>
              <w:rPr>
                <w:rFonts w:ascii="Times New Roman" w:hAnsi="Times New Roman"/>
                <w:sz w:val="24"/>
              </w:rPr>
              <w:t>（2）</w:t>
            </w:r>
            <w:r>
              <w:rPr>
                <w:rFonts w:ascii="Times New Roman" w:hAnsi="Times New Roman"/>
                <w:bCs/>
                <w:sz w:val="24"/>
              </w:rPr>
              <w:t>职业照射和公众照射的年剂量限值</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 1 \* GB3 </w:instrText>
            </w:r>
            <w:r>
              <w:rPr>
                <w:rFonts w:ascii="Times New Roman" w:hAnsi="Times New Roman"/>
                <w:sz w:val="24"/>
              </w:rPr>
              <w:fldChar w:fldCharType="separate"/>
            </w:r>
            <w:r>
              <w:rPr>
                <w:rFonts w:hint="eastAsia" w:ascii="宋体" w:hAnsi="宋体" w:cs="宋体"/>
                <w:sz w:val="24"/>
              </w:rPr>
              <w:t>①</w:t>
            </w:r>
            <w:r>
              <w:rPr>
                <w:rFonts w:ascii="Times New Roman" w:hAnsi="Times New Roman"/>
                <w:sz w:val="24"/>
              </w:rPr>
              <w:fldChar w:fldCharType="end"/>
            </w:r>
            <w:r>
              <w:rPr>
                <w:rFonts w:ascii="Times New Roman" w:hAnsi="Times New Roman"/>
                <w:sz w:val="24"/>
              </w:rPr>
              <w:t>职业照射剂量限值</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a）连续5年的年平均有效剂量，20mSv；</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b）任何一年中的有效剂量，50mSv。</w:t>
            </w:r>
          </w:p>
          <w:p>
            <w:pPr>
              <w:adjustRightInd w:val="0"/>
              <w:snapToGrid w:val="0"/>
              <w:spacing w:line="360" w:lineRule="auto"/>
              <w:ind w:firstLine="480" w:firstLineChars="200"/>
              <w:rPr>
                <w:rFonts w:ascii="Times New Roman" w:hAnsi="Times New Roman"/>
                <w:b/>
                <w:sz w:val="24"/>
              </w:rPr>
            </w:pPr>
            <w:r>
              <w:rPr>
                <w:rFonts w:ascii="Times New Roman" w:hAnsi="Times New Roman"/>
                <w:sz w:val="24"/>
              </w:rPr>
              <w:fldChar w:fldCharType="begin"/>
            </w:r>
            <w:r>
              <w:rPr>
                <w:rFonts w:ascii="Times New Roman" w:hAnsi="Times New Roman"/>
                <w:sz w:val="24"/>
              </w:rPr>
              <w:instrText xml:space="preserve"> = 2 \* GB3 </w:instrText>
            </w:r>
            <w:r>
              <w:rPr>
                <w:rFonts w:ascii="Times New Roman" w:hAnsi="Times New Roman"/>
                <w:sz w:val="24"/>
              </w:rPr>
              <w:fldChar w:fldCharType="separate"/>
            </w:r>
            <w:r>
              <w:rPr>
                <w:rFonts w:hint="eastAsia" w:ascii="宋体" w:hAnsi="宋体" w:cs="宋体"/>
                <w:sz w:val="24"/>
              </w:rPr>
              <w:t>②</w:t>
            </w:r>
            <w:r>
              <w:rPr>
                <w:rFonts w:ascii="Times New Roman" w:hAnsi="Times New Roman"/>
                <w:sz w:val="24"/>
              </w:rPr>
              <w:fldChar w:fldCharType="end"/>
            </w:r>
            <w:r>
              <w:rPr>
                <w:rFonts w:ascii="Times New Roman" w:hAnsi="Times New Roman"/>
                <w:sz w:val="24"/>
              </w:rPr>
              <w:t>公众照射剂量限值</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a）年有效剂量，1mSv；</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b）特殊情况下，若5个连续年的年平均剂量不超过1mSv，则某一单一年份的有效剂量可提高到5mSv。</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对辐射工作人员、公众的剂量控制不仅要满足剂量限值的要求，而应依据辐射防护最优化原则，按照剂量约束和潜在照射危险约束的防护要求，把辐射水平降低到低于剂量限值的一个合理达到的尽可能低的水平。因此，本次评价采用年剂量管理约束值如下：</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a）辐射工作人员采用年剂量限值的1/4，即5mSv/a作为年剂量管理约束值。</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b）公众人员采用0.1mSv/a作为年剂量管理约束值。</w:t>
            </w:r>
          </w:p>
          <w:p>
            <w:pPr>
              <w:spacing w:line="360" w:lineRule="auto"/>
              <w:ind w:firstLine="482" w:firstLineChars="200"/>
              <w:rPr>
                <w:rFonts w:ascii="Times New Roman" w:hAnsi="Times New Roman"/>
                <w:b/>
                <w:color w:val="000000"/>
                <w:sz w:val="24"/>
              </w:rPr>
            </w:pPr>
            <w:r>
              <w:rPr>
                <w:rFonts w:ascii="Times New Roman" w:hAnsi="Times New Roman"/>
                <w:b/>
                <w:color w:val="000000"/>
                <w:sz w:val="24"/>
              </w:rPr>
              <w:t>2、《</w:t>
            </w:r>
            <w:r>
              <w:rPr>
                <w:rFonts w:hint="eastAsia" w:ascii="Times New Roman" w:hAnsi="Times New Roman"/>
                <w:b/>
                <w:color w:val="000000"/>
                <w:sz w:val="24"/>
              </w:rPr>
              <w:t>工业探伤放射防护标准</w:t>
            </w:r>
            <w:r>
              <w:rPr>
                <w:rFonts w:ascii="Times New Roman" w:hAnsi="Times New Roman"/>
                <w:b/>
                <w:color w:val="000000"/>
                <w:sz w:val="24"/>
              </w:rPr>
              <w:t>》（GBZ117-2022）</w:t>
            </w:r>
          </w:p>
          <w:p>
            <w:pPr>
              <w:spacing w:line="360" w:lineRule="auto"/>
              <w:ind w:firstLine="482" w:firstLineChars="200"/>
              <w:rPr>
                <w:rFonts w:ascii="Times New Roman" w:hAnsi="Times New Roman"/>
                <w:b/>
                <w:color w:val="000000"/>
                <w:sz w:val="24"/>
              </w:rPr>
            </w:pPr>
            <w:r>
              <w:rPr>
                <w:rFonts w:hint="eastAsia" w:ascii="Times New Roman" w:hAnsi="Times New Roman"/>
                <w:b/>
                <w:color w:val="000000"/>
                <w:sz w:val="24"/>
              </w:rPr>
              <w:t>7.1作业前准备</w:t>
            </w:r>
          </w:p>
          <w:p>
            <w:pPr>
              <w:spacing w:line="360" w:lineRule="auto"/>
              <w:ind w:firstLine="480" w:firstLineChars="200"/>
              <w:rPr>
                <w:rFonts w:ascii="Times New Roman" w:hAnsi="Times New Roman"/>
                <w:sz w:val="24"/>
                <w:szCs w:val="24"/>
              </w:rPr>
            </w:pPr>
            <w:r>
              <w:rPr>
                <w:rFonts w:ascii="Times New Roman" w:hAnsi="Times New Roman"/>
                <w:sz w:val="24"/>
                <w:szCs w:val="24"/>
              </w:rPr>
              <w:t xml:space="preserve">7.1.1在实施移动式探伤工作之前，使用单位应对工作环境进行全面评估，以保证实现安全操作。评估内容至少应包括工作地点的选择、接触的工人与附近的公众、天气条件、探伤时间、是否高空作业、作业空间等。应考虑移动式探伤对工作场所内其他的辐射探测系统带来的影响（如烟雾报警器等）。 </w:t>
            </w:r>
          </w:p>
          <w:p>
            <w:pPr>
              <w:spacing w:line="360" w:lineRule="auto"/>
              <w:ind w:firstLine="480" w:firstLineChars="200"/>
              <w:rPr>
                <w:rFonts w:ascii="Times New Roman" w:hAnsi="Times New Roman"/>
                <w:sz w:val="24"/>
                <w:szCs w:val="24"/>
              </w:rPr>
            </w:pPr>
            <w:r>
              <w:rPr>
                <w:rFonts w:ascii="Times New Roman" w:hAnsi="Times New Roman"/>
                <w:sz w:val="24"/>
                <w:szCs w:val="24"/>
              </w:rPr>
              <w:t>7.1.2使用单位应确保开展移动式探伤工作的每台探伤机至少应配备两名专职工作人员。</w:t>
            </w:r>
          </w:p>
          <w:p>
            <w:pPr>
              <w:spacing w:line="360" w:lineRule="auto"/>
              <w:ind w:firstLine="480" w:firstLineChars="200"/>
              <w:rPr>
                <w:rFonts w:ascii="Times New Roman" w:hAnsi="Times New Roman"/>
                <w:sz w:val="24"/>
                <w:szCs w:val="24"/>
              </w:rPr>
            </w:pPr>
            <w:r>
              <w:rPr>
                <w:rFonts w:ascii="Times New Roman" w:hAnsi="Times New Roman"/>
                <w:sz w:val="24"/>
                <w:szCs w:val="24"/>
              </w:rPr>
              <w:t>7.1.3移动式探伤工作如在委托单位的工作场地实施准备和规划，使用单位应与委托单位协商适当的探伤地点和探伤时间、现场的通告、警告标识和报警信号等，避免造成混淆。委托单位应给予探伤作业人员充足的时间以确保探伤工作的安全开展和所需安全措施的实施。</w:t>
            </w:r>
          </w:p>
          <w:p>
            <w:pPr>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7.2分区设置</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7.2.1探伤作业时，应对工作场所实行分区管理，将工作场所划分为控制区和监督区。并在相应的边界设置警示标识。现场射线探伤工作应在指定为控制区的区域内进行。</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7.2.2一般应将作业场所中周围剂量当量率大于15μSv/h的区域划为控制区。</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a)对于X射线探伤，如果每周实际开机时间高于7h，控制区边界周围剂量当</w:t>
            </w:r>
          </w:p>
          <w:p>
            <w:pPr>
              <w:spacing w:line="360" w:lineRule="auto"/>
              <w:rPr>
                <w:rFonts w:ascii="Times New Roman" w:hAnsi="Times New Roman"/>
                <w:bCs/>
                <w:color w:val="000000"/>
                <w:sz w:val="24"/>
                <w:szCs w:val="24"/>
              </w:rPr>
            </w:pPr>
            <w:r>
              <w:rPr>
                <w:rFonts w:ascii="Times New Roman" w:hAnsi="Times New Roman"/>
                <w:bCs/>
                <w:color w:val="000000"/>
                <w:sz w:val="24"/>
                <w:szCs w:val="24"/>
              </w:rPr>
              <w:t>量率应按公式（1）计算：</w:t>
            </w:r>
          </w:p>
          <w:p>
            <w:pPr>
              <w:spacing w:line="360" w:lineRule="auto"/>
              <w:ind w:right="420" w:rightChars="200" w:firstLine="480" w:firstLineChars="200"/>
              <w:jc w:val="right"/>
              <w:rPr>
                <w:rFonts w:ascii="Times New Roman" w:hAnsi="Times New Roman"/>
                <w:bCs/>
                <w:color w:val="000000"/>
                <w:sz w:val="24"/>
                <w:szCs w:val="24"/>
              </w:rPr>
            </w:pPr>
            <w:r>
              <w:rPr>
                <w:rFonts w:ascii="Times New Roman" w:hAnsi="Times New Roman"/>
                <w:bCs/>
                <w:color w:val="000000"/>
                <w:sz w:val="24"/>
                <w:szCs w:val="24"/>
              </w:rPr>
              <w:fldChar w:fldCharType="begin"/>
            </w:r>
            <w:r>
              <w:rPr>
                <w:rFonts w:ascii="Times New Roman" w:hAnsi="Times New Roman"/>
                <w:bCs/>
                <w:color w:val="000000"/>
                <w:sz w:val="24"/>
                <w:szCs w:val="24"/>
              </w:rPr>
              <w:instrText xml:space="preserve">EQ \* jc2 \* hps12 \o\ad(\s\up 11(</w:instrText>
            </w:r>
            <w:r>
              <w:rPr>
                <w:rFonts w:ascii="Times New Roman" w:hAnsi="Times New Roman"/>
                <w:bCs/>
                <w:color w:val="000000"/>
                <w:sz w:val="12"/>
                <w:szCs w:val="24"/>
              </w:rPr>
              <w:instrText xml:space="preserve">•</w:instrText>
            </w:r>
            <w:r>
              <w:rPr>
                <w:rFonts w:ascii="Times New Roman" w:hAnsi="Times New Roman"/>
                <w:bCs/>
                <w:color w:val="000000"/>
                <w:sz w:val="24"/>
                <w:szCs w:val="24"/>
              </w:rPr>
              <w:instrText xml:space="preserve">),H)</w:instrText>
            </w:r>
            <w:r>
              <w:rPr>
                <w:rFonts w:ascii="Times New Roman" w:hAnsi="Times New Roman"/>
                <w:bCs/>
                <w:color w:val="000000"/>
                <w:sz w:val="24"/>
                <w:szCs w:val="24"/>
              </w:rPr>
              <w:fldChar w:fldCharType="end"/>
            </w:r>
            <w:r>
              <w:rPr>
                <w:rFonts w:ascii="Times New Roman" w:hAnsi="Times New Roman"/>
                <w:bCs/>
                <w:color w:val="000000"/>
                <w:sz w:val="24"/>
                <w:szCs w:val="24"/>
              </w:rPr>
              <w:t>＝</w:t>
            </w:r>
            <w:r>
              <w:rPr>
                <w:rFonts w:ascii="Times New Roman" w:hAnsi="Times New Roman"/>
                <w:bCs/>
                <w:color w:val="000000"/>
                <w:sz w:val="24"/>
                <w:szCs w:val="24"/>
              </w:rPr>
              <w:fldChar w:fldCharType="begin"/>
            </w:r>
            <w:r>
              <w:rPr>
                <w:rFonts w:ascii="Times New Roman" w:hAnsi="Times New Roman"/>
                <w:bCs/>
                <w:color w:val="000000"/>
                <w:sz w:val="24"/>
                <w:szCs w:val="24"/>
              </w:rPr>
              <w:instrText xml:space="preserve"> EQ </w:instrText>
            </w:r>
            <w:r>
              <w:rPr>
                <w:rFonts w:hint="eastAsia" w:ascii="宋体" w:hAnsi="宋体"/>
                <w:bCs/>
                <w:color w:val="000000"/>
                <w:sz w:val="24"/>
                <w:szCs w:val="24"/>
              </w:rPr>
              <w:instrText xml:space="preserve">\</w:instrText>
            </w:r>
            <w:r>
              <w:rPr>
                <w:rFonts w:ascii="Times New Roman" w:hAnsi="Times New Roman"/>
                <w:bCs/>
                <w:color w:val="000000"/>
                <w:sz w:val="24"/>
                <w:szCs w:val="24"/>
              </w:rPr>
              <w:instrText xml:space="preserve">F(100, τ) </w:instrText>
            </w:r>
            <w:r>
              <w:rPr>
                <w:rFonts w:ascii="Times New Roman" w:hAnsi="Times New Roman"/>
                <w:bCs/>
                <w:color w:val="000000"/>
                <w:sz w:val="24"/>
                <w:szCs w:val="24"/>
              </w:rPr>
              <w:fldChar w:fldCharType="end"/>
            </w:r>
            <w:r>
              <w:rPr>
                <w:rFonts w:ascii="Times New Roman" w:hAnsi="Times New Roman"/>
                <w:bCs/>
                <w:color w:val="000000"/>
                <w:sz w:val="32"/>
                <w:szCs w:val="32"/>
              </w:rPr>
              <w:t xml:space="preserve">                   </w:t>
            </w:r>
            <w:r>
              <w:rPr>
                <w:rFonts w:hint="eastAsia" w:ascii="Times New Roman" w:hAnsi="Times New Roman"/>
                <w:bCs/>
                <w:color w:val="000000"/>
                <w:sz w:val="24"/>
                <w:szCs w:val="24"/>
              </w:rPr>
              <w:t>（1）</w:t>
            </w:r>
          </w:p>
          <w:p>
            <w:pPr>
              <w:spacing w:line="360" w:lineRule="auto"/>
              <w:ind w:firstLine="480" w:firstLineChars="200"/>
              <w:jc w:val="left"/>
              <w:rPr>
                <w:rFonts w:ascii="Times New Roman" w:hAnsi="Times New Roman"/>
                <w:bCs/>
                <w:color w:val="000000"/>
                <w:sz w:val="24"/>
                <w:szCs w:val="24"/>
              </w:rPr>
            </w:pPr>
            <w:r>
              <w:rPr>
                <w:rFonts w:ascii="Times New Roman" w:hAnsi="Times New Roman"/>
                <w:bCs/>
                <w:color w:val="000000"/>
                <w:sz w:val="24"/>
                <w:szCs w:val="24"/>
              </w:rPr>
              <w:t>式中：</w:t>
            </w:r>
          </w:p>
          <w:p>
            <w:pPr>
              <w:spacing w:line="360" w:lineRule="auto"/>
              <w:ind w:firstLine="480" w:firstLineChars="200"/>
              <w:rPr>
                <w:rFonts w:ascii="Times New Roman" w:hAnsi="Times New Roman"/>
                <w:bCs/>
                <w:color w:val="000000"/>
                <w:sz w:val="24"/>
                <w:szCs w:val="24"/>
              </w:rPr>
            </w:pPr>
            <w:r>
              <w:rPr>
                <w:rFonts w:ascii="Times New Roman" w:hAnsi="Times New Roman" w:eastAsia="微软雅黑"/>
                <w:color w:val="333333"/>
                <w:sz w:val="24"/>
                <w:szCs w:val="24"/>
                <w:shd w:val="clear" w:color="auto" w:fill="FFFFFF"/>
              </w:rPr>
              <w:fldChar w:fldCharType="begin"/>
            </w:r>
            <w:r>
              <w:rPr>
                <w:rFonts w:ascii="Times New Roman" w:hAnsi="Times New Roman" w:eastAsia="微软雅黑"/>
                <w:color w:val="333333"/>
                <w:sz w:val="24"/>
                <w:szCs w:val="24"/>
                <w:shd w:val="clear" w:color="auto" w:fill="FFFFFF"/>
              </w:rPr>
              <w:instrText xml:space="preserve">EQ \* jc2 \* hps12 \o\ad(\s\up 11(</w:instrText>
            </w:r>
            <w:r>
              <w:rPr>
                <w:rFonts w:ascii="Times New Roman" w:hAnsi="Times New Roman" w:eastAsia="微软雅黑"/>
                <w:color w:val="333333"/>
                <w:sz w:val="12"/>
                <w:szCs w:val="24"/>
                <w:shd w:val="clear" w:color="auto" w:fill="FFFFFF"/>
              </w:rPr>
              <w:instrText xml:space="preserve">•</w:instrText>
            </w:r>
            <w:r>
              <w:rPr>
                <w:rFonts w:ascii="Times New Roman" w:hAnsi="Times New Roman" w:eastAsia="微软雅黑"/>
                <w:color w:val="333333"/>
                <w:sz w:val="24"/>
                <w:szCs w:val="24"/>
                <w:shd w:val="clear" w:color="auto" w:fill="FFFFFF"/>
              </w:rPr>
              <w:instrText xml:space="preserve">),H)</w:instrText>
            </w:r>
            <w:r>
              <w:rPr>
                <w:rFonts w:ascii="Times New Roman" w:hAnsi="Times New Roman" w:eastAsia="微软雅黑"/>
                <w:color w:val="333333"/>
                <w:sz w:val="24"/>
                <w:szCs w:val="24"/>
                <w:shd w:val="clear" w:color="auto" w:fill="FFFFFF"/>
              </w:rPr>
              <w:fldChar w:fldCharType="end"/>
            </w:r>
            <w:r>
              <w:rPr>
                <w:rFonts w:ascii="Times New Roman" w:hAnsi="Times New Roman"/>
                <w:bCs/>
                <w:color w:val="000000"/>
                <w:sz w:val="24"/>
                <w:szCs w:val="24"/>
              </w:rPr>
              <w:t xml:space="preserve">——控制区边界周围剂量当量率，单位为微希沃特每小时（μSv/h）； </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100——5mSv平均分配到每年50工作周的数值，即100μSv/周；</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 xml:space="preserve">τ——每周实际开机时间，单位为小时（h）。 </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7.2.3控制区边界上合适的位置应设置电离辐射警告标志并悬挂清晰可见的“禁止进入射线工作区”警告牌，探伤作业人员应在控制区边界外操作，否则应采取专门的防护措施。</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7.2.4控制区的边界尽可能设定实体屏障，包括利用现有结构（如墙体）、临时屏障或临时拉起警戒线（绳）等。</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7.2.5移动式探伤作业工作过程中，控制区内不应同时进行其他工作。为了使控制区的范围尽量小，应使用合适的准直器并充分考虑探伤机和被检物体的距离、照射方向、时间和现场屏蔽等条件。视情况采用局部屏蔽措施。</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 xml:space="preserve">7.2.6每一个探伤作业班组应至少配备一台便携式X-γ剂量率仪，并定期对其开展检定/校准工作。应配备能在现场环境条件下可听见、看见或产生震动信号的个人剂量报警仪。 </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7.2.7探伤作业期间还应对控制区边界上代表点的剂量率进行检测，尤其是探伤的位置在此方向或射线束的方向发生改变时，适时调整控制区的边界。</w:t>
            </w:r>
          </w:p>
          <w:p>
            <w:pPr>
              <w:spacing w:line="360" w:lineRule="auto"/>
              <w:ind w:firstLine="480" w:firstLineChars="200"/>
              <w:rPr>
                <w:rFonts w:ascii="Times New Roman" w:hAnsi="Times New Roman"/>
                <w:bCs/>
                <w:color w:val="000000"/>
                <w:sz w:val="24"/>
              </w:rPr>
            </w:pPr>
            <w:r>
              <w:rPr>
                <w:rFonts w:ascii="Times New Roman" w:hAnsi="Times New Roman"/>
                <w:bCs/>
                <w:color w:val="000000"/>
                <w:sz w:val="24"/>
              </w:rPr>
              <w:t>7.2.8应将控制区边界外、作业时周围剂量当量率大于2.5μSv/h的范围划为监督区，并在其边界上悬挂清晰可见的“无关人员禁止入内”警告牌，必要时设专人警戒。</w:t>
            </w:r>
          </w:p>
          <w:p>
            <w:pPr>
              <w:spacing w:line="360" w:lineRule="auto"/>
              <w:ind w:firstLine="480" w:firstLineChars="200"/>
              <w:rPr>
                <w:rFonts w:ascii="Times New Roman" w:hAnsi="Times New Roman"/>
                <w:bCs/>
                <w:color w:val="000000"/>
                <w:sz w:val="24"/>
              </w:rPr>
            </w:pPr>
            <w:r>
              <w:rPr>
                <w:rFonts w:ascii="Times New Roman" w:hAnsi="Times New Roman"/>
                <w:bCs/>
                <w:color w:val="000000"/>
                <w:sz w:val="24"/>
              </w:rPr>
              <w:t>7.2.9移动式探伤工作在多楼层的工厂或工地实施时，应防止移动式探伤工作区上层或下层的人员通过楼梯进入控制区。</w:t>
            </w:r>
          </w:p>
          <w:p>
            <w:pPr>
              <w:spacing w:line="360" w:lineRule="auto"/>
              <w:ind w:firstLine="480" w:firstLineChars="200"/>
              <w:rPr>
                <w:rFonts w:ascii="Times New Roman" w:hAnsi="Times New Roman"/>
                <w:bCs/>
                <w:color w:val="000000"/>
                <w:sz w:val="24"/>
              </w:rPr>
            </w:pPr>
            <w:r>
              <w:rPr>
                <w:rFonts w:ascii="Times New Roman" w:hAnsi="Times New Roman"/>
                <w:bCs/>
                <w:color w:val="000000"/>
                <w:sz w:val="24"/>
              </w:rPr>
              <w:t>7.2.10探伤机控制台（X射线发生器控制面板或γ射线绕出盘）应设置在合适位置或设有延时开机装置，以便尽可能降低操作人员的受照剂量。</w:t>
            </w:r>
          </w:p>
          <w:p>
            <w:pPr>
              <w:spacing w:line="360" w:lineRule="auto"/>
              <w:ind w:firstLine="482" w:firstLineChars="200"/>
              <w:rPr>
                <w:rFonts w:ascii="Times New Roman" w:hAnsi="Times New Roman"/>
                <w:b/>
                <w:color w:val="000000"/>
                <w:sz w:val="24"/>
              </w:rPr>
            </w:pPr>
            <w:r>
              <w:rPr>
                <w:rFonts w:hint="eastAsia" w:ascii="Times New Roman" w:hAnsi="Times New Roman"/>
                <w:b/>
                <w:color w:val="000000"/>
                <w:sz w:val="24"/>
              </w:rPr>
              <w:t>7.3安全警示</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7.3.1委托单位（业主单位）应配合做好探伤作业的辐射防护工作，通过合适的途径提前发布探伤作业信息，应通知到所有相关人员，防止误照射发生。</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7.3.2应有提示“预备”和“照射”状态的指示灯和声音提示装置。“预备”信号和“照射”信号应有明显的区别，并且应与该工作场所内使用的其他报警信号有明显区别。夜晚作业时控制区边界应设置警示灯。</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7.3.3X和γ射线探伤的警示信号指示装置应与探伤机联锁。</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7.3.4在控制区的所有边界都应能清楚地听见或看见“预备”信号和“照射”信号。</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7.3.5应在监督区边界和建筑物进出口的醒目位置张贴电离辐射警告标志和警示语等提示信息。</w:t>
            </w:r>
          </w:p>
          <w:p>
            <w:pPr>
              <w:spacing w:line="360" w:lineRule="auto"/>
              <w:ind w:firstLine="482" w:firstLineChars="200"/>
              <w:rPr>
                <w:rFonts w:ascii="Times New Roman" w:hAnsi="Times New Roman"/>
                <w:b/>
                <w:color w:val="000000"/>
                <w:sz w:val="24"/>
              </w:rPr>
            </w:pPr>
            <w:r>
              <w:rPr>
                <w:rFonts w:hint="eastAsia" w:ascii="Times New Roman" w:hAnsi="Times New Roman"/>
                <w:b/>
                <w:color w:val="000000"/>
                <w:sz w:val="24"/>
              </w:rPr>
              <w:t>7.4边界巡查与检测</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7.4.1开始移动式探伤之前，探伤工作人员应确保在控制区内没有任何其他人员，并防止有人进入控制区。</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7.4.2控制区的范围应清晰可见，工作期间应有良好的照明，确保没有人员进入控制区。如果控制区太大或某些地方不能看到，应安排足够的人员进行巡查。</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7.4.3在试运行（或第一次曝光）期间，应测量控制区边界的剂量率以证实边界设置正确。必要时应调整控制区的范围和边界。</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7.4.4开始移动式探伤工作之前，应对便携式X-γ剂量率仪进行检查，确认能正常工作。在移动式探伤工作期间，便携式X-γ剂量率仪应一直处于开机状态，防止射线曝光异常或不能正常终止。</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7.4.5移动式探伤期间，工作人员除进行常规个人监测外，还应佩戴个人剂量报警仪。个人剂量报警仪不能替代便携式X-γ剂量率仪，两者均应使用。</w:t>
            </w:r>
          </w:p>
          <w:p>
            <w:pPr>
              <w:spacing w:line="360" w:lineRule="auto"/>
              <w:ind w:firstLine="482" w:firstLineChars="200"/>
              <w:rPr>
                <w:rFonts w:ascii="Times New Roman" w:hAnsi="Times New Roman"/>
                <w:b/>
                <w:color w:val="000000"/>
                <w:sz w:val="24"/>
              </w:rPr>
            </w:pPr>
            <w:r>
              <w:rPr>
                <w:rFonts w:hint="eastAsia" w:ascii="Times New Roman" w:hAnsi="Times New Roman"/>
                <w:b/>
                <w:color w:val="000000"/>
                <w:sz w:val="24"/>
              </w:rPr>
              <w:t>7.5移动式探伤操作要求</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7.5.1X射线移动式探伤</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7.5.1.1周向式探伤机用于移动式探伤时，应将X射线管头组装体置于被探伤物件内部进行透照检查。做定向照射时应使用准直器（仅开定向照射口）。</w:t>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7.5.1.2应考虑控制器与X射线管和被检物体的距离、照射方向、时间和屏蔽条件等因素，选择最佳的设备布置，并采取适当的防护措施。</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3、《危险废物贮存污染控制标准》（GB18597-2023）</w:t>
            </w:r>
          </w:p>
          <w:p>
            <w:pPr>
              <w:widowControl/>
              <w:ind w:firstLine="480" w:firstLineChars="200"/>
              <w:jc w:val="left"/>
              <w:rPr>
                <w:rFonts w:ascii="Times New Roman" w:hAnsi="Times New Roman"/>
              </w:rPr>
            </w:pPr>
            <w:r>
              <w:rPr>
                <w:rFonts w:hint="eastAsia" w:ascii="宋体" w:hAnsi="宋体" w:cs="宋体"/>
                <w:color w:val="000000"/>
                <w:kern w:val="0"/>
                <w:sz w:val="24"/>
                <w:szCs w:val="24"/>
                <w:lang w:bidi="ar"/>
              </w:rPr>
              <w:t>总体要求</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4.1产生、收集、贮存、利用、处置危险废物的单位应建造危险废物贮存设施或设置贮存场所，并根据需要选择贮存设施类型。</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4.2贮存危险废物应根据危险废物的类别、数量、形态、物理化学性质和环境风险等因素，确定贮存设施或场所类型和规模。</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4.3贮存危险废物应根据危险废物的类别、形态、物理化学性质和污染防治要求进行分类贮存，且应避免危险废物与不相容的物质或材料接触。</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4.4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4.5危险废物贮存过程产生的液态废物和固态废物应分类收集，按其环境管理要求妥善处理。</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4.6贮存设施或场所、容器和包装物应按HJ1276要求设置危险废物贮存设施或场所标志、危险废物贮存分区标志和危险废物标签等危险废物识别标志。</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4.7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4.8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4.9在常温常压下易爆、易燃及排出有毒气体的危险废物应进行预处理，使之稳定后贮存，否则应按易爆、易燃危险品贮存。</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4.10危险废物贮存除应满足环境保护相关要求外，还应执行国家安全生产、职业健康、交通运输、消防等法律法规和标准的相关要求。</w:t>
            </w:r>
          </w:p>
          <w:p>
            <w:pPr>
              <w:contextualSpacing/>
              <w:rPr>
                <w:rFonts w:ascii="Times New Roman" w:hAnsi="Times New Roman"/>
              </w:rPr>
            </w:pPr>
          </w:p>
        </w:tc>
      </w:tr>
    </w:tbl>
    <w:p>
      <w:pPr>
        <w:pStyle w:val="2"/>
        <w:rPr>
          <w:rFonts w:ascii="Times New Roman" w:hAnsi="Times New Roman"/>
          <w:sz w:val="28"/>
          <w:szCs w:val="28"/>
        </w:rPr>
      </w:pPr>
      <w:bookmarkStart w:id="16" w:name="_Toc457303395"/>
      <w:bookmarkStart w:id="17" w:name="_Toc457302974"/>
      <w:bookmarkStart w:id="18" w:name="_Toc8955"/>
      <w:r>
        <w:rPr>
          <w:rFonts w:ascii="Times New Roman" w:hAnsi="Times New Roman"/>
          <w:color w:val="000000"/>
          <w:sz w:val="28"/>
          <w:szCs w:val="28"/>
        </w:rPr>
        <w:t>表8环境质量和辐射现状</w:t>
      </w:r>
      <w:bookmarkEnd w:id="16"/>
      <w:bookmarkEnd w:id="17"/>
      <w:bookmarkEnd w:id="18"/>
    </w:p>
    <w:tbl>
      <w:tblPr>
        <w:tblStyle w:val="16"/>
        <w:tblW w:w="9023"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6" w:hRule="atLeast"/>
        </w:trPr>
        <w:tc>
          <w:tcPr>
            <w:tcW w:w="9023" w:type="dxa"/>
          </w:tcPr>
          <w:p>
            <w:pPr>
              <w:spacing w:line="360" w:lineRule="auto"/>
              <w:contextualSpacing/>
              <w:rPr>
                <w:rFonts w:ascii="Times New Roman" w:hAnsi="Times New Roman"/>
                <w:b/>
                <w:bCs/>
                <w:sz w:val="28"/>
                <w:szCs w:val="28"/>
              </w:rPr>
            </w:pPr>
            <w:r>
              <w:rPr>
                <w:rFonts w:ascii="Times New Roman" w:hAnsi="Times New Roman"/>
                <w:b/>
                <w:bCs/>
                <w:sz w:val="28"/>
                <w:szCs w:val="28"/>
              </w:rPr>
              <w:t>8.1项目地理位置和场所位置</w:t>
            </w:r>
          </w:p>
          <w:p>
            <w:pPr>
              <w:overflowPunct w:val="0"/>
              <w:spacing w:line="360" w:lineRule="auto"/>
              <w:ind w:firstLine="480" w:firstLineChars="200"/>
              <w:rPr>
                <w:rFonts w:ascii="Times New Roman" w:hAnsi="Times New Roman"/>
                <w:kern w:val="0"/>
                <w:sz w:val="24"/>
              </w:rPr>
            </w:pPr>
            <w:r>
              <w:rPr>
                <w:rFonts w:ascii="Times New Roman" w:hAnsi="Times New Roman"/>
                <w:sz w:val="24"/>
              </w:rPr>
              <w:t>本项目为</w:t>
            </w:r>
            <w:r>
              <w:rPr>
                <w:rFonts w:hint="eastAsia" w:ascii="Times New Roman" w:hAnsi="Times New Roman"/>
                <w:sz w:val="24"/>
              </w:rPr>
              <w:t>现场</w:t>
            </w:r>
            <w:r>
              <w:rPr>
                <w:rFonts w:ascii="Times New Roman" w:hAnsi="Times New Roman"/>
                <w:sz w:val="24"/>
              </w:rPr>
              <w:t>探伤，无固定工作场所，</w:t>
            </w:r>
            <w:r>
              <w:rPr>
                <w:rFonts w:ascii="Times New Roman" w:hAnsi="Times New Roman"/>
                <w:kern w:val="0"/>
                <w:sz w:val="24"/>
              </w:rPr>
              <w:t>工业用X射线探伤</w:t>
            </w:r>
            <w:r>
              <w:rPr>
                <w:rFonts w:hint="eastAsia" w:ascii="Times New Roman" w:hAnsi="Times New Roman"/>
                <w:kern w:val="0"/>
                <w:sz w:val="24"/>
              </w:rPr>
              <w:t>机</w:t>
            </w:r>
            <w:r>
              <w:rPr>
                <w:rFonts w:ascii="Times New Roman" w:hAnsi="Times New Roman"/>
                <w:sz w:val="24"/>
              </w:rPr>
              <w:t>无检测任务时</w:t>
            </w:r>
            <w:r>
              <w:rPr>
                <w:rFonts w:ascii="Times New Roman" w:hAnsi="Times New Roman"/>
                <w:kern w:val="0"/>
                <w:sz w:val="24"/>
              </w:rPr>
              <w:t>存放在</w:t>
            </w:r>
            <w:r>
              <w:rPr>
                <w:rFonts w:ascii="Times New Roman" w:hAnsi="Times New Roman"/>
                <w:sz w:val="24"/>
                <w:szCs w:val="24"/>
              </w:rPr>
              <w:t>新疆昌吉高新技术产业开发区辉煌大道南侧</w:t>
            </w:r>
            <w:r>
              <w:rPr>
                <w:rFonts w:hint="eastAsia" w:ascii="Times New Roman" w:hAnsi="Times New Roman"/>
                <w:color w:val="000000"/>
                <w:sz w:val="24"/>
                <w:szCs w:val="32"/>
              </w:rPr>
              <w:t>新疆质检院</w:t>
            </w:r>
            <w:r>
              <w:rPr>
                <w:rFonts w:ascii="Times New Roman" w:hAnsi="Times New Roman"/>
                <w:sz w:val="24"/>
                <w:szCs w:val="24"/>
              </w:rPr>
              <w:t>机械所负一层无损检测室（2）内</w:t>
            </w:r>
            <w:r>
              <w:rPr>
                <w:rFonts w:ascii="Times New Roman" w:hAnsi="Times New Roman"/>
                <w:kern w:val="0"/>
                <w:sz w:val="24"/>
              </w:rPr>
              <w:t>，</w:t>
            </w:r>
            <w:r>
              <w:rPr>
                <w:rFonts w:ascii="Times New Roman" w:hAnsi="Times New Roman"/>
                <w:sz w:val="24"/>
                <w:szCs w:val="24"/>
              </w:rPr>
              <w:t>北侧为</w:t>
            </w:r>
            <w:r>
              <w:rPr>
                <w:rFonts w:hint="eastAsia" w:ascii="Times New Roman" w:hAnsi="Times New Roman"/>
                <w:color w:val="000000"/>
                <w:sz w:val="24"/>
                <w:szCs w:val="32"/>
              </w:rPr>
              <w:t>新疆质检院</w:t>
            </w:r>
            <w:r>
              <w:rPr>
                <w:rFonts w:ascii="Times New Roman" w:hAnsi="Times New Roman"/>
                <w:sz w:val="24"/>
                <w:szCs w:val="24"/>
              </w:rPr>
              <w:t>节水所和综合楼，南侧为</w:t>
            </w:r>
            <w:r>
              <w:rPr>
                <w:rFonts w:hint="eastAsia" w:ascii="Times New Roman" w:hAnsi="Times New Roman"/>
                <w:color w:val="000000"/>
                <w:sz w:val="24"/>
                <w:szCs w:val="32"/>
              </w:rPr>
              <w:t>新疆质检院</w:t>
            </w:r>
            <w:r>
              <w:rPr>
                <w:rFonts w:ascii="Times New Roman" w:hAnsi="Times New Roman"/>
                <w:sz w:val="24"/>
                <w:szCs w:val="24"/>
              </w:rPr>
              <w:t>电器所，西北侧为昌吉高新明德热力有限公司，西南侧为恒晟能源，东侧为</w:t>
            </w:r>
            <w:r>
              <w:rPr>
                <w:rFonts w:hint="eastAsia" w:ascii="Times New Roman" w:hAnsi="Times New Roman"/>
                <w:color w:val="000000"/>
                <w:sz w:val="24"/>
                <w:szCs w:val="32"/>
              </w:rPr>
              <w:t>新疆质检院</w:t>
            </w:r>
            <w:r>
              <w:rPr>
                <w:rFonts w:ascii="Times New Roman" w:hAnsi="Times New Roman"/>
                <w:sz w:val="24"/>
                <w:szCs w:val="24"/>
              </w:rPr>
              <w:t>建材所</w:t>
            </w:r>
            <w:r>
              <w:rPr>
                <w:rFonts w:ascii="Times New Roman" w:hAnsi="Times New Roman"/>
                <w:kern w:val="0"/>
                <w:sz w:val="24"/>
              </w:rPr>
              <w:t>。</w:t>
            </w:r>
          </w:p>
          <w:p>
            <w:pPr>
              <w:pStyle w:val="54"/>
              <w:tabs>
                <w:tab w:val="left" w:pos="852"/>
              </w:tabs>
              <w:autoSpaceDE w:val="0"/>
              <w:autoSpaceDN w:val="0"/>
              <w:spacing w:before="4"/>
              <w:ind w:left="0" w:firstLine="0"/>
              <w:jc w:val="left"/>
              <w:rPr>
                <w:rFonts w:ascii="Times New Roman" w:hAnsi="Times New Roman" w:cs="Times New Roman"/>
                <w:b/>
                <w:bCs/>
                <w:sz w:val="28"/>
                <w:szCs w:val="28"/>
              </w:rPr>
            </w:pPr>
            <w:r>
              <w:rPr>
                <w:rFonts w:ascii="Times New Roman" w:hAnsi="Times New Roman" w:cs="Times New Roman"/>
                <w:b/>
                <w:bCs/>
                <w:sz w:val="28"/>
                <w:szCs w:val="28"/>
              </w:rPr>
              <w:t>8.2环境质量和辐射现状</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szCs w:val="32"/>
              </w:rPr>
              <w:t>新疆质检院</w:t>
            </w:r>
            <w:r>
              <w:rPr>
                <w:rFonts w:ascii="Times New Roman" w:hAnsi="Times New Roman"/>
                <w:color w:val="000000"/>
                <w:sz w:val="24"/>
              </w:rPr>
              <w:t>使用</w:t>
            </w:r>
            <w:r>
              <w:rPr>
                <w:rFonts w:hint="eastAsia" w:ascii="Times New Roman" w:hAnsi="Times New Roman"/>
                <w:color w:val="000000"/>
                <w:sz w:val="24"/>
              </w:rPr>
              <w:t>工业用X射线探伤机</w:t>
            </w:r>
            <w:r>
              <w:rPr>
                <w:rFonts w:ascii="Times New Roman" w:hAnsi="Times New Roman"/>
                <w:color w:val="000000"/>
                <w:sz w:val="24"/>
              </w:rPr>
              <w:t>用于</w:t>
            </w:r>
            <w:r>
              <w:rPr>
                <w:rFonts w:hint="eastAsia" w:ascii="Times New Roman" w:hAnsi="Times New Roman"/>
                <w:color w:val="000000"/>
                <w:sz w:val="24"/>
              </w:rPr>
              <w:t>现场</w:t>
            </w:r>
            <w:r>
              <w:rPr>
                <w:rFonts w:ascii="Times New Roman" w:hAnsi="Times New Roman"/>
                <w:color w:val="000000"/>
                <w:sz w:val="24"/>
              </w:rPr>
              <w:t>探伤，</w:t>
            </w:r>
            <w:r>
              <w:rPr>
                <w:rFonts w:hint="eastAsia" w:ascii="Times New Roman" w:hAnsi="Times New Roman"/>
                <w:color w:val="000000"/>
                <w:sz w:val="24"/>
              </w:rPr>
              <w:t>作业范围为全疆范围，</w:t>
            </w:r>
            <w:r>
              <w:rPr>
                <w:rFonts w:ascii="Times New Roman" w:hAnsi="Times New Roman"/>
                <w:color w:val="000000"/>
                <w:sz w:val="24"/>
              </w:rPr>
              <w:t>作业场所不固定。根据建设单位提供资料可知，本项目X射线探伤装置主要用新疆区内的现场探伤，故本次根据《新疆维吾尔自治区环境天然放射性水平调查报告》（1989年）中的结果，新疆地区天然贯穿辐射水平（nGy/h）详见表8-1。</w:t>
            </w:r>
          </w:p>
          <w:p>
            <w:pPr>
              <w:pStyle w:val="6"/>
              <w:adjustRightInd/>
              <w:spacing w:before="82" w:line="365" w:lineRule="auto"/>
              <w:ind w:left="0" w:firstLine="482"/>
              <w:jc w:val="center"/>
              <w:rPr>
                <w:rFonts w:ascii="Times New Roman" w:cs="Times New Roman"/>
                <w:b/>
                <w:bCs/>
                <w:kern w:val="2"/>
                <w:sz w:val="24"/>
              </w:rPr>
            </w:pPr>
            <w:r>
              <w:rPr>
                <w:rFonts w:ascii="Times New Roman" w:cs="Times New Roman"/>
                <w:b/>
                <w:bCs/>
                <w:kern w:val="2"/>
                <w:sz w:val="24"/>
              </w:rPr>
              <w:t>表8-1</w:t>
            </w:r>
            <w:r>
              <w:rPr>
                <w:rFonts w:ascii="Times New Roman" w:cs="Times New Roman"/>
                <w:b/>
                <w:bCs/>
                <w:kern w:val="2"/>
                <w:sz w:val="24"/>
              </w:rPr>
              <w:tab/>
            </w:r>
            <w:r>
              <w:rPr>
                <w:rFonts w:ascii="Times New Roman" w:cs="Times New Roman"/>
                <w:b/>
                <w:bCs/>
                <w:kern w:val="2"/>
                <w:sz w:val="24"/>
              </w:rPr>
              <w:t>新疆地区环境天然贯穿辐射水平（nGy/h）</w:t>
            </w:r>
          </w:p>
          <w:tbl>
            <w:tblPr>
              <w:tblStyle w:val="16"/>
              <w:tblW w:w="68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2"/>
              <w:gridCol w:w="2204"/>
              <w:gridCol w:w="2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2472" w:type="dxa"/>
                  <w:vAlign w:val="center"/>
                </w:tcPr>
                <w:p>
                  <w:pPr>
                    <w:pStyle w:val="33"/>
                    <w:spacing w:before="59"/>
                    <w:ind w:left="336" w:right="324"/>
                    <w:jc w:val="center"/>
                    <w:rPr>
                      <w:color w:val="000000"/>
                      <w:kern w:val="2"/>
                      <w:szCs w:val="22"/>
                    </w:rPr>
                  </w:pPr>
                  <w:r>
                    <w:rPr>
                      <w:color w:val="000000"/>
                      <w:kern w:val="2"/>
                      <w:szCs w:val="22"/>
                    </w:rPr>
                    <w:t>原野γ辐射剂量率范围值</w:t>
                  </w:r>
                </w:p>
              </w:tc>
              <w:tc>
                <w:tcPr>
                  <w:tcW w:w="2204" w:type="dxa"/>
                  <w:vAlign w:val="center"/>
                </w:tcPr>
                <w:p>
                  <w:pPr>
                    <w:pStyle w:val="33"/>
                    <w:spacing w:before="59"/>
                    <w:ind w:left="267" w:right="254"/>
                    <w:jc w:val="center"/>
                    <w:rPr>
                      <w:color w:val="000000"/>
                      <w:kern w:val="2"/>
                      <w:szCs w:val="22"/>
                    </w:rPr>
                  </w:pPr>
                  <w:r>
                    <w:rPr>
                      <w:color w:val="000000"/>
                      <w:kern w:val="2"/>
                      <w:szCs w:val="22"/>
                    </w:rPr>
                    <w:t>道路γ剂量率范围值</w:t>
                  </w:r>
                </w:p>
              </w:tc>
              <w:tc>
                <w:tcPr>
                  <w:tcW w:w="2211" w:type="dxa"/>
                  <w:vAlign w:val="center"/>
                </w:tcPr>
                <w:p>
                  <w:pPr>
                    <w:pStyle w:val="33"/>
                    <w:spacing w:before="59"/>
                    <w:ind w:left="68" w:right="55"/>
                    <w:jc w:val="center"/>
                    <w:rPr>
                      <w:color w:val="000000"/>
                      <w:kern w:val="2"/>
                      <w:szCs w:val="22"/>
                    </w:rPr>
                  </w:pPr>
                  <w:r>
                    <w:rPr>
                      <w:color w:val="000000"/>
                      <w:kern w:val="2"/>
                      <w:szCs w:val="22"/>
                    </w:rPr>
                    <w:t>室内γ辐射剂量率范围值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2472" w:type="dxa"/>
                  <w:vAlign w:val="center"/>
                </w:tcPr>
                <w:p>
                  <w:pPr>
                    <w:pStyle w:val="33"/>
                    <w:spacing w:before="57"/>
                    <w:ind w:left="336" w:right="321"/>
                    <w:jc w:val="center"/>
                    <w:rPr>
                      <w:color w:val="000000"/>
                      <w:kern w:val="2"/>
                      <w:szCs w:val="22"/>
                    </w:rPr>
                  </w:pPr>
                  <w:r>
                    <w:rPr>
                      <w:color w:val="000000"/>
                      <w:kern w:val="2"/>
                      <w:szCs w:val="22"/>
                    </w:rPr>
                    <w:t>11.7-326.4</w:t>
                  </w:r>
                </w:p>
              </w:tc>
              <w:tc>
                <w:tcPr>
                  <w:tcW w:w="2204" w:type="dxa"/>
                  <w:vAlign w:val="center"/>
                </w:tcPr>
                <w:p>
                  <w:pPr>
                    <w:pStyle w:val="33"/>
                    <w:spacing w:before="57"/>
                    <w:ind w:left="267" w:right="252"/>
                    <w:jc w:val="center"/>
                    <w:rPr>
                      <w:color w:val="000000"/>
                      <w:kern w:val="2"/>
                      <w:szCs w:val="22"/>
                    </w:rPr>
                  </w:pPr>
                  <w:r>
                    <w:rPr>
                      <w:color w:val="000000"/>
                      <w:kern w:val="2"/>
                      <w:szCs w:val="22"/>
                    </w:rPr>
                    <w:t>10.2-230.9</w:t>
                  </w:r>
                </w:p>
              </w:tc>
              <w:tc>
                <w:tcPr>
                  <w:tcW w:w="2211" w:type="dxa"/>
                  <w:vAlign w:val="center"/>
                </w:tcPr>
                <w:p>
                  <w:pPr>
                    <w:pStyle w:val="33"/>
                    <w:spacing w:before="57"/>
                    <w:ind w:left="68" w:right="54"/>
                    <w:jc w:val="center"/>
                    <w:rPr>
                      <w:color w:val="000000"/>
                      <w:kern w:val="2"/>
                      <w:szCs w:val="22"/>
                    </w:rPr>
                  </w:pPr>
                  <w:r>
                    <w:rPr>
                      <w:color w:val="000000"/>
                      <w:kern w:val="2"/>
                      <w:szCs w:val="22"/>
                    </w:rPr>
                    <w:t>43.3-320.8</w:t>
                  </w:r>
                </w:p>
              </w:tc>
            </w:tr>
          </w:tbl>
          <w:p>
            <w:pPr>
              <w:spacing w:line="360" w:lineRule="auto"/>
              <w:contextualSpacing/>
              <w:rPr>
                <w:rFonts w:ascii="Times New Roman" w:hAnsi="Times New Roman"/>
                <w:b/>
                <w:bCs/>
                <w:sz w:val="28"/>
                <w:szCs w:val="28"/>
              </w:rPr>
            </w:pPr>
          </w:p>
          <w:p>
            <w:pPr>
              <w:spacing w:line="360" w:lineRule="auto"/>
              <w:contextualSpacing/>
              <w:rPr>
                <w:rFonts w:ascii="Times New Roman" w:hAnsi="Times New Roman"/>
                <w:b/>
                <w:bCs/>
                <w:sz w:val="28"/>
                <w:szCs w:val="28"/>
              </w:rPr>
            </w:pPr>
          </w:p>
          <w:p>
            <w:pPr>
              <w:spacing w:line="360" w:lineRule="auto"/>
              <w:ind w:firstLine="480" w:firstLineChars="200"/>
              <w:rPr>
                <w:rFonts w:ascii="Times New Roman" w:hAnsi="Times New Roman"/>
                <w:sz w:val="24"/>
                <w:szCs w:val="24"/>
              </w:rPr>
            </w:pPr>
          </w:p>
          <w:p>
            <w:pPr>
              <w:spacing w:line="480" w:lineRule="exact"/>
              <w:contextualSpacing/>
              <w:rPr>
                <w:rFonts w:ascii="Times New Roman" w:hAnsi="Times New Roman"/>
                <w:bCs/>
                <w:sz w:val="24"/>
                <w:szCs w:val="24"/>
              </w:rPr>
            </w:pPr>
          </w:p>
        </w:tc>
      </w:tr>
    </w:tbl>
    <w:p>
      <w:pPr>
        <w:pStyle w:val="2"/>
        <w:rPr>
          <w:rFonts w:ascii="Times New Roman" w:hAnsi="Times New Roman"/>
          <w:sz w:val="28"/>
          <w:szCs w:val="28"/>
        </w:rPr>
      </w:pPr>
      <w:bookmarkStart w:id="19" w:name="_Toc12200"/>
      <w:r>
        <w:rPr>
          <w:rFonts w:ascii="Times New Roman" w:hAnsi="Times New Roman"/>
          <w:sz w:val="28"/>
          <w:szCs w:val="28"/>
        </w:rPr>
        <w:t>表9项目工程分析与源项</w:t>
      </w:r>
      <w:bookmarkEnd w:id="19"/>
    </w:p>
    <w:tbl>
      <w:tblPr>
        <w:tblStyle w:val="16"/>
        <w:tblW w:w="9030" w:type="dxa"/>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30" w:type="dxa"/>
          </w:tcPr>
          <w:p>
            <w:pPr>
              <w:spacing w:line="460" w:lineRule="exact"/>
              <w:contextualSpacing/>
              <w:rPr>
                <w:rFonts w:ascii="Times New Roman" w:hAnsi="Times New Roman"/>
                <w:b/>
                <w:sz w:val="28"/>
                <w:szCs w:val="28"/>
              </w:rPr>
            </w:pPr>
            <w:r>
              <w:rPr>
                <w:rFonts w:ascii="Times New Roman" w:hAnsi="Times New Roman"/>
                <w:b/>
                <w:sz w:val="28"/>
                <w:szCs w:val="28"/>
              </w:rPr>
              <w:t>9.1工程分析</w:t>
            </w:r>
          </w:p>
          <w:p>
            <w:pPr>
              <w:spacing w:line="360" w:lineRule="auto"/>
              <w:ind w:firstLine="480" w:firstLineChars="200"/>
              <w:rPr>
                <w:rFonts w:ascii="Times New Roman" w:hAnsi="Times New Roman"/>
                <w:kern w:val="0"/>
                <w:sz w:val="24"/>
              </w:rPr>
            </w:pPr>
            <w:r>
              <w:rPr>
                <w:rFonts w:ascii="Times New Roman" w:hAnsi="Times New Roman"/>
                <w:sz w:val="24"/>
              </w:rPr>
              <w:t>本项目拟使用3</w:t>
            </w:r>
            <w:r>
              <w:rPr>
                <w:rFonts w:ascii="Times New Roman" w:hAnsi="Times New Roman"/>
                <w:color w:val="000000"/>
                <w:sz w:val="24"/>
              </w:rPr>
              <w:t>台</w:t>
            </w:r>
            <w:r>
              <w:rPr>
                <w:rFonts w:hint="eastAsia" w:ascii="Times New Roman" w:hAnsi="Times New Roman"/>
                <w:color w:val="000000"/>
                <w:sz w:val="24"/>
              </w:rPr>
              <w:t>工业用X射线探伤机</w:t>
            </w:r>
            <w:r>
              <w:rPr>
                <w:rFonts w:ascii="Times New Roman" w:hAnsi="Times New Roman"/>
                <w:color w:val="000000"/>
                <w:sz w:val="24"/>
              </w:rPr>
              <w:t>，</w:t>
            </w:r>
            <w:r>
              <w:rPr>
                <w:rFonts w:ascii="Times New Roman" w:hAnsi="Times New Roman"/>
                <w:sz w:val="24"/>
              </w:rPr>
              <w:t>开展</w:t>
            </w:r>
            <w:r>
              <w:rPr>
                <w:rFonts w:hint="eastAsia" w:ascii="Times New Roman" w:hAnsi="Times New Roman"/>
                <w:sz w:val="24"/>
              </w:rPr>
              <w:t>钢结构、管道、非承压、承压设备等</w:t>
            </w:r>
            <w:r>
              <w:rPr>
                <w:rFonts w:ascii="Times New Roman" w:hAnsi="Times New Roman"/>
                <w:sz w:val="24"/>
              </w:rPr>
              <w:t>的现场无损探伤工作。本项目为</w:t>
            </w:r>
            <w:r>
              <w:rPr>
                <w:rFonts w:hint="eastAsia" w:ascii="Times New Roman" w:hAnsi="Times New Roman"/>
                <w:sz w:val="24"/>
              </w:rPr>
              <w:t>现场</w:t>
            </w:r>
            <w:r>
              <w:rPr>
                <w:rFonts w:ascii="Times New Roman" w:hAnsi="Times New Roman"/>
                <w:sz w:val="24"/>
              </w:rPr>
              <w:t>探伤，无固定工作场所，探伤装置不使用时存放于</w:t>
            </w:r>
            <w:r>
              <w:rPr>
                <w:rFonts w:hint="eastAsia" w:ascii="Times New Roman" w:hAnsi="Times New Roman"/>
                <w:color w:val="000000"/>
                <w:sz w:val="24"/>
                <w:szCs w:val="32"/>
              </w:rPr>
              <w:t>新疆质检院</w:t>
            </w:r>
            <w:r>
              <w:rPr>
                <w:rFonts w:ascii="Times New Roman" w:hAnsi="Times New Roman"/>
                <w:sz w:val="24"/>
                <w:szCs w:val="24"/>
              </w:rPr>
              <w:t>机械所负一层</w:t>
            </w:r>
            <w:r>
              <w:rPr>
                <w:rFonts w:ascii="Times New Roman" w:hAnsi="Times New Roman"/>
                <w:sz w:val="24"/>
              </w:rPr>
              <w:t>无损检测室（2）</w:t>
            </w:r>
            <w:r>
              <w:rPr>
                <w:rFonts w:ascii="Times New Roman" w:hAnsi="Times New Roman"/>
                <w:kern w:val="0"/>
                <w:sz w:val="24"/>
              </w:rPr>
              <w:t>内。</w:t>
            </w:r>
          </w:p>
          <w:p>
            <w:pPr>
              <w:spacing w:line="360" w:lineRule="auto"/>
              <w:rPr>
                <w:rFonts w:ascii="Times New Roman" w:hAnsi="Times New Roman"/>
                <w:b/>
                <w:bCs/>
                <w:sz w:val="24"/>
                <w:szCs w:val="24"/>
              </w:rPr>
            </w:pPr>
            <w:r>
              <w:rPr>
                <w:rFonts w:ascii="Times New Roman" w:hAnsi="Times New Roman"/>
                <w:b/>
                <w:bCs/>
                <w:sz w:val="24"/>
                <w:szCs w:val="24"/>
              </w:rPr>
              <w:t>9.1.1工作原理</w:t>
            </w:r>
          </w:p>
          <w:p>
            <w:pPr>
              <w:spacing w:line="360" w:lineRule="auto"/>
              <w:ind w:firstLine="480" w:firstLineChars="200"/>
              <w:rPr>
                <w:rFonts w:ascii="Times New Roman" w:hAnsi="Times New Roman"/>
                <w:color w:val="000000"/>
                <w:sz w:val="24"/>
              </w:rPr>
            </w:pPr>
            <w:r>
              <w:rPr>
                <w:rFonts w:ascii="Times New Roman" w:hAnsi="Times New Roman"/>
                <w:color w:val="000000"/>
                <w:sz w:val="24"/>
              </w:rPr>
              <w:t>X射线探伤装置通常由操纵台、高压发生器、射线管头、冷却装置、高压电缆和低压电缆等组成。</w:t>
            </w:r>
          </w:p>
          <w:p>
            <w:pPr>
              <w:spacing w:line="360" w:lineRule="auto"/>
              <w:ind w:firstLine="480" w:firstLineChars="200"/>
              <w:rPr>
                <w:rFonts w:ascii="Times New Roman" w:hAnsi="Times New Roman"/>
                <w:color w:val="000000"/>
                <w:sz w:val="24"/>
              </w:rPr>
            </w:pPr>
            <w:r>
              <w:rPr>
                <w:rFonts w:ascii="Times New Roman" w:hAnsi="Times New Roman"/>
                <w:color w:val="000000"/>
                <w:sz w:val="24"/>
              </w:rPr>
              <w:t>X射线探伤装置为利用X射线进行显像，产生X射线的装置主要由X射线管和高压电源组成。X射线管由安装在真空玻璃壳中的阴极和阳极组成（见图9-1）。阴极是钨制灯丝，它装在聚焦杯中。当灯丝通电加热时，电子就“蒸发”出来，而聚焦杯使这些电子聚焦成束，直接向嵌在铜阳极中的靶体射击。高电压加在X射线管的两极之间，使电子在射到靶体之前加速达到很高的速度。靶体一般用高原子序数的难熔金属如钨、铂、金、钽等制成。高速电子轰击靶体产生X射线。X射线管工作时，靶体上会产生大量的热，必须采取适当的措施将热量导出。</w:t>
            </w:r>
          </w:p>
          <w:p>
            <w:pPr>
              <w:spacing w:line="360" w:lineRule="auto"/>
              <w:ind w:firstLine="480" w:firstLineChars="200"/>
              <w:rPr>
                <w:rFonts w:ascii="Times New Roman" w:hAnsi="Times New Roman"/>
                <w:color w:val="000000"/>
                <w:sz w:val="24"/>
              </w:rPr>
            </w:pPr>
            <w:r>
              <w:rPr>
                <w:rFonts w:ascii="Times New Roman" w:hAnsi="Times New Roman"/>
                <w:color w:val="000000"/>
                <w:sz w:val="24"/>
              </w:rPr>
              <w:t>常见X射线探伤装置外观见图9-2。</w:t>
            </w:r>
          </w:p>
          <w:p>
            <w:pPr>
              <w:spacing w:line="360" w:lineRule="auto"/>
              <w:ind w:firstLine="420" w:firstLineChars="200"/>
              <w:jc w:val="center"/>
              <w:rPr>
                <w:rFonts w:ascii="Times New Roman" w:hAnsi="Times New Roman"/>
              </w:rPr>
            </w:pPr>
            <w:r>
              <w:rPr>
                <w:rFonts w:ascii="Times New Roman" w:hAnsi="Times New Roman"/>
              </w:rPr>
              <w:drawing>
                <wp:inline distT="0" distB="0" distL="114300" distR="114300">
                  <wp:extent cx="3658235" cy="1872615"/>
                  <wp:effectExtent l="0" t="0" r="14605" b="19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4"/>
                          <a:srcRect l="20605" t="44455" r="20369" b="33085"/>
                          <a:stretch>
                            <a:fillRect/>
                          </a:stretch>
                        </pic:blipFill>
                        <pic:spPr>
                          <a:xfrm>
                            <a:off x="0" y="0"/>
                            <a:ext cx="3658235" cy="1872615"/>
                          </a:xfrm>
                          <a:prstGeom prst="rect">
                            <a:avLst/>
                          </a:prstGeom>
                          <a:noFill/>
                          <a:ln>
                            <a:noFill/>
                          </a:ln>
                        </pic:spPr>
                      </pic:pic>
                    </a:graphicData>
                  </a:graphic>
                </wp:inline>
              </w:drawing>
            </w:r>
          </w:p>
          <w:p>
            <w:pPr>
              <w:spacing w:line="360" w:lineRule="auto"/>
              <w:ind w:firstLine="482" w:firstLineChars="200"/>
              <w:jc w:val="center"/>
              <w:rPr>
                <w:rFonts w:ascii="Times New Roman" w:hAnsi="Times New Roman"/>
                <w:b/>
                <w:bCs/>
                <w:sz w:val="24"/>
                <w:szCs w:val="24"/>
              </w:rPr>
            </w:pPr>
            <w:r>
              <w:rPr>
                <w:rFonts w:ascii="Times New Roman" w:hAnsi="Times New Roman"/>
                <w:b/>
                <w:bCs/>
                <w:sz w:val="24"/>
                <w:szCs w:val="24"/>
              </w:rPr>
              <w:t>图9-1 典型X射线管结构图</w:t>
            </w:r>
          </w:p>
          <w:p>
            <w:pPr>
              <w:spacing w:line="360" w:lineRule="auto"/>
              <w:ind w:firstLine="420" w:firstLineChars="200"/>
              <w:jc w:val="center"/>
              <w:rPr>
                <w:rFonts w:ascii="Times New Roman" w:hAnsi="Times New Roman"/>
              </w:rPr>
            </w:pPr>
          </w:p>
          <w:p>
            <w:pPr>
              <w:spacing w:line="360" w:lineRule="auto"/>
              <w:ind w:firstLine="420" w:firstLineChars="200"/>
              <w:jc w:val="center"/>
              <w:rPr>
                <w:rFonts w:ascii="Times New Roman" w:hAnsi="Times New Roman"/>
              </w:rPr>
            </w:pPr>
          </w:p>
          <w:p>
            <w:pPr>
              <w:spacing w:line="360" w:lineRule="auto"/>
              <w:ind w:firstLine="420" w:firstLineChars="200"/>
              <w:jc w:val="center"/>
              <w:rPr>
                <w:rFonts w:ascii="Times New Roman" w:hAnsi="Times New Roman"/>
              </w:rPr>
            </w:pPr>
          </w:p>
          <w:p>
            <w:pPr>
              <w:spacing w:line="360" w:lineRule="auto"/>
              <w:ind w:firstLine="420" w:firstLineChars="200"/>
              <w:jc w:val="center"/>
              <w:rPr>
                <w:rFonts w:ascii="Times New Roman" w:hAnsi="Times New Roman"/>
              </w:rPr>
            </w:pPr>
          </w:p>
          <w:p>
            <w:pPr>
              <w:spacing w:line="360" w:lineRule="auto"/>
              <w:rPr>
                <w:rFonts w:ascii="Times New Roman" w:hAnsi="Times New Roman"/>
              </w:rPr>
            </w:pPr>
          </w:p>
          <w:p>
            <w:pPr>
              <w:spacing w:line="360" w:lineRule="auto"/>
              <w:ind w:firstLine="480" w:firstLineChars="200"/>
              <w:rPr>
                <w:rFonts w:ascii="Times New Roman" w:hAnsi="Times New Roman"/>
                <w:sz w:val="24"/>
                <w:szCs w:val="24"/>
              </w:rPr>
            </w:pPr>
            <w:r>
              <w:rPr>
                <w:rFonts w:ascii="Times New Roman" w:hAnsi="Times New Roman"/>
                <w:sz w:val="24"/>
                <w:szCs w:val="24"/>
              </w:rPr>
              <w:drawing>
                <wp:inline distT="0" distB="0" distL="114300" distR="114300">
                  <wp:extent cx="5030470" cy="2694940"/>
                  <wp:effectExtent l="0" t="0" r="11430" b="10160"/>
                  <wp:docPr id="1" name="图片 1" descr="探伤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探伤机"/>
                          <pic:cNvPicPr>
                            <a:picLocks noChangeAspect="1"/>
                          </pic:cNvPicPr>
                        </pic:nvPicPr>
                        <pic:blipFill>
                          <a:blip r:embed="rId15"/>
                          <a:stretch>
                            <a:fillRect/>
                          </a:stretch>
                        </pic:blipFill>
                        <pic:spPr>
                          <a:xfrm>
                            <a:off x="0" y="0"/>
                            <a:ext cx="5030470" cy="2694940"/>
                          </a:xfrm>
                          <a:prstGeom prst="rect">
                            <a:avLst/>
                          </a:prstGeom>
                        </pic:spPr>
                      </pic:pic>
                    </a:graphicData>
                  </a:graphic>
                </wp:inline>
              </w:drawing>
            </w:r>
          </w:p>
          <w:p>
            <w:pPr>
              <w:spacing w:line="360" w:lineRule="auto"/>
              <w:ind w:firstLine="482" w:firstLineChars="200"/>
              <w:jc w:val="center"/>
              <w:rPr>
                <w:rFonts w:ascii="Times New Roman" w:hAnsi="Times New Roman"/>
                <w:b/>
                <w:bCs/>
                <w:sz w:val="24"/>
                <w:szCs w:val="24"/>
              </w:rPr>
            </w:pPr>
            <w:r>
              <w:rPr>
                <w:rFonts w:ascii="Times New Roman" w:hAnsi="Times New Roman"/>
                <w:b/>
                <w:bCs/>
                <w:sz w:val="24"/>
                <w:szCs w:val="24"/>
              </w:rPr>
              <w:t>图9-2 常见X射线探伤装置</w:t>
            </w:r>
          </w:p>
          <w:p>
            <w:pPr>
              <w:spacing w:line="360" w:lineRule="auto"/>
              <w:ind w:firstLine="480" w:firstLineChars="200"/>
              <w:rPr>
                <w:rFonts w:ascii="Times New Roman" w:hAnsi="Times New Roman"/>
                <w:color w:val="000000"/>
                <w:sz w:val="24"/>
              </w:rPr>
            </w:pPr>
            <w:r>
              <w:rPr>
                <w:rFonts w:ascii="Times New Roman" w:hAnsi="Times New Roman"/>
                <w:color w:val="000000"/>
                <w:sz w:val="24"/>
              </w:rPr>
              <w:t>X射线探伤装置的工作原理是利用被检物的缺陷部位和其他部位射线减弱的程度不同，通过射线透射摄片，用胶片记录被检物信息，经过暗室处理后得到底片，根据其影像黑度获得被检物的有关信息，将被检物中的缺陷显现出来，以确定缺陷的位置、大小、形状和种类。工作原理示意图见图9-3。</w:t>
            </w:r>
          </w:p>
          <w:p>
            <w:pPr>
              <w:spacing w:line="360" w:lineRule="auto"/>
              <w:ind w:firstLine="420" w:firstLineChars="200"/>
              <w:jc w:val="center"/>
              <w:rPr>
                <w:rFonts w:ascii="Times New Roman" w:hAnsi="Times New Roman"/>
              </w:rPr>
            </w:pPr>
            <w:r>
              <w:rPr>
                <w:rFonts w:ascii="Times New Roman" w:hAnsi="Times New Roman"/>
              </w:rPr>
              <w:drawing>
                <wp:inline distT="0" distB="0" distL="114300" distR="114300">
                  <wp:extent cx="2400300" cy="1695450"/>
                  <wp:effectExtent l="0" t="0" r="0" b="635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6"/>
                          <a:stretch>
                            <a:fillRect/>
                          </a:stretch>
                        </pic:blipFill>
                        <pic:spPr>
                          <a:xfrm>
                            <a:off x="0" y="0"/>
                            <a:ext cx="2400300" cy="1695450"/>
                          </a:xfrm>
                          <a:prstGeom prst="rect">
                            <a:avLst/>
                          </a:prstGeom>
                          <a:noFill/>
                          <a:ln>
                            <a:noFill/>
                          </a:ln>
                        </pic:spPr>
                      </pic:pic>
                    </a:graphicData>
                  </a:graphic>
                </wp:inline>
              </w:drawing>
            </w:r>
          </w:p>
          <w:p>
            <w:pPr>
              <w:pStyle w:val="6"/>
              <w:adjustRightInd/>
              <w:spacing w:line="364" w:lineRule="auto"/>
              <w:ind w:left="0" w:firstLine="480"/>
              <w:jc w:val="center"/>
              <w:rPr>
                <w:rFonts w:ascii="Times New Roman" w:cs="Times New Roman"/>
                <w:b/>
                <w:bCs/>
                <w:sz w:val="24"/>
                <w:szCs w:val="24"/>
              </w:rPr>
            </w:pPr>
            <w:r>
              <w:rPr>
                <w:rFonts w:ascii="Times New Roman" w:cs="Times New Roman"/>
                <w:b/>
                <w:bCs/>
                <w:sz w:val="24"/>
                <w:szCs w:val="24"/>
              </w:rPr>
              <w:t>图9-3 工业探伤工作原理图</w:t>
            </w:r>
          </w:p>
          <w:p>
            <w:pPr>
              <w:spacing w:line="360" w:lineRule="auto"/>
              <w:rPr>
                <w:rFonts w:ascii="Times New Roman" w:hAnsi="Times New Roman"/>
                <w:b/>
                <w:bCs/>
                <w:sz w:val="24"/>
                <w:szCs w:val="24"/>
              </w:rPr>
            </w:pPr>
            <w:r>
              <w:rPr>
                <w:rFonts w:ascii="Times New Roman" w:hAnsi="Times New Roman"/>
                <w:b/>
                <w:bCs/>
                <w:sz w:val="24"/>
                <w:szCs w:val="24"/>
              </w:rPr>
              <w:t>9.1.2探伤工序</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工业X射线现场探伤是在室外，无专门屏蔽设施的条件下进行X射线无损探伤作业，探伤现场主要为施工工地，探伤作业期间，会将现场所有与射线作业无关的人员全部清理离场，同时客户会安排安全监督在探伤现场看护和巡测。</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工业X射线探伤装置现场探伤作业的工作流程如下：</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（1）客户递交检验委托单、检验图纸和相关要求。</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（2）本单位人员做现探伤作业前的准备工作，根据客户要求以及受检工件特点，确定使用设备以及射线检测的具体参数，并对工作环境进行全面评估，确定初步的警戒范围，以保证实现安全操作。</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（3）本单位探伤班组人员办理</w:t>
            </w:r>
            <w:r>
              <w:rPr>
                <w:rFonts w:hint="eastAsia" w:ascii="Times New Roman"/>
                <w:color w:val="000000"/>
                <w:sz w:val="24"/>
              </w:rPr>
              <w:t>工业用</w:t>
            </w:r>
            <w:r>
              <w:rPr>
                <w:rFonts w:ascii="Times New Roman"/>
                <w:color w:val="000000"/>
                <w:sz w:val="24"/>
              </w:rPr>
              <w:t>X射线探伤</w:t>
            </w:r>
            <w:r>
              <w:rPr>
                <w:rFonts w:hint="eastAsia" w:ascii="Times New Roman"/>
                <w:color w:val="000000"/>
                <w:sz w:val="24"/>
              </w:rPr>
              <w:t>机</w:t>
            </w:r>
            <w:r>
              <w:rPr>
                <w:rFonts w:ascii="Times New Roman" w:cs="Times New Roman"/>
                <w:sz w:val="24"/>
                <w:szCs w:val="24"/>
              </w:rPr>
              <w:t>等借用手续并记录，发放足够的现场探伤所需防护用品，如便携式X-γ辐射剂量率监测设备（1台/组）、个人剂量报警仪（1台/人）、对讲装置、黄色反光警戒线、照明设施、“禁止进入射线工作区”“无关人员禁止入内”警告牌、提示“预备”和“照射”状态的指示灯和声音提示装置等。</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4）本单位工作人员将探伤装置运至探伤现场，并现场熟悉作业条件和被检工件的基本信息。本单位工作人员与客户现场负责人商定作业时间和其他事项。向客户申请工作许可单，客户负责通知该设施涉及的所有人员。</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（5）作业前和客户的安全监督一起巡视作业现场，设置现场控制区、监督区，区域内的其他非射线作业人员全部清理出场。在控制区和监督区拉设警示带、警示标志和报警器。</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（6）本单位辐射工作人员在控制区、监督区外测量现场实际的剂量当量率，核实是否符合相关标准要求，并将现场控制区、监督区划分及各边界处剂量率监测值记录。</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（7）再次确认控制区内无关人员是否已全部清理离场。</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（8）在合适的位置摆放</w:t>
            </w:r>
            <w:r>
              <w:rPr>
                <w:rFonts w:hint="eastAsia" w:ascii="Times New Roman"/>
                <w:color w:val="000000"/>
                <w:sz w:val="24"/>
              </w:rPr>
              <w:t>工业用</w:t>
            </w:r>
            <w:r>
              <w:rPr>
                <w:rFonts w:ascii="Times New Roman"/>
                <w:color w:val="000000"/>
                <w:sz w:val="24"/>
              </w:rPr>
              <w:t>X射线探伤</w:t>
            </w:r>
            <w:r>
              <w:rPr>
                <w:rFonts w:hint="eastAsia" w:ascii="Times New Roman"/>
                <w:color w:val="000000"/>
                <w:sz w:val="24"/>
              </w:rPr>
              <w:t>机</w:t>
            </w:r>
            <w:r>
              <w:rPr>
                <w:rFonts w:ascii="Times New Roman" w:cs="Times New Roman"/>
                <w:sz w:val="24"/>
                <w:szCs w:val="24"/>
              </w:rPr>
              <w:t>的发生器，将“管电流调节”、“管电压调节”旋钮逆时针转到初始积极限位置（最小管电压和管电流）。在工件上放好胶片，对准位置，调好焦距。开始进行现场探伤作业。</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（9）安全监督在监督区外巡视。当现场探伤透照工艺和工件规格发生变化时需要重新划定控制区与监督区，重新测量控制区和监督区的实际的剂量当量率，并记录。</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（10）作业完成，本单位辐射工作人员使用便携式剂量率仪确认</w:t>
            </w:r>
            <w:r>
              <w:rPr>
                <w:rFonts w:hint="eastAsia" w:ascii="Times New Roman"/>
                <w:color w:val="000000"/>
                <w:sz w:val="24"/>
              </w:rPr>
              <w:t>工业用</w:t>
            </w:r>
            <w:r>
              <w:rPr>
                <w:rFonts w:ascii="Times New Roman"/>
                <w:color w:val="000000"/>
                <w:sz w:val="24"/>
              </w:rPr>
              <w:t>X射线探伤</w:t>
            </w:r>
            <w:r>
              <w:rPr>
                <w:rFonts w:hint="eastAsia" w:ascii="Times New Roman"/>
                <w:color w:val="000000"/>
                <w:sz w:val="24"/>
              </w:rPr>
              <w:t>机</w:t>
            </w:r>
            <w:r>
              <w:rPr>
                <w:rFonts w:ascii="Times New Roman" w:cs="Times New Roman"/>
                <w:sz w:val="24"/>
                <w:szCs w:val="24"/>
              </w:rPr>
              <w:t>已关闭后，清理现场。关闭工作许可单，通知相关单位负责人。</w:t>
            </w:r>
          </w:p>
          <w:p>
            <w:pPr>
              <w:pStyle w:val="6"/>
              <w:adjustRightInd/>
              <w:spacing w:line="364" w:lineRule="auto"/>
              <w:ind w:left="0" w:firstLine="480"/>
              <w:rPr>
                <w:rFonts w:ascii="Times New Roman" w:cs="Times New Roman"/>
                <w:sz w:val="24"/>
                <w:szCs w:val="24"/>
              </w:rPr>
            </w:pPr>
            <w:r>
              <w:rPr>
                <w:rFonts w:ascii="Times New Roman" w:cs="Times New Roman"/>
                <w:sz w:val="24"/>
                <w:szCs w:val="24"/>
              </w:rPr>
              <w:t>（11）探伤结束，本单位探伤班组人员将借出的</w:t>
            </w:r>
            <w:r>
              <w:rPr>
                <w:rFonts w:hint="eastAsia" w:ascii="Times New Roman"/>
                <w:color w:val="000000"/>
                <w:sz w:val="24"/>
              </w:rPr>
              <w:t>工业用</w:t>
            </w:r>
            <w:r>
              <w:rPr>
                <w:rFonts w:ascii="Times New Roman"/>
                <w:color w:val="000000"/>
                <w:sz w:val="24"/>
              </w:rPr>
              <w:t>X射线探伤</w:t>
            </w:r>
            <w:r>
              <w:rPr>
                <w:rFonts w:hint="eastAsia" w:ascii="Times New Roman"/>
                <w:color w:val="000000"/>
                <w:sz w:val="24"/>
              </w:rPr>
              <w:t>机</w:t>
            </w:r>
            <w:r>
              <w:rPr>
                <w:rFonts w:ascii="Times New Roman" w:cs="Times New Roman"/>
                <w:sz w:val="24"/>
                <w:szCs w:val="24"/>
              </w:rPr>
              <w:t>及防护用品等归还，办理归还手续并记录。将现场监测记录存档备查。</w:t>
            </w:r>
          </w:p>
          <w:p>
            <w:pPr>
              <w:pStyle w:val="6"/>
              <w:adjustRightInd/>
              <w:spacing w:line="364" w:lineRule="auto"/>
              <w:ind w:left="0" w:firstLine="480"/>
              <w:rPr>
                <w:rFonts w:ascii="Times New Roman" w:cs="Times New Roman"/>
                <w:bCs/>
                <w:sz w:val="24"/>
                <w:szCs w:val="24"/>
              </w:rPr>
            </w:pPr>
            <w:r>
              <w:rPr>
                <w:rFonts w:ascii="Times New Roman" w:cs="Times New Roman"/>
                <w:sz w:val="24"/>
                <w:szCs w:val="24"/>
              </w:rPr>
              <w:t>（12）使用显影水、定影水对探伤后的胶片进行显像处理，</w:t>
            </w:r>
            <w:r>
              <w:rPr>
                <w:rFonts w:ascii="Times New Roman" w:cs="Times New Roman"/>
                <w:bCs/>
                <w:sz w:val="24"/>
                <w:szCs w:val="24"/>
              </w:rPr>
              <w:t>然后进行评片、审片，完毕后合格就转入下道工序，不合格则将工件返回焊接，再重新接受委托。</w:t>
            </w:r>
            <w:r>
              <w:rPr>
                <w:rFonts w:ascii="Times New Roman" w:cs="Times New Roman"/>
                <w:sz w:val="24"/>
                <w:szCs w:val="24"/>
              </w:rPr>
              <w:t>最后对受测容器进行评价。</w:t>
            </w:r>
            <w:r>
              <w:rPr>
                <w:rFonts w:ascii="Times New Roman" w:cs="Times New Roman"/>
                <w:bCs/>
                <w:sz w:val="24"/>
                <w:szCs w:val="24"/>
              </w:rPr>
              <w:t>其探伤工序及产污如图9-4所示：</w:t>
            </w:r>
          </w:p>
          <w:p>
            <w:pPr>
              <w:pStyle w:val="6"/>
              <w:adjustRightInd/>
              <w:spacing w:line="364" w:lineRule="auto"/>
              <w:ind w:left="0" w:firstLine="480"/>
              <w:jc w:val="center"/>
              <w:rPr>
                <w:rFonts w:ascii="Times New Roman" w:cs="Times New Roman"/>
                <w:b/>
                <w:bCs/>
                <w:sz w:val="24"/>
                <w:szCs w:val="24"/>
              </w:rPr>
            </w:pPr>
            <w:r>
              <w:rPr>
                <w:rFonts w:ascii="Times New Roman" w:cs="Times New Roman"/>
                <w:b/>
                <w:bCs/>
                <w:sz w:val="24"/>
                <w:szCs w:val="24"/>
              </w:rPr>
              <w:drawing>
                <wp:anchor distT="0" distB="0" distL="114300" distR="114300" simplePos="0" relativeHeight="251659264" behindDoc="0" locked="0" layoutInCell="1" allowOverlap="1">
                  <wp:simplePos x="0" y="0"/>
                  <wp:positionH relativeFrom="column">
                    <wp:posOffset>341630</wp:posOffset>
                  </wp:positionH>
                  <wp:positionV relativeFrom="paragraph">
                    <wp:posOffset>88900</wp:posOffset>
                  </wp:positionV>
                  <wp:extent cx="4940300" cy="1625600"/>
                  <wp:effectExtent l="0" t="0" r="0" b="0"/>
                  <wp:wrapTopAndBottom/>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7"/>
                          <a:srcRect l="141" r="-141"/>
                          <a:stretch>
                            <a:fillRect/>
                          </a:stretch>
                        </pic:blipFill>
                        <pic:spPr>
                          <a:xfrm>
                            <a:off x="0" y="0"/>
                            <a:ext cx="4940300" cy="1625600"/>
                          </a:xfrm>
                          <a:prstGeom prst="rect">
                            <a:avLst/>
                          </a:prstGeom>
                          <a:noFill/>
                          <a:ln>
                            <a:noFill/>
                          </a:ln>
                        </pic:spPr>
                      </pic:pic>
                    </a:graphicData>
                  </a:graphic>
                </wp:anchor>
              </w:drawing>
            </w:r>
            <w:r>
              <w:rPr>
                <w:rFonts w:ascii="Times New Roman" w:cs="Times New Roman"/>
                <w:b/>
                <w:bCs/>
                <w:sz w:val="24"/>
                <w:szCs w:val="24"/>
              </w:rPr>
              <w:t>图9-4  工业用X射线装置现场探伤基本工作流程图</w:t>
            </w:r>
          </w:p>
          <w:p>
            <w:pPr>
              <w:spacing w:line="360" w:lineRule="auto"/>
              <w:rPr>
                <w:rFonts w:ascii="Times New Roman" w:hAnsi="Times New Roman"/>
                <w:b/>
                <w:sz w:val="28"/>
                <w:szCs w:val="28"/>
              </w:rPr>
            </w:pPr>
            <w:r>
              <w:rPr>
                <w:rFonts w:ascii="Times New Roman" w:hAnsi="Times New Roman"/>
                <w:b/>
                <w:sz w:val="28"/>
                <w:szCs w:val="28"/>
              </w:rPr>
              <w:t>9.2污染源项分析</w:t>
            </w:r>
          </w:p>
          <w:p>
            <w:pPr>
              <w:spacing w:line="360" w:lineRule="auto"/>
              <w:rPr>
                <w:rFonts w:ascii="Times New Roman" w:hAnsi="Times New Roman"/>
                <w:sz w:val="24"/>
                <w:szCs w:val="24"/>
              </w:rPr>
            </w:pPr>
            <w:r>
              <w:rPr>
                <w:rFonts w:ascii="Times New Roman" w:hAnsi="Times New Roman"/>
                <w:b/>
                <w:bCs/>
                <w:sz w:val="24"/>
                <w:szCs w:val="24"/>
              </w:rPr>
              <w:t>9.2.1污染因子</w:t>
            </w:r>
          </w:p>
          <w:p>
            <w:pPr>
              <w:spacing w:line="360" w:lineRule="auto"/>
              <w:ind w:firstLine="480" w:firstLineChars="200"/>
              <w:rPr>
                <w:rFonts w:ascii="Times New Roman" w:hAnsi="Times New Roman"/>
                <w:sz w:val="24"/>
                <w:szCs w:val="24"/>
              </w:rPr>
            </w:pPr>
            <w:r>
              <w:rPr>
                <w:rFonts w:ascii="Times New Roman" w:hAnsi="Times New Roman"/>
                <w:sz w:val="24"/>
                <w:szCs w:val="24"/>
              </w:rPr>
              <w:t>1、X射线</w:t>
            </w:r>
          </w:p>
          <w:p>
            <w:pPr>
              <w:spacing w:line="360" w:lineRule="auto"/>
              <w:ind w:firstLine="540"/>
              <w:rPr>
                <w:rFonts w:ascii="Times New Roman" w:hAnsi="Times New Roman"/>
                <w:sz w:val="24"/>
                <w:szCs w:val="24"/>
              </w:rPr>
            </w:pPr>
            <w:r>
              <w:rPr>
                <w:rFonts w:ascii="Times New Roman" w:hAnsi="Times New Roman"/>
                <w:sz w:val="24"/>
                <w:szCs w:val="24"/>
              </w:rPr>
              <w:t>由X射线探伤装置的工作原理可知，X射线是随机器的开、关而产生和消失。本项目使用的X射线探伤装置只有在开机并处于出线状态时（曝光状态）才会发出X射线。因此，在开机曝光期间，X射线经漏射、散射、折射对作业场所及周围环境产生影响。</w:t>
            </w:r>
          </w:p>
          <w:p>
            <w:pPr>
              <w:spacing w:line="360" w:lineRule="auto"/>
              <w:ind w:firstLine="480" w:firstLineChars="200"/>
              <w:rPr>
                <w:rFonts w:ascii="Times New Roman" w:hAnsi="Times New Roman"/>
                <w:sz w:val="24"/>
                <w:szCs w:val="24"/>
              </w:rPr>
            </w:pPr>
            <w:r>
              <w:rPr>
                <w:rFonts w:ascii="Times New Roman" w:hAnsi="Times New Roman"/>
                <w:sz w:val="24"/>
                <w:szCs w:val="24"/>
              </w:rPr>
              <w:t>2、臭氧和氮氧化物</w:t>
            </w:r>
          </w:p>
          <w:p>
            <w:pPr>
              <w:spacing w:line="360" w:lineRule="auto"/>
              <w:ind w:firstLine="480" w:firstLineChars="200"/>
              <w:rPr>
                <w:rFonts w:ascii="Times New Roman" w:hAnsi="Times New Roman"/>
                <w:bCs/>
                <w:sz w:val="24"/>
                <w:szCs w:val="24"/>
              </w:rPr>
            </w:pPr>
            <w:r>
              <w:rPr>
                <w:rFonts w:ascii="Times New Roman" w:hAnsi="Times New Roman"/>
                <w:color w:val="000000"/>
                <w:sz w:val="24"/>
                <w:szCs w:val="24"/>
              </w:rPr>
              <w:t>0.6kV以上的X射线能使空气电离，会产生少量臭氧和氮氧化物，因此本项目X射线探伤装置在运行时除产生少量的臭氧和氮氧化物外，无其它放射性废气、废水和固体废物产生。</w:t>
            </w:r>
          </w:p>
          <w:p>
            <w:pPr>
              <w:spacing w:line="360" w:lineRule="auto"/>
              <w:ind w:firstLine="480" w:firstLineChars="200"/>
              <w:rPr>
                <w:rFonts w:ascii="Times New Roman" w:hAnsi="Times New Roman"/>
                <w:sz w:val="24"/>
                <w:szCs w:val="24"/>
              </w:rPr>
            </w:pPr>
            <w:r>
              <w:rPr>
                <w:rFonts w:ascii="Times New Roman" w:hAnsi="Times New Roman"/>
                <w:sz w:val="24"/>
                <w:szCs w:val="24"/>
              </w:rPr>
              <w:t>3、废显（定）影液及胶片</w:t>
            </w:r>
          </w:p>
          <w:p>
            <w:pPr>
              <w:spacing w:line="360" w:lineRule="auto"/>
              <w:ind w:firstLine="600" w:firstLineChars="250"/>
              <w:rPr>
                <w:rFonts w:ascii="Times New Roman" w:hAnsi="Times New Roman"/>
                <w:sz w:val="24"/>
                <w:szCs w:val="24"/>
              </w:rPr>
            </w:pPr>
            <w:r>
              <w:rPr>
                <w:rFonts w:ascii="Times New Roman" w:hAnsi="Times New Roman"/>
                <w:sz w:val="24"/>
                <w:szCs w:val="24"/>
              </w:rPr>
              <w:t>探伤拍片产生的洗片废显（定）影液（含重金属）及胶片属于国家危险废物名录中感光材料废物HW16，无放射性，均须集中收贮定期交由有资质单位回收集中收贮。</w:t>
            </w:r>
          </w:p>
          <w:p>
            <w:pPr>
              <w:numPr>
                <w:ilvl w:val="0"/>
                <w:numId w:val="1"/>
              </w:numPr>
              <w:spacing w:line="360" w:lineRule="auto"/>
              <w:ind w:firstLine="600" w:firstLineChars="250"/>
              <w:rPr>
                <w:rFonts w:ascii="Times New Roman" w:hAnsi="Times New Roman"/>
                <w:sz w:val="24"/>
                <w:szCs w:val="24"/>
              </w:rPr>
            </w:pPr>
            <w:r>
              <w:rPr>
                <w:rFonts w:ascii="Times New Roman" w:hAnsi="Times New Roman"/>
                <w:sz w:val="24"/>
                <w:szCs w:val="24"/>
              </w:rPr>
              <w:t>现场工作人员生活垃圾</w:t>
            </w:r>
          </w:p>
          <w:p>
            <w:pPr>
              <w:spacing w:line="360" w:lineRule="auto"/>
              <w:ind w:firstLine="480" w:firstLineChars="200"/>
              <w:rPr>
                <w:rFonts w:ascii="Times New Roman" w:hAnsi="Times New Roman"/>
                <w:sz w:val="24"/>
                <w:szCs w:val="24"/>
              </w:rPr>
            </w:pPr>
            <w:r>
              <w:rPr>
                <w:rFonts w:ascii="Times New Roman" w:hAnsi="Times New Roman"/>
                <w:sz w:val="24"/>
                <w:szCs w:val="24"/>
              </w:rPr>
              <w:t>现场工作人员产生的生活垃圾集中收集后放置于就近垃圾箱中，不会对周围环境产生影响。</w:t>
            </w:r>
          </w:p>
          <w:p>
            <w:pPr>
              <w:spacing w:line="360" w:lineRule="auto"/>
              <w:rPr>
                <w:rFonts w:ascii="Times New Roman" w:hAnsi="Times New Roman"/>
                <w:b/>
                <w:bCs/>
                <w:sz w:val="24"/>
                <w:szCs w:val="24"/>
              </w:rPr>
            </w:pPr>
            <w:r>
              <w:rPr>
                <w:rFonts w:ascii="Times New Roman" w:hAnsi="Times New Roman"/>
                <w:b/>
                <w:bCs/>
                <w:sz w:val="24"/>
                <w:szCs w:val="24"/>
              </w:rPr>
              <w:t>9.2.2污染途径</w:t>
            </w:r>
          </w:p>
          <w:p>
            <w:pPr>
              <w:spacing w:line="360" w:lineRule="auto"/>
              <w:ind w:firstLine="480" w:firstLineChars="200"/>
              <w:jc w:val="left"/>
              <w:rPr>
                <w:rFonts w:ascii="Times New Roman" w:hAnsi="Times New Roman"/>
                <w:sz w:val="24"/>
              </w:rPr>
            </w:pPr>
            <w:r>
              <w:rPr>
                <w:rFonts w:ascii="Times New Roman" w:hAnsi="Times New Roman"/>
                <w:sz w:val="24"/>
              </w:rPr>
              <w:t>9.2.2.1正常工况的污染途径</w:t>
            </w:r>
          </w:p>
          <w:p>
            <w:pPr>
              <w:spacing w:line="360" w:lineRule="auto"/>
              <w:ind w:firstLine="480" w:firstLineChars="200"/>
              <w:jc w:val="left"/>
              <w:rPr>
                <w:rFonts w:ascii="Times New Roman" w:hAnsi="Times New Roman"/>
                <w:sz w:val="24"/>
              </w:rPr>
            </w:pPr>
            <w:r>
              <w:rPr>
                <w:rFonts w:ascii="Times New Roman" w:hAnsi="Times New Roman"/>
                <w:sz w:val="24"/>
              </w:rPr>
              <w:t>当电子轰击靶时，与靶物质发生作用产生韧致辐射X射线，X射线有用主束、泄漏辐射或散射辐射对工作人员的照射，以及上述辐射产生的贯穿辐射对周围环境和人员可能产生的影响。</w:t>
            </w:r>
          </w:p>
          <w:p>
            <w:pPr>
              <w:spacing w:line="360" w:lineRule="auto"/>
              <w:ind w:firstLine="480" w:firstLineChars="200"/>
              <w:jc w:val="left"/>
              <w:rPr>
                <w:rFonts w:ascii="Times New Roman" w:hAnsi="Times New Roman"/>
                <w:sz w:val="24"/>
              </w:rPr>
            </w:pPr>
            <w:r>
              <w:rPr>
                <w:rFonts w:ascii="Times New Roman" w:hAnsi="Times New Roman"/>
                <w:sz w:val="24"/>
              </w:rPr>
              <w:t>9.2.2.2事故工况下的污染途径</w:t>
            </w:r>
          </w:p>
          <w:p>
            <w:pPr>
              <w:tabs>
                <w:tab w:val="right" w:pos="8334"/>
              </w:tabs>
              <w:spacing w:line="360" w:lineRule="auto"/>
              <w:ind w:firstLine="480" w:firstLineChars="200"/>
              <w:jc w:val="left"/>
              <w:rPr>
                <w:rFonts w:ascii="Times New Roman" w:hAnsi="Times New Roman"/>
                <w:kern w:val="0"/>
                <w:sz w:val="24"/>
              </w:rPr>
            </w:pPr>
            <w:r>
              <w:rPr>
                <w:rFonts w:ascii="Times New Roman" w:hAnsi="Times New Roman"/>
                <w:kern w:val="0"/>
                <w:sz w:val="24"/>
              </w:rPr>
              <w:t>（1）X射线探伤装置正常工作时，人员误留、误入监督区内，导致发生误照射。</w:t>
            </w:r>
          </w:p>
          <w:p>
            <w:pPr>
              <w:spacing w:line="360" w:lineRule="auto"/>
              <w:ind w:firstLine="480" w:firstLineChars="200"/>
              <w:jc w:val="left"/>
              <w:rPr>
                <w:rFonts w:ascii="Times New Roman" w:hAnsi="Times New Roman"/>
                <w:sz w:val="24"/>
              </w:rPr>
            </w:pPr>
            <w:r>
              <w:rPr>
                <w:rFonts w:ascii="Times New Roman" w:hAnsi="Times New Roman"/>
                <w:kern w:val="0"/>
                <w:sz w:val="24"/>
              </w:rPr>
              <w:t>（2）操作人员违反操作规程或误操作，造成意外超剂量照射。针对本项目可能发生的辐射事故，可采取以下的处理措施：</w:t>
            </w:r>
          </w:p>
          <w:p>
            <w:pPr>
              <w:spacing w:line="360" w:lineRule="auto"/>
              <w:ind w:firstLine="480" w:firstLineChars="200"/>
              <w:jc w:val="left"/>
              <w:rPr>
                <w:rFonts w:ascii="Times New Roman" w:hAnsi="Times New Roman"/>
                <w:kern w:val="0"/>
                <w:sz w:val="24"/>
              </w:rPr>
            </w:pPr>
            <w:r>
              <w:rPr>
                <w:rFonts w:ascii="Times New Roman" w:hAnsi="Times New Roman"/>
                <w:kern w:val="0"/>
                <w:sz w:val="24"/>
              </w:rPr>
              <w:t>1）立即按下设备的急停按钮，切断装置的电源，组织人员保护现场，迅速报告单位管理部门进行事故处理，并上报生态环境部门；</w:t>
            </w:r>
          </w:p>
          <w:p>
            <w:pPr>
              <w:spacing w:line="360" w:lineRule="auto"/>
              <w:ind w:firstLine="480" w:firstLineChars="200"/>
              <w:jc w:val="left"/>
              <w:rPr>
                <w:rFonts w:ascii="Times New Roman" w:hAnsi="Times New Roman"/>
                <w:kern w:val="0"/>
                <w:sz w:val="24"/>
              </w:rPr>
            </w:pPr>
            <w:r>
              <w:rPr>
                <w:rFonts w:ascii="Times New Roman" w:hAnsi="Times New Roman"/>
                <w:kern w:val="0"/>
                <w:sz w:val="24"/>
              </w:rPr>
              <w:t xml:space="preserve">2）迅速安排受照人员接受医学检查和救治； </w:t>
            </w:r>
          </w:p>
          <w:p>
            <w:pPr>
              <w:spacing w:line="360" w:lineRule="auto"/>
              <w:ind w:firstLine="480" w:firstLineChars="200"/>
              <w:jc w:val="left"/>
              <w:rPr>
                <w:rFonts w:ascii="Times New Roman" w:hAnsi="Times New Roman"/>
                <w:kern w:val="0"/>
                <w:sz w:val="24"/>
              </w:rPr>
            </w:pPr>
            <w:r>
              <w:rPr>
                <w:rFonts w:ascii="Times New Roman" w:hAnsi="Times New Roman"/>
                <w:kern w:val="0"/>
                <w:sz w:val="24"/>
              </w:rPr>
              <w:t xml:space="preserve">3）事故发生后，积极配合管理部门做好事故调查和善后处理工作； </w:t>
            </w:r>
          </w:p>
          <w:p>
            <w:pPr>
              <w:spacing w:line="360" w:lineRule="auto"/>
              <w:ind w:firstLine="480" w:firstLineChars="200"/>
              <w:jc w:val="left"/>
              <w:rPr>
                <w:rFonts w:ascii="Times New Roman" w:hAnsi="Times New Roman"/>
                <w:kern w:val="0"/>
                <w:sz w:val="24"/>
              </w:rPr>
            </w:pPr>
            <w:r>
              <w:rPr>
                <w:rFonts w:ascii="Times New Roman" w:hAnsi="Times New Roman"/>
                <w:kern w:val="0"/>
                <w:sz w:val="24"/>
              </w:rPr>
              <w:t>4）对发生事故的射线装置，请有关供货单位或相关检测部门进行检测或维修， 分析事故发生的原因，并提出改进意见。</w:t>
            </w:r>
          </w:p>
          <w:p>
            <w:pPr>
              <w:spacing w:line="360" w:lineRule="auto"/>
              <w:jc w:val="left"/>
              <w:rPr>
                <w:rFonts w:ascii="Times New Roman" w:hAnsi="Times New Roman"/>
                <w:kern w:val="0"/>
                <w:sz w:val="24"/>
              </w:rPr>
            </w:pPr>
          </w:p>
        </w:tc>
      </w:tr>
    </w:tbl>
    <w:p>
      <w:pPr>
        <w:rPr>
          <w:rFonts w:ascii="Times New Roman" w:hAnsi="Times New Roman"/>
          <w:sz w:val="28"/>
          <w:szCs w:val="28"/>
        </w:rPr>
      </w:pPr>
      <w:r>
        <w:rPr>
          <w:rFonts w:ascii="Times New Roman" w:hAnsi="Times New Roman"/>
          <w:sz w:val="28"/>
          <w:szCs w:val="28"/>
        </w:rPr>
        <w:br w:type="page"/>
      </w:r>
    </w:p>
    <w:p>
      <w:pPr>
        <w:pStyle w:val="2"/>
        <w:rPr>
          <w:rFonts w:ascii="Times New Roman" w:hAnsi="Times New Roman"/>
          <w:sz w:val="28"/>
          <w:szCs w:val="28"/>
        </w:rPr>
      </w:pPr>
      <w:bookmarkStart w:id="20" w:name="_Toc23751"/>
      <w:r>
        <w:rPr>
          <w:rFonts w:ascii="Times New Roman" w:hAnsi="Times New Roman"/>
          <w:sz w:val="28"/>
          <w:szCs w:val="28"/>
        </w:rPr>
        <w:t>表10 辐射安全与防护</w:t>
      </w:r>
      <w:bookmarkEnd w:id="20"/>
    </w:p>
    <w:tbl>
      <w:tblPr>
        <w:tblStyle w:val="16"/>
        <w:tblW w:w="8997"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97" w:type="dxa"/>
          </w:tcPr>
          <w:p>
            <w:pPr>
              <w:rPr>
                <w:rFonts w:ascii="Times New Roman" w:hAnsi="Times New Roman"/>
                <w:b/>
                <w:sz w:val="28"/>
                <w:szCs w:val="28"/>
              </w:rPr>
            </w:pPr>
            <w:r>
              <w:rPr>
                <w:rFonts w:ascii="Times New Roman" w:hAnsi="Times New Roman"/>
                <w:b/>
                <w:sz w:val="28"/>
                <w:szCs w:val="28"/>
              </w:rPr>
              <w:t>10.1项目安全设施</w:t>
            </w:r>
          </w:p>
          <w:p>
            <w:pPr>
              <w:spacing w:line="360" w:lineRule="auto"/>
              <w:outlineLvl w:val="2"/>
              <w:rPr>
                <w:rFonts w:ascii="Times New Roman" w:hAnsi="Times New Roman"/>
                <w:b/>
                <w:bCs/>
                <w:sz w:val="24"/>
              </w:rPr>
            </w:pPr>
            <w:r>
              <w:rPr>
                <w:rFonts w:ascii="Times New Roman" w:hAnsi="Times New Roman"/>
                <w:b/>
                <w:bCs/>
                <w:sz w:val="24"/>
              </w:rPr>
              <w:t>10.1.1辐射工作场所分区管理</w:t>
            </w:r>
          </w:p>
          <w:p>
            <w:pPr>
              <w:spacing w:line="360" w:lineRule="auto"/>
              <w:ind w:firstLine="480" w:firstLineChars="200"/>
              <w:outlineLvl w:val="2"/>
              <w:rPr>
                <w:rFonts w:ascii="Times New Roman" w:hAnsi="Times New Roman"/>
                <w:color w:val="000000"/>
                <w:sz w:val="24"/>
              </w:rPr>
            </w:pPr>
            <w:r>
              <w:rPr>
                <w:rFonts w:ascii="Times New Roman" w:hAnsi="Times New Roman"/>
                <w:color w:val="000000"/>
                <w:sz w:val="24"/>
              </w:rPr>
              <w:t>（1）探伤作业人员利用辐射剂量巡测仪巡测，将作业场所中周围剂量当量率大于15μSv/h的工作区域划为控制区，控制区边界悬挂清晰可见的“禁止进入射线工作区”警告牌</w:t>
            </w:r>
            <w:r>
              <w:rPr>
                <w:rFonts w:hint="eastAsia" w:ascii="Times New Roman" w:hAnsi="Times New Roman"/>
                <w:color w:val="000000"/>
                <w:sz w:val="24"/>
              </w:rPr>
              <w:t>，</w:t>
            </w:r>
            <w:r>
              <w:rPr>
                <w:rFonts w:ascii="Times New Roman" w:hAnsi="Times New Roman"/>
                <w:color w:val="000000"/>
                <w:sz w:val="24"/>
              </w:rPr>
              <w:t>探伤作业人员在控制区边界外操作；将控制区边界外、作业时周围剂量当量率大于2.5μSv/h的范围划为监督区，并在其边界上悬挂清晰可见的“无关人员禁止入内”警告牌，必要时设专人警戒。探伤人员佩戴个人剂量计，探伤装置操作人员延时开机后退至控制区外操作。该布局基本满足《工业探伤放射防护标准》（GBZ117-2022）中现场探伤的分区设置要求。</w:t>
            </w:r>
          </w:p>
          <w:p>
            <w:pPr>
              <w:spacing w:line="440" w:lineRule="exact"/>
              <w:ind w:firstLine="480" w:firstLineChars="200"/>
              <w:jc w:val="left"/>
              <w:outlineLvl w:val="0"/>
              <w:rPr>
                <w:rFonts w:ascii="Times New Roman" w:hAnsi="Times New Roman"/>
                <w:color w:val="000000"/>
                <w:sz w:val="24"/>
              </w:rPr>
            </w:pPr>
            <w:bookmarkStart w:id="21" w:name="_Toc27687"/>
            <w:bookmarkStart w:id="22" w:name="_Toc8656"/>
            <w:bookmarkStart w:id="23" w:name="_Toc8108"/>
            <w:bookmarkStart w:id="24" w:name="_Toc25442"/>
            <w:bookmarkStart w:id="25" w:name="_Toc28754"/>
            <w:bookmarkStart w:id="26" w:name="_Toc30924"/>
            <w:r>
              <w:rPr>
                <w:rFonts w:ascii="Times New Roman" w:hAnsi="Times New Roman"/>
                <w:color w:val="000000"/>
                <w:sz w:val="24"/>
              </w:rPr>
              <w:t>（2）</w:t>
            </w:r>
            <w:r>
              <w:rPr>
                <w:rFonts w:hint="eastAsia" w:ascii="Times New Roman" w:hAnsi="Times New Roman"/>
                <w:color w:val="000000"/>
                <w:sz w:val="24"/>
              </w:rPr>
              <w:t>新疆质检院</w:t>
            </w:r>
            <w:r>
              <w:rPr>
                <w:rFonts w:ascii="Times New Roman" w:hAnsi="Times New Roman"/>
                <w:color w:val="000000"/>
                <w:sz w:val="24"/>
              </w:rPr>
              <w:t>在进行现场X射线探伤作业时，严格控制好时间。</w:t>
            </w:r>
            <w:bookmarkEnd w:id="21"/>
            <w:bookmarkEnd w:id="22"/>
            <w:bookmarkEnd w:id="23"/>
            <w:bookmarkEnd w:id="24"/>
            <w:bookmarkEnd w:id="25"/>
            <w:bookmarkEnd w:id="26"/>
          </w:p>
          <w:p>
            <w:pPr>
              <w:spacing w:line="440" w:lineRule="exact"/>
              <w:ind w:firstLine="480" w:firstLineChars="200"/>
              <w:jc w:val="left"/>
              <w:outlineLvl w:val="0"/>
              <w:rPr>
                <w:rFonts w:ascii="Times New Roman" w:hAnsi="Times New Roman"/>
                <w:color w:val="000000"/>
                <w:sz w:val="24"/>
              </w:rPr>
            </w:pPr>
            <w:bookmarkStart w:id="27" w:name="_Toc15464"/>
            <w:bookmarkStart w:id="28" w:name="_Toc9712"/>
            <w:bookmarkStart w:id="29" w:name="_Toc20353"/>
            <w:bookmarkStart w:id="30" w:name="_Toc18544"/>
            <w:bookmarkStart w:id="31" w:name="_Toc28268"/>
            <w:bookmarkStart w:id="32" w:name="_Toc2367"/>
            <w:r>
              <w:rPr>
                <w:rFonts w:ascii="Times New Roman" w:hAnsi="Times New Roman"/>
                <w:color w:val="000000"/>
                <w:sz w:val="24"/>
              </w:rPr>
              <w:t>（3）每次进行探伤现场作业前，单位的操作人员在监督区周围拉警戒线、放置警示标识，专人警戒，防止公众进入辐射剂量率高的区域。</w:t>
            </w:r>
            <w:bookmarkEnd w:id="27"/>
            <w:bookmarkEnd w:id="28"/>
            <w:bookmarkEnd w:id="29"/>
            <w:bookmarkEnd w:id="30"/>
            <w:bookmarkEnd w:id="31"/>
            <w:bookmarkEnd w:id="32"/>
          </w:p>
          <w:p>
            <w:pPr>
              <w:spacing w:line="440" w:lineRule="exact"/>
              <w:ind w:firstLine="480" w:firstLineChars="200"/>
              <w:jc w:val="left"/>
              <w:outlineLvl w:val="0"/>
              <w:rPr>
                <w:rFonts w:ascii="Times New Roman" w:hAnsi="Times New Roman"/>
                <w:b/>
                <w:bCs/>
                <w:color w:val="000000"/>
                <w:szCs w:val="21"/>
              </w:rPr>
            </w:pPr>
            <w:bookmarkStart w:id="33" w:name="_Toc25085"/>
            <w:bookmarkStart w:id="34" w:name="_Toc16678"/>
            <w:bookmarkStart w:id="35" w:name="_Toc19918"/>
            <w:bookmarkStart w:id="36" w:name="_Toc11023"/>
            <w:bookmarkStart w:id="37" w:name="_Toc17329"/>
            <w:bookmarkStart w:id="38" w:name="_Toc28129"/>
            <w:r>
              <w:rPr>
                <w:rFonts w:ascii="Times New Roman" w:hAnsi="Times New Roman"/>
                <w:color w:val="000000"/>
                <w:sz w:val="24"/>
              </w:rPr>
              <w:t>（4）对探伤作业时的控制区、监督区</w:t>
            </w:r>
            <w:r>
              <w:rPr>
                <w:rFonts w:hint="eastAsia" w:ascii="Times New Roman" w:hAnsi="Times New Roman"/>
                <w:color w:val="000000"/>
                <w:sz w:val="24"/>
              </w:rPr>
              <w:t>进行</w:t>
            </w:r>
            <w:r>
              <w:rPr>
                <w:rFonts w:ascii="Times New Roman" w:hAnsi="Times New Roman"/>
                <w:color w:val="000000"/>
                <w:sz w:val="24"/>
              </w:rPr>
              <w:t>划分。在进行现场探伤时需参照此表结果使用X-γ剂量率仪或巡测仪器监测边界剂量率，根据实测值调整控制区和监督区边界并设置警示标志，禁止公众进入。</w:t>
            </w:r>
            <w:bookmarkEnd w:id="33"/>
            <w:bookmarkEnd w:id="34"/>
            <w:bookmarkEnd w:id="35"/>
            <w:bookmarkEnd w:id="36"/>
            <w:bookmarkEnd w:id="37"/>
            <w:bookmarkEnd w:id="38"/>
          </w:p>
          <w:p>
            <w:pPr>
              <w:jc w:val="left"/>
              <w:rPr>
                <w:rFonts w:ascii="Times New Roman" w:hAnsi="Times New Roman"/>
                <w:b/>
                <w:sz w:val="28"/>
                <w:szCs w:val="28"/>
              </w:rPr>
            </w:pPr>
            <w:r>
              <w:rPr>
                <w:rFonts w:ascii="Times New Roman" w:hAnsi="Times New Roman"/>
                <w:b/>
                <w:sz w:val="28"/>
                <w:szCs w:val="28"/>
              </w:rPr>
              <w:t>10.2污染防治措施</w:t>
            </w:r>
          </w:p>
          <w:p>
            <w:pPr>
              <w:spacing w:line="360" w:lineRule="auto"/>
              <w:outlineLvl w:val="2"/>
              <w:rPr>
                <w:rFonts w:ascii="Times New Roman" w:hAnsi="Times New Roman"/>
                <w:b/>
                <w:bCs/>
                <w:sz w:val="24"/>
              </w:rPr>
            </w:pPr>
            <w:r>
              <w:rPr>
                <w:rFonts w:ascii="Times New Roman" w:hAnsi="Times New Roman"/>
                <w:b/>
                <w:bCs/>
                <w:sz w:val="24"/>
              </w:rPr>
              <w:t>10.2.1安全防护措施和污染防治措施</w:t>
            </w:r>
          </w:p>
          <w:p>
            <w:pPr>
              <w:spacing w:line="440" w:lineRule="exact"/>
              <w:ind w:firstLine="482" w:firstLineChars="200"/>
              <w:rPr>
                <w:rFonts w:ascii="Times New Roman" w:hAnsi="Times New Roman"/>
                <w:b/>
                <w:bCs/>
                <w:color w:val="000000"/>
                <w:sz w:val="24"/>
              </w:rPr>
            </w:pPr>
            <w:r>
              <w:rPr>
                <w:rFonts w:ascii="Times New Roman" w:hAnsi="Times New Roman"/>
                <w:b/>
                <w:bCs/>
                <w:color w:val="000000"/>
                <w:sz w:val="24"/>
              </w:rPr>
              <w:t>1、X射线现场探伤作业分区设置要求</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（1）探伤作业时，应对工作场所实行分区管理，将工作场所划分为控制区和监督区。并在相应的边界设置警示标识。现场射线探伤工作应在指定为控制区的区域内进行。</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（2）一般应将作业场所中周围剂量当量率大于15μSv/h的区域划为控制区。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a)对于X射线探伤，如果每周实际开机时间高于7h，控制区边界周围剂量当量率应按公式（1）</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计算：</w:t>
            </w:r>
          </w:p>
          <w:p>
            <w:pPr>
              <w:wordWrap w:val="0"/>
              <w:spacing w:line="440" w:lineRule="exact"/>
              <w:ind w:firstLine="480" w:firstLineChars="200"/>
              <w:jc w:val="right"/>
              <w:rPr>
                <w:rFonts w:ascii="Times New Roman" w:hAnsi="Times New Roman"/>
                <w:color w:val="000000"/>
                <w:sz w:val="24"/>
              </w:rPr>
            </w:pPr>
            <w:r>
              <w:rPr>
                <w:rFonts w:ascii="Times New Roman" w:hAnsi="Times New Roman"/>
                <w:color w:val="000000"/>
                <w:sz w:val="24"/>
              </w:rPr>
              <w:fldChar w:fldCharType="begin"/>
            </w:r>
            <w:r>
              <w:rPr>
                <w:rFonts w:ascii="Times New Roman" w:hAnsi="Times New Roman"/>
                <w:color w:val="000000"/>
                <w:sz w:val="24"/>
              </w:rPr>
              <w:instrText xml:space="preserve">EQ \* jc2 \* hps12 \o\ad(\s\up 11(</w:instrText>
            </w:r>
            <w:r>
              <w:rPr>
                <w:rFonts w:ascii="Times New Roman" w:hAnsi="Times New Roman"/>
                <w:color w:val="000000"/>
                <w:sz w:val="12"/>
              </w:rPr>
              <w:instrText xml:space="preserve">·</w:instrText>
            </w:r>
            <w:r>
              <w:rPr>
                <w:rFonts w:ascii="Times New Roman" w:hAnsi="Times New Roman"/>
                <w:color w:val="000000"/>
                <w:sz w:val="24"/>
              </w:rPr>
              <w:instrText xml:space="preserve">),H)</w:instrText>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 EQ \F(100,</w:instrText>
            </w:r>
            <w:r>
              <w:rPr>
                <w:rFonts w:ascii="Times New Roman" w:hAnsi="Times New Roman"/>
              </w:rPr>
              <w:instrText xml:space="preserve"> τ</w:instrText>
            </w:r>
            <w:r>
              <w:rPr>
                <w:rFonts w:ascii="Times New Roman" w:hAnsi="Times New Roman"/>
                <w:color w:val="000000"/>
                <w:sz w:val="24"/>
              </w:rPr>
              <w:instrText xml:space="preserve">)</w:instrText>
            </w:r>
            <w:r>
              <w:rPr>
                <w:rFonts w:ascii="Times New Roman" w:hAnsi="Times New Roman"/>
                <w:color w:val="000000"/>
                <w:sz w:val="24"/>
              </w:rPr>
              <w:fldChar w:fldCharType="end"/>
            </w:r>
            <w:r>
              <w:rPr>
                <w:rFonts w:ascii="Times New Roman" w:hAnsi="Times New Roman"/>
                <w:color w:val="000000"/>
                <w:sz w:val="24"/>
              </w:rPr>
              <w:t xml:space="preserve">                            </w:t>
            </w:r>
            <w:r>
              <w:rPr>
                <w:rFonts w:hint="eastAsia" w:ascii="Times New Roman" w:hAnsi="Times New Roman"/>
                <w:color w:val="000000"/>
                <w:sz w:val="24"/>
              </w:rPr>
              <w:t>（1）</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式中：</w:t>
            </w:r>
          </w:p>
          <w:p>
            <w:pPr>
              <w:spacing w:line="440" w:lineRule="exact"/>
              <w:ind w:firstLine="480" w:firstLineChars="200"/>
              <w:rPr>
                <w:rFonts w:ascii="Times New Roman" w:hAnsi="Times New Roman"/>
                <w:color w:val="000000"/>
                <w:sz w:val="24"/>
              </w:rPr>
            </w:pPr>
            <w:r>
              <w:rPr>
                <w:rFonts w:ascii="Times New Roman" w:hAnsi="Times New Roman"/>
                <w:color w:val="000000"/>
                <w:sz w:val="24"/>
              </w:rPr>
              <w:fldChar w:fldCharType="begin"/>
            </w:r>
            <w:r>
              <w:rPr>
                <w:rFonts w:ascii="Times New Roman" w:hAnsi="Times New Roman"/>
                <w:color w:val="000000"/>
                <w:sz w:val="24"/>
              </w:rPr>
              <w:instrText xml:space="preserve">EQ \* jc2 \* hps12 \o\ad(\s\up 11(</w:instrText>
            </w:r>
            <w:r>
              <w:rPr>
                <w:rFonts w:ascii="Times New Roman" w:hAnsi="Times New Roman"/>
                <w:color w:val="000000"/>
                <w:sz w:val="12"/>
              </w:rPr>
              <w:instrText xml:space="preserve">·</w:instrText>
            </w:r>
            <w:r>
              <w:rPr>
                <w:rFonts w:ascii="Times New Roman" w:hAnsi="Times New Roman"/>
                <w:color w:val="000000"/>
                <w:sz w:val="24"/>
              </w:rPr>
              <w:instrText xml:space="preserve">),H)</w:instrText>
            </w:r>
            <w:r>
              <w:rPr>
                <w:rFonts w:ascii="Times New Roman" w:hAnsi="Times New Roman"/>
                <w:color w:val="000000"/>
                <w:sz w:val="24"/>
              </w:rPr>
              <w:fldChar w:fldCharType="end"/>
            </w:r>
            <w:r>
              <w:rPr>
                <w:rFonts w:ascii="Times New Roman" w:hAnsi="Times New Roman"/>
                <w:color w:val="000000"/>
                <w:sz w:val="24"/>
              </w:rPr>
              <w:t xml:space="preserve">——控制区边界周围剂量当量率，单位为微希沃特每小时（μSv/h）；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100——5mSv平均分配到每年50工作周的数值，即100μSv/周； </w:t>
            </w:r>
          </w:p>
          <w:p>
            <w:pPr>
              <w:spacing w:line="440" w:lineRule="exact"/>
              <w:ind w:firstLine="420" w:firstLineChars="200"/>
              <w:rPr>
                <w:rFonts w:ascii="Times New Roman" w:hAnsi="Times New Roman"/>
                <w:color w:val="000000"/>
                <w:sz w:val="24"/>
              </w:rPr>
            </w:pPr>
            <w:r>
              <w:rPr>
                <w:rFonts w:ascii="Times New Roman" w:hAnsi="Times New Roman"/>
              </w:rPr>
              <w:t>τ</w:t>
            </w:r>
            <w:r>
              <w:rPr>
                <w:rFonts w:ascii="Times New Roman" w:hAnsi="Times New Roman"/>
                <w:color w:val="000000"/>
                <w:sz w:val="24"/>
              </w:rPr>
              <w:t xml:space="preserve">——每周实际开机时间，单位为小时（h）。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（3）控制区边界上合适的位置应设置电离辐射警告标志并悬挂清晰可见的“禁止进入射线工作区”警告牌，探伤作业人员应在控制区边界外操作，否则应采取专门的防护措施。</w:t>
            </w:r>
          </w:p>
          <w:p>
            <w:pPr>
              <w:spacing w:line="440" w:lineRule="exact"/>
              <w:ind w:firstLine="480" w:firstLineChars="200"/>
              <w:rPr>
                <w:rFonts w:ascii="Times New Roman" w:hAnsi="Times New Roman"/>
                <w:sz w:val="24"/>
                <w:szCs w:val="24"/>
              </w:rPr>
            </w:pPr>
            <w:r>
              <w:rPr>
                <w:rFonts w:ascii="Times New Roman" w:hAnsi="Times New Roman"/>
                <w:color w:val="000000"/>
                <w:sz w:val="24"/>
              </w:rPr>
              <w:t>（4）</w:t>
            </w:r>
            <w:r>
              <w:rPr>
                <w:rFonts w:ascii="Times New Roman" w:hAnsi="Times New Roman"/>
                <w:sz w:val="24"/>
                <w:szCs w:val="24"/>
              </w:rPr>
              <w:t>控制区的边界尽可能设定实体屏障，包括利用现有结构（如墙体）、临时屏障或临时拉起警戒线（绳）等。</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5）移动式探伤作业工作过程中，控制区内不应同时进行其他工作。为了使控制区的范围尽量小，应使用合适的准直器并充分考虑探伤机和被检物体的距离、照射方向、时间和现场屏蔽等条件。视情况采用局部屏蔽措施。</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（6）每一个探伤作业班组应至少配备一台便携式 X-γ剂量率仪，并定期对其开展检定/校准工作。应配备能在现场环境条件下可听见、看见或产生震动信号的个人剂量报警仪。</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（7）探伤作业期间还应对控制区边界上代表点的剂量率进行检测，尤其是探伤的位置在此方向或射线束的方向发生改变时，适时调整控制区的边界。</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（8）应将控制区边界外、作业时周围剂量当量率大于2.5μSv/h的范围划为监督区，并在其边界上悬挂清晰可见的“无关人员禁止入内”警告牌，必要时设专人警戒。</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（9）移动式探伤工作在多楼层的工厂或工地实施时，应防止移动式探伤工作区上层或下层的人员通过楼梯进入控制区。</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（10）探伤机控制台（X射线发生器控制面板或γ射线绕出盘）应设置在合适位置或设有延时开机装置，以便尽可能降低操作人员的受照剂量。</w:t>
            </w:r>
          </w:p>
          <w:p>
            <w:pPr>
              <w:spacing w:line="440" w:lineRule="exact"/>
              <w:ind w:firstLine="482" w:firstLineChars="200"/>
              <w:rPr>
                <w:rFonts w:ascii="Times New Roman" w:hAnsi="Times New Roman"/>
                <w:b/>
                <w:color w:val="000000"/>
                <w:sz w:val="24"/>
              </w:rPr>
            </w:pPr>
            <w:r>
              <w:rPr>
                <w:rFonts w:ascii="Times New Roman" w:hAnsi="Times New Roman"/>
                <w:b/>
                <w:color w:val="000000"/>
                <w:sz w:val="24"/>
              </w:rPr>
              <w:t>2、X射线现场探伤作业的准备</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在实施移动式探伤工作之前，使用单位应对工作环境进行全面评估，以保证实现安全操作。评估内容至少应包括工作地点的选择、接触的工人与附近的公众、天气条件、探伤时间、是否高空作业、作业空间等。应考虑移动式探伤对工作场所内其他的辐射探测系统带来的影响（如烟雾报警器等）。</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使用单位应确保开展移动式探伤工作的每台探伤机至少应配备两名专职工作人员。</w:t>
            </w:r>
          </w:p>
          <w:p>
            <w:pPr>
              <w:spacing w:line="440" w:lineRule="exact"/>
              <w:ind w:firstLine="480" w:firstLineChars="200"/>
              <w:rPr>
                <w:rFonts w:ascii="Times New Roman" w:hAnsi="Times New Roman"/>
                <w:color w:val="000000"/>
                <w:sz w:val="24"/>
              </w:rPr>
            </w:pPr>
            <w:r>
              <w:rPr>
                <w:rFonts w:hint="eastAsia" w:ascii="Times New Roman" w:hAnsi="Times New Roman"/>
                <w:color w:val="000000"/>
                <w:sz w:val="24"/>
              </w:rPr>
              <w:t>（3）移动式探伤工作如在委托单位的工作场地实施准备和规划，使用单位应与委托单位协商适当的探伤地点和探伤时间、现场的通告、警告标识和报警信号等，避免造成混淆。委托单位应给予探伤作业人员充足的时间以确保探伤工作的安全开展和所需安全措施的实施。</w:t>
            </w:r>
          </w:p>
          <w:p>
            <w:pPr>
              <w:spacing w:line="440" w:lineRule="exact"/>
              <w:ind w:firstLine="482" w:firstLineChars="200"/>
              <w:rPr>
                <w:rFonts w:ascii="Times New Roman" w:hAnsi="Times New Roman"/>
                <w:b/>
                <w:color w:val="000000"/>
                <w:sz w:val="24"/>
              </w:rPr>
            </w:pPr>
            <w:r>
              <w:rPr>
                <w:rFonts w:ascii="Times New Roman" w:hAnsi="Times New Roman"/>
                <w:b/>
                <w:color w:val="000000"/>
                <w:sz w:val="24"/>
              </w:rPr>
              <w:t>3、X射线现场探伤作业安全警告信息</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（1）委托单位（业主单位）应配合做好探伤作业的辐射防护工作，通过合适的途径提前发布探伤作业信息，应通知到所有相关人员，防止误照射发生。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（2）应有提示“预备”和“照射”状态的指示灯和声音提示装置。“预备”信号和“照射”信号应有明显的区别，并且应与该工作场所内使用的其他报警信号有明显区别。夜晚作业时控制区边界应设置警示灯。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（3）X和γ射线探伤的警示信号指示装置应与探伤机联锁。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（4）在控制区的所有边界都应能清楚地听见或看见“预备”信号和“照射”信号。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（5）应在监督区边界和建筑物进出口的醒目位置张贴电离辐射警告标志和警示语等提示信息。</w:t>
            </w:r>
          </w:p>
          <w:p>
            <w:pPr>
              <w:spacing w:line="440" w:lineRule="exact"/>
              <w:ind w:firstLine="482" w:firstLineChars="200"/>
              <w:rPr>
                <w:rFonts w:ascii="Times New Roman" w:hAnsi="Times New Roman"/>
                <w:b/>
                <w:color w:val="000000"/>
                <w:sz w:val="24"/>
              </w:rPr>
            </w:pPr>
            <w:r>
              <w:rPr>
                <w:rFonts w:ascii="Times New Roman" w:hAnsi="Times New Roman"/>
                <w:b/>
                <w:color w:val="000000"/>
                <w:sz w:val="24"/>
              </w:rPr>
              <w:t>4、</w:t>
            </w:r>
            <w:r>
              <w:rPr>
                <w:rFonts w:hint="eastAsia" w:ascii="Times New Roman" w:hAnsi="Times New Roman"/>
                <w:b/>
                <w:color w:val="000000"/>
                <w:sz w:val="24"/>
              </w:rPr>
              <w:t>X射线移动式探伤</w:t>
            </w:r>
            <w:r>
              <w:rPr>
                <w:rFonts w:ascii="Times New Roman" w:hAnsi="Times New Roman"/>
                <w:b/>
                <w:color w:val="000000"/>
                <w:sz w:val="24"/>
              </w:rPr>
              <w:t>作业安全操作要求</w:t>
            </w:r>
          </w:p>
          <w:p>
            <w:pPr>
              <w:spacing w:line="440" w:lineRule="exact"/>
              <w:ind w:firstLine="480" w:firstLineChars="200"/>
              <w:rPr>
                <w:rFonts w:ascii="Times New Roman" w:hAnsi="Times New Roman"/>
                <w:sz w:val="24"/>
                <w:szCs w:val="24"/>
              </w:rPr>
            </w:pPr>
            <w:r>
              <w:rPr>
                <w:rFonts w:ascii="Times New Roman" w:hAnsi="Times New Roman"/>
                <w:color w:val="000000"/>
                <w:sz w:val="24"/>
              </w:rPr>
              <w:t>（1）</w:t>
            </w:r>
            <w:r>
              <w:rPr>
                <w:rFonts w:hint="eastAsia" w:ascii="Times New Roman" w:hAnsi="Times New Roman"/>
                <w:sz w:val="24"/>
                <w:szCs w:val="24"/>
              </w:rPr>
              <w:t>周向式探伤机用于移动式探伤时，应将 X射线管头组装体置于被探伤物件内部进行透照检查。做定向照射时应使用准直器（仅开定向照射口）。</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应考虑控制器与 X射线管和被检物体的距离、照射方向、时间和屏蔽条件等因素，选择最佳的设备布置，并采取适当的防护措施。</w:t>
            </w:r>
          </w:p>
          <w:p>
            <w:pPr>
              <w:spacing w:line="440" w:lineRule="exact"/>
              <w:ind w:firstLine="482" w:firstLineChars="200"/>
              <w:rPr>
                <w:rFonts w:ascii="Times New Roman" w:hAnsi="Times New Roman"/>
                <w:color w:val="000000"/>
                <w:sz w:val="24"/>
              </w:rPr>
            </w:pPr>
            <w:r>
              <w:rPr>
                <w:rFonts w:ascii="Times New Roman" w:hAnsi="Times New Roman"/>
                <w:b/>
                <w:color w:val="000000"/>
                <w:sz w:val="24"/>
              </w:rPr>
              <w:t>5、X射线现场探伤作业的边界巡查与监测</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（1）开始移动式探伤之前，探伤工作人员应确保在控制区内没有任何其他人员，并防止有人进入控制区。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（2）控制区的范围应清晰可见，工作期间应有良好的照明，确保没有人员进入控制区。如果控制区</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太大或某些地方不能看到，应安排足够的人员进行巡查。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（3）在试运行（或第一次曝光）期间，应测量控制区边界的剂量率以证实边界设置正确。必要时应调整控制区的范围和边界。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 xml:space="preserve">（4）开始移动式探伤工作之前，应对便携式X-γ剂量率仪进行检查，确认能正常工作。在移动式探伤工作期间，便携式X-γ剂量率仪应一直处于开机状态，防止射线曝光异常或不能正常终止。 </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（5）移动式探伤期间，工作人员除进行常规个人监测外，还应佩戴个人剂量报警仪。个人剂量报警仪不能替代便携式X-γ剂量率仪，两者均应使用。</w:t>
            </w:r>
          </w:p>
          <w:p>
            <w:pPr>
              <w:spacing w:line="360" w:lineRule="auto"/>
              <w:outlineLvl w:val="2"/>
              <w:rPr>
                <w:rFonts w:ascii="Times New Roman" w:hAnsi="Times New Roman"/>
                <w:b/>
                <w:bCs/>
                <w:sz w:val="24"/>
              </w:rPr>
            </w:pPr>
            <w:r>
              <w:rPr>
                <w:rFonts w:ascii="Times New Roman" w:hAnsi="Times New Roman"/>
                <w:b/>
                <w:bCs/>
                <w:sz w:val="24"/>
              </w:rPr>
              <w:t>10.2.2“三废”治理措施</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（1）臭氧和氮氧化物</w:t>
            </w:r>
          </w:p>
          <w:p>
            <w:pPr>
              <w:spacing w:line="440" w:lineRule="exact"/>
              <w:ind w:firstLine="540"/>
              <w:rPr>
                <w:rFonts w:ascii="Times New Roman" w:hAnsi="Times New Roman"/>
                <w:color w:val="000000"/>
                <w:sz w:val="24"/>
              </w:rPr>
            </w:pPr>
            <w:r>
              <w:rPr>
                <w:rFonts w:ascii="Times New Roman" w:hAnsi="Times New Roman"/>
                <w:color w:val="000000"/>
                <w:sz w:val="24"/>
              </w:rPr>
              <w:t>X射线能使空气电离，会产生少量臭氧和氮氧化物，因此本项目X射线探伤装置在运行时除产生少量的臭氧和氮氧化物外，无其它放射性废气产生。因探伤作业为室外，产生的少量的臭氧和氮氧化物可稀释至大气中，不会对周围环境产生影响。</w:t>
            </w:r>
          </w:p>
          <w:p>
            <w:pPr>
              <w:spacing w:line="440" w:lineRule="exact"/>
              <w:ind w:firstLine="480" w:firstLineChars="200"/>
              <w:rPr>
                <w:rFonts w:ascii="Times New Roman" w:hAnsi="Times New Roman"/>
                <w:color w:val="000000"/>
                <w:sz w:val="24"/>
              </w:rPr>
            </w:pPr>
            <w:r>
              <w:rPr>
                <w:rFonts w:ascii="Times New Roman" w:hAnsi="Times New Roman"/>
                <w:color w:val="000000"/>
                <w:sz w:val="24"/>
              </w:rPr>
              <w:t>（2）废显（定）影液及胶片</w:t>
            </w:r>
          </w:p>
          <w:p>
            <w:pPr>
              <w:spacing w:line="360" w:lineRule="auto"/>
              <w:ind w:firstLine="600" w:firstLineChars="250"/>
              <w:rPr>
                <w:rFonts w:ascii="Times New Roman" w:hAnsi="Times New Roman"/>
                <w:color w:val="000000"/>
                <w:sz w:val="24"/>
              </w:rPr>
            </w:pPr>
            <w:r>
              <w:rPr>
                <w:rFonts w:ascii="Times New Roman" w:hAnsi="Times New Roman"/>
                <w:color w:val="000000"/>
                <w:sz w:val="24"/>
              </w:rPr>
              <w:t>探伤拍片产生的洗片废显（定）影液（含重金属）及胶片属于国家危险废物名录中感光材料废物HW16，危险废物应设危废暂存间，并应按照《危险废物收集、贮存、运输技术规范》（HJ2025-2012）中5.5“危险废物收集和转运过程中，应采取相应的安全防护和污染防治措施，包括防爆、防火、防中毒、防感染、防泄漏、防飞扬、防雨或其他防止污染环境的措施。”安全收集和转运。</w:t>
            </w:r>
          </w:p>
          <w:p>
            <w:pPr>
              <w:spacing w:line="360" w:lineRule="auto"/>
              <w:ind w:firstLine="600" w:firstLineChars="250"/>
              <w:rPr>
                <w:rFonts w:ascii="Times New Roman" w:hAnsi="Times New Roman"/>
                <w:color w:val="000000"/>
                <w:sz w:val="24"/>
              </w:rPr>
            </w:pPr>
            <w:r>
              <w:rPr>
                <w:rFonts w:ascii="Times New Roman" w:hAnsi="Times New Roman"/>
                <w:color w:val="000000"/>
                <w:sz w:val="24"/>
              </w:rPr>
              <w:t>本项目拟产生的危险废物显影液年产生量为100L，废胶片年产生量约为100张，均与</w:t>
            </w:r>
            <w:r>
              <w:rPr>
                <w:rFonts w:ascii="Times New Roman" w:hAnsi="Times New Roman"/>
                <w:kern w:val="0"/>
                <w:sz w:val="24"/>
              </w:rPr>
              <w:t>有资质的单位签署处置协议，统一处理</w:t>
            </w:r>
            <w:r>
              <w:rPr>
                <w:rFonts w:ascii="Times New Roman" w:hAnsi="Times New Roman"/>
                <w:color w:val="000000"/>
                <w:sz w:val="24"/>
              </w:rPr>
              <w:t>。</w:t>
            </w:r>
          </w:p>
          <w:p>
            <w:pPr>
              <w:jc w:val="left"/>
              <w:rPr>
                <w:rFonts w:ascii="Times New Roman" w:hAnsi="Times New Roman"/>
                <w:b/>
                <w:sz w:val="28"/>
                <w:szCs w:val="28"/>
              </w:rPr>
            </w:pPr>
            <w:r>
              <w:rPr>
                <w:rFonts w:ascii="Times New Roman" w:hAnsi="Times New Roman"/>
                <w:b/>
                <w:sz w:val="28"/>
                <w:szCs w:val="28"/>
              </w:rPr>
              <w:t>10.3</w:t>
            </w:r>
            <w:r>
              <w:rPr>
                <w:rFonts w:hint="eastAsia" w:ascii="Times New Roman" w:hAnsi="Times New Roman"/>
                <w:b/>
                <w:sz w:val="28"/>
                <w:szCs w:val="28"/>
              </w:rPr>
              <w:t>项目环保投资</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为了保证本项目安全持续开展，根据相关要求，建设单位需要投入一定的资金来建设必要的环保设施，配备相应的监测仪器和防护用品，本项目总投资为</w:t>
            </w:r>
            <w:r>
              <w:rPr>
                <w:rFonts w:ascii="Times New Roman" w:hAnsi="Times New Roman"/>
                <w:color w:val="000000"/>
                <w:sz w:val="24"/>
              </w:rPr>
              <w:t>53</w:t>
            </w:r>
            <w:r>
              <w:rPr>
                <w:rFonts w:hint="eastAsia" w:ascii="Times New Roman" w:hAnsi="Times New Roman"/>
                <w:color w:val="000000"/>
                <w:sz w:val="24"/>
              </w:rPr>
              <w:t>万元，环保投资</w:t>
            </w:r>
            <w:r>
              <w:rPr>
                <w:rFonts w:ascii="Times New Roman" w:hAnsi="Times New Roman"/>
                <w:color w:val="000000"/>
                <w:sz w:val="24"/>
              </w:rPr>
              <w:t>23</w:t>
            </w:r>
            <w:r>
              <w:rPr>
                <w:rFonts w:hint="eastAsia" w:ascii="Times New Roman" w:hAnsi="Times New Roman"/>
                <w:color w:val="000000"/>
                <w:sz w:val="24"/>
              </w:rPr>
              <w:t>万，环保投资占总投资比例为</w:t>
            </w:r>
            <w:r>
              <w:rPr>
                <w:rFonts w:ascii="Times New Roman" w:hAnsi="Times New Roman"/>
                <w:color w:val="000000"/>
                <w:sz w:val="24"/>
              </w:rPr>
              <w:t>43%</w:t>
            </w:r>
            <w:r>
              <w:rPr>
                <w:rFonts w:hint="eastAsia" w:ascii="Times New Roman" w:hAnsi="Times New Roman"/>
                <w:color w:val="000000"/>
                <w:sz w:val="24"/>
              </w:rPr>
              <w:t>。环保投资情况见表1</w:t>
            </w:r>
            <w:r>
              <w:rPr>
                <w:rFonts w:ascii="Times New Roman" w:hAnsi="Times New Roman"/>
                <w:color w:val="000000"/>
                <w:sz w:val="24"/>
              </w:rPr>
              <w:t>0-1</w:t>
            </w:r>
            <w:r>
              <w:rPr>
                <w:rFonts w:hint="eastAsia" w:ascii="Times New Roman" w:hAnsi="Times New Roman"/>
                <w:color w:val="000000"/>
                <w:sz w:val="24"/>
              </w:rPr>
              <w:t>所示，</w:t>
            </w:r>
          </w:p>
          <w:p>
            <w:pPr>
              <w:pStyle w:val="2"/>
              <w:spacing w:line="360" w:lineRule="auto"/>
              <w:jc w:val="center"/>
              <w:rPr>
                <w:rFonts w:ascii="Times New Roman" w:hAnsi="Times New Roman"/>
                <w:sz w:val="21"/>
                <w:szCs w:val="21"/>
              </w:rPr>
            </w:pPr>
            <w:r>
              <w:rPr>
                <w:rFonts w:hint="eastAsia" w:ascii="Times New Roman" w:hAnsi="Times New Roman"/>
                <w:sz w:val="21"/>
                <w:szCs w:val="21"/>
              </w:rPr>
              <w:t>表1</w:t>
            </w:r>
            <w:r>
              <w:rPr>
                <w:rFonts w:ascii="Times New Roman" w:hAnsi="Times New Roman"/>
                <w:sz w:val="21"/>
                <w:szCs w:val="21"/>
              </w:rPr>
              <w:t xml:space="preserve">0-1 </w:t>
            </w:r>
            <w:r>
              <w:rPr>
                <w:rFonts w:hint="eastAsia" w:ascii="Times New Roman" w:hAnsi="Times New Roman"/>
                <w:sz w:val="21"/>
                <w:szCs w:val="21"/>
              </w:rPr>
              <w:t>环保投资一览表</w:t>
            </w:r>
          </w:p>
          <w:tbl>
            <w:tblPr>
              <w:tblStyle w:val="17"/>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5245"/>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jc w:val="center"/>
                    <w:rPr>
                      <w:rFonts w:ascii="Times New Roman" w:hAnsi="Times New Roman"/>
                    </w:rPr>
                  </w:pPr>
                  <w:r>
                    <w:rPr>
                      <w:rFonts w:hint="eastAsia" w:ascii="Times New Roman" w:hAnsi="Times New Roman"/>
                    </w:rPr>
                    <w:t>项目</w:t>
                  </w:r>
                </w:p>
              </w:tc>
              <w:tc>
                <w:tcPr>
                  <w:tcW w:w="5245" w:type="dxa"/>
                  <w:vAlign w:val="center"/>
                </w:tcPr>
                <w:p>
                  <w:pPr>
                    <w:jc w:val="center"/>
                    <w:rPr>
                      <w:rFonts w:ascii="Times New Roman" w:hAnsi="Times New Roman"/>
                    </w:rPr>
                  </w:pPr>
                  <w:r>
                    <w:rPr>
                      <w:rFonts w:hint="eastAsia" w:ascii="Times New Roman" w:hAnsi="Times New Roman"/>
                    </w:rPr>
                    <w:t>设施与器材</w:t>
                  </w:r>
                </w:p>
              </w:tc>
              <w:tc>
                <w:tcPr>
                  <w:tcW w:w="1375" w:type="dxa"/>
                  <w:vAlign w:val="center"/>
                </w:tcPr>
                <w:p>
                  <w:pPr>
                    <w:jc w:val="center"/>
                    <w:rPr>
                      <w:rFonts w:ascii="Times New Roman" w:hAnsi="Times New Roman"/>
                    </w:rPr>
                  </w:pPr>
                  <w:r>
                    <w:rPr>
                      <w:rFonts w:hint="eastAsia" w:ascii="Times New Roman" w:hAnsi="Times New Roman"/>
                    </w:rPr>
                    <w:t>预计投资（万元）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jc w:val="center"/>
                    <w:rPr>
                      <w:rFonts w:ascii="Times New Roman" w:hAnsi="Times New Roman"/>
                    </w:rPr>
                  </w:pPr>
                  <w:r>
                    <w:rPr>
                      <w:rFonts w:ascii="Times New Roman" w:hAnsi="Times New Roman"/>
                      <w:color w:val="000000"/>
                      <w:kern w:val="0"/>
                      <w:szCs w:val="21"/>
                      <w:lang w:bidi="ar"/>
                    </w:rPr>
                    <w:t>辐射安全和防护措施</w:t>
                  </w:r>
                </w:p>
              </w:tc>
              <w:tc>
                <w:tcPr>
                  <w:tcW w:w="5245" w:type="dxa"/>
                  <w:vAlign w:val="center"/>
                </w:tcPr>
                <w:p>
                  <w:pPr>
                    <w:jc w:val="center"/>
                    <w:rPr>
                      <w:rFonts w:ascii="Times New Roman" w:hAnsi="Times New Roman"/>
                      <w:spacing w:val="-2"/>
                    </w:rPr>
                  </w:pPr>
                  <w:r>
                    <w:rPr>
                      <w:rFonts w:hint="eastAsia" w:ascii="Times New Roman" w:hAnsi="Times New Roman"/>
                      <w:spacing w:val="-2"/>
                    </w:rPr>
                    <w:t>配备“禁止进入射线工作区”、“无关人员禁止入内”警示牌各3组；警示绳3个；红色、黄色警示灯各3个</w:t>
                  </w:r>
                </w:p>
              </w:tc>
              <w:tc>
                <w:tcPr>
                  <w:tcW w:w="1375" w:type="dxa"/>
                  <w:vAlign w:val="center"/>
                </w:tcPr>
                <w:p>
                  <w:pPr>
                    <w:jc w:val="center"/>
                    <w:rPr>
                      <w:rFonts w:ascii="Times New Roman" w:hAnsi="Times New Roman"/>
                    </w:rPr>
                  </w:pPr>
                  <w:r>
                    <w:rPr>
                      <w:rFonts w:hint="eastAsia" w:ascii="Times New Roman" w:hAnsi="Times New Roman"/>
                    </w:rPr>
                    <w:t>0</w:t>
                  </w:r>
                  <w:r>
                    <w:rPr>
                      <w:rFonts w:ascii="Times New Roman" w:hAnsi="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112" w:type="dxa"/>
                  <w:vMerge w:val="restart"/>
                  <w:vAlign w:val="center"/>
                </w:tcPr>
                <w:p>
                  <w:pPr>
                    <w:jc w:val="center"/>
                    <w:rPr>
                      <w:rFonts w:ascii="Times New Roman" w:hAnsi="Times New Roman"/>
                    </w:rPr>
                  </w:pPr>
                  <w:r>
                    <w:rPr>
                      <w:rFonts w:hint="eastAsia" w:ascii="Times New Roman" w:hAnsi="Times New Roman"/>
                    </w:rPr>
                    <w:t>人员配备</w:t>
                  </w:r>
                </w:p>
              </w:tc>
              <w:tc>
                <w:tcPr>
                  <w:tcW w:w="5245" w:type="dxa"/>
                  <w:vAlign w:val="center"/>
                </w:tcPr>
                <w:p>
                  <w:pPr>
                    <w:jc w:val="center"/>
                    <w:rPr>
                      <w:rFonts w:ascii="Times New Roman" w:hAnsi="Times New Roman"/>
                    </w:rPr>
                  </w:pPr>
                  <w:r>
                    <w:rPr>
                      <w:rFonts w:hint="eastAsia" w:ascii="Times New Roman" w:hAnsi="Times New Roman"/>
                    </w:rPr>
                    <w:t>个人剂量计8个（含1个对照点）</w:t>
                  </w:r>
                </w:p>
              </w:tc>
              <w:tc>
                <w:tcPr>
                  <w:tcW w:w="1375" w:type="dxa"/>
                  <w:vMerge w:val="restart"/>
                  <w:vAlign w:val="center"/>
                </w:tcPr>
                <w:p>
                  <w:pPr>
                    <w:jc w:val="center"/>
                    <w:rPr>
                      <w:rFonts w:ascii="Times New Roman" w:hAnsi="Times New Roman"/>
                    </w:rPr>
                  </w:pPr>
                  <w:r>
                    <w:rPr>
                      <w:rFonts w:hint="eastAsia"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Merge w:val="continue"/>
                  <w:vAlign w:val="center"/>
                </w:tcPr>
                <w:p>
                  <w:pPr>
                    <w:jc w:val="center"/>
                    <w:rPr>
                      <w:rFonts w:ascii="Times New Roman" w:hAnsi="Times New Roman"/>
                    </w:rPr>
                  </w:pPr>
                </w:p>
              </w:tc>
              <w:tc>
                <w:tcPr>
                  <w:tcW w:w="5245" w:type="dxa"/>
                  <w:vAlign w:val="center"/>
                </w:tcPr>
                <w:p>
                  <w:pPr>
                    <w:jc w:val="center"/>
                    <w:rPr>
                      <w:rFonts w:ascii="Times New Roman" w:hAnsi="Times New Roman"/>
                    </w:rPr>
                  </w:pPr>
                  <w:r>
                    <w:rPr>
                      <w:rFonts w:ascii="Times New Roman" w:hAnsi="Times New Roman"/>
                      <w:color w:val="000000"/>
                      <w:kern w:val="0"/>
                      <w:szCs w:val="21"/>
                      <w:lang w:bidi="ar"/>
                    </w:rPr>
                    <w:t>辐射工作人员定期进行职业健康体检（1次/2年）</w:t>
                  </w:r>
                </w:p>
              </w:tc>
              <w:tc>
                <w:tcPr>
                  <w:tcW w:w="1375" w:type="dxa"/>
                  <w:vMerge w:val="continue"/>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Merge w:val="restart"/>
                  <w:vAlign w:val="center"/>
                </w:tcPr>
                <w:p>
                  <w:pPr>
                    <w:jc w:val="center"/>
                    <w:rPr>
                      <w:rFonts w:ascii="Times New Roman" w:hAnsi="Times New Roman"/>
                    </w:rPr>
                  </w:pPr>
                  <w:r>
                    <w:rPr>
                      <w:rFonts w:hint="eastAsia" w:ascii="Times New Roman" w:hAnsi="Times New Roman"/>
                    </w:rPr>
                    <w:t>检测仪器和防护用品</w:t>
                  </w:r>
                </w:p>
              </w:tc>
              <w:tc>
                <w:tcPr>
                  <w:tcW w:w="5245" w:type="dxa"/>
                  <w:vAlign w:val="center"/>
                </w:tcPr>
                <w:p>
                  <w:pPr>
                    <w:jc w:val="center"/>
                    <w:rPr>
                      <w:rFonts w:ascii="Times New Roman" w:hAnsi="Times New Roman"/>
                      <w:color w:val="000000"/>
                      <w:kern w:val="0"/>
                      <w:szCs w:val="21"/>
                      <w:lang w:bidi="ar"/>
                    </w:rPr>
                  </w:pPr>
                  <w:r>
                    <w:rPr>
                      <w:rFonts w:hint="eastAsia" w:ascii="Times New Roman" w:hAnsi="Times New Roman"/>
                    </w:rPr>
                    <w:t>便携式X</w:t>
                  </w:r>
                  <w:r>
                    <w:rPr>
                      <w:rFonts w:ascii="Times New Roman" w:hAnsi="Times New Roman"/>
                    </w:rPr>
                    <w:t>/</w:t>
                  </w:r>
                  <w:r>
                    <w:rPr>
                      <w:rFonts w:hint="eastAsia" w:ascii="Times New Roman" w:hAnsi="Times New Roman"/>
                    </w:rPr>
                    <w:t>γ辐射检测仪2台</w:t>
                  </w:r>
                </w:p>
              </w:tc>
              <w:tc>
                <w:tcPr>
                  <w:tcW w:w="1375" w:type="dxa"/>
                  <w:vMerge w:val="restart"/>
                  <w:vAlign w:val="center"/>
                </w:tcPr>
                <w:p>
                  <w:pPr>
                    <w:jc w:val="center"/>
                    <w:rPr>
                      <w:rFonts w:ascii="Times New Roman" w:hAnsi="Times New Roman"/>
                    </w:rPr>
                  </w:pPr>
                  <w:r>
                    <w:rPr>
                      <w:rFonts w:ascii="Times New Roman" w:hAnsi="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Merge w:val="continue"/>
                  <w:vAlign w:val="center"/>
                </w:tcPr>
                <w:p>
                  <w:pPr>
                    <w:jc w:val="center"/>
                    <w:rPr>
                      <w:rFonts w:ascii="Times New Roman" w:hAnsi="Times New Roman"/>
                    </w:rPr>
                  </w:pPr>
                </w:p>
              </w:tc>
              <w:tc>
                <w:tcPr>
                  <w:tcW w:w="5245" w:type="dxa"/>
                  <w:vAlign w:val="center"/>
                </w:tcPr>
                <w:p>
                  <w:pPr>
                    <w:jc w:val="center"/>
                    <w:rPr>
                      <w:rFonts w:ascii="Times New Roman" w:hAnsi="Times New Roman"/>
                      <w:color w:val="000000"/>
                      <w:kern w:val="0"/>
                      <w:szCs w:val="21"/>
                      <w:lang w:bidi="ar"/>
                    </w:rPr>
                  </w:pPr>
                  <w:r>
                    <w:rPr>
                      <w:rFonts w:hint="eastAsia" w:ascii="Times New Roman" w:hAnsi="Times New Roman"/>
                    </w:rPr>
                    <w:t>个人剂量报警仪6台</w:t>
                  </w:r>
                </w:p>
              </w:tc>
              <w:tc>
                <w:tcPr>
                  <w:tcW w:w="1375" w:type="dxa"/>
                  <w:vMerge w:val="continue"/>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Merge w:val="continue"/>
                  <w:vAlign w:val="center"/>
                </w:tcPr>
                <w:p>
                  <w:pPr>
                    <w:jc w:val="center"/>
                    <w:rPr>
                      <w:rFonts w:ascii="Times New Roman" w:hAnsi="Times New Roman"/>
                    </w:rPr>
                  </w:pPr>
                </w:p>
              </w:tc>
              <w:tc>
                <w:tcPr>
                  <w:tcW w:w="5245" w:type="dxa"/>
                  <w:vAlign w:val="center"/>
                </w:tcPr>
                <w:p>
                  <w:pPr>
                    <w:jc w:val="center"/>
                    <w:rPr>
                      <w:rFonts w:ascii="Times New Roman" w:hAnsi="Times New Roman"/>
                    </w:rPr>
                  </w:pPr>
                  <w:r>
                    <w:rPr>
                      <w:rFonts w:hint="eastAsia" w:ascii="Times New Roman" w:hAnsi="Times New Roman"/>
                      <w:color w:val="000000"/>
                      <w:kern w:val="0"/>
                      <w:szCs w:val="21"/>
                      <w:lang w:bidi="ar"/>
                    </w:rPr>
                    <w:t>配备铅衣、铅帽、铅围脖、铅手套、铅眼镜各3套</w:t>
                  </w:r>
                </w:p>
              </w:tc>
              <w:tc>
                <w:tcPr>
                  <w:tcW w:w="1375" w:type="dxa"/>
                  <w:vMerge w:val="continue"/>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jc w:val="center"/>
                    <w:rPr>
                      <w:rFonts w:ascii="Times New Roman" w:hAnsi="Times New Roman"/>
                    </w:rPr>
                  </w:pPr>
                  <w:r>
                    <w:rPr>
                      <w:rFonts w:hint="eastAsia" w:ascii="Times New Roman" w:hAnsi="Times New Roman"/>
                    </w:rPr>
                    <w:t>场所检测</w:t>
                  </w:r>
                </w:p>
              </w:tc>
              <w:tc>
                <w:tcPr>
                  <w:tcW w:w="5245" w:type="dxa"/>
                  <w:vAlign w:val="center"/>
                </w:tcPr>
                <w:p>
                  <w:pPr>
                    <w:jc w:val="center"/>
                    <w:rPr>
                      <w:rFonts w:ascii="Times New Roman" w:hAnsi="Times New Roman"/>
                    </w:rPr>
                  </w:pPr>
                  <w:r>
                    <w:rPr>
                      <w:rFonts w:hint="eastAsia" w:ascii="Times New Roman" w:hAnsi="Times New Roman"/>
                    </w:rPr>
                    <w:t>工作场所辐射环境检测（每年）</w:t>
                  </w:r>
                </w:p>
              </w:tc>
              <w:tc>
                <w:tcPr>
                  <w:tcW w:w="1375" w:type="dxa"/>
                  <w:vAlign w:val="center"/>
                </w:tcPr>
                <w:p>
                  <w:pPr>
                    <w:jc w:val="center"/>
                    <w:rPr>
                      <w:rFonts w:ascii="Times New Roman" w:hAnsi="Times New Roman"/>
                    </w:rPr>
                  </w:pPr>
                  <w:r>
                    <w:rPr>
                      <w:rFonts w:ascii="Times New Roman" w:hAnsi="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jc w:val="center"/>
                    <w:rPr>
                      <w:rFonts w:ascii="Times New Roman" w:hAnsi="Times New Roman"/>
                    </w:rPr>
                  </w:pPr>
                  <w:r>
                    <w:rPr>
                      <w:rFonts w:hint="eastAsia" w:ascii="Times New Roman" w:hAnsi="Times New Roman"/>
                    </w:rPr>
                    <w:t>设备维护</w:t>
                  </w:r>
                </w:p>
              </w:tc>
              <w:tc>
                <w:tcPr>
                  <w:tcW w:w="5245" w:type="dxa"/>
                  <w:vAlign w:val="center"/>
                </w:tcPr>
                <w:p>
                  <w:pPr>
                    <w:jc w:val="center"/>
                    <w:rPr>
                      <w:rFonts w:ascii="Times New Roman" w:hAnsi="Times New Roman"/>
                    </w:rPr>
                  </w:pPr>
                  <w:r>
                    <w:t>对探伤装置的配件、机电设备进行检查、维护、及时更换部件（定期，预留）</w:t>
                  </w:r>
                </w:p>
              </w:tc>
              <w:tc>
                <w:tcPr>
                  <w:tcW w:w="1375" w:type="dxa"/>
                  <w:vAlign w:val="center"/>
                </w:tcPr>
                <w:p>
                  <w:pPr>
                    <w:jc w:val="center"/>
                    <w:rPr>
                      <w:rFonts w:ascii="Times New Roman" w:hAnsi="Times New Roman"/>
                    </w:rPr>
                  </w:pPr>
                  <w:r>
                    <w:rPr>
                      <w:rFonts w:hint="eastAsia"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jc w:val="center"/>
                    <w:rPr>
                      <w:rFonts w:ascii="Times New Roman" w:hAnsi="Times New Roman"/>
                    </w:rPr>
                  </w:pPr>
                  <w:r>
                    <w:t>废显（定）影液、废胶片处理</w:t>
                  </w:r>
                </w:p>
              </w:tc>
              <w:tc>
                <w:tcPr>
                  <w:tcW w:w="5245" w:type="dxa"/>
                  <w:vAlign w:val="center"/>
                </w:tcPr>
                <w:p>
                  <w:pPr>
                    <w:jc w:val="center"/>
                    <w:rPr>
                      <w:rFonts w:ascii="Times New Roman" w:hAnsi="Times New Roman"/>
                    </w:rPr>
                  </w:pPr>
                  <w:r>
                    <w:t>交由有资质单位处置</w:t>
                  </w:r>
                </w:p>
              </w:tc>
              <w:tc>
                <w:tcPr>
                  <w:tcW w:w="1375" w:type="dxa"/>
                  <w:vAlign w:val="center"/>
                </w:tcPr>
                <w:p>
                  <w:pPr>
                    <w:jc w:val="center"/>
                    <w:rPr>
                      <w:rFonts w:ascii="Times New Roman" w:hAnsi="Times New Roman"/>
                    </w:rPr>
                  </w:pPr>
                  <w:r>
                    <w:rPr>
                      <w:rFonts w:hint="eastAsia" w:ascii="Times New Roman" w:hAnsi="Times New Roman"/>
                    </w:rPr>
                    <w:t>1</w:t>
                  </w:r>
                  <w:r>
                    <w:rPr>
                      <w:rFonts w:ascii="Times New Roman" w:hAnsi="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jc w:val="center"/>
                  </w:pPr>
                  <w:r>
                    <w:t>人员培训</w:t>
                  </w:r>
                </w:p>
              </w:tc>
              <w:tc>
                <w:tcPr>
                  <w:tcW w:w="5245" w:type="dxa"/>
                  <w:vAlign w:val="center"/>
                </w:tcPr>
                <w:p>
                  <w:pPr>
                    <w:jc w:val="center"/>
                  </w:pPr>
                  <w:r>
                    <w:t>辐射安全与防护培训</w:t>
                  </w:r>
                </w:p>
              </w:tc>
              <w:tc>
                <w:tcPr>
                  <w:tcW w:w="1375" w:type="dxa"/>
                  <w:vAlign w:val="center"/>
                </w:tcPr>
                <w:p>
                  <w:pPr>
                    <w:jc w:val="center"/>
                    <w:rPr>
                      <w:rFonts w:ascii="Times New Roman" w:hAnsi="Times New Roman"/>
                    </w:rPr>
                  </w:pPr>
                  <w:r>
                    <w:rPr>
                      <w:rFonts w:hint="eastAsia" w:ascii="Times New Roman" w:hAnsi="Times New Roman"/>
                    </w:rPr>
                    <w:t>0</w:t>
                  </w:r>
                  <w:r>
                    <w:rPr>
                      <w:rFonts w:ascii="Times New Roman" w:hAnsi="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jc w:val="center"/>
                  </w:pPr>
                  <w:r>
                    <w:rPr>
                      <w:rFonts w:hint="eastAsia"/>
                    </w:rPr>
                    <w:t>资质认可</w:t>
                  </w:r>
                </w:p>
              </w:tc>
              <w:tc>
                <w:tcPr>
                  <w:tcW w:w="5245" w:type="dxa"/>
                  <w:vAlign w:val="center"/>
                </w:tcPr>
                <w:p>
                  <w:pPr>
                    <w:jc w:val="center"/>
                  </w:pPr>
                  <w:r>
                    <w:rPr>
                      <w:rFonts w:hint="eastAsia"/>
                    </w:rPr>
                    <w:t>建设项目环评验收</w:t>
                  </w:r>
                </w:p>
              </w:tc>
              <w:tc>
                <w:tcPr>
                  <w:tcW w:w="1375" w:type="dxa"/>
                  <w:vAlign w:val="center"/>
                </w:tcPr>
                <w:p>
                  <w:pPr>
                    <w:jc w:val="center"/>
                    <w:rPr>
                      <w:rFonts w:ascii="Times New Roman" w:hAnsi="Times New Roman"/>
                    </w:rPr>
                  </w:pPr>
                  <w:r>
                    <w:rPr>
                      <w:rFonts w:hint="eastAsia" w:ascii="Times New Roman" w:hAnsi="Times New Roman"/>
                    </w:rPr>
                    <w:t>1</w:t>
                  </w: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jc w:val="center"/>
                  </w:pPr>
                  <w:r>
                    <w:rPr>
                      <w:rFonts w:hint="eastAsia"/>
                    </w:rPr>
                    <w:t>合计</w:t>
                  </w:r>
                </w:p>
              </w:tc>
              <w:tc>
                <w:tcPr>
                  <w:tcW w:w="5245" w:type="dxa"/>
                  <w:vAlign w:val="center"/>
                </w:tcPr>
                <w:p>
                  <w:pPr>
                    <w:jc w:val="center"/>
                  </w:pPr>
                </w:p>
              </w:tc>
              <w:tc>
                <w:tcPr>
                  <w:tcW w:w="1375"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3</w:t>
                  </w:r>
                </w:p>
              </w:tc>
            </w:tr>
          </w:tbl>
          <w:p>
            <w:pPr>
              <w:rPr>
                <w:rFonts w:ascii="Times New Roman" w:hAnsi="Times New Roman"/>
                <w:color w:val="000000"/>
                <w:sz w:val="24"/>
              </w:rPr>
            </w:pPr>
            <w:r>
              <w:rPr>
                <w:rFonts w:ascii="Times New Roman" w:hAnsi="Times New Roman"/>
              </w:rPr>
              <w:br w:type="page"/>
            </w:r>
          </w:p>
        </w:tc>
      </w:tr>
    </w:tbl>
    <w:p>
      <w:pPr>
        <w:pStyle w:val="2"/>
        <w:rPr>
          <w:rFonts w:ascii="Times New Roman" w:hAnsi="Times New Roman"/>
          <w:sz w:val="28"/>
          <w:szCs w:val="28"/>
        </w:rPr>
      </w:pPr>
      <w:bookmarkStart w:id="39" w:name="_Toc457302975"/>
      <w:bookmarkStart w:id="40" w:name="_Toc30831"/>
      <w:bookmarkStart w:id="41" w:name="_Toc457303396"/>
      <w:r>
        <w:rPr>
          <w:rFonts w:ascii="Times New Roman" w:hAnsi="Times New Roman"/>
          <w:sz w:val="28"/>
          <w:szCs w:val="28"/>
        </w:rPr>
        <w:t>表11环境影响分析</w:t>
      </w:r>
      <w:bookmarkEnd w:id="39"/>
      <w:bookmarkEnd w:id="40"/>
      <w:bookmarkEnd w:id="41"/>
    </w:p>
    <w:tbl>
      <w:tblPr>
        <w:tblStyle w:val="17"/>
        <w:tblW w:w="9135"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tcPr>
          <w:p>
            <w:pPr>
              <w:spacing w:line="360" w:lineRule="auto"/>
              <w:ind w:firstLine="480" w:firstLineChars="200"/>
              <w:rPr>
                <w:rFonts w:ascii="Times New Roman" w:hAnsi="Times New Roman"/>
                <w:sz w:val="24"/>
                <w:szCs w:val="24"/>
              </w:rPr>
            </w:pPr>
            <w:r>
              <w:rPr>
                <w:rFonts w:ascii="Times New Roman" w:hAnsi="Times New Roman"/>
                <w:sz w:val="24"/>
              </w:rPr>
              <w:t>本项目拟使用3</w:t>
            </w:r>
            <w:r>
              <w:rPr>
                <w:rFonts w:ascii="Times New Roman" w:hAnsi="Times New Roman"/>
                <w:color w:val="000000"/>
                <w:sz w:val="24"/>
              </w:rPr>
              <w:t>台</w:t>
            </w:r>
            <w:r>
              <w:rPr>
                <w:rFonts w:hint="eastAsia" w:ascii="Times New Roman" w:hAnsi="Times New Roman"/>
                <w:color w:val="000000"/>
                <w:sz w:val="24"/>
              </w:rPr>
              <w:t>工业用X射线探伤机</w:t>
            </w:r>
            <w:r>
              <w:rPr>
                <w:rFonts w:ascii="Times New Roman" w:hAnsi="Times New Roman"/>
                <w:color w:val="000000"/>
                <w:sz w:val="24"/>
              </w:rPr>
              <w:t>，</w:t>
            </w:r>
            <w:r>
              <w:rPr>
                <w:rFonts w:ascii="Times New Roman" w:hAnsi="Times New Roman"/>
                <w:sz w:val="24"/>
              </w:rPr>
              <w:t>开展</w:t>
            </w:r>
            <w:r>
              <w:rPr>
                <w:rFonts w:hint="eastAsia" w:ascii="Times New Roman" w:hAnsi="Times New Roman"/>
                <w:sz w:val="24"/>
              </w:rPr>
              <w:t>钢结构、管道、非承压、承压设备等</w:t>
            </w:r>
            <w:r>
              <w:rPr>
                <w:rFonts w:ascii="Times New Roman" w:hAnsi="Times New Roman"/>
                <w:color w:val="000000"/>
                <w:sz w:val="24"/>
              </w:rPr>
              <w:t>的现场无损探伤工作。本项目均</w:t>
            </w:r>
            <w:r>
              <w:rPr>
                <w:rFonts w:ascii="Times New Roman" w:hAnsi="Times New Roman"/>
                <w:sz w:val="24"/>
              </w:rPr>
              <w:t>为现场探伤作业，无固定工作场所，探伤装置不使用时存放于</w:t>
            </w:r>
            <w:r>
              <w:rPr>
                <w:rFonts w:hint="eastAsia" w:ascii="Times New Roman" w:hAnsi="Times New Roman"/>
                <w:sz w:val="24"/>
                <w:szCs w:val="24"/>
              </w:rPr>
              <w:t>新疆昌吉高新技术产业开发区辉煌大道南侧机械所负一层无损检测室（2）内</w:t>
            </w:r>
            <w:r>
              <w:rPr>
                <w:rFonts w:ascii="Times New Roman" w:hAnsi="Times New Roman"/>
                <w:kern w:val="0"/>
                <w:sz w:val="24"/>
              </w:rPr>
              <w:t>。</w:t>
            </w:r>
          </w:p>
          <w:p>
            <w:pPr>
              <w:pStyle w:val="33"/>
              <w:kinsoku w:val="0"/>
              <w:overflowPunct w:val="0"/>
              <w:spacing w:line="360" w:lineRule="auto"/>
              <w:contextualSpacing/>
              <w:rPr>
                <w:b/>
                <w:bCs/>
                <w:sz w:val="28"/>
                <w:szCs w:val="28"/>
              </w:rPr>
            </w:pPr>
            <w:r>
              <w:rPr>
                <w:b/>
                <w:bCs/>
                <w:sz w:val="28"/>
                <w:szCs w:val="28"/>
              </w:rPr>
              <w:t>11.1施工期对环境的影响</w:t>
            </w:r>
          </w:p>
          <w:p>
            <w:pPr>
              <w:spacing w:line="360" w:lineRule="auto"/>
              <w:ind w:firstLine="480"/>
              <w:rPr>
                <w:rFonts w:ascii="Times New Roman" w:hAnsi="Times New Roman"/>
                <w:bCs/>
                <w:kern w:val="0"/>
                <w:sz w:val="24"/>
                <w:szCs w:val="24"/>
              </w:rPr>
            </w:pPr>
            <w:r>
              <w:rPr>
                <w:rFonts w:ascii="Times New Roman" w:hAnsi="Times New Roman"/>
                <w:bCs/>
                <w:kern w:val="0"/>
                <w:sz w:val="24"/>
                <w:szCs w:val="24"/>
              </w:rPr>
              <w:t>由于本项目为现场作业，不存在建设期，由于</w:t>
            </w:r>
            <w:r>
              <w:rPr>
                <w:rFonts w:hint="eastAsia" w:ascii="Times New Roman" w:hAnsi="Times New Roman"/>
                <w:color w:val="000000"/>
                <w:sz w:val="24"/>
              </w:rPr>
              <w:t>工业用X射线探伤机</w:t>
            </w:r>
            <w:r>
              <w:rPr>
                <w:rFonts w:ascii="Times New Roman" w:hAnsi="Times New Roman"/>
                <w:bCs/>
                <w:kern w:val="0"/>
                <w:sz w:val="24"/>
                <w:szCs w:val="24"/>
              </w:rPr>
              <w:t>只有在无损检测过程中才会产生射线，其产生的射线是随机器的开、关而产生和消失的。当</w:t>
            </w:r>
            <w:r>
              <w:rPr>
                <w:rFonts w:hint="eastAsia" w:ascii="Times New Roman" w:hAnsi="Times New Roman"/>
                <w:color w:val="000000"/>
                <w:sz w:val="24"/>
              </w:rPr>
              <w:t>工业用X射线探伤机</w:t>
            </w:r>
            <w:r>
              <w:rPr>
                <w:rFonts w:ascii="Times New Roman" w:hAnsi="Times New Roman"/>
                <w:bCs/>
                <w:kern w:val="0"/>
                <w:sz w:val="24"/>
                <w:szCs w:val="24"/>
              </w:rPr>
              <w:t>存放在设备室内时，不会对周围环境造成电离辐射影响，也无放射性废气、废水及固体废弃物产生。</w:t>
            </w:r>
          </w:p>
          <w:p>
            <w:pPr>
              <w:pStyle w:val="33"/>
              <w:kinsoku w:val="0"/>
              <w:overflowPunct w:val="0"/>
              <w:spacing w:line="360" w:lineRule="auto"/>
              <w:ind w:right="80" w:rightChars="38"/>
              <w:contextualSpacing/>
              <w:jc w:val="both"/>
              <w:rPr>
                <w:b/>
                <w:bCs/>
                <w:sz w:val="28"/>
                <w:szCs w:val="28"/>
              </w:rPr>
            </w:pPr>
            <w:r>
              <w:rPr>
                <w:b/>
                <w:bCs/>
                <w:sz w:val="28"/>
                <w:szCs w:val="28"/>
              </w:rPr>
              <w:t>11.2运行阶段对环境的影响</w:t>
            </w:r>
          </w:p>
          <w:p>
            <w:pPr>
              <w:spacing w:line="360" w:lineRule="auto"/>
              <w:rPr>
                <w:rFonts w:ascii="Times New Roman" w:hAnsi="Times New Roman"/>
                <w:b/>
                <w:bCs/>
                <w:color w:val="000000"/>
                <w:sz w:val="24"/>
              </w:rPr>
            </w:pPr>
            <w:r>
              <w:rPr>
                <w:rFonts w:hint="eastAsia" w:ascii="Times New Roman" w:hAnsi="Times New Roman"/>
                <w:b/>
                <w:bCs/>
                <w:color w:val="000000"/>
                <w:sz w:val="24"/>
              </w:rPr>
              <w:t>1</w:t>
            </w:r>
            <w:r>
              <w:rPr>
                <w:rFonts w:ascii="Times New Roman" w:hAnsi="Times New Roman"/>
                <w:b/>
                <w:bCs/>
                <w:color w:val="000000"/>
                <w:sz w:val="24"/>
              </w:rPr>
              <w:t>1.2.1现场探伤</w:t>
            </w:r>
            <w:r>
              <w:rPr>
                <w:rFonts w:hint="eastAsia" w:ascii="Times New Roman" w:hAnsi="Times New Roman"/>
                <w:b/>
                <w:bCs/>
                <w:color w:val="000000"/>
                <w:sz w:val="24"/>
              </w:rPr>
              <w:t>控制区和监督区的理论划分</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在实际探伤过程中，定向探伤机的主束射向被检查的工件。射线能量根据被检工件的厚度进行调节，有用射束被工件所屏蔽，射线经工件屏蔽后的漏射线对总的剂量贡献较小。在此基础上，建设单位须严格《工业探伤放射防护标准》（GBZ117-2022），利用辐射剂量率仪将作业场所中周围剂量当量率大于15</w:t>
            </w:r>
            <w:r>
              <w:rPr>
                <w:rFonts w:ascii="Times New Roman" w:hAnsi="Times New Roman"/>
                <w:color w:val="000000"/>
                <w:sz w:val="24"/>
              </w:rPr>
              <w:t>μ</w:t>
            </w:r>
            <w:r>
              <w:rPr>
                <w:rFonts w:hint="eastAsia" w:ascii="Times New Roman" w:hAnsi="Times New Roman"/>
                <w:color w:val="000000"/>
                <w:sz w:val="24"/>
              </w:rPr>
              <w:t>Sv/h的范围内划为控制区，严禁任何人进入该区域；将控制区边界外、作业时周围剂量当量率大于2.5</w:t>
            </w:r>
            <w:r>
              <w:rPr>
                <w:rFonts w:ascii="Times New Roman" w:hAnsi="Times New Roman"/>
                <w:color w:val="000000"/>
                <w:sz w:val="24"/>
              </w:rPr>
              <w:t>μ</w:t>
            </w:r>
            <w:r>
              <w:rPr>
                <w:rFonts w:hint="eastAsia" w:ascii="Times New Roman" w:hAnsi="Times New Roman"/>
                <w:color w:val="000000"/>
                <w:sz w:val="24"/>
              </w:rPr>
              <w:t>Sv/h的范围划为监督区，严禁公众成员进入该区域。本项目在现场探伤在进行作业时，拟设置铅屏风对X射线进行防护。</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本项目拟设置4块移动式铅屏风进行主射线、漏射线和散射线的遮挡，主射方向采用1块5mm铅当量，非主射方向采用3块2mm铅当量的移动式铅屏风对X射线进行防护。</w:t>
            </w:r>
          </w:p>
          <w:p>
            <w:pPr>
              <w:spacing w:line="360" w:lineRule="auto"/>
              <w:rPr>
                <w:rFonts w:ascii="Times New Roman" w:hAnsi="Times New Roman"/>
                <w:color w:val="000000"/>
                <w:sz w:val="24"/>
              </w:rPr>
            </w:pPr>
            <w:r>
              <w:rPr>
                <w:rFonts w:hint="eastAsia" w:ascii="Times New Roman" w:hAnsi="Times New Roman"/>
                <w:b/>
                <w:bCs/>
                <w:color w:val="000000"/>
                <w:sz w:val="24"/>
              </w:rPr>
              <w:t>1</w:t>
            </w:r>
            <w:r>
              <w:rPr>
                <w:rFonts w:ascii="Times New Roman" w:hAnsi="Times New Roman"/>
                <w:b/>
                <w:bCs/>
                <w:color w:val="000000"/>
                <w:sz w:val="24"/>
              </w:rPr>
              <w:t>1.2.2现场探伤</w:t>
            </w:r>
            <w:r>
              <w:rPr>
                <w:rFonts w:hint="eastAsia" w:ascii="Times New Roman" w:hAnsi="Times New Roman"/>
                <w:b/>
                <w:bCs/>
                <w:color w:val="000000"/>
                <w:sz w:val="24"/>
              </w:rPr>
              <w:t>理论计算</w:t>
            </w:r>
            <w:r>
              <w:rPr>
                <w:rFonts w:ascii="Times New Roman" w:hAnsi="Times New Roman"/>
                <w:b/>
                <w:bCs/>
                <w:color w:val="000000"/>
                <w:sz w:val="24"/>
              </w:rPr>
              <w:t>结果及评价</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X</w:t>
            </w:r>
            <w:r>
              <w:rPr>
                <w:rFonts w:ascii="Times New Roman" w:hAnsi="Times New Roman"/>
                <w:color w:val="000000"/>
                <w:sz w:val="24"/>
              </w:rPr>
              <w:t>T-3005</w:t>
            </w:r>
            <w:r>
              <w:rPr>
                <w:rFonts w:hint="eastAsia" w:ascii="Times New Roman" w:hAnsi="Times New Roman"/>
                <w:color w:val="000000"/>
                <w:sz w:val="24"/>
              </w:rPr>
              <w:t>、X</w:t>
            </w:r>
            <w:r>
              <w:rPr>
                <w:rFonts w:ascii="Times New Roman" w:hAnsi="Times New Roman"/>
                <w:color w:val="000000"/>
                <w:sz w:val="24"/>
              </w:rPr>
              <w:t>XG-3005</w:t>
            </w:r>
            <w:r>
              <w:rPr>
                <w:rFonts w:hint="eastAsia" w:ascii="Times New Roman" w:hAnsi="Times New Roman"/>
                <w:color w:val="000000"/>
                <w:sz w:val="24"/>
              </w:rPr>
              <w:t>/</w:t>
            </w:r>
            <w:r>
              <w:rPr>
                <w:rFonts w:ascii="Times New Roman" w:hAnsi="Times New Roman"/>
                <w:color w:val="000000"/>
                <w:sz w:val="24"/>
              </w:rPr>
              <w:t>2505</w:t>
            </w:r>
            <w:r>
              <w:rPr>
                <w:rFonts w:hint="eastAsia" w:ascii="Times New Roman" w:hAnsi="Times New Roman"/>
                <w:color w:val="000000"/>
                <w:sz w:val="24"/>
              </w:rPr>
              <w:t>型工业用X射线探伤机</w:t>
            </w:r>
          </w:p>
          <w:p>
            <w:pPr>
              <w:spacing w:line="360" w:lineRule="auto"/>
              <w:ind w:firstLine="480"/>
              <w:rPr>
                <w:rFonts w:ascii="Times New Roman" w:hAnsi="Times New Roman"/>
                <w:color w:val="000000"/>
                <w:sz w:val="24"/>
              </w:rPr>
            </w:pPr>
            <w:r>
              <w:rPr>
                <w:rFonts w:hint="eastAsia" w:ascii="Times New Roman" w:hAnsi="Times New Roman"/>
                <w:color w:val="000000"/>
                <w:sz w:val="24"/>
              </w:rPr>
              <w:t>（1）有用线束</w:t>
            </w:r>
          </w:p>
          <w:p>
            <w:pPr>
              <w:spacing w:line="360" w:lineRule="auto"/>
              <w:ind w:firstLine="480"/>
              <w:rPr>
                <w:rFonts w:ascii="Times New Roman" w:hAnsi="Times New Roman"/>
                <w:color w:val="000000"/>
                <w:sz w:val="24"/>
              </w:rPr>
            </w:pPr>
            <w:r>
              <w:rPr>
                <w:rFonts w:hint="eastAsia" w:ascii="Times New Roman" w:hAnsi="Times New Roman"/>
                <w:color w:val="000000"/>
                <w:sz w:val="24"/>
              </w:rPr>
              <w:t>根据《辐射防护导论》（方杰主编，P69，式3.1），在距离靶r（m）处由X射线探伤机产生的初级X射线束造成的空气比释动能率计算公式如下：</w:t>
            </w:r>
          </w:p>
          <w:p>
            <w:pPr>
              <w:spacing w:line="360" w:lineRule="auto"/>
              <w:jc w:val="right"/>
              <w:rPr>
                <w:rFonts w:ascii="Times New Roman" w:hAnsi="Times New Roman"/>
                <w:color w:val="000000"/>
                <w:sz w:val="24"/>
              </w:rPr>
            </w:pPr>
            <w:r>
              <w:rPr>
                <w:rFonts w:hint="eastAsia" w:ascii="Times New Roman" w:hAnsi="Times New Roman"/>
                <w:color w:val="000000"/>
                <w:sz w:val="24"/>
              </w:rPr>
              <w:t>D</w:t>
            </w:r>
            <w:r>
              <w:rPr>
                <w:rFonts w:hint="eastAsia" w:ascii="Times New Roman" w:hAnsi="Times New Roman"/>
                <w:color w:val="000000"/>
                <w:sz w:val="24"/>
                <w:vertAlign w:val="subscript"/>
              </w:rPr>
              <w:t>1</w:t>
            </w:r>
            <w:r>
              <w:rPr>
                <w:rFonts w:hint="eastAsia" w:ascii="Times New Roman" w:hAnsi="Times New Roman"/>
                <w:color w:val="000000"/>
                <w:sz w:val="24"/>
              </w:rPr>
              <w:t>=I</w:t>
            </w:r>
            <w:r>
              <w:rPr>
                <w:rFonts w:ascii="Times New Roman" w:hAnsi="Times New Roman"/>
                <w:color w:val="000000"/>
                <w:sz w:val="24"/>
              </w:rPr>
              <w:t>δ</w:t>
            </w:r>
            <w:r>
              <w:rPr>
                <w:rFonts w:hint="eastAsia" w:ascii="Times New Roman" w:hAnsi="Times New Roman"/>
                <w:color w:val="000000"/>
                <w:sz w:val="24"/>
                <w:vertAlign w:val="subscript"/>
              </w:rPr>
              <w:t>X</w:t>
            </w:r>
            <w:r>
              <w:rPr>
                <w:rFonts w:hint="eastAsia" w:ascii="Times New Roman" w:hAnsi="Times New Roman"/>
                <w:color w:val="000000"/>
                <w:sz w:val="24"/>
              </w:rPr>
              <w:t>/r</w:t>
            </w:r>
            <w:r>
              <w:rPr>
                <w:rFonts w:hint="eastAsia" w:ascii="Times New Roman" w:hAnsi="Times New Roman"/>
                <w:color w:val="000000"/>
                <w:sz w:val="24"/>
                <w:vertAlign w:val="superscript"/>
              </w:rPr>
              <w:t>2</w:t>
            </w:r>
            <w:r>
              <w:rPr>
                <w:rFonts w:ascii="Times New Roman" w:hAnsi="Times New Roman"/>
                <w:bCs/>
                <w:color w:val="000000"/>
                <w:sz w:val="32"/>
                <w:szCs w:val="32"/>
              </w:rPr>
              <w:t xml:space="preserve">                   </w:t>
            </w:r>
            <w:r>
              <w:rPr>
                <w:rFonts w:hint="eastAsia" w:ascii="Times New Roman" w:hAnsi="Times New Roman"/>
                <w:color w:val="000000"/>
                <w:sz w:val="24"/>
              </w:rPr>
              <w:t>（</w:t>
            </w:r>
            <w:r>
              <w:rPr>
                <w:rFonts w:ascii="Times New Roman" w:hAnsi="Times New Roman"/>
                <w:color w:val="000000"/>
                <w:sz w:val="24"/>
              </w:rPr>
              <w:t>1</w:t>
            </w:r>
            <w:r>
              <w:rPr>
                <w:rFonts w:hint="eastAsia" w:ascii="Times New Roman" w:hAnsi="Times New Roman"/>
                <w:color w:val="000000"/>
                <w:sz w:val="24"/>
              </w:rPr>
              <w:t>）</w:t>
            </w:r>
          </w:p>
          <w:p>
            <w:pPr>
              <w:spacing w:line="360" w:lineRule="auto"/>
              <w:jc w:val="right"/>
              <w:rPr>
                <w:rFonts w:ascii="Times New Roman" w:hAnsi="Times New Roman"/>
                <w:color w:val="000000"/>
                <w:sz w:val="24"/>
              </w:rPr>
            </w:pPr>
            <w:r>
              <w:rPr>
                <w:rFonts w:hint="eastAsia" w:ascii="Times New Roman" w:hAnsi="Times New Roman"/>
                <w:color w:val="000000"/>
                <w:sz w:val="24"/>
              </w:rPr>
              <w:t>D</w:t>
            </w:r>
            <w:r>
              <w:rPr>
                <w:rFonts w:hint="eastAsia" w:ascii="Times New Roman" w:hAnsi="Times New Roman"/>
                <w:color w:val="000000"/>
                <w:sz w:val="24"/>
                <w:vertAlign w:val="subscript"/>
              </w:rPr>
              <w:t>2</w:t>
            </w:r>
            <w:r>
              <w:rPr>
                <w:rFonts w:hint="eastAsia" w:ascii="Times New Roman" w:hAnsi="Times New Roman"/>
                <w:color w:val="000000"/>
                <w:sz w:val="24"/>
              </w:rPr>
              <w:t>=B×D</w:t>
            </w:r>
            <w:r>
              <w:rPr>
                <w:rFonts w:hint="eastAsia" w:ascii="Times New Roman" w:hAnsi="Times New Roman"/>
                <w:color w:val="000000"/>
                <w:sz w:val="24"/>
                <w:vertAlign w:val="superscript"/>
              </w:rPr>
              <w:t>1</w:t>
            </w:r>
            <w:r>
              <w:rPr>
                <w:rFonts w:ascii="Times New Roman" w:hAnsi="Times New Roman"/>
                <w:bCs/>
                <w:color w:val="000000"/>
                <w:sz w:val="32"/>
                <w:szCs w:val="32"/>
              </w:rPr>
              <w:t xml:space="preserve">                   </w:t>
            </w:r>
            <w:r>
              <w:rPr>
                <w:rFonts w:hint="eastAsia" w:ascii="Times New Roman" w:hAnsi="Times New Roman"/>
                <w:color w:val="000000"/>
                <w:sz w:val="24"/>
              </w:rPr>
              <w:t>（</w:t>
            </w:r>
            <w:r>
              <w:rPr>
                <w:rFonts w:ascii="Times New Roman" w:hAnsi="Times New Roman"/>
                <w:color w:val="000000"/>
                <w:sz w:val="24"/>
              </w:rPr>
              <w:t>2</w:t>
            </w:r>
            <w:r>
              <w:rPr>
                <w:rFonts w:hint="eastAsia" w:ascii="Times New Roman" w:hAnsi="Times New Roman"/>
                <w:color w:val="000000"/>
                <w:sz w:val="24"/>
              </w:rPr>
              <w:t>）</w:t>
            </w:r>
          </w:p>
          <w:p>
            <w:pPr>
              <w:spacing w:line="360" w:lineRule="auto"/>
              <w:jc w:val="left"/>
              <w:rPr>
                <w:rFonts w:ascii="Times New Roman" w:hAnsi="Times New Roman"/>
                <w:color w:val="000000"/>
                <w:sz w:val="24"/>
              </w:rPr>
            </w:pPr>
            <w:r>
              <w:rPr>
                <w:rFonts w:hint="eastAsia" w:ascii="Times New Roman" w:hAnsi="Times New Roman"/>
                <w:color w:val="000000"/>
                <w:sz w:val="24"/>
              </w:rPr>
              <w:t>公式中：</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D</w:t>
            </w:r>
            <w:r>
              <w:rPr>
                <w:rFonts w:hint="eastAsia" w:ascii="Times New Roman" w:hAnsi="Times New Roman"/>
                <w:color w:val="000000"/>
                <w:sz w:val="24"/>
                <w:vertAlign w:val="subscript"/>
              </w:rPr>
              <w:t>1</w:t>
            </w:r>
            <w:r>
              <w:rPr>
                <w:rFonts w:hint="eastAsia" w:ascii="Times New Roman" w:hAnsi="Times New Roman"/>
                <w:color w:val="000000"/>
                <w:sz w:val="24"/>
              </w:rPr>
              <w:t>—未经工件屏蔽前空气吸收剂量率，mGy·min</w:t>
            </w:r>
            <w:r>
              <w:rPr>
                <w:rFonts w:hint="eastAsia" w:ascii="Times New Roman" w:hAnsi="Times New Roman"/>
                <w:color w:val="000000"/>
                <w:sz w:val="24"/>
                <w:vertAlign w:val="superscript"/>
              </w:rPr>
              <w:t>-1</w:t>
            </w:r>
            <w:r>
              <w:rPr>
                <w:rFonts w:hint="eastAsia" w:ascii="Times New Roman" w:hAnsi="Times New Roman"/>
                <w:color w:val="000000"/>
                <w:sz w:val="24"/>
              </w:rPr>
              <w:t>；</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D</w:t>
            </w:r>
            <w:r>
              <w:rPr>
                <w:rFonts w:hint="eastAsia" w:ascii="Times New Roman" w:hAnsi="Times New Roman"/>
                <w:color w:val="000000"/>
                <w:sz w:val="24"/>
                <w:vertAlign w:val="subscript"/>
              </w:rPr>
              <w:t>2</w:t>
            </w:r>
            <w:r>
              <w:rPr>
                <w:rFonts w:hint="eastAsia" w:ascii="Times New Roman" w:hAnsi="Times New Roman"/>
                <w:color w:val="000000"/>
                <w:sz w:val="24"/>
              </w:rPr>
              <w:t>—经工件屏蔽后空气吸收剂量率，mGy·min</w:t>
            </w:r>
            <w:r>
              <w:rPr>
                <w:rFonts w:hint="eastAsia" w:ascii="Times New Roman" w:hAnsi="Times New Roman"/>
                <w:color w:val="000000"/>
                <w:sz w:val="24"/>
                <w:vertAlign w:val="superscript"/>
              </w:rPr>
              <w:t>-1</w:t>
            </w:r>
            <w:r>
              <w:rPr>
                <w:rFonts w:hint="eastAsia" w:ascii="Times New Roman" w:hAnsi="Times New Roman"/>
                <w:color w:val="000000"/>
                <w:sz w:val="24"/>
              </w:rPr>
              <w:t>；</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I—管电流，mA，本项目3台探伤机的管电流最大均为5mA；</w:t>
            </w:r>
          </w:p>
          <w:p>
            <w:pPr>
              <w:spacing w:line="360" w:lineRule="auto"/>
              <w:ind w:firstLine="480" w:firstLineChars="200"/>
              <w:jc w:val="left"/>
              <w:rPr>
                <w:rFonts w:ascii="Times New Roman" w:hAnsi="Times New Roman"/>
                <w:color w:val="000000"/>
                <w:sz w:val="24"/>
              </w:rPr>
            </w:pPr>
            <w:r>
              <w:rPr>
                <w:rFonts w:ascii="Times New Roman" w:hAnsi="Times New Roman" w:eastAsia="仿宋"/>
                <w:color w:val="000000"/>
                <w:sz w:val="24"/>
              </w:rPr>
              <w:t>δ</w:t>
            </w:r>
            <w:r>
              <w:rPr>
                <w:rFonts w:hint="eastAsia" w:ascii="Times New Roman" w:hAnsi="Times New Roman"/>
                <w:color w:val="000000"/>
                <w:sz w:val="24"/>
                <w:vertAlign w:val="subscript"/>
              </w:rPr>
              <w:t>X</w:t>
            </w:r>
            <w:r>
              <w:rPr>
                <w:rFonts w:hint="eastAsia" w:ascii="Times New Roman" w:hAnsi="Times New Roman"/>
                <w:color w:val="000000"/>
                <w:sz w:val="24"/>
              </w:rPr>
              <w:t>—发射率常数，mGy·m</w:t>
            </w:r>
            <w:r>
              <w:rPr>
                <w:rFonts w:hint="eastAsia" w:ascii="Times New Roman" w:hAnsi="Times New Roman"/>
                <w:color w:val="000000"/>
                <w:sz w:val="24"/>
                <w:vertAlign w:val="superscript"/>
              </w:rPr>
              <w:t>2</w:t>
            </w:r>
            <w:r>
              <w:rPr>
                <w:rFonts w:hint="eastAsia" w:ascii="Times New Roman" w:hAnsi="Times New Roman"/>
                <w:color w:val="000000"/>
                <w:sz w:val="24"/>
              </w:rPr>
              <w:t>·mA</w:t>
            </w:r>
            <w:r>
              <w:rPr>
                <w:rFonts w:hint="eastAsia" w:ascii="Times New Roman" w:hAnsi="Times New Roman"/>
                <w:color w:val="000000"/>
                <w:sz w:val="24"/>
                <w:vertAlign w:val="superscript"/>
              </w:rPr>
              <w:t>-1</w:t>
            </w:r>
            <w:r>
              <w:rPr>
                <w:rFonts w:hint="eastAsia" w:ascii="Times New Roman" w:hAnsi="Times New Roman"/>
                <w:color w:val="000000"/>
                <w:sz w:val="24"/>
              </w:rPr>
              <w:t>min</w:t>
            </w:r>
            <w:r>
              <w:rPr>
                <w:rFonts w:hint="eastAsia" w:ascii="Times New Roman" w:hAnsi="Times New Roman"/>
                <w:color w:val="000000"/>
                <w:sz w:val="24"/>
                <w:vertAlign w:val="superscript"/>
              </w:rPr>
              <w:t>-1</w:t>
            </w:r>
            <w:r>
              <w:rPr>
                <w:rFonts w:hint="eastAsia" w:ascii="Times New Roman" w:hAnsi="Times New Roman"/>
                <w:color w:val="000000"/>
                <w:sz w:val="24"/>
              </w:rPr>
              <w:t>，根据建设单位提供的资料，本项目</w:t>
            </w:r>
            <w:r>
              <w:rPr>
                <w:rFonts w:ascii="Times New Roman" w:hAnsi="Times New Roman"/>
                <w:color w:val="000000"/>
                <w:sz w:val="24"/>
              </w:rPr>
              <w:t>XT-3005</w:t>
            </w:r>
            <w:r>
              <w:rPr>
                <w:rFonts w:hint="eastAsia" w:ascii="Times New Roman" w:hAnsi="Times New Roman"/>
                <w:color w:val="000000"/>
                <w:sz w:val="24"/>
              </w:rPr>
              <w:t>和XXQ-3005型工业用X射线探伤机取20.9、XXQ-</w:t>
            </w:r>
            <w:r>
              <w:rPr>
                <w:rFonts w:ascii="Times New Roman" w:hAnsi="Times New Roman"/>
                <w:color w:val="000000"/>
                <w:sz w:val="24"/>
              </w:rPr>
              <w:t>25</w:t>
            </w:r>
            <w:r>
              <w:rPr>
                <w:rFonts w:hint="eastAsia" w:ascii="Times New Roman" w:hAnsi="Times New Roman"/>
                <w:color w:val="000000"/>
                <w:sz w:val="24"/>
              </w:rPr>
              <w:t>05型工业用X射线探伤机取1</w:t>
            </w:r>
            <w:r>
              <w:rPr>
                <w:rFonts w:ascii="Times New Roman" w:hAnsi="Times New Roman"/>
                <w:color w:val="000000"/>
                <w:sz w:val="24"/>
              </w:rPr>
              <w:t>3</w:t>
            </w:r>
            <w:r>
              <w:rPr>
                <w:rFonts w:hint="eastAsia" w:ascii="Times New Roman" w:hAnsi="Times New Roman"/>
                <w:color w:val="000000"/>
                <w:sz w:val="24"/>
              </w:rPr>
              <w:t>.9；</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r—参考点距X射线管靶点的距离m；</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B—透射因子，根据《工业X射线探伤室辐射屏蔽规范》（GBZ/T250-2014图B.1），取等效铅当量的对应值，本项目主射方向取常见厚度探伤工件等效铅当量1mmPb，根据《辐射防护手册》（第三分册，P63页可查取对应的等效铅当量）。</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根据上述分析，计算结果见下表：</w:t>
            </w:r>
          </w:p>
          <w:p>
            <w:pPr>
              <w:spacing w:line="360" w:lineRule="auto"/>
              <w:ind w:firstLine="482" w:firstLineChars="200"/>
              <w:jc w:val="center"/>
              <w:rPr>
                <w:rFonts w:ascii="Times New Roman" w:hAnsi="Times New Roman"/>
                <w:b/>
                <w:bCs/>
                <w:color w:val="000000"/>
                <w:sz w:val="24"/>
              </w:rPr>
            </w:pPr>
            <w:r>
              <w:rPr>
                <w:rFonts w:hint="eastAsia" w:ascii="Times New Roman" w:hAnsi="Times New Roman"/>
                <w:b/>
                <w:bCs/>
                <w:color w:val="000000"/>
                <w:sz w:val="24"/>
              </w:rPr>
              <w:t>表1</w:t>
            </w:r>
            <w:r>
              <w:rPr>
                <w:rFonts w:ascii="Times New Roman" w:hAnsi="Times New Roman"/>
                <w:b/>
                <w:bCs/>
                <w:color w:val="000000"/>
                <w:sz w:val="24"/>
              </w:rPr>
              <w:t xml:space="preserve">1-1  </w:t>
            </w:r>
            <w:r>
              <w:rPr>
                <w:rFonts w:hint="eastAsia" w:ascii="Times New Roman" w:hAnsi="Times New Roman"/>
                <w:b/>
                <w:bCs/>
                <w:color w:val="000000"/>
                <w:sz w:val="24"/>
              </w:rPr>
              <w:t>不同距离主射方向空气吸收剂量计算表（</w:t>
            </w:r>
            <w:r>
              <w:rPr>
                <w:rFonts w:ascii="Times New Roman" w:hAnsi="Times New Roman"/>
                <w:b/>
                <w:bCs/>
                <w:color w:val="000000"/>
                <w:sz w:val="24"/>
              </w:rPr>
              <w:t>μS</w:t>
            </w:r>
            <w:r>
              <w:rPr>
                <w:rFonts w:hint="eastAsia" w:ascii="Times New Roman" w:hAnsi="Times New Roman"/>
                <w:b/>
                <w:bCs/>
                <w:color w:val="000000"/>
                <w:sz w:val="24"/>
              </w:rPr>
              <w:t>v</w:t>
            </w:r>
            <w:r>
              <w:rPr>
                <w:rFonts w:ascii="Times New Roman" w:hAnsi="Times New Roman"/>
                <w:b/>
                <w:bCs/>
                <w:color w:val="000000"/>
                <w:sz w:val="24"/>
              </w:rPr>
              <w:t>/</w:t>
            </w:r>
            <w:r>
              <w:rPr>
                <w:rFonts w:hint="eastAsia" w:ascii="Times New Roman" w:hAnsi="Times New Roman"/>
                <w:b/>
                <w:bCs/>
                <w:color w:val="000000"/>
                <w:sz w:val="24"/>
              </w:rPr>
              <w:t>h）</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782"/>
              <w:gridCol w:w="1782"/>
              <w:gridCol w:w="1782"/>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vMerge w:val="restart"/>
                  <w:vAlign w:val="center"/>
                </w:tcPr>
                <w:p>
                  <w:pPr>
                    <w:spacing w:line="360" w:lineRule="auto"/>
                    <w:jc w:val="center"/>
                    <w:rPr>
                      <w:rFonts w:ascii="Times New Roman" w:hAnsi="Times New Roman"/>
                      <w:color w:val="000000"/>
                      <w:sz w:val="24"/>
                    </w:rPr>
                  </w:pPr>
                  <w:r>
                    <w:rPr>
                      <w:rFonts w:hint="eastAsia" w:ascii="Times New Roman" w:hAnsi="Times New Roman"/>
                      <w:color w:val="000000"/>
                      <w:sz w:val="24"/>
                    </w:rPr>
                    <w:t>距射线靶的距离（m）</w:t>
                  </w:r>
                </w:p>
              </w:tc>
              <w:tc>
                <w:tcPr>
                  <w:tcW w:w="3564" w:type="dxa"/>
                  <w:gridSpan w:val="2"/>
                  <w:vAlign w:val="center"/>
                </w:tcPr>
                <w:p>
                  <w:pPr>
                    <w:jc w:val="center"/>
                    <w:rPr>
                      <w:rFonts w:ascii="Times New Roman" w:hAnsi="Times New Roman"/>
                      <w:color w:val="000000"/>
                      <w:sz w:val="24"/>
                    </w:rPr>
                  </w:pPr>
                  <w:r>
                    <w:rPr>
                      <w:rFonts w:hint="eastAsia" w:ascii="Times New Roman" w:hAnsi="Times New Roman"/>
                      <w:color w:val="000000"/>
                      <w:sz w:val="24"/>
                    </w:rPr>
                    <w:t>X</w:t>
                  </w:r>
                  <w:r>
                    <w:rPr>
                      <w:rFonts w:ascii="Times New Roman" w:hAnsi="Times New Roman"/>
                      <w:color w:val="000000"/>
                      <w:sz w:val="24"/>
                    </w:rPr>
                    <w:t>T-3005</w:t>
                  </w:r>
                  <w:r>
                    <w:rPr>
                      <w:rFonts w:hint="eastAsia" w:ascii="Times New Roman" w:hAnsi="Times New Roman"/>
                      <w:color w:val="000000"/>
                      <w:sz w:val="24"/>
                    </w:rPr>
                    <w:t>和X</w:t>
                  </w:r>
                  <w:r>
                    <w:rPr>
                      <w:rFonts w:ascii="Times New Roman" w:hAnsi="Times New Roman"/>
                      <w:color w:val="000000"/>
                      <w:sz w:val="24"/>
                    </w:rPr>
                    <w:t>XG-3005</w:t>
                  </w:r>
                  <w:r>
                    <w:rPr>
                      <w:rFonts w:hint="eastAsia" w:ascii="Times New Roman" w:hAnsi="Times New Roman"/>
                      <w:color w:val="000000"/>
                      <w:sz w:val="24"/>
                    </w:rPr>
                    <w:t>型工业用X射线探伤机</w:t>
                  </w:r>
                </w:p>
              </w:tc>
              <w:tc>
                <w:tcPr>
                  <w:tcW w:w="3564" w:type="dxa"/>
                  <w:gridSpan w:val="2"/>
                  <w:vAlign w:val="center"/>
                </w:tcPr>
                <w:p>
                  <w:pPr>
                    <w:jc w:val="center"/>
                    <w:rPr>
                      <w:rFonts w:ascii="Times New Roman" w:hAnsi="Times New Roman"/>
                      <w:color w:val="000000"/>
                      <w:sz w:val="24"/>
                    </w:rPr>
                  </w:pPr>
                  <w:r>
                    <w:rPr>
                      <w:rFonts w:hint="eastAsia" w:ascii="Times New Roman" w:hAnsi="Times New Roman"/>
                      <w:color w:val="000000"/>
                      <w:sz w:val="24"/>
                    </w:rPr>
                    <w:t>X</w:t>
                  </w:r>
                  <w:r>
                    <w:rPr>
                      <w:rFonts w:ascii="Times New Roman" w:hAnsi="Times New Roman"/>
                      <w:color w:val="000000"/>
                      <w:sz w:val="24"/>
                    </w:rPr>
                    <w:t>XG-2505</w:t>
                  </w:r>
                  <w:r>
                    <w:rPr>
                      <w:rFonts w:hint="eastAsia" w:ascii="Times New Roman" w:hAnsi="Times New Roman"/>
                      <w:color w:val="000000"/>
                      <w:sz w:val="24"/>
                    </w:rPr>
                    <w:t>型工业用X射线探伤机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vMerge w:val="continue"/>
                  <w:vAlign w:val="center"/>
                </w:tcPr>
                <w:p>
                  <w:pPr>
                    <w:spacing w:line="360" w:lineRule="auto"/>
                    <w:jc w:val="center"/>
                    <w:rPr>
                      <w:rFonts w:ascii="Times New Roman" w:hAnsi="Times New Roman"/>
                      <w:color w:val="000000"/>
                      <w:sz w:val="24"/>
                    </w:rPr>
                  </w:pPr>
                </w:p>
              </w:tc>
              <w:tc>
                <w:tcPr>
                  <w:tcW w:w="1782" w:type="dxa"/>
                  <w:vAlign w:val="center"/>
                </w:tcPr>
                <w:p>
                  <w:pPr>
                    <w:jc w:val="center"/>
                    <w:rPr>
                      <w:rFonts w:ascii="Times New Roman" w:hAnsi="Times New Roman"/>
                      <w:color w:val="000000"/>
                      <w:sz w:val="24"/>
                    </w:rPr>
                  </w:pPr>
                  <w:r>
                    <w:rPr>
                      <w:rFonts w:hint="eastAsia" w:ascii="Times New Roman" w:hAnsi="Times New Roman"/>
                      <w:color w:val="000000"/>
                      <w:sz w:val="24"/>
                    </w:rPr>
                    <w:t>无铅屏风遮挡</w:t>
                  </w:r>
                </w:p>
              </w:tc>
              <w:tc>
                <w:tcPr>
                  <w:tcW w:w="1782" w:type="dxa"/>
                  <w:vAlign w:val="center"/>
                </w:tcPr>
                <w:p>
                  <w:pPr>
                    <w:jc w:val="center"/>
                    <w:rPr>
                      <w:rFonts w:ascii="Times New Roman" w:hAnsi="Times New Roman"/>
                      <w:color w:val="000000"/>
                      <w:sz w:val="24"/>
                    </w:rPr>
                  </w:pPr>
                  <w:r>
                    <w:rPr>
                      <w:rFonts w:hint="eastAsia" w:ascii="Times New Roman" w:hAnsi="Times New Roman"/>
                      <w:color w:val="000000"/>
                      <w:sz w:val="24"/>
                    </w:rPr>
                    <w:t>有铅屏风遮挡（5mmPb）</w:t>
                  </w:r>
                </w:p>
              </w:tc>
              <w:tc>
                <w:tcPr>
                  <w:tcW w:w="1782" w:type="dxa"/>
                  <w:vAlign w:val="center"/>
                </w:tcPr>
                <w:p>
                  <w:pPr>
                    <w:jc w:val="center"/>
                    <w:rPr>
                      <w:rFonts w:ascii="Times New Roman" w:hAnsi="Times New Roman"/>
                      <w:color w:val="000000"/>
                      <w:sz w:val="24"/>
                    </w:rPr>
                  </w:pPr>
                  <w:r>
                    <w:rPr>
                      <w:rFonts w:hint="eastAsia" w:ascii="Times New Roman" w:hAnsi="Times New Roman"/>
                      <w:color w:val="000000"/>
                      <w:sz w:val="24"/>
                    </w:rPr>
                    <w:t>无铅屏风遮挡</w:t>
                  </w:r>
                </w:p>
              </w:tc>
              <w:tc>
                <w:tcPr>
                  <w:tcW w:w="1782" w:type="dxa"/>
                  <w:vAlign w:val="center"/>
                </w:tcPr>
                <w:p>
                  <w:pPr>
                    <w:jc w:val="center"/>
                    <w:rPr>
                      <w:rFonts w:ascii="Times New Roman" w:hAnsi="Times New Roman"/>
                      <w:color w:val="000000"/>
                      <w:sz w:val="24"/>
                    </w:rPr>
                  </w:pPr>
                  <w:r>
                    <w:rPr>
                      <w:rFonts w:hint="eastAsia" w:ascii="Times New Roman" w:hAnsi="Times New Roman"/>
                      <w:color w:val="000000"/>
                      <w:sz w:val="24"/>
                    </w:rPr>
                    <w:t>有铅屏风遮挡（5mmPb）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5</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50160.00</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15048.00 </w:t>
                  </w:r>
                </w:p>
              </w:tc>
              <w:tc>
                <w:tcPr>
                  <w:tcW w:w="1782" w:type="dxa"/>
                </w:tcPr>
                <w:p>
                  <w:pPr>
                    <w:spacing w:line="360" w:lineRule="auto"/>
                    <w:jc w:val="center"/>
                    <w:rPr>
                      <w:rFonts w:ascii="Times New Roman" w:hAnsi="Times New Roman"/>
                      <w:color w:val="000000"/>
                      <w:szCs w:val="21"/>
                    </w:rPr>
                  </w:pPr>
                  <w:r>
                    <w:t xml:space="preserve">16680.00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667.20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10</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12540.00</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3762.00 </w:t>
                  </w:r>
                </w:p>
              </w:tc>
              <w:tc>
                <w:tcPr>
                  <w:tcW w:w="1782" w:type="dxa"/>
                </w:tcPr>
                <w:p>
                  <w:pPr>
                    <w:spacing w:line="360" w:lineRule="auto"/>
                    <w:jc w:val="center"/>
                    <w:rPr>
                      <w:rFonts w:ascii="Times New Roman" w:hAnsi="Times New Roman"/>
                      <w:color w:val="000000"/>
                      <w:szCs w:val="21"/>
                    </w:rPr>
                  </w:pPr>
                  <w:r>
                    <w:t xml:space="preserve">4170.00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166.80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11</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10363.64</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color w:val="000000"/>
                      <w:szCs w:val="21"/>
                    </w:rPr>
                    <w:t xml:space="preserve">3109.09 </w:t>
                  </w:r>
                </w:p>
              </w:tc>
              <w:tc>
                <w:tcPr>
                  <w:tcW w:w="1782" w:type="dxa"/>
                </w:tcPr>
                <w:p>
                  <w:pPr>
                    <w:spacing w:line="360" w:lineRule="auto"/>
                    <w:jc w:val="center"/>
                    <w:rPr>
                      <w:rFonts w:ascii="Times New Roman" w:hAnsi="Times New Roman"/>
                      <w:color w:val="000000"/>
                      <w:szCs w:val="21"/>
                    </w:rPr>
                  </w:pPr>
                  <w:r>
                    <w:t xml:space="preserve">3446.28 </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color w:val="000000"/>
                      <w:szCs w:val="21"/>
                    </w:rPr>
                    <w:t xml:space="preserve">137.85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20</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3135.00</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940.50 </w:t>
                  </w:r>
                </w:p>
              </w:tc>
              <w:tc>
                <w:tcPr>
                  <w:tcW w:w="1782" w:type="dxa"/>
                </w:tcPr>
                <w:p>
                  <w:pPr>
                    <w:spacing w:line="360" w:lineRule="auto"/>
                    <w:jc w:val="center"/>
                    <w:rPr>
                      <w:rFonts w:ascii="Times New Roman" w:hAnsi="Times New Roman"/>
                      <w:color w:val="000000"/>
                      <w:szCs w:val="21"/>
                    </w:rPr>
                  </w:pPr>
                  <w:r>
                    <w:t xml:space="preserve">1042.50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41.70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26</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1855.03</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color w:val="000000"/>
                      <w:szCs w:val="21"/>
                    </w:rPr>
                    <w:t xml:space="preserve">556.51 </w:t>
                  </w:r>
                </w:p>
              </w:tc>
              <w:tc>
                <w:tcPr>
                  <w:tcW w:w="1782" w:type="dxa"/>
                </w:tcPr>
                <w:p>
                  <w:pPr>
                    <w:spacing w:line="360" w:lineRule="auto"/>
                    <w:jc w:val="center"/>
                    <w:rPr>
                      <w:rFonts w:ascii="Times New Roman" w:hAnsi="Times New Roman"/>
                      <w:color w:val="000000"/>
                      <w:szCs w:val="21"/>
                      <w:highlight w:val="yellow"/>
                    </w:rPr>
                  </w:pPr>
                  <w:r>
                    <w:t xml:space="preserve">616.86 </w:t>
                  </w:r>
                </w:p>
              </w:tc>
              <w:tc>
                <w:tcPr>
                  <w:tcW w:w="1782" w:type="dxa"/>
                  <w:vAlign w:val="center"/>
                </w:tcPr>
                <w:p>
                  <w:pPr>
                    <w:spacing w:line="360" w:lineRule="auto"/>
                    <w:jc w:val="center"/>
                    <w:rPr>
                      <w:rFonts w:ascii="Times New Roman" w:hAnsi="Times New Roman"/>
                      <w:color w:val="000000"/>
                      <w:szCs w:val="21"/>
                      <w:highlight w:val="yellow"/>
                    </w:rPr>
                  </w:pPr>
                  <w:r>
                    <w:rPr>
                      <w:rFonts w:ascii="Times New Roman" w:hAnsi="Times New Roman"/>
                      <w:color w:val="000000"/>
                      <w:szCs w:val="21"/>
                    </w:rPr>
                    <w:t xml:space="preserve">24.67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27</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1720.16</w:t>
                  </w:r>
                </w:p>
              </w:tc>
              <w:tc>
                <w:tcPr>
                  <w:tcW w:w="1782" w:type="dxa"/>
                  <w:vAlign w:val="center"/>
                </w:tcPr>
                <w:p>
                  <w:pPr>
                    <w:spacing w:line="360" w:lineRule="auto"/>
                    <w:jc w:val="center"/>
                    <w:rPr>
                      <w:rFonts w:ascii="Times New Roman" w:hAnsi="Times New Roman"/>
                      <w:color w:val="000000"/>
                      <w:szCs w:val="21"/>
                      <w:highlight w:val="yellow"/>
                    </w:rPr>
                  </w:pPr>
                  <w:r>
                    <w:rPr>
                      <w:rFonts w:ascii="Times New Roman" w:hAnsi="Times New Roman"/>
                      <w:color w:val="000000"/>
                      <w:szCs w:val="21"/>
                    </w:rPr>
                    <w:t xml:space="preserve">516.05 </w:t>
                  </w:r>
                </w:p>
              </w:tc>
              <w:tc>
                <w:tcPr>
                  <w:tcW w:w="1782" w:type="dxa"/>
                </w:tcPr>
                <w:p>
                  <w:pPr>
                    <w:spacing w:line="360" w:lineRule="auto"/>
                    <w:jc w:val="center"/>
                    <w:rPr>
                      <w:rFonts w:ascii="Times New Roman" w:hAnsi="Times New Roman"/>
                      <w:color w:val="000000"/>
                      <w:szCs w:val="21"/>
                    </w:rPr>
                  </w:pPr>
                  <w:r>
                    <w:t xml:space="preserve">572.02 </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color w:val="000000"/>
                      <w:szCs w:val="21"/>
                    </w:rPr>
                    <w:t xml:space="preserve">22.88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30</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1393.33</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418.00 </w:t>
                  </w:r>
                </w:p>
              </w:tc>
              <w:tc>
                <w:tcPr>
                  <w:tcW w:w="1782" w:type="dxa"/>
                </w:tcPr>
                <w:p>
                  <w:pPr>
                    <w:spacing w:line="360" w:lineRule="auto"/>
                    <w:jc w:val="center"/>
                    <w:rPr>
                      <w:rFonts w:ascii="Times New Roman" w:hAnsi="Times New Roman"/>
                      <w:color w:val="000000"/>
                      <w:szCs w:val="21"/>
                    </w:rPr>
                  </w:pPr>
                  <w:r>
                    <w:t xml:space="preserve">463.33 </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b/>
                      <w:bCs/>
                      <w:color w:val="000000"/>
                      <w:szCs w:val="21"/>
                    </w:rPr>
                    <w:t>15.32</w:t>
                  </w:r>
                  <w:r>
                    <w:rPr>
                      <w:rFonts w:hint="eastAsia" w:ascii="Times New Roman" w:hAnsi="Times New Roman"/>
                      <w:b/>
                      <w:bCs/>
                      <w:color w:val="000000"/>
                      <w:szCs w:val="21"/>
                    </w:rPr>
                    <w:t>（监督区）</w:t>
                  </w:r>
                  <w:r>
                    <w:rPr>
                      <w:rFonts w:ascii="Times New Roman" w:hAnsi="Times New Roman"/>
                      <w:b/>
                      <w:bCs/>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50</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501.60</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150.48 </w:t>
                  </w:r>
                </w:p>
              </w:tc>
              <w:tc>
                <w:tcPr>
                  <w:tcW w:w="1782" w:type="dxa"/>
                </w:tcPr>
                <w:p>
                  <w:pPr>
                    <w:spacing w:line="360" w:lineRule="auto"/>
                    <w:jc w:val="center"/>
                    <w:rPr>
                      <w:rFonts w:ascii="Times New Roman" w:hAnsi="Times New Roman"/>
                      <w:color w:val="000000"/>
                      <w:szCs w:val="21"/>
                    </w:rPr>
                  </w:pPr>
                  <w:r>
                    <w:t xml:space="preserve">166.80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70</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255.92</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76.78 </w:t>
                  </w:r>
                </w:p>
              </w:tc>
              <w:tc>
                <w:tcPr>
                  <w:tcW w:w="1782" w:type="dxa"/>
                </w:tcPr>
                <w:p>
                  <w:pPr>
                    <w:spacing w:line="360" w:lineRule="auto"/>
                    <w:jc w:val="center"/>
                    <w:rPr>
                      <w:rFonts w:ascii="Times New Roman" w:hAnsi="Times New Roman"/>
                      <w:color w:val="000000"/>
                      <w:szCs w:val="21"/>
                    </w:rPr>
                  </w:pPr>
                  <w:r>
                    <w:t xml:space="preserve">85.10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81</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191.13</w:t>
                  </w:r>
                </w:p>
              </w:tc>
              <w:tc>
                <w:tcPr>
                  <w:tcW w:w="1782" w:type="dxa"/>
                  <w:vAlign w:val="center"/>
                </w:tcPr>
                <w:p>
                  <w:pPr>
                    <w:widowControl/>
                    <w:jc w:val="center"/>
                    <w:rPr>
                      <w:rFonts w:ascii="Times New Roman" w:hAnsi="Times New Roman"/>
                      <w:color w:val="000000"/>
                      <w:kern w:val="0"/>
                      <w:szCs w:val="21"/>
                    </w:rPr>
                  </w:pPr>
                  <w:r>
                    <w:rPr>
                      <w:rFonts w:ascii="Times New Roman" w:hAnsi="Times New Roman"/>
                      <w:color w:val="000000"/>
                      <w:szCs w:val="21"/>
                    </w:rPr>
                    <w:t xml:space="preserve">57.34 </w:t>
                  </w:r>
                </w:p>
              </w:tc>
              <w:tc>
                <w:tcPr>
                  <w:tcW w:w="1782" w:type="dxa"/>
                </w:tcPr>
                <w:p>
                  <w:pPr>
                    <w:spacing w:line="360" w:lineRule="auto"/>
                    <w:jc w:val="center"/>
                    <w:rPr>
                      <w:rFonts w:ascii="Times New Roman" w:hAnsi="Times New Roman"/>
                      <w:color w:val="000000"/>
                      <w:szCs w:val="21"/>
                    </w:rPr>
                  </w:pPr>
                  <w:r>
                    <w:t xml:space="preserve">63.56 </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b/>
                      <w:bCs/>
                      <w:color w:val="000000"/>
                      <w:szCs w:val="21"/>
                    </w:rPr>
                    <w:t>2.54</w:t>
                  </w:r>
                  <w:r>
                    <w:rPr>
                      <w:rFonts w:hint="eastAsia" w:ascii="Times New Roman" w:hAnsi="Times New Roman"/>
                      <w:b/>
                      <w:bCs/>
                      <w:color w:val="000000"/>
                      <w:szCs w:val="21"/>
                    </w:rPr>
                    <w:t>（监督区）</w:t>
                  </w:r>
                  <w:r>
                    <w:rPr>
                      <w:rFonts w:ascii="Times New Roman" w:hAnsi="Times New Roman"/>
                      <w:b/>
                      <w:bCs/>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tcPr>
                <w:p>
                  <w:pPr>
                    <w:spacing w:line="360" w:lineRule="auto"/>
                    <w:jc w:val="center"/>
                    <w:rPr>
                      <w:rFonts w:ascii="Times New Roman" w:hAnsi="Times New Roman"/>
                      <w:color w:val="000000"/>
                      <w:szCs w:val="21"/>
                    </w:rPr>
                  </w:pPr>
                  <w:r>
                    <w:rPr>
                      <w:rFonts w:ascii="Times New Roman" w:hAnsi="Times New Roman"/>
                      <w:color w:val="000000"/>
                      <w:szCs w:val="21"/>
                    </w:rPr>
                    <w:t>100</w:t>
                  </w:r>
                </w:p>
              </w:tc>
              <w:tc>
                <w:tcPr>
                  <w:tcW w:w="1782" w:type="dxa"/>
                  <w:vAlign w:val="center"/>
                </w:tcPr>
                <w:p>
                  <w:pPr>
                    <w:spacing w:line="360" w:lineRule="auto"/>
                    <w:jc w:val="center"/>
                    <w:rPr>
                      <w:rFonts w:ascii="Times New Roman" w:hAnsi="Times New Roman"/>
                      <w:szCs w:val="21"/>
                    </w:rPr>
                  </w:pPr>
                  <w:r>
                    <w:rPr>
                      <w:rFonts w:ascii="Times New Roman" w:hAnsi="Times New Roman"/>
                      <w:color w:val="000000"/>
                      <w:szCs w:val="21"/>
                    </w:rPr>
                    <w:t>125.40</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37.62 </w:t>
                  </w:r>
                </w:p>
              </w:tc>
              <w:tc>
                <w:tcPr>
                  <w:tcW w:w="1782" w:type="dxa"/>
                </w:tcPr>
                <w:p>
                  <w:pPr>
                    <w:spacing w:line="360" w:lineRule="auto"/>
                    <w:jc w:val="center"/>
                    <w:rPr>
                      <w:rFonts w:ascii="Times New Roman" w:hAnsi="Times New Roman"/>
                      <w:color w:val="000000"/>
                      <w:szCs w:val="21"/>
                    </w:rPr>
                  </w:pPr>
                  <w:r>
                    <w:t xml:space="preserve">41.70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1.67 </w:t>
                  </w:r>
                </w:p>
              </w:tc>
            </w:tr>
          </w:tbl>
          <w:p/>
          <w:p>
            <w:pPr>
              <w:spacing w:line="360" w:lineRule="auto"/>
              <w:ind w:firstLine="482" w:firstLineChars="200"/>
              <w:jc w:val="center"/>
              <w:rPr>
                <w:rFonts w:ascii="Times New Roman" w:hAnsi="Times New Roman"/>
                <w:b/>
                <w:bCs/>
                <w:color w:val="000000"/>
                <w:sz w:val="24"/>
              </w:rPr>
            </w:pPr>
            <w:r>
              <w:rPr>
                <w:rFonts w:hint="eastAsia" w:ascii="Times New Roman" w:hAnsi="Times New Roman"/>
                <w:b/>
                <w:bCs/>
                <w:color w:val="000000"/>
                <w:sz w:val="24"/>
              </w:rPr>
              <w:t>续表1</w:t>
            </w:r>
            <w:r>
              <w:rPr>
                <w:rFonts w:ascii="Times New Roman" w:hAnsi="Times New Roman"/>
                <w:b/>
                <w:bCs/>
                <w:color w:val="000000"/>
                <w:sz w:val="24"/>
              </w:rPr>
              <w:t>1-1</w:t>
            </w:r>
            <w:r>
              <w:rPr>
                <w:rFonts w:hint="eastAsia" w:ascii="Times New Roman" w:hAnsi="Times New Roman"/>
                <w:b/>
                <w:bCs/>
                <w:color w:val="000000"/>
                <w:sz w:val="24"/>
              </w:rPr>
              <w:t>不同距离主射方向空气吸收剂量计算表（</w:t>
            </w:r>
            <w:r>
              <w:rPr>
                <w:rFonts w:ascii="Times New Roman" w:hAnsi="Times New Roman"/>
                <w:b/>
                <w:bCs/>
                <w:color w:val="000000"/>
                <w:sz w:val="24"/>
              </w:rPr>
              <w:t>μS</w:t>
            </w:r>
            <w:r>
              <w:rPr>
                <w:rFonts w:hint="eastAsia" w:ascii="Times New Roman" w:hAnsi="Times New Roman"/>
                <w:b/>
                <w:bCs/>
                <w:color w:val="000000"/>
                <w:sz w:val="24"/>
              </w:rPr>
              <w:t>v</w:t>
            </w:r>
            <w:r>
              <w:rPr>
                <w:rFonts w:ascii="Times New Roman" w:hAnsi="Times New Roman"/>
                <w:b/>
                <w:bCs/>
                <w:color w:val="000000"/>
                <w:sz w:val="24"/>
              </w:rPr>
              <w:t>/</w:t>
            </w:r>
            <w:r>
              <w:rPr>
                <w:rFonts w:hint="eastAsia" w:ascii="Times New Roman" w:hAnsi="Times New Roman"/>
                <w:b/>
                <w:bCs/>
                <w:color w:val="000000"/>
                <w:sz w:val="24"/>
              </w:rPr>
              <w:t>h）</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782"/>
              <w:gridCol w:w="1782"/>
              <w:gridCol w:w="1782"/>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vMerge w:val="restart"/>
                  <w:vAlign w:val="center"/>
                </w:tcPr>
                <w:p>
                  <w:pPr>
                    <w:jc w:val="center"/>
                    <w:rPr>
                      <w:rFonts w:ascii="Times New Roman" w:hAnsi="Times New Roman"/>
                      <w:color w:val="000000"/>
                      <w:szCs w:val="21"/>
                    </w:rPr>
                  </w:pPr>
                  <w:r>
                    <w:rPr>
                      <w:rFonts w:hint="eastAsia" w:ascii="Times New Roman" w:hAnsi="Times New Roman"/>
                      <w:color w:val="000000"/>
                      <w:sz w:val="24"/>
                    </w:rPr>
                    <w:t>距射线靶的距离（m）</w:t>
                  </w:r>
                </w:p>
              </w:tc>
              <w:tc>
                <w:tcPr>
                  <w:tcW w:w="3564" w:type="dxa"/>
                  <w:gridSpan w:val="2"/>
                  <w:vAlign w:val="center"/>
                </w:tcPr>
                <w:p>
                  <w:pPr>
                    <w:jc w:val="center"/>
                    <w:rPr>
                      <w:rFonts w:ascii="Times New Roman" w:hAnsi="Times New Roman"/>
                      <w:color w:val="000000"/>
                      <w:szCs w:val="21"/>
                    </w:rPr>
                  </w:pPr>
                  <w:r>
                    <w:rPr>
                      <w:rFonts w:hint="eastAsia" w:ascii="Times New Roman" w:hAnsi="Times New Roman"/>
                      <w:color w:val="000000"/>
                      <w:sz w:val="24"/>
                    </w:rPr>
                    <w:t>X</w:t>
                  </w:r>
                  <w:r>
                    <w:rPr>
                      <w:rFonts w:ascii="Times New Roman" w:hAnsi="Times New Roman"/>
                      <w:color w:val="000000"/>
                      <w:sz w:val="24"/>
                    </w:rPr>
                    <w:t>T-3005</w:t>
                  </w:r>
                  <w:r>
                    <w:rPr>
                      <w:rFonts w:hint="eastAsia" w:ascii="Times New Roman" w:hAnsi="Times New Roman"/>
                      <w:color w:val="000000"/>
                      <w:sz w:val="24"/>
                    </w:rPr>
                    <w:t>和X</w:t>
                  </w:r>
                  <w:r>
                    <w:rPr>
                      <w:rFonts w:ascii="Times New Roman" w:hAnsi="Times New Roman"/>
                      <w:color w:val="000000"/>
                      <w:sz w:val="24"/>
                    </w:rPr>
                    <w:t>XG-3005</w:t>
                  </w:r>
                  <w:r>
                    <w:rPr>
                      <w:rFonts w:hint="eastAsia" w:ascii="Times New Roman" w:hAnsi="Times New Roman"/>
                      <w:color w:val="000000"/>
                      <w:sz w:val="24"/>
                    </w:rPr>
                    <w:t>型工业用X射线探伤机</w:t>
                  </w:r>
                </w:p>
              </w:tc>
              <w:tc>
                <w:tcPr>
                  <w:tcW w:w="3564" w:type="dxa"/>
                  <w:gridSpan w:val="2"/>
                  <w:vAlign w:val="center"/>
                </w:tcPr>
                <w:p>
                  <w:pPr>
                    <w:jc w:val="center"/>
                    <w:rPr>
                      <w:rFonts w:ascii="Times New Roman" w:hAnsi="Times New Roman"/>
                      <w:color w:val="000000"/>
                      <w:szCs w:val="21"/>
                    </w:rPr>
                  </w:pPr>
                  <w:r>
                    <w:rPr>
                      <w:rFonts w:hint="eastAsia" w:ascii="Times New Roman" w:hAnsi="Times New Roman"/>
                      <w:color w:val="000000"/>
                      <w:sz w:val="24"/>
                    </w:rPr>
                    <w:t>X</w:t>
                  </w:r>
                  <w:r>
                    <w:rPr>
                      <w:rFonts w:ascii="Times New Roman" w:hAnsi="Times New Roman"/>
                      <w:color w:val="000000"/>
                      <w:sz w:val="24"/>
                    </w:rPr>
                    <w:t>XG-2505</w:t>
                  </w:r>
                  <w:r>
                    <w:rPr>
                      <w:rFonts w:hint="eastAsia" w:ascii="Times New Roman" w:hAnsi="Times New Roman"/>
                      <w:color w:val="000000"/>
                      <w:sz w:val="24"/>
                    </w:rPr>
                    <w:t>型工业用X射线探伤机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1" w:type="dxa"/>
                  <w:vMerge w:val="continue"/>
                  <w:vAlign w:val="center"/>
                </w:tcPr>
                <w:p>
                  <w:pPr>
                    <w:jc w:val="center"/>
                    <w:rPr>
                      <w:rFonts w:ascii="Times New Roman" w:hAnsi="Times New Roman"/>
                      <w:color w:val="000000"/>
                      <w:szCs w:val="21"/>
                    </w:rPr>
                  </w:pPr>
                </w:p>
              </w:tc>
              <w:tc>
                <w:tcPr>
                  <w:tcW w:w="1782" w:type="dxa"/>
                  <w:vAlign w:val="center"/>
                </w:tcPr>
                <w:p>
                  <w:pPr>
                    <w:jc w:val="center"/>
                    <w:rPr>
                      <w:rFonts w:ascii="Times New Roman" w:hAnsi="Times New Roman"/>
                      <w:color w:val="000000"/>
                      <w:szCs w:val="21"/>
                    </w:rPr>
                  </w:pPr>
                  <w:r>
                    <w:rPr>
                      <w:rFonts w:hint="eastAsia" w:ascii="Times New Roman" w:hAnsi="Times New Roman"/>
                      <w:color w:val="000000"/>
                      <w:sz w:val="24"/>
                    </w:rPr>
                    <w:t>无铅屏风遮挡</w:t>
                  </w:r>
                </w:p>
              </w:tc>
              <w:tc>
                <w:tcPr>
                  <w:tcW w:w="1782" w:type="dxa"/>
                  <w:vAlign w:val="center"/>
                </w:tcPr>
                <w:p>
                  <w:pPr>
                    <w:jc w:val="center"/>
                    <w:rPr>
                      <w:rFonts w:ascii="Times New Roman" w:hAnsi="Times New Roman"/>
                      <w:color w:val="000000"/>
                      <w:szCs w:val="21"/>
                    </w:rPr>
                  </w:pPr>
                  <w:r>
                    <w:rPr>
                      <w:rFonts w:hint="eastAsia" w:ascii="Times New Roman" w:hAnsi="Times New Roman"/>
                      <w:color w:val="000000"/>
                      <w:sz w:val="24"/>
                    </w:rPr>
                    <w:t>有铅屏风遮挡（5mmPb）</w:t>
                  </w:r>
                </w:p>
              </w:tc>
              <w:tc>
                <w:tcPr>
                  <w:tcW w:w="1782" w:type="dxa"/>
                  <w:vAlign w:val="center"/>
                </w:tcPr>
                <w:p>
                  <w:pPr>
                    <w:jc w:val="center"/>
                    <w:rPr>
                      <w:rFonts w:ascii="Times New Roman" w:hAnsi="Times New Roman"/>
                      <w:color w:val="000000"/>
                      <w:szCs w:val="21"/>
                    </w:rPr>
                  </w:pPr>
                  <w:r>
                    <w:rPr>
                      <w:rFonts w:hint="eastAsia" w:ascii="Times New Roman" w:hAnsi="Times New Roman"/>
                      <w:color w:val="000000"/>
                      <w:sz w:val="24"/>
                    </w:rPr>
                    <w:t>无铅屏风遮挡</w:t>
                  </w:r>
                </w:p>
              </w:tc>
              <w:tc>
                <w:tcPr>
                  <w:tcW w:w="1782" w:type="dxa"/>
                  <w:vAlign w:val="center"/>
                </w:tcPr>
                <w:p>
                  <w:pPr>
                    <w:jc w:val="center"/>
                    <w:rPr>
                      <w:rFonts w:ascii="Times New Roman" w:hAnsi="Times New Roman"/>
                      <w:color w:val="000000"/>
                      <w:szCs w:val="21"/>
                    </w:rPr>
                  </w:pPr>
                  <w:r>
                    <w:rPr>
                      <w:rFonts w:hint="eastAsia" w:ascii="Times New Roman" w:hAnsi="Times New Roman"/>
                      <w:color w:val="000000"/>
                      <w:sz w:val="24"/>
                    </w:rPr>
                    <w:t>有铅屏风遮挡（5mmPb）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155</w:t>
                  </w:r>
                </w:p>
              </w:tc>
              <w:tc>
                <w:tcPr>
                  <w:tcW w:w="1782" w:type="dxa"/>
                  <w:vAlign w:val="center"/>
                </w:tcPr>
                <w:p>
                  <w:pPr>
                    <w:widowControl/>
                    <w:jc w:val="center"/>
                    <w:rPr>
                      <w:rFonts w:ascii="Times New Roman" w:hAnsi="Times New Roman"/>
                      <w:color w:val="000000"/>
                      <w:kern w:val="0"/>
                      <w:szCs w:val="21"/>
                    </w:rPr>
                  </w:pPr>
                  <w:r>
                    <w:rPr>
                      <w:rFonts w:ascii="Times New Roman" w:hAnsi="Times New Roman"/>
                      <w:color w:val="000000"/>
                      <w:szCs w:val="21"/>
                    </w:rPr>
                    <w:t xml:space="preserve">49.60 </w:t>
                  </w:r>
                </w:p>
              </w:tc>
              <w:tc>
                <w:tcPr>
                  <w:tcW w:w="1782" w:type="dxa"/>
                  <w:vAlign w:val="center"/>
                </w:tcPr>
                <w:p>
                  <w:pPr>
                    <w:widowControl/>
                    <w:jc w:val="center"/>
                    <w:rPr>
                      <w:rFonts w:ascii="Times New Roman" w:hAnsi="Times New Roman"/>
                      <w:color w:val="000000"/>
                      <w:kern w:val="0"/>
                      <w:szCs w:val="21"/>
                    </w:rPr>
                  </w:pPr>
                  <w:r>
                    <w:rPr>
                      <w:rFonts w:ascii="Times New Roman" w:hAnsi="Times New Roman"/>
                      <w:b/>
                      <w:bCs/>
                      <w:color w:val="000000"/>
                      <w:szCs w:val="21"/>
                    </w:rPr>
                    <w:t>14.88</w:t>
                  </w:r>
                  <w:r>
                    <w:rPr>
                      <w:rFonts w:hint="eastAsia" w:ascii="Times New Roman" w:hAnsi="Times New Roman"/>
                      <w:b/>
                      <w:bCs/>
                      <w:color w:val="000000"/>
                      <w:szCs w:val="21"/>
                    </w:rPr>
                    <w:t>（控制区）</w:t>
                  </w:r>
                  <w:r>
                    <w:rPr>
                      <w:rFonts w:ascii="Times New Roman" w:hAnsi="Times New Roman"/>
                      <w:b/>
                      <w:bCs/>
                      <w:color w:val="000000"/>
                      <w:szCs w:val="21"/>
                    </w:rPr>
                    <w:t xml:space="preserve"> </w:t>
                  </w:r>
                </w:p>
              </w:tc>
              <w:tc>
                <w:tcPr>
                  <w:tcW w:w="1782" w:type="dxa"/>
                  <w:vAlign w:val="center"/>
                </w:tcPr>
                <w:p>
                  <w:pPr>
                    <w:widowControl/>
                    <w:jc w:val="center"/>
                    <w:rPr>
                      <w:rFonts w:ascii="Times New Roman" w:hAnsi="Times New Roman"/>
                      <w:b/>
                      <w:bCs/>
                      <w:color w:val="000000"/>
                      <w:kern w:val="0"/>
                      <w:szCs w:val="21"/>
                    </w:rPr>
                  </w:pPr>
                  <w:r>
                    <w:rPr>
                      <w:rFonts w:ascii="Times New Roman" w:hAnsi="Times New Roman"/>
                      <w:color w:val="000000"/>
                      <w:szCs w:val="21"/>
                    </w:rPr>
                    <w:t xml:space="preserve">16.49 </w:t>
                  </w:r>
                </w:p>
              </w:tc>
              <w:tc>
                <w:tcPr>
                  <w:tcW w:w="1782" w:type="dxa"/>
                  <w:vAlign w:val="center"/>
                </w:tcPr>
                <w:p>
                  <w:pPr>
                    <w:widowControl/>
                    <w:jc w:val="center"/>
                    <w:rPr>
                      <w:rFonts w:ascii="Times New Roman" w:hAnsi="Times New Roman"/>
                      <w:color w:val="000000"/>
                      <w:kern w:val="0"/>
                      <w:szCs w:val="21"/>
                    </w:rPr>
                  </w:pPr>
                  <w:r>
                    <w:rPr>
                      <w:rFonts w:ascii="Times New Roman" w:hAnsi="Times New Roman"/>
                      <w:color w:val="000000"/>
                      <w:szCs w:val="21"/>
                    </w:rPr>
                    <w:t xml:space="preserve">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167</w:t>
                  </w:r>
                </w:p>
              </w:tc>
              <w:tc>
                <w:tcPr>
                  <w:tcW w:w="1782" w:type="dxa"/>
                  <w:vAlign w:val="center"/>
                </w:tcPr>
                <w:p>
                  <w:pPr>
                    <w:widowControl/>
                    <w:jc w:val="center"/>
                    <w:rPr>
                      <w:rFonts w:ascii="Times New Roman" w:hAnsi="Times New Roman"/>
                      <w:color w:val="000000"/>
                      <w:kern w:val="0"/>
                      <w:szCs w:val="21"/>
                    </w:rPr>
                  </w:pPr>
                  <w:r>
                    <w:rPr>
                      <w:rFonts w:ascii="Times New Roman" w:hAnsi="Times New Roman"/>
                      <w:color w:val="000000"/>
                      <w:szCs w:val="21"/>
                    </w:rPr>
                    <w:t xml:space="preserve">44.96 </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color w:val="000000"/>
                      <w:szCs w:val="21"/>
                    </w:rPr>
                    <w:t xml:space="preserve">13.49 </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b/>
                      <w:bCs/>
                      <w:color w:val="000000"/>
                      <w:szCs w:val="21"/>
                    </w:rPr>
                    <w:t>14.95</w:t>
                  </w:r>
                  <w:r>
                    <w:rPr>
                      <w:rFonts w:hint="eastAsia" w:ascii="Times New Roman" w:hAnsi="Times New Roman"/>
                      <w:b/>
                      <w:bCs/>
                      <w:color w:val="000000"/>
                      <w:szCs w:val="21"/>
                    </w:rPr>
                    <w:t>（控制区）</w:t>
                  </w:r>
                  <w:r>
                    <w:rPr>
                      <w:rFonts w:ascii="Times New Roman" w:hAnsi="Times New Roman"/>
                      <w:b/>
                      <w:bCs/>
                      <w:color w:val="000000"/>
                      <w:szCs w:val="21"/>
                    </w:rPr>
                    <w:t xml:space="preserve">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200</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31.35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9.41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10.43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290</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b/>
                      <w:bCs/>
                      <w:color w:val="000000"/>
                      <w:szCs w:val="21"/>
                    </w:rPr>
                    <w:t>14.91</w:t>
                  </w:r>
                  <w:r>
                    <w:rPr>
                      <w:rFonts w:hint="eastAsia" w:ascii="Times New Roman" w:hAnsi="Times New Roman"/>
                      <w:b/>
                      <w:bCs/>
                      <w:color w:val="000000"/>
                      <w:szCs w:val="21"/>
                    </w:rPr>
                    <w:t>（控制区）</w:t>
                  </w:r>
                  <w:r>
                    <w:rPr>
                      <w:rFonts w:ascii="Times New Roman" w:hAnsi="Times New Roman"/>
                      <w:b/>
                      <w:bCs/>
                      <w:color w:val="000000"/>
                      <w:szCs w:val="21"/>
                    </w:rPr>
                    <w:t xml:space="preserve">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4.47 </w:t>
                  </w:r>
                </w:p>
              </w:tc>
              <w:tc>
                <w:tcPr>
                  <w:tcW w:w="1782" w:type="dxa"/>
                  <w:vAlign w:val="center"/>
                </w:tcPr>
                <w:p>
                  <w:pPr>
                    <w:spacing w:line="360" w:lineRule="auto"/>
                    <w:jc w:val="center"/>
                    <w:rPr>
                      <w:rFonts w:ascii="Times New Roman" w:hAnsi="Times New Roman"/>
                      <w:color w:val="000000"/>
                      <w:szCs w:val="21"/>
                      <w:highlight w:val="yellow"/>
                    </w:rPr>
                  </w:pPr>
                  <w:r>
                    <w:rPr>
                      <w:rFonts w:ascii="Times New Roman" w:hAnsi="Times New Roman"/>
                      <w:color w:val="000000"/>
                      <w:szCs w:val="21"/>
                    </w:rPr>
                    <w:t xml:space="preserve">4.96 </w:t>
                  </w:r>
                </w:p>
              </w:tc>
              <w:tc>
                <w:tcPr>
                  <w:tcW w:w="1782" w:type="dxa"/>
                  <w:vAlign w:val="center"/>
                </w:tcPr>
                <w:p>
                  <w:pPr>
                    <w:spacing w:line="360" w:lineRule="auto"/>
                    <w:jc w:val="center"/>
                    <w:rPr>
                      <w:rFonts w:ascii="Times New Roman" w:hAnsi="Times New Roman"/>
                      <w:color w:val="000000"/>
                      <w:szCs w:val="21"/>
                      <w:highlight w:val="yellow"/>
                    </w:rPr>
                  </w:pPr>
                  <w:r>
                    <w:rPr>
                      <w:rFonts w:ascii="Times New Roman" w:hAnsi="Times New Roman"/>
                      <w:color w:val="000000"/>
                      <w:szCs w:val="21"/>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400</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7.84 </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b/>
                      <w:bCs/>
                      <w:color w:val="000000"/>
                      <w:szCs w:val="21"/>
                    </w:rPr>
                    <w:t>2.35</w:t>
                  </w:r>
                  <w:r>
                    <w:rPr>
                      <w:rFonts w:hint="eastAsia" w:ascii="Times New Roman" w:hAnsi="Times New Roman"/>
                      <w:b/>
                      <w:bCs/>
                      <w:color w:val="000000"/>
                      <w:szCs w:val="21"/>
                    </w:rPr>
                    <w:t>（监督区）</w:t>
                  </w:r>
                  <w:r>
                    <w:rPr>
                      <w:rFonts w:ascii="Times New Roman" w:hAnsi="Times New Roman"/>
                      <w:b/>
                      <w:bCs/>
                      <w:color w:val="000000"/>
                      <w:szCs w:val="21"/>
                    </w:rPr>
                    <w:t xml:space="preserve"> </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b/>
                      <w:bCs/>
                      <w:color w:val="000000"/>
                      <w:szCs w:val="21"/>
                    </w:rPr>
                    <w:t>2.49</w:t>
                  </w:r>
                  <w:r>
                    <w:rPr>
                      <w:rFonts w:hint="eastAsia" w:ascii="Times New Roman" w:hAnsi="Times New Roman"/>
                      <w:b/>
                      <w:bCs/>
                      <w:color w:val="000000"/>
                      <w:szCs w:val="21"/>
                    </w:rPr>
                    <w:t>（监督区）</w:t>
                  </w:r>
                  <w:r>
                    <w:rPr>
                      <w:rFonts w:ascii="Times New Roman" w:hAnsi="Times New Roman"/>
                      <w:b/>
                      <w:bCs/>
                      <w:color w:val="000000"/>
                      <w:szCs w:val="21"/>
                    </w:rPr>
                    <w:t xml:space="preserve">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700</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2.56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0.77 </w:t>
                  </w:r>
                </w:p>
              </w:tc>
              <w:tc>
                <w:tcPr>
                  <w:tcW w:w="1782" w:type="dxa"/>
                  <w:vAlign w:val="center"/>
                </w:tcPr>
                <w:p>
                  <w:pPr>
                    <w:spacing w:line="360" w:lineRule="auto"/>
                    <w:jc w:val="center"/>
                    <w:rPr>
                      <w:rFonts w:ascii="Times New Roman" w:hAnsi="Times New Roman"/>
                      <w:color w:val="000000"/>
                      <w:szCs w:val="21"/>
                      <w:highlight w:val="yellow"/>
                    </w:rPr>
                  </w:pPr>
                  <w:r>
                    <w:rPr>
                      <w:rFonts w:ascii="Times New Roman" w:hAnsi="Times New Roman"/>
                      <w:color w:val="000000"/>
                      <w:szCs w:val="21"/>
                    </w:rPr>
                    <w:t xml:space="preserve">0.85 </w:t>
                  </w:r>
                </w:p>
              </w:tc>
              <w:tc>
                <w:tcPr>
                  <w:tcW w:w="1782" w:type="dxa"/>
                  <w:vAlign w:val="center"/>
                </w:tcPr>
                <w:p>
                  <w:pPr>
                    <w:spacing w:line="360" w:lineRule="auto"/>
                    <w:jc w:val="center"/>
                    <w:rPr>
                      <w:rFonts w:ascii="Times New Roman" w:hAnsi="Times New Roman"/>
                      <w:color w:val="000000"/>
                      <w:szCs w:val="21"/>
                      <w:highlight w:val="yellow"/>
                    </w:rPr>
                  </w:pPr>
                  <w:r>
                    <w:rPr>
                      <w:rFonts w:ascii="Times New Roman" w:hAnsi="Times New Roman"/>
                      <w:color w:val="000000"/>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781"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708</w:t>
                  </w:r>
                </w:p>
              </w:tc>
              <w:tc>
                <w:tcPr>
                  <w:tcW w:w="1782" w:type="dxa"/>
                  <w:vAlign w:val="center"/>
                </w:tcPr>
                <w:p>
                  <w:pPr>
                    <w:spacing w:line="360" w:lineRule="auto"/>
                    <w:jc w:val="center"/>
                    <w:rPr>
                      <w:rFonts w:ascii="Times New Roman" w:hAnsi="Times New Roman"/>
                      <w:b/>
                      <w:bCs/>
                      <w:color w:val="000000"/>
                      <w:szCs w:val="21"/>
                    </w:rPr>
                  </w:pPr>
                  <w:r>
                    <w:rPr>
                      <w:rFonts w:ascii="Times New Roman" w:hAnsi="Times New Roman"/>
                      <w:b/>
                      <w:bCs/>
                      <w:color w:val="000000"/>
                      <w:szCs w:val="21"/>
                    </w:rPr>
                    <w:t>2.50</w:t>
                  </w:r>
                  <w:r>
                    <w:rPr>
                      <w:rFonts w:hint="eastAsia" w:ascii="Times New Roman" w:hAnsi="Times New Roman"/>
                      <w:b/>
                      <w:bCs/>
                      <w:color w:val="000000"/>
                      <w:szCs w:val="21"/>
                    </w:rPr>
                    <w:t>（监督区）</w:t>
                  </w:r>
                  <w:r>
                    <w:rPr>
                      <w:rFonts w:ascii="Times New Roman" w:hAnsi="Times New Roman"/>
                      <w:b/>
                      <w:bCs/>
                      <w:color w:val="000000"/>
                      <w:szCs w:val="21"/>
                    </w:rPr>
                    <w:t xml:space="preserve">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0.75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0.83 </w:t>
                  </w:r>
                </w:p>
              </w:tc>
              <w:tc>
                <w:tcPr>
                  <w:tcW w:w="1782" w:type="dxa"/>
                  <w:vAlign w:val="center"/>
                </w:tcPr>
                <w:p>
                  <w:pPr>
                    <w:spacing w:line="360" w:lineRule="auto"/>
                    <w:jc w:val="center"/>
                    <w:rPr>
                      <w:rFonts w:ascii="Times New Roman" w:hAnsi="Times New Roman"/>
                      <w:color w:val="000000"/>
                      <w:szCs w:val="21"/>
                    </w:rPr>
                  </w:pPr>
                  <w:r>
                    <w:rPr>
                      <w:rFonts w:ascii="Times New Roman" w:hAnsi="Times New Roman"/>
                      <w:color w:val="000000"/>
                      <w:szCs w:val="21"/>
                    </w:rPr>
                    <w:t xml:space="preserve">0.03 </w:t>
                  </w:r>
                </w:p>
              </w:tc>
            </w:tr>
          </w:tbl>
          <w:p>
            <w:pPr>
              <w:spacing w:line="360" w:lineRule="auto"/>
              <w:rPr>
                <w:rFonts w:ascii="Times New Roman" w:hAnsi="Times New Roman"/>
                <w:b/>
                <w:bCs/>
                <w:sz w:val="24"/>
              </w:rPr>
            </w:pPr>
            <w:r>
              <w:rPr>
                <w:rFonts w:hint="eastAsia" w:ascii="Times New Roman" w:hAnsi="Times New Roman"/>
                <w:b/>
                <w:bCs/>
                <w:sz w:val="24"/>
              </w:rPr>
              <w:t>（2）漏射线（非主射方向）</w:t>
            </w:r>
          </w:p>
          <w:p>
            <w:pPr>
              <w:spacing w:line="360" w:lineRule="auto"/>
              <w:ind w:firstLine="480" w:firstLineChars="200"/>
              <w:rPr>
                <w:rFonts w:ascii="Times New Roman" w:hAnsi="Times New Roman"/>
                <w:sz w:val="24"/>
              </w:rPr>
            </w:pPr>
            <w:r>
              <w:rPr>
                <w:rFonts w:hint="eastAsia" w:ascii="Times New Roman" w:hAnsi="Times New Roman"/>
                <w:sz w:val="24"/>
              </w:rPr>
              <w:t>根据《工业探伤放射防护标准》（GBZ117-20</w:t>
            </w:r>
            <w:r>
              <w:rPr>
                <w:rFonts w:ascii="Times New Roman" w:hAnsi="Times New Roman"/>
                <w:sz w:val="24"/>
              </w:rPr>
              <w:t>22</w:t>
            </w:r>
            <w:r>
              <w:rPr>
                <w:rFonts w:hint="eastAsia" w:ascii="Times New Roman" w:hAnsi="Times New Roman"/>
                <w:sz w:val="24"/>
              </w:rPr>
              <w:t>）标准中规定：当X射线探伤机的管电压150≤kV≤200kV时，漏射线1m处的比释动能率为2.5×10</w:t>
            </w:r>
            <w:r>
              <w:rPr>
                <w:rFonts w:hint="eastAsia" w:ascii="Times New Roman" w:hAnsi="Times New Roman"/>
                <w:sz w:val="24"/>
                <w:vertAlign w:val="superscript"/>
              </w:rPr>
              <w:t>3</w:t>
            </w:r>
            <w:r>
              <w:rPr>
                <w:rFonts w:ascii="Times New Roman" w:hAnsi="Times New Roman"/>
                <w:sz w:val="24"/>
              </w:rPr>
              <w:t>μ</w:t>
            </w:r>
            <w:r>
              <w:rPr>
                <w:rFonts w:hint="eastAsia" w:ascii="Times New Roman" w:hAnsi="Times New Roman"/>
                <w:sz w:val="24"/>
              </w:rPr>
              <w:t>Sv/h，当X射线探伤机的管电压kV＞200kV时，漏射线1m处的比释动能率为5×10</w:t>
            </w:r>
            <w:r>
              <w:rPr>
                <w:rFonts w:hint="eastAsia" w:ascii="Times New Roman" w:hAnsi="Times New Roman"/>
                <w:sz w:val="24"/>
                <w:vertAlign w:val="superscript"/>
              </w:rPr>
              <w:t>3</w:t>
            </w:r>
            <w:r>
              <w:rPr>
                <w:rFonts w:ascii="Times New Roman" w:hAnsi="Times New Roman"/>
                <w:sz w:val="24"/>
              </w:rPr>
              <w:t>μ</w:t>
            </w:r>
            <w:r>
              <w:rPr>
                <w:rFonts w:hint="eastAsia" w:ascii="Times New Roman" w:hAnsi="Times New Roman"/>
                <w:sz w:val="24"/>
              </w:rPr>
              <w:t>Sv/h，根据</w:t>
            </w:r>
          </w:p>
          <w:p>
            <w:pPr>
              <w:spacing w:line="360" w:lineRule="auto"/>
              <w:ind w:right="420" w:rightChars="200" w:firstLine="480" w:firstLineChars="200"/>
              <w:jc w:val="right"/>
              <w:rPr>
                <w:rFonts w:ascii="Times New Roman" w:hAnsi="Times New Roman"/>
                <w:bCs/>
                <w:color w:val="000000"/>
                <w:sz w:val="24"/>
                <w:szCs w:val="24"/>
              </w:rPr>
            </w:pPr>
            <w:r>
              <w:rPr>
                <w:rFonts w:ascii="Times New Roman" w:hAnsi="Times New Roman"/>
                <w:sz w:val="24"/>
              </w:rPr>
              <w:fldChar w:fldCharType="begin"/>
            </w:r>
            <w:r>
              <w:rPr>
                <w:rFonts w:ascii="Times New Roman" w:hAnsi="Times New Roman"/>
                <w:sz w:val="24"/>
              </w:rPr>
              <w:instrText xml:space="preserve">EQ \* jc2 \* hps12 \o\ad(\s\up 11(</w:instrText>
            </w:r>
            <w:r>
              <w:rPr>
                <w:rFonts w:ascii="Times New Roman" w:hAnsi="Times New Roman"/>
                <w:sz w:val="12"/>
              </w:rPr>
              <w:instrText xml:space="preserve">·</w:instrText>
            </w:r>
            <w:r>
              <w:rPr>
                <w:rFonts w:ascii="Times New Roman" w:hAnsi="Times New Roman"/>
                <w:sz w:val="24"/>
              </w:rPr>
              <w:instrText xml:space="preserve">),H)</w:instrText>
            </w:r>
            <w:r>
              <w:rPr>
                <w:rFonts w:ascii="Times New Roman" w:hAnsi="Times New Roman"/>
                <w:sz w:val="24"/>
              </w:rPr>
              <w:fldChar w:fldCharType="end"/>
            </w:r>
            <w:r>
              <w:rPr>
                <w:rFonts w:ascii="Times New Roman" w:hAnsi="Times New Roman" w:eastAsia="Cambria Math"/>
                <w:color w:val="000000"/>
                <w:sz w:val="24"/>
                <w:szCs w:val="24"/>
              </w:rPr>
              <w:t>=</w:t>
            </w:r>
            <w:r>
              <w:rPr>
                <w:rFonts w:ascii="Times New Roman" w:hAnsi="Times New Roman" w:eastAsia="Cambria Math"/>
                <w:color w:val="000000"/>
                <w:sz w:val="24"/>
                <w:szCs w:val="24"/>
              </w:rPr>
              <w:fldChar w:fldCharType="begin"/>
            </w:r>
            <w:r>
              <w:rPr>
                <w:rFonts w:ascii="Times New Roman" w:hAnsi="Times New Roman" w:eastAsia="Cambria Math"/>
                <w:color w:val="000000"/>
                <w:sz w:val="24"/>
                <w:szCs w:val="24"/>
              </w:rPr>
              <w:instrText xml:space="preserve">EQ </w:instrText>
            </w:r>
            <w:r>
              <w:rPr>
                <w:rFonts w:ascii="Cambria Math" w:hAnsi="Cambria Math" w:eastAsia="Cambria Math"/>
                <w:color w:val="000000"/>
                <w:sz w:val="24"/>
                <w:szCs w:val="24"/>
              </w:rPr>
              <w:instrText xml:space="preserve">\F(H</w:instrText>
            </w:r>
            <w:r>
              <w:rPr>
                <w:rFonts w:ascii="Cambria Math" w:hAnsi="Cambria Math" w:eastAsia="Cambria Math"/>
                <w:color w:val="000000"/>
                <w:sz w:val="24"/>
                <w:szCs w:val="24"/>
                <w:vertAlign w:val="subscript"/>
              </w:rPr>
              <w:instrText xml:space="preserve">L</w:instrText>
            </w:r>
            <w:r>
              <w:rPr>
                <w:rFonts w:hint="eastAsia" w:asciiTheme="minorEastAsia" w:hAnsiTheme="minorEastAsia" w:eastAsiaTheme="minorEastAsia"/>
                <w:color w:val="000000"/>
                <w:sz w:val="24"/>
                <w:szCs w:val="24"/>
              </w:rPr>
              <w:instrText xml:space="preserve">·</w:instrText>
            </w:r>
            <w:r>
              <w:rPr>
                <w:rFonts w:ascii="Cambria Math" w:hAnsi="Cambria Math" w:eastAsia="Cambria Math"/>
                <w:color w:val="000000"/>
                <w:sz w:val="24"/>
                <w:szCs w:val="24"/>
              </w:rPr>
              <w:instrText xml:space="preserve">B,R</w:instrText>
            </w:r>
            <w:r>
              <w:rPr>
                <w:rFonts w:ascii="Cambria Math" w:hAnsi="Cambria Math" w:eastAsia="Cambria Math"/>
                <w:color w:val="000000"/>
                <w:sz w:val="24"/>
                <w:szCs w:val="24"/>
                <w:vertAlign w:val="superscript"/>
              </w:rPr>
              <w:instrText xml:space="preserve">2</w:instrText>
            </w:r>
            <w:r>
              <w:rPr>
                <w:rFonts w:ascii="Cambria Math" w:hAnsi="Cambria Math" w:eastAsia="Cambria Math"/>
                <w:color w:val="000000"/>
                <w:sz w:val="24"/>
                <w:szCs w:val="24"/>
              </w:rPr>
              <w:instrText xml:space="preserve">)</w:instrText>
            </w:r>
            <w:r>
              <w:rPr>
                <w:rFonts w:ascii="Times New Roman" w:hAnsi="Times New Roman" w:eastAsia="Cambria Math"/>
                <w:color w:val="000000"/>
                <w:sz w:val="24"/>
                <w:szCs w:val="24"/>
              </w:rPr>
              <w:fldChar w:fldCharType="end"/>
            </w:r>
            <w:r>
              <w:rPr>
                <w:rFonts w:ascii="Times New Roman" w:hAnsi="Times New Roman"/>
                <w:bCs/>
                <w:color w:val="000000"/>
                <w:sz w:val="32"/>
                <w:szCs w:val="32"/>
              </w:rPr>
              <w:t xml:space="preserve">                   </w:t>
            </w:r>
            <w:r>
              <w:rPr>
                <w:rFonts w:hint="eastAsia" w:ascii="Times New Roman" w:hAnsi="Times New Roman"/>
                <w:bCs/>
                <w:color w:val="000000"/>
                <w:sz w:val="24"/>
                <w:szCs w:val="24"/>
              </w:rPr>
              <w:t>（</w:t>
            </w:r>
            <w:r>
              <w:rPr>
                <w:rFonts w:ascii="Times New Roman" w:hAnsi="Times New Roman"/>
                <w:bCs/>
                <w:color w:val="000000"/>
                <w:sz w:val="24"/>
                <w:szCs w:val="24"/>
              </w:rPr>
              <w:t>3</w:t>
            </w:r>
            <w:r>
              <w:rPr>
                <w:rFonts w:hint="eastAsia" w:ascii="Times New Roman" w:hAnsi="Times New Roman"/>
                <w:bCs/>
                <w:color w:val="000000"/>
                <w:sz w:val="24"/>
                <w:szCs w:val="24"/>
              </w:rPr>
              <w:t>）</w:t>
            </w:r>
          </w:p>
          <w:p>
            <w:pPr>
              <w:spacing w:line="360" w:lineRule="auto"/>
              <w:ind w:firstLine="480" w:firstLineChars="200"/>
              <w:rPr>
                <w:rFonts w:ascii="Times New Roman" w:hAnsi="Times New Roman"/>
                <w:sz w:val="24"/>
              </w:rPr>
            </w:pPr>
            <w:r>
              <w:rPr>
                <w:rFonts w:hint="eastAsia" w:ascii="Times New Roman" w:hAnsi="Times New Roman"/>
                <w:sz w:val="24"/>
              </w:rPr>
              <w:t>式中：</w:t>
            </w:r>
          </w:p>
          <w:p>
            <w:pPr>
              <w:spacing w:line="360" w:lineRule="auto"/>
              <w:ind w:firstLine="480" w:firstLineChars="200"/>
              <w:rPr>
                <w:rFonts w:ascii="Times New Roman" w:hAnsi="Times New Roman"/>
                <w:sz w:val="24"/>
              </w:rPr>
            </w:pPr>
            <w:r>
              <w:rPr>
                <w:rFonts w:hint="eastAsia" w:ascii="Times New Roman" w:hAnsi="Times New Roman"/>
                <w:sz w:val="24"/>
              </w:rPr>
              <w:t>B—屏蔽透射因子；</w:t>
            </w:r>
          </w:p>
          <w:p>
            <w:pPr>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EQ \* jc2 \* hps12 \o\ad(\s\up 11(</w:instrText>
            </w:r>
            <w:r>
              <w:rPr>
                <w:rFonts w:ascii="Times New Roman" w:hAnsi="Times New Roman"/>
                <w:sz w:val="12"/>
              </w:rPr>
              <w:instrText xml:space="preserve">·</w:instrText>
            </w:r>
            <w:r>
              <w:rPr>
                <w:rFonts w:ascii="Times New Roman" w:hAnsi="Times New Roman"/>
                <w:sz w:val="24"/>
              </w:rPr>
              <w:instrText xml:space="preserve">),H)</w:instrText>
            </w:r>
            <w:r>
              <w:rPr>
                <w:rFonts w:ascii="Times New Roman" w:hAnsi="Times New Roman"/>
                <w:sz w:val="24"/>
              </w:rPr>
              <w:fldChar w:fldCharType="end"/>
            </w:r>
            <w:r>
              <w:rPr>
                <w:rFonts w:hint="eastAsia" w:ascii="Times New Roman" w:hAnsi="Times New Roman"/>
                <w:sz w:val="24"/>
              </w:rPr>
              <w:t>—预测点剂量率，</w:t>
            </w:r>
            <w:r>
              <w:rPr>
                <w:rFonts w:ascii="Times New Roman" w:hAnsi="Times New Roman"/>
                <w:sz w:val="24"/>
                <w:szCs w:val="24"/>
              </w:rPr>
              <w:t>μ</w:t>
            </w:r>
            <w:r>
              <w:rPr>
                <w:rFonts w:hint="eastAsia" w:ascii="Times New Roman" w:hAnsi="Times New Roman"/>
                <w:sz w:val="24"/>
              </w:rPr>
              <w:t>Sv/h；</w:t>
            </w:r>
          </w:p>
          <w:p>
            <w:pPr>
              <w:spacing w:line="360" w:lineRule="auto"/>
              <w:ind w:firstLine="480" w:firstLineChars="200"/>
              <w:rPr>
                <w:rFonts w:ascii="Times New Roman" w:hAnsi="Times New Roman"/>
                <w:sz w:val="24"/>
              </w:rPr>
            </w:pPr>
            <w:r>
              <w:rPr>
                <w:rFonts w:hint="eastAsia" w:ascii="Times New Roman" w:hAnsi="Times New Roman"/>
                <w:sz w:val="24"/>
              </w:rPr>
              <w:t>R</w:t>
            </w:r>
            <w:r>
              <w:rPr>
                <w:rFonts w:hint="eastAsia" w:ascii="Times New Roman" w:hAnsi="Times New Roman"/>
                <w:sz w:val="24"/>
                <w:vertAlign w:val="subscript"/>
              </w:rPr>
              <w:t>0</w:t>
            </w:r>
            <w:r>
              <w:rPr>
                <w:rFonts w:hint="eastAsia" w:ascii="Times New Roman" w:hAnsi="Times New Roman"/>
                <w:sz w:val="24"/>
              </w:rPr>
              <w:t>—靶点至关注点的距离，m；</w:t>
            </w:r>
          </w:p>
          <w:p>
            <w:pPr>
              <w:spacing w:line="360" w:lineRule="auto"/>
              <w:ind w:firstLine="480" w:firstLineChars="200"/>
              <w:rPr>
                <w:rFonts w:ascii="Times New Roman" w:hAnsi="Times New Roman"/>
                <w:sz w:val="24"/>
              </w:rPr>
            </w:pPr>
            <w:r>
              <w:rPr>
                <w:rFonts w:hint="eastAsia" w:ascii="Times New Roman" w:hAnsi="Times New Roman"/>
                <w:sz w:val="24"/>
              </w:rPr>
              <w:t>H</w:t>
            </w:r>
            <w:r>
              <w:rPr>
                <w:rFonts w:hint="eastAsia" w:ascii="Times New Roman" w:hAnsi="Times New Roman"/>
                <w:sz w:val="24"/>
                <w:vertAlign w:val="subscript"/>
              </w:rPr>
              <w:t>L</w:t>
            </w:r>
            <w:r>
              <w:rPr>
                <w:rFonts w:hint="eastAsia" w:ascii="Times New Roman" w:hAnsi="Times New Roman"/>
                <w:sz w:val="24"/>
              </w:rPr>
              <w:t>—距靶点1m处泄露辐射剂量率，</w:t>
            </w:r>
            <w:r>
              <w:rPr>
                <w:rFonts w:ascii="Times New Roman" w:hAnsi="Times New Roman"/>
                <w:sz w:val="24"/>
              </w:rPr>
              <w:t>μ</w:t>
            </w:r>
            <w:r>
              <w:rPr>
                <w:rFonts w:hint="eastAsia" w:ascii="Times New Roman" w:hAnsi="Times New Roman"/>
                <w:sz w:val="24"/>
              </w:rPr>
              <w:t>Sv/h；</w:t>
            </w:r>
          </w:p>
          <w:p>
            <w:pPr>
              <w:spacing w:line="360" w:lineRule="auto"/>
              <w:ind w:firstLine="480" w:firstLineChars="200"/>
              <w:rPr>
                <w:rFonts w:ascii="Times New Roman" w:hAnsi="Times New Roman"/>
                <w:sz w:val="24"/>
              </w:rPr>
            </w:pPr>
            <w:r>
              <w:rPr>
                <w:rFonts w:hint="eastAsia" w:ascii="Times New Roman" w:hAnsi="Times New Roman"/>
                <w:sz w:val="24"/>
              </w:rPr>
              <w:t>根据《工业X射线探伤室辐射屏蔽规范》（GBZ/T250-2014）表1，对应的X射线能量见表11-</w:t>
            </w:r>
            <w:r>
              <w:rPr>
                <w:rFonts w:ascii="Times New Roman" w:hAnsi="Times New Roman"/>
                <w:sz w:val="24"/>
              </w:rPr>
              <w:t>2</w:t>
            </w:r>
            <w:r>
              <w:rPr>
                <w:rFonts w:hint="eastAsia" w:ascii="Times New Roman" w:hAnsi="Times New Roman"/>
                <w:sz w:val="24"/>
              </w:rPr>
              <w:t>。</w:t>
            </w:r>
          </w:p>
          <w:p>
            <w:pPr>
              <w:spacing w:line="360" w:lineRule="auto"/>
              <w:ind w:firstLine="482" w:firstLineChars="200"/>
              <w:jc w:val="center"/>
              <w:rPr>
                <w:rFonts w:ascii="Times New Roman" w:hAnsi="Times New Roman"/>
                <w:b/>
                <w:bCs/>
                <w:sz w:val="24"/>
              </w:rPr>
            </w:pPr>
            <w:r>
              <w:rPr>
                <w:rFonts w:hint="eastAsia" w:ascii="Times New Roman" w:hAnsi="Times New Roman"/>
                <w:b/>
                <w:bCs/>
                <w:sz w:val="24"/>
              </w:rPr>
              <w:t>表1</w:t>
            </w:r>
            <w:r>
              <w:rPr>
                <w:rFonts w:ascii="Times New Roman" w:hAnsi="Times New Roman"/>
                <w:b/>
                <w:bCs/>
                <w:sz w:val="24"/>
              </w:rPr>
              <w:t xml:space="preserve">1-2  </w:t>
            </w:r>
            <w:r>
              <w:rPr>
                <w:rFonts w:hint="eastAsia" w:ascii="Times New Roman" w:hAnsi="Times New Roman"/>
                <w:b/>
                <w:bCs/>
                <w:sz w:val="24"/>
              </w:rPr>
              <w:t>X射线探伤机的泄露辐射剂量率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7"/>
              <w:gridCol w:w="5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7" w:type="dxa"/>
                </w:tcPr>
                <w:p>
                  <w:pPr>
                    <w:spacing w:line="360" w:lineRule="auto"/>
                    <w:jc w:val="center"/>
                    <w:rPr>
                      <w:rFonts w:ascii="Times New Roman" w:hAnsi="Times New Roman"/>
                      <w:sz w:val="24"/>
                    </w:rPr>
                  </w:pPr>
                  <w:r>
                    <w:rPr>
                      <w:rFonts w:hint="eastAsia" w:ascii="Times New Roman" w:hAnsi="Times New Roman"/>
                      <w:sz w:val="24"/>
                    </w:rPr>
                    <w:t>X射线管电压（k</w:t>
                  </w:r>
                  <w:r>
                    <w:rPr>
                      <w:rFonts w:ascii="Times New Roman" w:hAnsi="Times New Roman"/>
                      <w:sz w:val="24"/>
                    </w:rPr>
                    <w:t>V</w:t>
                  </w:r>
                  <w:r>
                    <w:rPr>
                      <w:rFonts w:hint="eastAsia" w:ascii="Times New Roman" w:hAnsi="Times New Roman"/>
                      <w:sz w:val="24"/>
                    </w:rPr>
                    <w:t>）</w:t>
                  </w:r>
                </w:p>
              </w:tc>
              <w:tc>
                <w:tcPr>
                  <w:tcW w:w="5392" w:type="dxa"/>
                </w:tcPr>
                <w:p>
                  <w:pPr>
                    <w:spacing w:line="360" w:lineRule="auto"/>
                    <w:jc w:val="center"/>
                    <w:rPr>
                      <w:rFonts w:ascii="Times New Roman" w:hAnsi="Times New Roman"/>
                      <w:sz w:val="24"/>
                    </w:rPr>
                  </w:pPr>
                  <w:r>
                    <w:rPr>
                      <w:rFonts w:hint="eastAsia" w:ascii="Times New Roman" w:hAnsi="Times New Roman"/>
                      <w:sz w:val="24"/>
                    </w:rPr>
                    <w:t>距离靶点1m处的泄露辐射剂量率（</w:t>
                  </w:r>
                  <w:r>
                    <w:rPr>
                      <w:rFonts w:ascii="Times New Roman" w:hAnsi="Times New Roman"/>
                      <w:sz w:val="24"/>
                    </w:rPr>
                    <w:t>μS</w:t>
                  </w:r>
                  <w:r>
                    <w:rPr>
                      <w:rFonts w:hint="eastAsia" w:ascii="Times New Roman" w:hAnsi="Times New Roman"/>
                      <w:sz w:val="24"/>
                    </w:rPr>
                    <w:t>v</w:t>
                  </w:r>
                  <w:r>
                    <w:rPr>
                      <w:rFonts w:ascii="Times New Roman" w:hAnsi="Times New Roman"/>
                      <w:sz w:val="24"/>
                    </w:rPr>
                    <w:t>/h</w:t>
                  </w:r>
                  <w:r>
                    <w:rPr>
                      <w:rFonts w:hint="eastAsia"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7" w:type="dxa"/>
                </w:tcPr>
                <w:p>
                  <w:pPr>
                    <w:spacing w:line="360" w:lineRule="auto"/>
                    <w:jc w:val="center"/>
                    <w:rPr>
                      <w:rFonts w:ascii="Times New Roman" w:hAnsi="Times New Roman"/>
                      <w:sz w:val="24"/>
                    </w:rPr>
                  </w:pPr>
                  <w:r>
                    <w:rPr>
                      <w:rFonts w:hint="eastAsia" w:ascii="Times New Roman" w:hAnsi="Times New Roman"/>
                      <w:sz w:val="24"/>
                    </w:rPr>
                    <w:t>＜1</w:t>
                  </w:r>
                  <w:r>
                    <w:rPr>
                      <w:rFonts w:ascii="Times New Roman" w:hAnsi="Times New Roman"/>
                      <w:sz w:val="24"/>
                    </w:rPr>
                    <w:t>50</w:t>
                  </w:r>
                </w:p>
              </w:tc>
              <w:tc>
                <w:tcPr>
                  <w:tcW w:w="5392" w:type="dxa"/>
                </w:tcPr>
                <w:p>
                  <w:pPr>
                    <w:spacing w:line="360" w:lineRule="auto"/>
                    <w:jc w:val="center"/>
                    <w:rPr>
                      <w:rFonts w:ascii="Times New Roman" w:hAnsi="Times New Roman"/>
                      <w:sz w:val="24"/>
                    </w:rPr>
                  </w:pPr>
                  <w:r>
                    <w:rPr>
                      <w:rFonts w:hint="eastAsia" w:ascii="Times New Roman" w:hAnsi="Times New Roman"/>
                      <w:sz w:val="24"/>
                    </w:rPr>
                    <w:t>1</w:t>
                  </w:r>
                  <w:r>
                    <w:rPr>
                      <w:rFonts w:ascii="Times New Roman" w:hAnsi="Times New Roman"/>
                      <w:sz w:val="24"/>
                    </w:rPr>
                    <w:t>×10</w:t>
                  </w:r>
                  <w:r>
                    <w:rPr>
                      <w:rFonts w:ascii="Times New Roman" w:hAnsi="Times New Roman"/>
                      <w:sz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7" w:type="dxa"/>
                </w:tcPr>
                <w:p>
                  <w:pPr>
                    <w:spacing w:line="360" w:lineRule="auto"/>
                    <w:jc w:val="center"/>
                    <w:rPr>
                      <w:rFonts w:ascii="Times New Roman" w:hAnsi="Times New Roman"/>
                      <w:sz w:val="24"/>
                    </w:rPr>
                  </w:pPr>
                  <w:r>
                    <w:rPr>
                      <w:rFonts w:hint="eastAsia" w:ascii="Times New Roman" w:hAnsi="Times New Roman"/>
                      <w:sz w:val="24"/>
                    </w:rPr>
                    <w:t>1</w:t>
                  </w:r>
                  <w:r>
                    <w:rPr>
                      <w:rFonts w:ascii="Times New Roman" w:hAnsi="Times New Roman"/>
                      <w:sz w:val="24"/>
                    </w:rPr>
                    <w:t>50</w:t>
                  </w:r>
                  <w:r>
                    <w:rPr>
                      <w:rFonts w:hint="eastAsia" w:ascii="Times New Roman" w:hAnsi="Times New Roman"/>
                      <w:sz w:val="24"/>
                    </w:rPr>
                    <w:t>≤k</w:t>
                  </w:r>
                  <w:r>
                    <w:rPr>
                      <w:rFonts w:ascii="Times New Roman" w:hAnsi="Times New Roman"/>
                      <w:sz w:val="24"/>
                    </w:rPr>
                    <w:t>V</w:t>
                  </w:r>
                  <w:r>
                    <w:rPr>
                      <w:rFonts w:hint="eastAsia" w:ascii="Times New Roman" w:hAnsi="Times New Roman"/>
                      <w:sz w:val="24"/>
                    </w:rPr>
                    <w:t>≤2</w:t>
                  </w:r>
                  <w:r>
                    <w:rPr>
                      <w:rFonts w:ascii="Times New Roman" w:hAnsi="Times New Roman"/>
                      <w:sz w:val="24"/>
                    </w:rPr>
                    <w:t>00</w:t>
                  </w:r>
                </w:p>
              </w:tc>
              <w:tc>
                <w:tcPr>
                  <w:tcW w:w="5392" w:type="dxa"/>
                </w:tcPr>
                <w:p>
                  <w:pPr>
                    <w:spacing w:line="360" w:lineRule="auto"/>
                    <w:jc w:val="center"/>
                    <w:rPr>
                      <w:rFonts w:ascii="Times New Roman" w:hAnsi="Times New Roman"/>
                      <w:sz w:val="24"/>
                    </w:rPr>
                  </w:pPr>
                  <w:r>
                    <w:rPr>
                      <w:rFonts w:hint="eastAsia" w:ascii="Times New Roman" w:hAnsi="Times New Roman"/>
                      <w:sz w:val="24"/>
                    </w:rPr>
                    <w:t>2</w:t>
                  </w:r>
                  <w:r>
                    <w:rPr>
                      <w:rFonts w:ascii="Times New Roman" w:hAnsi="Times New Roman"/>
                      <w:sz w:val="24"/>
                    </w:rPr>
                    <w:t>.5×10</w:t>
                  </w:r>
                  <w:r>
                    <w:rPr>
                      <w:rFonts w:ascii="Times New Roman" w:hAnsi="Times New Roman"/>
                      <w:sz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7" w:type="dxa"/>
                </w:tcPr>
                <w:p>
                  <w:pPr>
                    <w:spacing w:line="360" w:lineRule="auto"/>
                    <w:jc w:val="center"/>
                    <w:rPr>
                      <w:rFonts w:ascii="Times New Roman" w:hAnsi="Times New Roman"/>
                      <w:sz w:val="24"/>
                    </w:rPr>
                  </w:pPr>
                  <w:r>
                    <w:rPr>
                      <w:rFonts w:hint="eastAsia" w:ascii="Times New Roman" w:hAnsi="Times New Roman"/>
                      <w:sz w:val="24"/>
                    </w:rPr>
                    <w:t>＞2</w:t>
                  </w:r>
                  <w:r>
                    <w:rPr>
                      <w:rFonts w:ascii="Times New Roman" w:hAnsi="Times New Roman"/>
                      <w:sz w:val="24"/>
                    </w:rPr>
                    <w:t>00</w:t>
                  </w:r>
                </w:p>
              </w:tc>
              <w:tc>
                <w:tcPr>
                  <w:tcW w:w="5392" w:type="dxa"/>
                </w:tcPr>
                <w:p>
                  <w:pPr>
                    <w:spacing w:line="360" w:lineRule="auto"/>
                    <w:jc w:val="center"/>
                    <w:rPr>
                      <w:rFonts w:ascii="Times New Roman" w:hAnsi="Times New Roman"/>
                      <w:sz w:val="24"/>
                    </w:rPr>
                  </w:pPr>
                  <w:r>
                    <w:rPr>
                      <w:rFonts w:ascii="Times New Roman" w:hAnsi="Times New Roman"/>
                      <w:sz w:val="24"/>
                    </w:rPr>
                    <w:t>5×10</w:t>
                  </w:r>
                  <w:r>
                    <w:rPr>
                      <w:rFonts w:ascii="Times New Roman" w:hAnsi="Times New Roman"/>
                      <w:sz w:val="24"/>
                      <w:vertAlign w:val="superscript"/>
                    </w:rPr>
                    <w:t>3</w:t>
                  </w:r>
                </w:p>
              </w:tc>
            </w:tr>
          </w:tbl>
          <w:p>
            <w:pPr>
              <w:spacing w:line="360" w:lineRule="auto"/>
              <w:rPr>
                <w:rFonts w:ascii="Times New Roman" w:hAnsi="Times New Roman"/>
                <w:b/>
                <w:bCs/>
                <w:sz w:val="24"/>
              </w:rPr>
            </w:pPr>
            <w:r>
              <w:rPr>
                <w:rFonts w:hint="eastAsia" w:ascii="Times New Roman" w:hAnsi="Times New Roman"/>
                <w:b/>
                <w:bCs/>
                <w:sz w:val="24"/>
              </w:rPr>
              <w:t>（3）散射线（非主射方向外）</w:t>
            </w:r>
          </w:p>
          <w:p>
            <w:pPr>
              <w:spacing w:line="360" w:lineRule="auto"/>
              <w:ind w:firstLine="480" w:firstLineChars="200"/>
              <w:rPr>
                <w:rFonts w:ascii="Times New Roman" w:hAnsi="Times New Roman"/>
                <w:sz w:val="24"/>
              </w:rPr>
            </w:pPr>
            <w:r>
              <w:rPr>
                <w:rFonts w:hint="eastAsia" w:ascii="Times New Roman" w:hAnsi="Times New Roman"/>
                <w:sz w:val="24"/>
              </w:rPr>
              <w:t>根据《工业X射线探伤室辐射屏蔽规范》（GBZ/T250-2014），非主射方向上的散射辐射剂量率可根据式下式计算。</w:t>
            </w:r>
          </w:p>
          <w:p>
            <w:pPr>
              <w:spacing w:line="360" w:lineRule="auto"/>
              <w:ind w:right="420" w:rightChars="200" w:firstLine="480" w:firstLineChars="200"/>
              <w:jc w:val="right"/>
              <w:rPr>
                <w:rFonts w:ascii="Times New Roman" w:hAnsi="Times New Roman"/>
                <w:bCs/>
                <w:color w:val="000000"/>
                <w:sz w:val="24"/>
                <w:szCs w:val="24"/>
              </w:rPr>
            </w:pPr>
            <m:oMath>
              <m:r>
                <m:rPr>
                  <m:sty m:val="p"/>
                </m:rPr>
                <w:rPr>
                  <w:rFonts w:ascii="Cambria Math" w:hAnsi="Cambria Math"/>
                  <w:color w:val="000000"/>
                  <w:sz w:val="24"/>
                  <w:szCs w:val="24"/>
                </w:rPr>
                <w:fldChar w:fldCharType="begin"/>
              </m:r>
            </m:oMath>
            <w:r>
              <w:rPr>
                <w:rFonts w:ascii="Cambria Math" w:hAnsi="Cambria Math"/>
                <w:b w:val="0"/>
                <w:bCs/>
                <w:i w:val="0"/>
                <w:color w:val="000000"/>
                <w:sz w:val="24"/>
                <w:szCs w:val="24"/>
              </w:rPr>
              <w:instrText xml:space="preserve">EQ \* jc2 \* hps12 \o\ad(\s\up 11(),)</w:instrText>
            </w:r>
            <w:r>
              <w:rPr>
                <w:rFonts w:ascii="Cambria Math" w:hAnsi="Cambria Math"/>
                <w:b w:val="0"/>
                <w:bCs/>
                <w:i w:val="0"/>
                <w:color w:val="000000"/>
                <w:sz w:val="24"/>
                <w:szCs w:val="24"/>
              </w:rPr>
              <w:fldChar w:fldCharType="end"/>
            </w:r>
            <w:r>
              <w:rPr>
                <w:rFonts w:hint="eastAsia" w:ascii="Times New Roman" w:hAnsi="Times New Roman"/>
                <w:bCs/>
                <w:color w:val="000000"/>
                <w:sz w:val="24"/>
                <w:szCs w:val="24"/>
                <w:vertAlign w:val="subscript"/>
              </w:rPr>
              <w:t>散</w:t>
            </w:r>
            <w:r>
              <w:rPr>
                <w:rFonts w:hint="eastAsia" w:ascii="Times New Roman" w:hAnsi="Times New Roman"/>
                <w:bCs/>
                <w:color w:val="000000"/>
                <w:sz w:val="24"/>
                <w:szCs w:val="24"/>
              </w:rPr>
              <w:t>=</w:t>
            </w:r>
            <w:r>
              <w:rPr>
                <w:rFonts w:ascii="Times New Roman" w:hAnsi="Times New Roman"/>
                <w:bCs/>
                <w:color w:val="000000"/>
                <w:sz w:val="24"/>
                <w:szCs w:val="24"/>
              </w:rPr>
              <w:fldChar w:fldCharType="begin"/>
            </w:r>
            <w:r>
              <w:rPr>
                <w:rFonts w:ascii="Times New Roman" w:hAnsi="Times New Roman"/>
                <w:bCs/>
                <w:color w:val="000000"/>
                <w:sz w:val="24"/>
                <w:szCs w:val="24"/>
              </w:rPr>
              <w:instrText xml:space="preserve"> EQ </w:instrText>
            </w:r>
            <w:r>
              <w:rPr>
                <w:rFonts w:hint="eastAsia" w:ascii="宋体" w:hAnsi="宋体"/>
                <w:bCs/>
                <w:color w:val="000000"/>
                <w:sz w:val="24"/>
                <w:szCs w:val="24"/>
              </w:rPr>
              <w:instrText xml:space="preserve">\</w:instrText>
            </w:r>
            <w:r>
              <w:rPr>
                <w:rFonts w:ascii="Times New Roman" w:hAnsi="Times New Roman"/>
                <w:bCs/>
                <w:color w:val="000000"/>
                <w:sz w:val="24"/>
                <w:szCs w:val="24"/>
              </w:rPr>
              <w:instrText xml:space="preserve">F(</w:instrText>
            </w:r>
            <w:r>
              <w:rPr>
                <w:rFonts w:ascii="Cambria Math" w:hAnsi="Cambria Math" w:cs="Cambria Math" w:eastAsiaTheme="minorEastAsia"/>
                <w:bCs/>
                <w:color w:val="000000"/>
                <w:sz w:val="24"/>
                <w:szCs w:val="24"/>
              </w:rPr>
              <w:instrText xml:space="preserve">I</w:instrText>
            </w:r>
            <w:r>
              <w:rPr>
                <w:rFonts w:hint="eastAsia" w:ascii="Times New Roman" w:hAnsi="Times New Roman"/>
                <w:bCs/>
                <w:color w:val="000000"/>
                <w:sz w:val="24"/>
                <w:szCs w:val="24"/>
              </w:rPr>
              <w:instrText xml:space="preserve">·</w:instrText>
            </w:r>
            <w:r>
              <w:rPr>
                <w:rFonts w:ascii="Cambria Math" w:hAnsi="Cambria Math" w:cs="Cambria Math" w:eastAsiaTheme="minorEastAsia"/>
                <w:bCs/>
                <w:color w:val="000000"/>
                <w:sz w:val="24"/>
                <w:szCs w:val="24"/>
              </w:rPr>
              <w:instrText xml:space="preserve">H</w:instrText>
            </w:r>
            <w:r>
              <w:rPr>
                <w:rFonts w:ascii="Times New Roman" w:hAnsi="Times New Roman" w:eastAsiaTheme="minorEastAsia"/>
                <w:color w:val="000000"/>
                <w:sz w:val="24"/>
                <w:szCs w:val="24"/>
                <w:vertAlign w:val="subscript"/>
              </w:rPr>
              <w:instrText xml:space="preserve">0</w:instrText>
            </w:r>
            <w:r>
              <w:rPr>
                <w:rFonts w:hint="eastAsia" w:ascii="Times New Roman" w:hAnsi="Times New Roman"/>
                <w:bCs/>
                <w:color w:val="000000"/>
                <w:sz w:val="24"/>
                <w:szCs w:val="24"/>
              </w:rPr>
              <w:instrText xml:space="preserve">·</w:instrText>
            </w:r>
            <w:r>
              <w:rPr>
                <w:rFonts w:ascii="Cambria Math" w:hAnsi="Cambria Math" w:eastAsia="Cambria Math" w:cs="Cambria Math"/>
                <w:color w:val="000000"/>
                <w:sz w:val="24"/>
                <w:szCs w:val="24"/>
              </w:rPr>
              <w:instrText xml:space="preserve">B</w:instrText>
            </w:r>
            <w:r>
              <w:rPr>
                <w:rFonts w:ascii="Times New Roman" w:hAnsi="Times New Roman"/>
                <w:bCs/>
                <w:color w:val="000000"/>
                <w:sz w:val="24"/>
                <w:szCs w:val="24"/>
              </w:rPr>
              <w:instrText xml:space="preserve">,</w:instrText>
            </w:r>
            <w:r>
              <w:rPr>
                <w:rFonts w:ascii="Cambria Math" w:hAnsi="Cambria Math" w:eastAsia="Cambria Math" w:cs="Cambria Math"/>
                <w:bCs/>
                <w:color w:val="000000"/>
                <w:sz w:val="24"/>
                <w:szCs w:val="24"/>
              </w:rPr>
              <w:instrText xml:space="preserve">R</w:instrText>
            </w:r>
            <w:r>
              <w:rPr>
                <w:rFonts w:ascii="Cambria Math" w:hAnsi="Cambria Math" w:eastAsia="Cambria Math" w:cs="Cambria Math"/>
                <w:color w:val="000000"/>
                <w:sz w:val="24"/>
                <w:szCs w:val="24"/>
                <w:vertAlign w:val="subscript"/>
              </w:rPr>
              <w:instrText xml:space="preserve">S</w:instrText>
            </w:r>
            <w:r>
              <w:rPr>
                <w:rFonts w:ascii="Times New Roman" w:hAnsi="Times New Roman" w:eastAsia="Cambria Math"/>
                <w:color w:val="000000"/>
                <w:sz w:val="24"/>
                <w:szCs w:val="24"/>
                <w:vertAlign w:val="superscript"/>
              </w:rPr>
              <w:instrText xml:space="preserve">2</w:instrText>
            </w:r>
            <w:r>
              <w:rPr>
                <w:rFonts w:ascii="Times New Roman" w:hAnsi="Times New Roman"/>
                <w:bCs/>
                <w:color w:val="000000"/>
                <w:sz w:val="24"/>
                <w:szCs w:val="24"/>
              </w:rPr>
              <w:instrText xml:space="preserve">) </w:instrText>
            </w:r>
            <w:r>
              <w:rPr>
                <w:rFonts w:ascii="Times New Roman" w:hAnsi="Times New Roman"/>
                <w:bCs/>
                <w:color w:val="000000"/>
                <w:sz w:val="24"/>
                <w:szCs w:val="24"/>
              </w:rPr>
              <w:fldChar w:fldCharType="end"/>
            </w:r>
            <w:r>
              <w:rPr>
                <w:rFonts w:hint="eastAsia" w:ascii="Times New Roman" w:hAnsi="Times New Roman"/>
                <w:bCs/>
                <w:color w:val="000000"/>
                <w:sz w:val="24"/>
                <w:szCs w:val="24"/>
              </w:rPr>
              <w:t>·</w:t>
            </w:r>
            <w:r>
              <w:rPr>
                <w:rFonts w:ascii="Times New Roman" w:hAnsi="Times New Roman"/>
                <w:bCs/>
                <w:color w:val="000000"/>
                <w:sz w:val="24"/>
                <w:szCs w:val="24"/>
              </w:rPr>
              <w:fldChar w:fldCharType="begin"/>
            </w:r>
            <w:r>
              <w:rPr>
                <w:rFonts w:ascii="Times New Roman" w:hAnsi="Times New Roman"/>
                <w:bCs/>
                <w:color w:val="000000"/>
                <w:sz w:val="24"/>
                <w:szCs w:val="24"/>
              </w:rPr>
              <w:instrText xml:space="preserve"> EQ </w:instrText>
            </w:r>
            <w:r>
              <w:rPr>
                <w:rFonts w:hint="eastAsia" w:ascii="宋体" w:hAnsi="宋体"/>
                <w:bCs/>
                <w:color w:val="000000"/>
                <w:sz w:val="24"/>
                <w:szCs w:val="24"/>
              </w:rPr>
              <w:instrText xml:space="preserve">\</w:instrText>
            </w:r>
            <w:r>
              <w:rPr>
                <w:rFonts w:ascii="Times New Roman" w:hAnsi="Times New Roman"/>
                <w:bCs/>
                <w:color w:val="000000"/>
                <w:sz w:val="24"/>
                <w:szCs w:val="24"/>
              </w:rPr>
              <w:instrText xml:space="preserve">F(</w:instrText>
            </w:r>
            <w:r>
              <w:rPr>
                <w:rFonts w:ascii="Cambria Math" w:hAnsi="Cambria Math" w:eastAsia="Cambria Math" w:cs="Cambria Math"/>
                <w:bCs/>
                <w:color w:val="000000"/>
                <w:sz w:val="24"/>
                <w:szCs w:val="24"/>
              </w:rPr>
              <w:instrText xml:space="preserve">F</w:instrText>
            </w:r>
            <w:r>
              <w:rPr>
                <w:rFonts w:hint="eastAsia" w:ascii="Times New Roman" w:hAnsi="Times New Roman"/>
                <w:bCs/>
                <w:color w:val="000000"/>
                <w:sz w:val="24"/>
                <w:szCs w:val="24"/>
              </w:rPr>
              <w:instrText xml:space="preserve">·</w:instrText>
            </w:r>
            <w:r>
              <w:rPr>
                <w:rFonts w:ascii="Times New Roman" w:hAnsi="Times New Roman" w:eastAsiaTheme="minorEastAsia"/>
                <w:color w:val="000000"/>
                <w:sz w:val="24"/>
                <w:szCs w:val="24"/>
              </w:rPr>
              <w:instrText xml:space="preserve">α</w:instrText>
            </w:r>
            <w:r>
              <w:rPr>
                <w:rFonts w:ascii="Times New Roman" w:hAnsi="Times New Roman"/>
                <w:bCs/>
                <w:color w:val="000000"/>
                <w:sz w:val="24"/>
                <w:szCs w:val="24"/>
              </w:rPr>
              <w:instrText xml:space="preserve">,</w:instrText>
            </w:r>
            <w:r>
              <w:rPr>
                <w:rFonts w:ascii="Cambria Math" w:hAnsi="Cambria Math" w:eastAsia="Cambria Math" w:cs="Cambria Math"/>
                <w:bCs/>
                <w:color w:val="000000"/>
                <w:sz w:val="24"/>
                <w:szCs w:val="24"/>
              </w:rPr>
              <w:instrText xml:space="preserve">R</w:instrText>
            </w:r>
            <w:r>
              <w:rPr>
                <w:rFonts w:ascii="Times New Roman" w:hAnsi="Times New Roman" w:eastAsia="Cambria Math"/>
                <w:color w:val="000000"/>
                <w:sz w:val="24"/>
                <w:szCs w:val="24"/>
                <w:vertAlign w:val="subscript"/>
              </w:rPr>
              <w:instrText xml:space="preserve">0</w:instrText>
            </w:r>
            <w:r>
              <w:rPr>
                <w:rFonts w:ascii="Times New Roman" w:hAnsi="Times New Roman" w:eastAsia="Cambria Math"/>
                <w:color w:val="000000"/>
                <w:sz w:val="24"/>
                <w:szCs w:val="24"/>
                <w:vertAlign w:val="superscript"/>
              </w:rPr>
              <w:instrText xml:space="preserve">2</w:instrText>
            </w:r>
            <w:r>
              <w:rPr>
                <w:rFonts w:ascii="Times New Roman" w:hAnsi="Times New Roman"/>
                <w:bCs/>
                <w:color w:val="000000"/>
                <w:sz w:val="24"/>
                <w:szCs w:val="24"/>
              </w:rPr>
              <w:instrText xml:space="preserve">) </w:instrText>
            </w:r>
            <w:r>
              <w:rPr>
                <w:rFonts w:ascii="Times New Roman" w:hAnsi="Times New Roman"/>
                <w:bCs/>
                <w:color w:val="000000"/>
                <w:sz w:val="24"/>
                <w:szCs w:val="24"/>
              </w:rPr>
              <w:fldChar w:fldCharType="end"/>
            </w:r>
            <w:r>
              <w:rPr>
                <w:rFonts w:ascii="Times New Roman" w:hAnsi="Times New Roman"/>
                <w:bCs/>
                <w:color w:val="000000"/>
                <w:sz w:val="32"/>
                <w:szCs w:val="32"/>
              </w:rPr>
              <w:t xml:space="preserve">                   </w:t>
            </w:r>
            <w:r>
              <w:rPr>
                <w:rFonts w:hint="eastAsia" w:ascii="Times New Roman" w:hAnsi="Times New Roman"/>
                <w:bCs/>
                <w:color w:val="000000"/>
                <w:sz w:val="24"/>
                <w:szCs w:val="24"/>
              </w:rPr>
              <w:t>（</w:t>
            </w:r>
            <w:r>
              <w:rPr>
                <w:rFonts w:ascii="Times New Roman" w:hAnsi="Times New Roman"/>
                <w:bCs/>
                <w:color w:val="000000"/>
                <w:sz w:val="24"/>
                <w:szCs w:val="24"/>
              </w:rPr>
              <w:t>4</w:t>
            </w:r>
            <w:r>
              <w:rPr>
                <w:rFonts w:hint="eastAsia" w:ascii="Times New Roman" w:hAnsi="Times New Roman"/>
                <w:bCs/>
                <w:color w:val="000000"/>
                <w:sz w:val="24"/>
                <w:szCs w:val="24"/>
              </w:rPr>
              <w:t>）</w:t>
            </w:r>
          </w:p>
          <w:p>
            <w:pPr>
              <w:spacing w:line="360" w:lineRule="auto"/>
              <w:ind w:firstLine="480" w:firstLineChars="200"/>
              <w:rPr>
                <w:rFonts w:ascii="Times New Roman" w:hAnsi="Times New Roman"/>
                <w:sz w:val="24"/>
              </w:rPr>
            </w:pPr>
            <w:r>
              <w:rPr>
                <w:rFonts w:hint="eastAsia" w:ascii="Times New Roman" w:hAnsi="Times New Roman"/>
                <w:sz w:val="24"/>
              </w:rPr>
              <w:t>式中：</w:t>
            </w:r>
          </w:p>
          <w:p>
            <w:pPr>
              <w:spacing w:line="360" w:lineRule="auto"/>
              <w:ind w:firstLine="480" w:firstLineChars="200"/>
              <w:rPr>
                <w:rFonts w:ascii="Times New Roman" w:hAnsi="Times New Roman"/>
                <w:sz w:val="24"/>
              </w:rPr>
            </w:pPr>
            <w:r>
              <w:rPr>
                <w:rFonts w:hint="eastAsia" w:ascii="Times New Roman" w:hAnsi="Times New Roman"/>
                <w:sz w:val="24"/>
              </w:rPr>
              <w:t>B—屏蔽透射因子；</w:t>
            </w:r>
          </w:p>
          <w:p>
            <w:pPr>
              <w:spacing w:line="360" w:lineRule="auto"/>
              <w:ind w:firstLine="480" w:firstLineChars="200"/>
              <w:rPr>
                <w:rFonts w:ascii="Times New Roman" w:hAnsi="Times New Roman"/>
                <w:sz w:val="24"/>
              </w:rPr>
            </w:pPr>
            <m:oMath>
              <m:r>
                <m:rPr>
                  <m:sty m:val="p"/>
                </m:rPr>
                <w:rPr>
                  <w:rFonts w:ascii="Cambria Math" w:hAnsi="Cambria Math"/>
                  <w:color w:val="000000"/>
                  <w:sz w:val="24"/>
                  <w:szCs w:val="24"/>
                </w:rPr>
                <w:fldChar w:fldCharType="begin"/>
              </m:r>
            </m:oMath>
            <w:r>
              <w:rPr>
                <w:rFonts w:ascii="Cambria Math" w:hAnsi="Cambria Math"/>
                <w:b w:val="0"/>
                <w:bCs/>
                <w:i w:val="0"/>
                <w:color w:val="000000"/>
                <w:sz w:val="24"/>
                <w:szCs w:val="24"/>
              </w:rPr>
              <w:instrText xml:space="preserve">EQ \* jc2 \* hps12 \o\ad(\s\up 11(),)</w:instrText>
            </w:r>
            <w:r>
              <w:rPr>
                <w:rFonts w:ascii="Cambria Math" w:hAnsi="Cambria Math"/>
                <w:b w:val="0"/>
                <w:bCs/>
                <w:i w:val="0"/>
                <w:color w:val="000000"/>
                <w:sz w:val="24"/>
                <w:szCs w:val="24"/>
              </w:rPr>
              <w:fldChar w:fldCharType="end"/>
            </w:r>
            <w:r>
              <w:rPr>
                <w:rFonts w:hint="eastAsia" w:ascii="Times New Roman" w:hAnsi="Times New Roman"/>
                <w:sz w:val="24"/>
                <w:vertAlign w:val="subscript"/>
              </w:rPr>
              <w:t>散</w:t>
            </w:r>
            <w:r>
              <w:rPr>
                <w:rFonts w:hint="eastAsia" w:ascii="Times New Roman" w:hAnsi="Times New Roman"/>
                <w:sz w:val="24"/>
              </w:rPr>
              <w:t>—预测点剂量率（</w:t>
            </w:r>
            <w:r>
              <w:rPr>
                <w:rFonts w:ascii="Times New Roman" w:hAnsi="Times New Roman"/>
                <w:sz w:val="24"/>
              </w:rPr>
              <w:t>μ</w:t>
            </w:r>
            <w:r>
              <w:rPr>
                <w:rFonts w:hint="eastAsia" w:ascii="Times New Roman" w:hAnsi="Times New Roman"/>
                <w:sz w:val="24"/>
              </w:rPr>
              <w:t>Sv/h）；</w:t>
            </w:r>
          </w:p>
          <w:p>
            <w:pPr>
              <w:spacing w:line="360" w:lineRule="auto"/>
              <w:ind w:firstLine="480" w:firstLineChars="200"/>
              <w:rPr>
                <w:rFonts w:ascii="Times New Roman" w:hAnsi="Times New Roman"/>
                <w:sz w:val="24"/>
              </w:rPr>
            </w:pPr>
            <w:r>
              <w:rPr>
                <w:rFonts w:hint="eastAsia" w:ascii="Times New Roman" w:hAnsi="Times New Roman"/>
                <w:sz w:val="24"/>
              </w:rPr>
              <w:t>R</w:t>
            </w:r>
            <w:r>
              <w:rPr>
                <w:rFonts w:ascii="Times New Roman" w:hAnsi="Times New Roman"/>
                <w:sz w:val="24"/>
                <w:vertAlign w:val="subscript"/>
              </w:rPr>
              <w:t>S</w:t>
            </w:r>
            <w:r>
              <w:rPr>
                <w:rFonts w:hint="eastAsia" w:ascii="Times New Roman" w:hAnsi="Times New Roman"/>
                <w:sz w:val="24"/>
              </w:rPr>
              <w:t>—散射体至关注点的距离，m；</w:t>
            </w:r>
          </w:p>
          <w:p>
            <w:pPr>
              <w:spacing w:line="360" w:lineRule="auto"/>
              <w:ind w:firstLine="480" w:firstLineChars="200"/>
              <w:rPr>
                <w:rFonts w:ascii="Times New Roman" w:hAnsi="Times New Roman"/>
                <w:sz w:val="24"/>
              </w:rPr>
            </w:pPr>
            <w:r>
              <w:rPr>
                <w:rFonts w:hint="eastAsia" w:ascii="Times New Roman" w:hAnsi="Times New Roman"/>
                <w:sz w:val="24"/>
              </w:rPr>
              <w:t>R</w:t>
            </w:r>
            <w:r>
              <w:rPr>
                <w:rFonts w:ascii="Times New Roman" w:hAnsi="Times New Roman"/>
                <w:sz w:val="24"/>
                <w:vertAlign w:val="subscript"/>
              </w:rPr>
              <w:t>0</w:t>
            </w:r>
            <w:r>
              <w:rPr>
                <w:rFonts w:hint="eastAsia" w:ascii="Times New Roman" w:hAnsi="Times New Roman"/>
                <w:sz w:val="24"/>
              </w:rPr>
              <w:t>—靶点至探伤工件的距离，均取0.5m；</w:t>
            </w:r>
          </w:p>
          <w:p>
            <w:pPr>
              <w:spacing w:line="360" w:lineRule="auto"/>
              <w:ind w:firstLine="480" w:firstLineChars="200"/>
              <w:rPr>
                <w:rFonts w:ascii="Times New Roman" w:hAnsi="Times New Roman"/>
                <w:sz w:val="24"/>
              </w:rPr>
            </w:pPr>
            <w:r>
              <w:rPr>
                <w:rFonts w:ascii="Times New Roman" w:hAnsi="Times New Roman"/>
                <w:sz w:val="24"/>
              </w:rPr>
              <w:t>I</w:t>
            </w:r>
            <w:r>
              <w:rPr>
                <w:rFonts w:hint="eastAsia" w:ascii="Times New Roman" w:hAnsi="Times New Roman"/>
                <w:sz w:val="24"/>
              </w:rPr>
              <w:t>—额定管电流，本项目3台探伤机的管电流最大均为5mA；</w:t>
            </w:r>
          </w:p>
          <w:p>
            <w:pPr>
              <w:spacing w:line="360" w:lineRule="auto"/>
              <w:ind w:firstLine="480" w:firstLineChars="200"/>
              <w:rPr>
                <w:rFonts w:ascii="Times New Roman" w:hAnsi="Times New Roman"/>
                <w:sz w:val="24"/>
              </w:rPr>
            </w:pPr>
            <w:r>
              <w:rPr>
                <w:rFonts w:ascii="Times New Roman" w:hAnsi="Times New Roman"/>
                <w:sz w:val="24"/>
              </w:rPr>
              <w:t>H</w:t>
            </w:r>
            <w:r>
              <w:rPr>
                <w:rFonts w:ascii="Times New Roman" w:hAnsi="Times New Roman"/>
                <w:sz w:val="24"/>
                <w:vertAlign w:val="subscript"/>
              </w:rPr>
              <w:t>0</w:t>
            </w:r>
            <w:r>
              <w:rPr>
                <w:rFonts w:hint="eastAsia" w:ascii="Times New Roman" w:hAnsi="Times New Roman"/>
                <w:sz w:val="24"/>
              </w:rPr>
              <w:t>—距辐射源点（靶点）1m处输出量，mGy·m</w:t>
            </w:r>
            <w:r>
              <w:rPr>
                <w:rFonts w:hint="eastAsia" w:ascii="Times New Roman" w:hAnsi="Times New Roman"/>
                <w:sz w:val="24"/>
                <w:vertAlign w:val="superscript"/>
              </w:rPr>
              <w:t>2</w:t>
            </w:r>
            <w:r>
              <w:rPr>
                <w:rFonts w:hint="eastAsia" w:ascii="Times New Roman" w:hAnsi="Times New Roman"/>
                <w:sz w:val="24"/>
              </w:rPr>
              <w:t>·mA</w:t>
            </w:r>
            <w:r>
              <w:rPr>
                <w:rFonts w:hint="eastAsia" w:ascii="Times New Roman" w:hAnsi="Times New Roman"/>
                <w:sz w:val="24"/>
                <w:vertAlign w:val="superscript"/>
              </w:rPr>
              <w:t>-1</w:t>
            </w:r>
            <w:r>
              <w:rPr>
                <w:rFonts w:hint="eastAsia" w:ascii="Times New Roman" w:hAnsi="Times New Roman"/>
                <w:sz w:val="24"/>
              </w:rPr>
              <w:t>min</w:t>
            </w:r>
            <w:r>
              <w:rPr>
                <w:rFonts w:hint="eastAsia" w:ascii="Times New Roman" w:hAnsi="Times New Roman"/>
                <w:sz w:val="24"/>
                <w:vertAlign w:val="superscript"/>
              </w:rPr>
              <w:t>-1</w:t>
            </w:r>
            <w:r>
              <w:rPr>
                <w:rFonts w:hint="eastAsia" w:ascii="Times New Roman" w:hAnsi="Times New Roman"/>
                <w:sz w:val="24"/>
              </w:rPr>
              <w:t>，根据建设单位提供的资料，参考《工业X射线探伤室辐射屏蔽规范》（GBZ/T250-2014，表B.1），</w:t>
            </w:r>
            <w:r>
              <w:rPr>
                <w:rFonts w:hint="eastAsia" w:ascii="Times New Roman" w:hAnsi="Times New Roman"/>
                <w:color w:val="000000"/>
                <w:sz w:val="24"/>
              </w:rPr>
              <w:t>本项目</w:t>
            </w:r>
            <w:r>
              <w:rPr>
                <w:rFonts w:ascii="Times New Roman" w:hAnsi="Times New Roman"/>
                <w:color w:val="000000"/>
                <w:sz w:val="24"/>
              </w:rPr>
              <w:t>XT-3005</w:t>
            </w:r>
            <w:r>
              <w:rPr>
                <w:rFonts w:hint="eastAsia" w:ascii="Times New Roman" w:hAnsi="Times New Roman"/>
                <w:color w:val="000000"/>
                <w:sz w:val="24"/>
              </w:rPr>
              <w:t>和XXQ-3005型工业用X射线探伤机取20.9、XXQ-</w:t>
            </w:r>
            <w:r>
              <w:rPr>
                <w:rFonts w:ascii="Times New Roman" w:hAnsi="Times New Roman"/>
                <w:color w:val="000000"/>
                <w:sz w:val="24"/>
              </w:rPr>
              <w:t>25</w:t>
            </w:r>
            <w:r>
              <w:rPr>
                <w:rFonts w:hint="eastAsia" w:ascii="Times New Roman" w:hAnsi="Times New Roman"/>
                <w:color w:val="000000"/>
                <w:sz w:val="24"/>
              </w:rPr>
              <w:t>05型工业用X射线探伤机取1</w:t>
            </w:r>
            <w:r>
              <w:rPr>
                <w:rFonts w:ascii="Times New Roman" w:hAnsi="Times New Roman"/>
                <w:color w:val="000000"/>
                <w:sz w:val="24"/>
              </w:rPr>
              <w:t>3</w:t>
            </w:r>
            <w:r>
              <w:rPr>
                <w:rFonts w:hint="eastAsia" w:ascii="Times New Roman" w:hAnsi="Times New Roman"/>
                <w:color w:val="000000"/>
                <w:sz w:val="24"/>
              </w:rPr>
              <w:t>.9；</w:t>
            </w:r>
          </w:p>
          <w:p>
            <w:pPr>
              <w:spacing w:line="360" w:lineRule="auto"/>
              <w:ind w:firstLine="480" w:firstLineChars="200"/>
              <w:rPr>
                <w:rFonts w:ascii="Times New Roman" w:hAnsi="Times New Roman"/>
                <w:sz w:val="24"/>
              </w:rPr>
            </w:pPr>
            <w:r>
              <w:rPr>
                <w:rFonts w:ascii="Times New Roman" w:hAnsi="Times New Roman"/>
                <w:sz w:val="24"/>
              </w:rPr>
              <w:t>F—R</w:t>
            </w:r>
            <w:r>
              <w:rPr>
                <w:rFonts w:ascii="Times New Roman" w:hAnsi="Times New Roman"/>
                <w:sz w:val="24"/>
                <w:vertAlign w:val="subscript"/>
              </w:rPr>
              <w:t>0</w:t>
            </w:r>
            <w:r>
              <w:rPr>
                <w:rFonts w:ascii="Times New Roman" w:hAnsi="Times New Roman"/>
                <w:sz w:val="24"/>
              </w:rPr>
              <w:t>处的辐射野面积；</w:t>
            </w:r>
          </w:p>
          <w:p>
            <w:pPr>
              <w:spacing w:line="360" w:lineRule="auto"/>
              <w:ind w:firstLine="480" w:firstLineChars="200"/>
              <w:rPr>
                <w:rFonts w:ascii="Times New Roman" w:hAnsi="Times New Roman"/>
                <w:sz w:val="24"/>
              </w:rPr>
            </w:pPr>
            <w:r>
              <w:rPr>
                <w:rFonts w:ascii="Times New Roman" w:hAnsi="Times New Roman"/>
                <w:sz w:val="24"/>
              </w:rPr>
              <w:t>α—散射因子，可保守取值为α</w:t>
            </w:r>
            <w:r>
              <w:rPr>
                <w:rFonts w:ascii="Times New Roman" w:hAnsi="Times New Roman"/>
                <w:sz w:val="24"/>
                <w:vertAlign w:val="subscript"/>
              </w:rPr>
              <w:t>w</w:t>
            </w:r>
            <w:r>
              <w:rPr>
                <w:rFonts w:ascii="Times New Roman" w:hAnsi="Times New Roman"/>
                <w:sz w:val="24"/>
              </w:rPr>
              <w:t>·10000/400，α</w:t>
            </w:r>
            <w:r>
              <w:rPr>
                <w:rFonts w:ascii="Times New Roman" w:hAnsi="Times New Roman"/>
                <w:sz w:val="24"/>
                <w:vertAlign w:val="subscript"/>
              </w:rPr>
              <w:t>w</w:t>
            </w:r>
            <w:r>
              <w:rPr>
                <w:rFonts w:ascii="Times New Roman" w:hAnsi="Times New Roman"/>
                <w:sz w:val="24"/>
              </w:rPr>
              <w:t>保守取1.9×10</w:t>
            </w:r>
            <w:r>
              <w:rPr>
                <w:rFonts w:ascii="Times New Roman" w:hAnsi="Times New Roman"/>
                <w:sz w:val="24"/>
                <w:vertAlign w:val="superscript"/>
              </w:rPr>
              <w:t>-3</w:t>
            </w:r>
            <w:r>
              <w:rPr>
                <w:rFonts w:ascii="Times New Roman" w:hAnsi="Times New Roman"/>
                <w:sz w:val="24"/>
              </w:rPr>
              <w:t>，见GBZ/T250-2014附录B中表B.3，R</w:t>
            </w:r>
            <w:r>
              <w:rPr>
                <w:rFonts w:ascii="Times New Roman" w:hAnsi="Times New Roman"/>
                <w:sz w:val="24"/>
                <w:vertAlign w:val="subscript"/>
              </w:rPr>
              <w:t>0</w:t>
            </w:r>
            <w:r>
              <w:rPr>
                <w:rFonts w:ascii="Times New Roman" w:hAnsi="Times New Roman"/>
                <w:sz w:val="24"/>
                <w:vertAlign w:val="superscript"/>
              </w:rPr>
              <w:t>2</w:t>
            </w:r>
            <w:r>
              <w:rPr>
                <w:rFonts w:ascii="Times New Roman" w:hAnsi="Times New Roman"/>
                <w:sz w:val="24"/>
              </w:rPr>
              <w:t>/(F*α)—当X射线探伤装置圆锥束中心轴和圆锥边界的夹角为20°时，取值为50；</w:t>
            </w:r>
          </w:p>
          <w:p>
            <w:pPr>
              <w:spacing w:line="360" w:lineRule="auto"/>
              <w:ind w:firstLine="480" w:firstLineChars="200"/>
              <w:rPr>
                <w:rFonts w:ascii="Times New Roman" w:hAnsi="Times New Roman"/>
                <w:sz w:val="24"/>
              </w:rPr>
            </w:pPr>
            <w:r>
              <w:rPr>
                <w:rFonts w:hint="eastAsia" w:ascii="Times New Roman" w:hAnsi="Times New Roman"/>
                <w:sz w:val="24"/>
              </w:rPr>
              <w:t>经过工件一次散射后，根据《工业X射线探伤室辐射屏蔽规范》</w:t>
            </w:r>
            <w:r>
              <w:rPr>
                <w:rFonts w:ascii="Times New Roman" w:hAnsi="Times New Roman"/>
                <w:sz w:val="24"/>
              </w:rPr>
              <w:t>(</w:t>
            </w:r>
            <w:r>
              <w:rPr>
                <w:rFonts w:hint="eastAsia" w:ascii="Times New Roman" w:hAnsi="Times New Roman"/>
                <w:sz w:val="24"/>
              </w:rPr>
              <w:t>GBZ/T250-2014)表2，对应的X射线能量见表11-</w:t>
            </w:r>
            <w:r>
              <w:rPr>
                <w:rFonts w:ascii="Times New Roman" w:hAnsi="Times New Roman"/>
                <w:sz w:val="24"/>
              </w:rPr>
              <w:t>5</w:t>
            </w:r>
            <w:r>
              <w:rPr>
                <w:rFonts w:hint="eastAsia" w:ascii="Times New Roman" w:hAnsi="Times New Roman"/>
                <w:sz w:val="24"/>
              </w:rPr>
              <w:t>。</w:t>
            </w:r>
          </w:p>
          <w:p>
            <w:pPr>
              <w:spacing w:line="360" w:lineRule="auto"/>
              <w:ind w:firstLine="482" w:firstLineChars="200"/>
              <w:jc w:val="center"/>
              <w:rPr>
                <w:rFonts w:ascii="Times New Roman" w:hAnsi="Times New Roman"/>
                <w:b/>
                <w:bCs/>
                <w:sz w:val="24"/>
              </w:rPr>
            </w:pPr>
            <w:r>
              <w:rPr>
                <w:rFonts w:hint="eastAsia" w:ascii="Times New Roman" w:hAnsi="Times New Roman"/>
                <w:b/>
                <w:bCs/>
                <w:sz w:val="24"/>
              </w:rPr>
              <w:t>表11-</w:t>
            </w:r>
            <w:r>
              <w:rPr>
                <w:rFonts w:ascii="Times New Roman" w:hAnsi="Times New Roman"/>
                <w:b/>
                <w:bCs/>
                <w:sz w:val="24"/>
              </w:rPr>
              <w:t xml:space="preserve">3 </w:t>
            </w:r>
            <w:r>
              <w:rPr>
                <w:rFonts w:hint="eastAsia" w:ascii="Times New Roman" w:hAnsi="Times New Roman"/>
                <w:b/>
                <w:bCs/>
                <w:sz w:val="24"/>
              </w:rPr>
              <w:t xml:space="preserve"> X射线90°散射辐射最高能量相应的kV值</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4"/>
              <w:gridCol w:w="4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454" w:type="dxa"/>
                </w:tcPr>
                <w:p>
                  <w:pPr>
                    <w:spacing w:line="360" w:lineRule="auto"/>
                    <w:jc w:val="center"/>
                    <w:rPr>
                      <w:rFonts w:ascii="Times New Roman" w:hAnsi="Times New Roman"/>
                      <w:sz w:val="24"/>
                    </w:rPr>
                  </w:pPr>
                  <w:r>
                    <w:rPr>
                      <w:rFonts w:hint="eastAsia" w:ascii="Times New Roman" w:hAnsi="Times New Roman"/>
                      <w:sz w:val="24"/>
                    </w:rPr>
                    <w:t>原始X射线（kV）</w:t>
                  </w:r>
                </w:p>
              </w:tc>
              <w:tc>
                <w:tcPr>
                  <w:tcW w:w="4455" w:type="dxa"/>
                </w:tcPr>
                <w:p>
                  <w:pPr>
                    <w:spacing w:line="360" w:lineRule="auto"/>
                    <w:jc w:val="center"/>
                    <w:rPr>
                      <w:rFonts w:ascii="Times New Roman" w:hAnsi="Times New Roman"/>
                      <w:sz w:val="24"/>
                    </w:rPr>
                  </w:pPr>
                  <w:r>
                    <w:rPr>
                      <w:rFonts w:hint="eastAsia" w:ascii="Times New Roman" w:hAnsi="Times New Roman"/>
                      <w:sz w:val="24"/>
                    </w:rPr>
                    <w:t>散射辐射（kV）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454" w:type="dxa"/>
                </w:tcPr>
                <w:p>
                  <w:pPr>
                    <w:spacing w:line="360" w:lineRule="auto"/>
                    <w:jc w:val="center"/>
                    <w:rPr>
                      <w:rFonts w:ascii="Times New Roman" w:hAnsi="Times New Roman"/>
                      <w:sz w:val="24"/>
                    </w:rPr>
                  </w:pPr>
                  <w:r>
                    <w:rPr>
                      <w:rFonts w:hint="eastAsia" w:ascii="Times New Roman" w:hAnsi="Times New Roman"/>
                      <w:sz w:val="24"/>
                    </w:rPr>
                    <w:t>1</w:t>
                  </w:r>
                  <w:r>
                    <w:rPr>
                      <w:rFonts w:ascii="Times New Roman" w:hAnsi="Times New Roman"/>
                      <w:sz w:val="24"/>
                    </w:rPr>
                    <w:t>50</w:t>
                  </w:r>
                  <w:r>
                    <w:rPr>
                      <w:rFonts w:hint="eastAsia" w:ascii="Times New Roman" w:hAnsi="Times New Roman"/>
                      <w:sz w:val="24"/>
                    </w:rPr>
                    <w:t>≤kV≤</w:t>
                  </w:r>
                  <w:r>
                    <w:rPr>
                      <w:rFonts w:ascii="Times New Roman" w:hAnsi="Times New Roman"/>
                      <w:sz w:val="24"/>
                    </w:rPr>
                    <w:t>200</w:t>
                  </w:r>
                </w:p>
              </w:tc>
              <w:tc>
                <w:tcPr>
                  <w:tcW w:w="4455" w:type="dxa"/>
                </w:tcPr>
                <w:p>
                  <w:pPr>
                    <w:spacing w:line="360" w:lineRule="auto"/>
                    <w:jc w:val="center"/>
                    <w:rPr>
                      <w:rFonts w:ascii="Times New Roman" w:hAnsi="Times New Roman"/>
                      <w:sz w:val="24"/>
                    </w:rPr>
                  </w:pPr>
                  <w:r>
                    <w:rPr>
                      <w:rFonts w:hint="eastAsia" w:ascii="Times New Roman" w:hAnsi="Times New Roman"/>
                      <w:sz w:val="24"/>
                    </w:rPr>
                    <w:t>1</w:t>
                  </w:r>
                  <w:r>
                    <w:rPr>
                      <w:rFonts w:ascii="Times New Roman" w:hAnsi="Times New Roman"/>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454" w:type="dxa"/>
                </w:tcPr>
                <w:p>
                  <w:pPr>
                    <w:spacing w:line="360" w:lineRule="auto"/>
                    <w:jc w:val="center"/>
                    <w:rPr>
                      <w:rFonts w:ascii="Times New Roman" w:hAnsi="Times New Roman"/>
                      <w:sz w:val="24"/>
                    </w:rPr>
                  </w:pPr>
                  <w:r>
                    <w:rPr>
                      <w:rFonts w:ascii="Times New Roman" w:hAnsi="Times New Roman"/>
                      <w:sz w:val="24"/>
                    </w:rPr>
                    <w:t>200</w:t>
                  </w:r>
                  <w:r>
                    <w:rPr>
                      <w:rFonts w:hint="eastAsia" w:ascii="Times New Roman" w:hAnsi="Times New Roman"/>
                      <w:sz w:val="24"/>
                    </w:rPr>
                    <w:t>≤kV≤</w:t>
                  </w:r>
                  <w:r>
                    <w:rPr>
                      <w:rFonts w:ascii="Times New Roman" w:hAnsi="Times New Roman"/>
                      <w:sz w:val="24"/>
                    </w:rPr>
                    <w:t>300</w:t>
                  </w:r>
                </w:p>
              </w:tc>
              <w:tc>
                <w:tcPr>
                  <w:tcW w:w="4455" w:type="dxa"/>
                </w:tcPr>
                <w:p>
                  <w:pPr>
                    <w:spacing w:line="360" w:lineRule="auto"/>
                    <w:jc w:val="center"/>
                    <w:rPr>
                      <w:rFonts w:ascii="Times New Roman" w:hAnsi="Times New Roman"/>
                      <w:sz w:val="24"/>
                    </w:rPr>
                  </w:pPr>
                  <w:r>
                    <w:rPr>
                      <w:rFonts w:hint="eastAsia" w:ascii="Times New Roman" w:hAnsi="Times New Roman"/>
                      <w:sz w:val="24"/>
                    </w:rPr>
                    <w:t>2</w:t>
                  </w:r>
                  <w:r>
                    <w:rPr>
                      <w:rFonts w:ascii="Times New Roman" w:hAnsi="Times New Roman"/>
                      <w:sz w:val="24"/>
                    </w:rPr>
                    <w:t>00</w:t>
                  </w:r>
                </w:p>
              </w:tc>
            </w:tr>
          </w:tbl>
          <w:p>
            <w:pPr>
              <w:spacing w:line="360" w:lineRule="auto"/>
              <w:ind w:firstLine="480" w:firstLineChars="200"/>
              <w:rPr>
                <w:rFonts w:ascii="Times New Roman" w:hAnsi="Times New Roman"/>
                <w:sz w:val="24"/>
              </w:rPr>
            </w:pPr>
            <w:r>
              <w:rPr>
                <w:rFonts w:hint="eastAsia" w:ascii="Times New Roman" w:hAnsi="Times New Roman"/>
                <w:sz w:val="24"/>
              </w:rPr>
              <w:t>根据（</w:t>
            </w:r>
            <w:r>
              <w:rPr>
                <w:rFonts w:ascii="Times New Roman" w:hAnsi="Times New Roman"/>
                <w:sz w:val="24"/>
              </w:rPr>
              <w:t>3</w:t>
            </w:r>
            <w:r>
              <w:rPr>
                <w:rFonts w:hint="eastAsia" w:ascii="Times New Roman" w:hAnsi="Times New Roman"/>
                <w:sz w:val="24"/>
              </w:rPr>
              <w:t>）、（</w:t>
            </w:r>
            <w:r>
              <w:rPr>
                <w:rFonts w:ascii="Times New Roman" w:hAnsi="Times New Roman"/>
                <w:sz w:val="24"/>
              </w:rPr>
              <w:t>4</w:t>
            </w:r>
            <w:r>
              <w:rPr>
                <w:rFonts w:hint="eastAsia" w:ascii="Times New Roman" w:hAnsi="Times New Roman"/>
                <w:sz w:val="24"/>
              </w:rPr>
              <w:t>）所述，计算结果见下表：</w:t>
            </w: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2" w:firstLineChars="200"/>
              <w:rPr>
                <w:rFonts w:ascii="Times New Roman" w:hAnsi="Times New Roman"/>
                <w:b/>
                <w:bCs/>
                <w:sz w:val="24"/>
              </w:rPr>
            </w:pPr>
            <w:r>
              <w:rPr>
                <w:rFonts w:ascii="Times New Roman" w:hAnsi="Times New Roman"/>
                <w:b/>
                <w:bCs/>
                <w:sz w:val="24"/>
              </w:rPr>
              <w:t>表11-4 不同距离非主射方向空气吸收剂量计算表（无铅屏风）（μSv/h）</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972"/>
              <w:gridCol w:w="992"/>
              <w:gridCol w:w="1854"/>
              <w:gridCol w:w="839"/>
              <w:gridCol w:w="113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restart"/>
                  <w:vAlign w:val="center"/>
                </w:tcPr>
                <w:p>
                  <w:pPr>
                    <w:jc w:val="center"/>
                    <w:rPr>
                      <w:rFonts w:ascii="Times New Roman" w:hAnsi="Times New Roman"/>
                      <w:szCs w:val="21"/>
                    </w:rPr>
                  </w:pPr>
                  <w:r>
                    <w:rPr>
                      <w:rFonts w:ascii="Times New Roman" w:hAnsi="Times New Roman"/>
                      <w:szCs w:val="21"/>
                    </w:rPr>
                    <w:t>距射线靶的距离(m)</w:t>
                  </w:r>
                </w:p>
              </w:tc>
              <w:tc>
                <w:tcPr>
                  <w:tcW w:w="3818" w:type="dxa"/>
                  <w:gridSpan w:val="3"/>
                  <w:vAlign w:val="center"/>
                </w:tcPr>
                <w:p>
                  <w:pPr>
                    <w:jc w:val="center"/>
                    <w:rPr>
                      <w:rFonts w:ascii="Times New Roman" w:hAnsi="Times New Roman"/>
                      <w:szCs w:val="21"/>
                    </w:rPr>
                  </w:pPr>
                  <w:r>
                    <w:rPr>
                      <w:rFonts w:ascii="Times New Roman" w:hAnsi="Times New Roman"/>
                      <w:color w:val="000000"/>
                      <w:szCs w:val="21"/>
                    </w:rPr>
                    <w:t>XT-3005和XXG-3005型工业用X射线探伤机</w:t>
                  </w:r>
                </w:p>
              </w:tc>
              <w:tc>
                <w:tcPr>
                  <w:tcW w:w="3819" w:type="dxa"/>
                  <w:gridSpan w:val="3"/>
                  <w:vAlign w:val="center"/>
                </w:tcPr>
                <w:p>
                  <w:pPr>
                    <w:spacing w:line="360" w:lineRule="auto"/>
                    <w:jc w:val="center"/>
                    <w:rPr>
                      <w:rFonts w:ascii="Times New Roman" w:hAnsi="Times New Roman"/>
                      <w:szCs w:val="21"/>
                    </w:rPr>
                  </w:pPr>
                  <w:r>
                    <w:rPr>
                      <w:rFonts w:ascii="Times New Roman" w:hAnsi="Times New Roman"/>
                      <w:color w:val="000000"/>
                      <w:szCs w:val="21"/>
                    </w:rPr>
                    <w:t>XXG-2505型工业用X射线探伤机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continue"/>
                  <w:vAlign w:val="center"/>
                </w:tcPr>
                <w:p>
                  <w:pPr>
                    <w:spacing w:line="360" w:lineRule="auto"/>
                    <w:jc w:val="center"/>
                    <w:rPr>
                      <w:rFonts w:ascii="Times New Roman" w:hAnsi="Times New Roman"/>
                      <w:szCs w:val="21"/>
                    </w:rPr>
                  </w:pPr>
                </w:p>
              </w:tc>
              <w:tc>
                <w:tcPr>
                  <w:tcW w:w="972" w:type="dxa"/>
                  <w:vAlign w:val="center"/>
                </w:tcPr>
                <w:p>
                  <w:pPr>
                    <w:spacing w:line="360" w:lineRule="auto"/>
                    <w:jc w:val="center"/>
                    <w:rPr>
                      <w:rFonts w:ascii="Times New Roman" w:hAnsi="Times New Roman"/>
                      <w:szCs w:val="21"/>
                    </w:rPr>
                  </w:pPr>
                  <w:r>
                    <w:rPr>
                      <w:rFonts w:ascii="Times New Roman" w:hAnsi="Times New Roman"/>
                      <w:szCs w:val="21"/>
                    </w:rPr>
                    <w:t>漏射</w:t>
                  </w:r>
                </w:p>
              </w:tc>
              <w:tc>
                <w:tcPr>
                  <w:tcW w:w="992" w:type="dxa"/>
                  <w:vAlign w:val="center"/>
                </w:tcPr>
                <w:p>
                  <w:pPr>
                    <w:spacing w:line="360" w:lineRule="auto"/>
                    <w:jc w:val="center"/>
                    <w:rPr>
                      <w:rFonts w:ascii="Times New Roman" w:hAnsi="Times New Roman"/>
                      <w:szCs w:val="21"/>
                    </w:rPr>
                  </w:pPr>
                  <w:r>
                    <w:rPr>
                      <w:rFonts w:ascii="Times New Roman" w:hAnsi="Times New Roman"/>
                      <w:szCs w:val="21"/>
                    </w:rPr>
                    <w:t>散射</w:t>
                  </w:r>
                </w:p>
              </w:tc>
              <w:tc>
                <w:tcPr>
                  <w:tcW w:w="1854" w:type="dxa"/>
                  <w:vAlign w:val="center"/>
                </w:tcPr>
                <w:p>
                  <w:pPr>
                    <w:spacing w:line="360" w:lineRule="auto"/>
                    <w:jc w:val="center"/>
                    <w:rPr>
                      <w:rFonts w:ascii="Times New Roman" w:hAnsi="Times New Roman"/>
                      <w:szCs w:val="21"/>
                    </w:rPr>
                  </w:pPr>
                  <w:r>
                    <w:rPr>
                      <w:rFonts w:ascii="Times New Roman" w:hAnsi="Times New Roman"/>
                      <w:szCs w:val="21"/>
                    </w:rPr>
                    <w:t>合计</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漏射</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散射</w:t>
                  </w:r>
                </w:p>
              </w:tc>
              <w:tc>
                <w:tcPr>
                  <w:tcW w:w="1846" w:type="dxa"/>
                  <w:vAlign w:val="center"/>
                </w:tcPr>
                <w:p>
                  <w:pPr>
                    <w:spacing w:line="360" w:lineRule="auto"/>
                    <w:jc w:val="center"/>
                    <w:rPr>
                      <w:rFonts w:ascii="Times New Roman" w:hAnsi="Times New Roman"/>
                      <w:szCs w:val="21"/>
                    </w:rPr>
                  </w:pPr>
                  <w:r>
                    <w:rPr>
                      <w:rFonts w:ascii="Times New Roman" w:hAnsi="Times New Roman"/>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ascii="Times New Roman" w:hAnsi="Times New Roman"/>
                      <w:szCs w:val="21"/>
                    </w:rPr>
                    <w:t>5</w:t>
                  </w:r>
                </w:p>
              </w:tc>
              <w:tc>
                <w:tcPr>
                  <w:tcW w:w="972" w:type="dxa"/>
                  <w:vAlign w:val="center"/>
                </w:tcPr>
                <w:p>
                  <w:pPr>
                    <w:spacing w:line="360" w:lineRule="auto"/>
                    <w:jc w:val="center"/>
                    <w:rPr>
                      <w:rFonts w:ascii="Times New Roman" w:hAnsi="Times New Roman"/>
                      <w:szCs w:val="21"/>
                    </w:rPr>
                  </w:pPr>
                  <w:r>
                    <w:rPr>
                      <w:rFonts w:ascii="Times New Roman" w:hAnsi="Times New Roman"/>
                      <w:szCs w:val="21"/>
                    </w:rPr>
                    <w:t>200.00</w:t>
                  </w:r>
                </w:p>
              </w:tc>
              <w:tc>
                <w:tcPr>
                  <w:tcW w:w="992" w:type="dxa"/>
                  <w:vAlign w:val="center"/>
                </w:tcPr>
                <w:p>
                  <w:pPr>
                    <w:spacing w:line="360" w:lineRule="auto"/>
                    <w:jc w:val="center"/>
                    <w:rPr>
                      <w:rFonts w:ascii="Times New Roman" w:hAnsi="Times New Roman"/>
                      <w:szCs w:val="21"/>
                    </w:rPr>
                  </w:pPr>
                  <w:r>
                    <w:rPr>
                      <w:rFonts w:ascii="Times New Roman" w:hAnsi="Times New Roman"/>
                      <w:szCs w:val="21"/>
                    </w:rPr>
                    <w:t>5016.00</w:t>
                  </w:r>
                </w:p>
              </w:tc>
              <w:tc>
                <w:tcPr>
                  <w:tcW w:w="1854" w:type="dxa"/>
                  <w:vAlign w:val="center"/>
                </w:tcPr>
                <w:p>
                  <w:pPr>
                    <w:spacing w:line="360" w:lineRule="auto"/>
                    <w:jc w:val="center"/>
                    <w:rPr>
                      <w:rFonts w:ascii="Times New Roman" w:hAnsi="Times New Roman"/>
                      <w:szCs w:val="21"/>
                    </w:rPr>
                  </w:pPr>
                  <w:r>
                    <w:rPr>
                      <w:rFonts w:ascii="Times New Roman" w:hAnsi="Times New Roman"/>
                      <w:szCs w:val="21"/>
                    </w:rPr>
                    <w:t>5216.00</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200.00</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3336.0</w:t>
                  </w:r>
                </w:p>
              </w:tc>
              <w:tc>
                <w:tcPr>
                  <w:tcW w:w="1846" w:type="dxa"/>
                  <w:vAlign w:val="center"/>
                </w:tcPr>
                <w:p>
                  <w:pPr>
                    <w:spacing w:line="360" w:lineRule="auto"/>
                    <w:jc w:val="center"/>
                    <w:rPr>
                      <w:rFonts w:ascii="Times New Roman" w:hAnsi="Times New Roman"/>
                      <w:szCs w:val="21"/>
                    </w:rPr>
                  </w:pPr>
                  <w:r>
                    <w:rPr>
                      <w:rFonts w:ascii="Times New Roman" w:hAnsi="Times New Roman"/>
                      <w:szCs w:val="21"/>
                    </w:rPr>
                    <w:t>3536.0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ascii="Times New Roman" w:hAnsi="Times New Roman"/>
                      <w:szCs w:val="21"/>
                    </w:rPr>
                    <w:t>10</w:t>
                  </w:r>
                </w:p>
              </w:tc>
              <w:tc>
                <w:tcPr>
                  <w:tcW w:w="972" w:type="dxa"/>
                  <w:vAlign w:val="center"/>
                </w:tcPr>
                <w:p>
                  <w:pPr>
                    <w:spacing w:line="360" w:lineRule="auto"/>
                    <w:jc w:val="center"/>
                    <w:rPr>
                      <w:rFonts w:ascii="Times New Roman" w:hAnsi="Times New Roman"/>
                      <w:szCs w:val="21"/>
                    </w:rPr>
                  </w:pPr>
                  <w:r>
                    <w:rPr>
                      <w:rFonts w:ascii="Times New Roman" w:hAnsi="Times New Roman"/>
                      <w:szCs w:val="21"/>
                    </w:rPr>
                    <w:t>50.00</w:t>
                  </w:r>
                </w:p>
              </w:tc>
              <w:tc>
                <w:tcPr>
                  <w:tcW w:w="992" w:type="dxa"/>
                  <w:vAlign w:val="center"/>
                </w:tcPr>
                <w:p>
                  <w:pPr>
                    <w:spacing w:line="360" w:lineRule="auto"/>
                    <w:jc w:val="center"/>
                    <w:rPr>
                      <w:rFonts w:ascii="Times New Roman" w:hAnsi="Times New Roman"/>
                      <w:szCs w:val="21"/>
                    </w:rPr>
                  </w:pPr>
                  <w:r>
                    <w:rPr>
                      <w:rFonts w:ascii="Times New Roman" w:hAnsi="Times New Roman"/>
                      <w:szCs w:val="21"/>
                    </w:rPr>
                    <w:t>1254.00</w:t>
                  </w:r>
                </w:p>
              </w:tc>
              <w:tc>
                <w:tcPr>
                  <w:tcW w:w="1854" w:type="dxa"/>
                  <w:vAlign w:val="center"/>
                </w:tcPr>
                <w:p>
                  <w:pPr>
                    <w:spacing w:line="360" w:lineRule="auto"/>
                    <w:jc w:val="center"/>
                    <w:rPr>
                      <w:rFonts w:ascii="Times New Roman" w:hAnsi="Times New Roman"/>
                      <w:szCs w:val="21"/>
                    </w:rPr>
                  </w:pPr>
                  <w:r>
                    <w:rPr>
                      <w:rFonts w:ascii="Times New Roman" w:hAnsi="Times New Roman"/>
                      <w:szCs w:val="21"/>
                    </w:rPr>
                    <w:t>1304.00</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50.00</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834.00</w:t>
                  </w:r>
                </w:p>
              </w:tc>
              <w:tc>
                <w:tcPr>
                  <w:tcW w:w="1846" w:type="dxa"/>
                  <w:vAlign w:val="center"/>
                </w:tcPr>
                <w:p>
                  <w:pPr>
                    <w:spacing w:line="360" w:lineRule="auto"/>
                    <w:jc w:val="center"/>
                    <w:rPr>
                      <w:rFonts w:ascii="Times New Roman" w:hAnsi="Times New Roman"/>
                      <w:szCs w:val="21"/>
                    </w:rPr>
                  </w:pPr>
                  <w:r>
                    <w:rPr>
                      <w:rFonts w:ascii="Times New Roman" w:hAnsi="Times New Roman"/>
                      <w:szCs w:val="21"/>
                    </w:rPr>
                    <w:t>884.00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ascii="Times New Roman" w:hAnsi="Times New Roman"/>
                      <w:szCs w:val="21"/>
                    </w:rPr>
                    <w:t>20</w:t>
                  </w:r>
                </w:p>
              </w:tc>
              <w:tc>
                <w:tcPr>
                  <w:tcW w:w="972" w:type="dxa"/>
                  <w:vAlign w:val="center"/>
                </w:tcPr>
                <w:p>
                  <w:pPr>
                    <w:spacing w:line="360" w:lineRule="auto"/>
                    <w:jc w:val="center"/>
                    <w:rPr>
                      <w:rFonts w:ascii="Times New Roman" w:hAnsi="Times New Roman"/>
                      <w:szCs w:val="21"/>
                    </w:rPr>
                  </w:pPr>
                  <w:r>
                    <w:rPr>
                      <w:rFonts w:ascii="Times New Roman" w:hAnsi="Times New Roman"/>
                      <w:szCs w:val="21"/>
                    </w:rPr>
                    <w:t>12.50</w:t>
                  </w:r>
                </w:p>
              </w:tc>
              <w:tc>
                <w:tcPr>
                  <w:tcW w:w="992" w:type="dxa"/>
                  <w:vAlign w:val="center"/>
                </w:tcPr>
                <w:p>
                  <w:pPr>
                    <w:spacing w:line="360" w:lineRule="auto"/>
                    <w:jc w:val="center"/>
                    <w:rPr>
                      <w:rFonts w:ascii="Times New Roman" w:hAnsi="Times New Roman"/>
                      <w:szCs w:val="21"/>
                    </w:rPr>
                  </w:pPr>
                  <w:r>
                    <w:rPr>
                      <w:rFonts w:ascii="Times New Roman" w:hAnsi="Times New Roman"/>
                      <w:szCs w:val="21"/>
                    </w:rPr>
                    <w:t>313.50</w:t>
                  </w:r>
                </w:p>
              </w:tc>
              <w:tc>
                <w:tcPr>
                  <w:tcW w:w="1854" w:type="dxa"/>
                  <w:vAlign w:val="center"/>
                </w:tcPr>
                <w:p>
                  <w:pPr>
                    <w:spacing w:line="360" w:lineRule="auto"/>
                    <w:jc w:val="center"/>
                    <w:rPr>
                      <w:rFonts w:ascii="Times New Roman" w:hAnsi="Times New Roman"/>
                      <w:szCs w:val="21"/>
                    </w:rPr>
                  </w:pPr>
                  <w:r>
                    <w:rPr>
                      <w:rFonts w:ascii="Times New Roman" w:hAnsi="Times New Roman"/>
                      <w:szCs w:val="21"/>
                    </w:rPr>
                    <w:t>326.00</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12.50</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208.50</w:t>
                  </w:r>
                </w:p>
              </w:tc>
              <w:tc>
                <w:tcPr>
                  <w:tcW w:w="1846" w:type="dxa"/>
                  <w:vAlign w:val="center"/>
                </w:tcPr>
                <w:p>
                  <w:pPr>
                    <w:spacing w:line="360" w:lineRule="auto"/>
                    <w:jc w:val="center"/>
                    <w:rPr>
                      <w:rFonts w:ascii="Times New Roman" w:hAnsi="Times New Roman"/>
                      <w:szCs w:val="21"/>
                    </w:rPr>
                  </w:pPr>
                  <w:r>
                    <w:rPr>
                      <w:rFonts w:ascii="Times New Roman" w:hAnsi="Times New Roman"/>
                      <w:szCs w:val="21"/>
                    </w:rPr>
                    <w:t>221.00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hint="eastAsia" w:ascii="Times New Roman" w:hAnsi="Times New Roman"/>
                      <w:szCs w:val="21"/>
                    </w:rPr>
                    <w:t>5</w:t>
                  </w:r>
                  <w:r>
                    <w:rPr>
                      <w:rFonts w:ascii="Times New Roman" w:hAnsi="Times New Roman"/>
                      <w:szCs w:val="21"/>
                    </w:rPr>
                    <w:t>0</w:t>
                  </w:r>
                </w:p>
              </w:tc>
              <w:tc>
                <w:tcPr>
                  <w:tcW w:w="972" w:type="dxa"/>
                  <w:vAlign w:val="center"/>
                </w:tcPr>
                <w:p>
                  <w:pPr>
                    <w:spacing w:line="360" w:lineRule="auto"/>
                    <w:jc w:val="center"/>
                    <w:rPr>
                      <w:rFonts w:ascii="Times New Roman" w:hAnsi="Times New Roman"/>
                      <w:szCs w:val="21"/>
                    </w:rPr>
                  </w:pPr>
                  <w:r>
                    <w:rPr>
                      <w:rFonts w:ascii="Times New Roman" w:hAnsi="Times New Roman"/>
                      <w:szCs w:val="21"/>
                    </w:rPr>
                    <w:t>2.00</w:t>
                  </w:r>
                </w:p>
              </w:tc>
              <w:tc>
                <w:tcPr>
                  <w:tcW w:w="992" w:type="dxa"/>
                  <w:vAlign w:val="center"/>
                </w:tcPr>
                <w:p>
                  <w:pPr>
                    <w:spacing w:line="360" w:lineRule="auto"/>
                    <w:jc w:val="center"/>
                    <w:rPr>
                      <w:rFonts w:ascii="Times New Roman" w:hAnsi="Times New Roman"/>
                      <w:szCs w:val="21"/>
                    </w:rPr>
                  </w:pPr>
                  <w:r>
                    <w:rPr>
                      <w:rFonts w:ascii="Times New Roman" w:hAnsi="Times New Roman"/>
                      <w:szCs w:val="21"/>
                    </w:rPr>
                    <w:t>50.16</w:t>
                  </w:r>
                </w:p>
              </w:tc>
              <w:tc>
                <w:tcPr>
                  <w:tcW w:w="1854" w:type="dxa"/>
                  <w:vAlign w:val="center"/>
                </w:tcPr>
                <w:p>
                  <w:pPr>
                    <w:spacing w:line="360" w:lineRule="auto"/>
                    <w:jc w:val="center"/>
                    <w:rPr>
                      <w:rFonts w:ascii="Times New Roman" w:hAnsi="Times New Roman"/>
                      <w:szCs w:val="21"/>
                    </w:rPr>
                  </w:pPr>
                  <w:r>
                    <w:rPr>
                      <w:rFonts w:ascii="Times New Roman" w:hAnsi="Times New Roman"/>
                      <w:szCs w:val="21"/>
                    </w:rPr>
                    <w:t>52.16</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2.00</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33.36</w:t>
                  </w:r>
                </w:p>
              </w:tc>
              <w:tc>
                <w:tcPr>
                  <w:tcW w:w="1846" w:type="dxa"/>
                  <w:vAlign w:val="center"/>
                </w:tcPr>
                <w:p>
                  <w:pPr>
                    <w:spacing w:line="360" w:lineRule="auto"/>
                    <w:jc w:val="center"/>
                    <w:rPr>
                      <w:rFonts w:ascii="Times New Roman" w:hAnsi="Times New Roman"/>
                      <w:szCs w:val="21"/>
                    </w:rPr>
                  </w:pPr>
                  <w:r>
                    <w:rPr>
                      <w:rFonts w:ascii="Times New Roman" w:hAnsi="Times New Roman"/>
                      <w:szCs w:val="21"/>
                    </w:rPr>
                    <w:t>35.36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hint="eastAsia" w:ascii="Times New Roman" w:hAnsi="Times New Roman"/>
                      <w:szCs w:val="21"/>
                    </w:rPr>
                    <w:t>7</w:t>
                  </w:r>
                  <w:r>
                    <w:rPr>
                      <w:rFonts w:ascii="Times New Roman" w:hAnsi="Times New Roman"/>
                      <w:szCs w:val="21"/>
                    </w:rPr>
                    <w:t>7</w:t>
                  </w:r>
                </w:p>
              </w:tc>
              <w:tc>
                <w:tcPr>
                  <w:tcW w:w="972" w:type="dxa"/>
                  <w:vAlign w:val="center"/>
                </w:tcPr>
                <w:p>
                  <w:pPr>
                    <w:spacing w:line="360" w:lineRule="auto"/>
                    <w:jc w:val="center"/>
                    <w:rPr>
                      <w:rFonts w:ascii="Times New Roman" w:hAnsi="Times New Roman"/>
                      <w:szCs w:val="21"/>
                      <w:highlight w:val="yellow"/>
                    </w:rPr>
                  </w:pPr>
                  <w:r>
                    <w:rPr>
                      <w:rFonts w:ascii="Times New Roman" w:hAnsi="Times New Roman"/>
                      <w:szCs w:val="21"/>
                    </w:rPr>
                    <w:t>0.84</w:t>
                  </w:r>
                </w:p>
              </w:tc>
              <w:tc>
                <w:tcPr>
                  <w:tcW w:w="992" w:type="dxa"/>
                  <w:vAlign w:val="center"/>
                </w:tcPr>
                <w:p>
                  <w:pPr>
                    <w:spacing w:line="360" w:lineRule="auto"/>
                    <w:jc w:val="center"/>
                    <w:rPr>
                      <w:rFonts w:ascii="Times New Roman" w:hAnsi="Times New Roman"/>
                      <w:szCs w:val="21"/>
                      <w:highlight w:val="yellow"/>
                    </w:rPr>
                  </w:pPr>
                  <w:r>
                    <w:rPr>
                      <w:rFonts w:ascii="Times New Roman" w:hAnsi="Times New Roman"/>
                      <w:szCs w:val="21"/>
                    </w:rPr>
                    <w:t>21.15</w:t>
                  </w:r>
                </w:p>
              </w:tc>
              <w:tc>
                <w:tcPr>
                  <w:tcW w:w="1854" w:type="dxa"/>
                  <w:vAlign w:val="center"/>
                </w:tcPr>
                <w:p>
                  <w:pPr>
                    <w:spacing w:line="360" w:lineRule="auto"/>
                    <w:jc w:val="center"/>
                    <w:rPr>
                      <w:rFonts w:ascii="Times New Roman" w:hAnsi="Times New Roman"/>
                      <w:szCs w:val="21"/>
                      <w:highlight w:val="yellow"/>
                    </w:rPr>
                  </w:pPr>
                  <w:r>
                    <w:rPr>
                      <w:rFonts w:ascii="Times New Roman" w:hAnsi="Times New Roman"/>
                      <w:szCs w:val="21"/>
                    </w:rPr>
                    <w:t>21.99</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0.84</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14.07</w:t>
                  </w:r>
                </w:p>
              </w:tc>
              <w:tc>
                <w:tcPr>
                  <w:tcW w:w="1846" w:type="dxa"/>
                  <w:vAlign w:val="center"/>
                </w:tcPr>
                <w:p>
                  <w:pPr>
                    <w:jc w:val="center"/>
                    <w:rPr>
                      <w:rFonts w:ascii="Times New Roman" w:hAnsi="Times New Roman"/>
                      <w:b/>
                      <w:bCs/>
                      <w:szCs w:val="21"/>
                    </w:rPr>
                  </w:pPr>
                  <w:r>
                    <w:rPr>
                      <w:rFonts w:ascii="Times New Roman" w:hAnsi="Times New Roman"/>
                      <w:b/>
                      <w:bCs/>
                      <w:szCs w:val="21"/>
                    </w:rPr>
                    <w:t>14.91</w:t>
                  </w:r>
                  <w:r>
                    <w:rPr>
                      <w:rFonts w:hint="eastAsia" w:ascii="Times New Roman" w:hAnsi="Times New Roman"/>
                      <w:b/>
                      <w:bCs/>
                      <w:szCs w:val="21"/>
                    </w:rPr>
                    <w:t>（控制区）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hint="eastAsia" w:ascii="Times New Roman" w:hAnsi="Times New Roman"/>
                      <w:szCs w:val="21"/>
                    </w:rPr>
                    <w:t>9</w:t>
                  </w:r>
                  <w:r>
                    <w:rPr>
                      <w:rFonts w:ascii="Times New Roman" w:hAnsi="Times New Roman"/>
                      <w:szCs w:val="21"/>
                    </w:rPr>
                    <w:t>4</w:t>
                  </w:r>
                </w:p>
              </w:tc>
              <w:tc>
                <w:tcPr>
                  <w:tcW w:w="972" w:type="dxa"/>
                  <w:vAlign w:val="center"/>
                </w:tcPr>
                <w:p>
                  <w:pPr>
                    <w:spacing w:line="360" w:lineRule="auto"/>
                    <w:jc w:val="center"/>
                    <w:rPr>
                      <w:rFonts w:ascii="Times New Roman" w:hAnsi="Times New Roman"/>
                      <w:szCs w:val="21"/>
                    </w:rPr>
                  </w:pPr>
                  <w:r>
                    <w:rPr>
                      <w:rFonts w:ascii="Times New Roman" w:hAnsi="Times New Roman"/>
                      <w:szCs w:val="21"/>
                    </w:rPr>
                    <w:t>0.57</w:t>
                  </w:r>
                </w:p>
              </w:tc>
              <w:tc>
                <w:tcPr>
                  <w:tcW w:w="992" w:type="dxa"/>
                  <w:vAlign w:val="center"/>
                </w:tcPr>
                <w:p>
                  <w:pPr>
                    <w:spacing w:line="360" w:lineRule="auto"/>
                    <w:jc w:val="center"/>
                    <w:rPr>
                      <w:rFonts w:ascii="Times New Roman" w:hAnsi="Times New Roman"/>
                      <w:szCs w:val="21"/>
                    </w:rPr>
                  </w:pPr>
                  <w:r>
                    <w:rPr>
                      <w:rFonts w:ascii="Times New Roman" w:hAnsi="Times New Roman"/>
                      <w:szCs w:val="21"/>
                    </w:rPr>
                    <w:t>14.19</w:t>
                  </w:r>
                </w:p>
              </w:tc>
              <w:tc>
                <w:tcPr>
                  <w:tcW w:w="1854" w:type="dxa"/>
                  <w:vAlign w:val="center"/>
                </w:tcPr>
                <w:p>
                  <w:pPr>
                    <w:jc w:val="center"/>
                    <w:rPr>
                      <w:rFonts w:ascii="Times New Roman" w:hAnsi="Times New Roman"/>
                      <w:b/>
                      <w:bCs/>
                      <w:szCs w:val="21"/>
                    </w:rPr>
                  </w:pPr>
                  <w:r>
                    <w:rPr>
                      <w:rFonts w:ascii="Times New Roman" w:hAnsi="Times New Roman"/>
                      <w:b/>
                      <w:bCs/>
                      <w:szCs w:val="21"/>
                    </w:rPr>
                    <w:t>14.76</w:t>
                  </w:r>
                  <w:r>
                    <w:rPr>
                      <w:rFonts w:hint="eastAsia" w:ascii="Times New Roman" w:hAnsi="Times New Roman"/>
                      <w:b/>
                      <w:bCs/>
                      <w:szCs w:val="21"/>
                    </w:rPr>
                    <w:t>（控制区）</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0.57</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9.44</w:t>
                  </w:r>
                </w:p>
              </w:tc>
              <w:tc>
                <w:tcPr>
                  <w:tcW w:w="1846" w:type="dxa"/>
                  <w:vAlign w:val="center"/>
                </w:tcPr>
                <w:p>
                  <w:pPr>
                    <w:spacing w:line="360" w:lineRule="auto"/>
                    <w:jc w:val="center"/>
                    <w:rPr>
                      <w:rFonts w:ascii="Times New Roman" w:hAnsi="Times New Roman"/>
                      <w:szCs w:val="21"/>
                    </w:rPr>
                  </w:pPr>
                  <w:r>
                    <w:rPr>
                      <w:rFonts w:ascii="Times New Roman" w:hAnsi="Times New Roman"/>
                      <w:szCs w:val="21"/>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hint="eastAsia" w:ascii="Times New Roman" w:hAnsi="Times New Roman"/>
                      <w:szCs w:val="21"/>
                    </w:rPr>
                    <w:t>1</w:t>
                  </w:r>
                  <w:r>
                    <w:rPr>
                      <w:rFonts w:ascii="Times New Roman" w:hAnsi="Times New Roman"/>
                      <w:szCs w:val="21"/>
                    </w:rPr>
                    <w:t>00</w:t>
                  </w:r>
                </w:p>
              </w:tc>
              <w:tc>
                <w:tcPr>
                  <w:tcW w:w="972" w:type="dxa"/>
                  <w:vAlign w:val="center"/>
                </w:tcPr>
                <w:p>
                  <w:pPr>
                    <w:spacing w:line="360" w:lineRule="auto"/>
                    <w:jc w:val="center"/>
                    <w:rPr>
                      <w:rFonts w:ascii="Times New Roman" w:hAnsi="Times New Roman"/>
                      <w:szCs w:val="21"/>
                    </w:rPr>
                  </w:pPr>
                  <w:r>
                    <w:rPr>
                      <w:rFonts w:ascii="Times New Roman" w:hAnsi="Times New Roman"/>
                      <w:szCs w:val="21"/>
                    </w:rPr>
                    <w:t>0.50</w:t>
                  </w:r>
                </w:p>
              </w:tc>
              <w:tc>
                <w:tcPr>
                  <w:tcW w:w="992" w:type="dxa"/>
                  <w:vAlign w:val="center"/>
                </w:tcPr>
                <w:p>
                  <w:pPr>
                    <w:spacing w:line="360" w:lineRule="auto"/>
                    <w:jc w:val="center"/>
                    <w:rPr>
                      <w:rFonts w:ascii="Times New Roman" w:hAnsi="Times New Roman"/>
                      <w:szCs w:val="21"/>
                    </w:rPr>
                  </w:pPr>
                  <w:r>
                    <w:rPr>
                      <w:rFonts w:ascii="Times New Roman" w:hAnsi="Times New Roman"/>
                      <w:szCs w:val="21"/>
                    </w:rPr>
                    <w:t>12.54</w:t>
                  </w:r>
                </w:p>
              </w:tc>
              <w:tc>
                <w:tcPr>
                  <w:tcW w:w="1854" w:type="dxa"/>
                  <w:vAlign w:val="center"/>
                </w:tcPr>
                <w:p>
                  <w:pPr>
                    <w:spacing w:line="360" w:lineRule="auto"/>
                    <w:jc w:val="center"/>
                    <w:rPr>
                      <w:rFonts w:ascii="Times New Roman" w:hAnsi="Times New Roman"/>
                      <w:szCs w:val="21"/>
                    </w:rPr>
                  </w:pPr>
                  <w:r>
                    <w:rPr>
                      <w:rFonts w:ascii="Times New Roman" w:hAnsi="Times New Roman"/>
                      <w:szCs w:val="21"/>
                    </w:rPr>
                    <w:t>13.04</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0.50</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8.34</w:t>
                  </w:r>
                </w:p>
              </w:tc>
              <w:tc>
                <w:tcPr>
                  <w:tcW w:w="1846" w:type="dxa"/>
                  <w:vAlign w:val="center"/>
                </w:tcPr>
                <w:p>
                  <w:pPr>
                    <w:spacing w:line="360" w:lineRule="auto"/>
                    <w:jc w:val="center"/>
                    <w:rPr>
                      <w:rFonts w:ascii="Times New Roman" w:hAnsi="Times New Roman"/>
                      <w:szCs w:val="21"/>
                    </w:rPr>
                  </w:pPr>
                  <w:r>
                    <w:rPr>
                      <w:rFonts w:ascii="Times New Roman" w:hAnsi="Times New Roman"/>
                      <w:szCs w:val="21"/>
                    </w:rPr>
                    <w:t>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hint="eastAsia" w:ascii="Times New Roman" w:hAnsi="Times New Roman"/>
                      <w:szCs w:val="21"/>
                    </w:rPr>
                    <w:t>1</w:t>
                  </w:r>
                  <w:r>
                    <w:rPr>
                      <w:rFonts w:ascii="Times New Roman" w:hAnsi="Times New Roman"/>
                      <w:szCs w:val="21"/>
                    </w:rPr>
                    <w:t>50</w:t>
                  </w:r>
                </w:p>
              </w:tc>
              <w:tc>
                <w:tcPr>
                  <w:tcW w:w="972" w:type="dxa"/>
                  <w:vAlign w:val="center"/>
                </w:tcPr>
                <w:p>
                  <w:pPr>
                    <w:spacing w:line="360" w:lineRule="auto"/>
                    <w:jc w:val="center"/>
                    <w:rPr>
                      <w:rFonts w:ascii="Times New Roman" w:hAnsi="Times New Roman"/>
                      <w:szCs w:val="21"/>
                    </w:rPr>
                  </w:pPr>
                  <w:r>
                    <w:rPr>
                      <w:rFonts w:ascii="Times New Roman" w:hAnsi="Times New Roman"/>
                      <w:szCs w:val="21"/>
                    </w:rPr>
                    <w:t>0.22</w:t>
                  </w:r>
                </w:p>
              </w:tc>
              <w:tc>
                <w:tcPr>
                  <w:tcW w:w="992" w:type="dxa"/>
                  <w:vAlign w:val="center"/>
                </w:tcPr>
                <w:p>
                  <w:pPr>
                    <w:spacing w:line="360" w:lineRule="auto"/>
                    <w:jc w:val="center"/>
                    <w:rPr>
                      <w:rFonts w:ascii="Times New Roman" w:hAnsi="Times New Roman"/>
                      <w:szCs w:val="21"/>
                    </w:rPr>
                  </w:pPr>
                  <w:r>
                    <w:rPr>
                      <w:rFonts w:ascii="Times New Roman" w:hAnsi="Times New Roman"/>
                      <w:szCs w:val="21"/>
                    </w:rPr>
                    <w:t>5.57</w:t>
                  </w:r>
                </w:p>
              </w:tc>
              <w:tc>
                <w:tcPr>
                  <w:tcW w:w="1854" w:type="dxa"/>
                  <w:vAlign w:val="center"/>
                </w:tcPr>
                <w:p>
                  <w:pPr>
                    <w:spacing w:line="360" w:lineRule="auto"/>
                    <w:jc w:val="center"/>
                    <w:rPr>
                      <w:rFonts w:ascii="Times New Roman" w:hAnsi="Times New Roman"/>
                      <w:szCs w:val="21"/>
                    </w:rPr>
                  </w:pPr>
                  <w:r>
                    <w:rPr>
                      <w:rFonts w:ascii="Times New Roman" w:hAnsi="Times New Roman"/>
                      <w:szCs w:val="21"/>
                    </w:rPr>
                    <w:t>5.79</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0.22</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3.71</w:t>
                  </w:r>
                </w:p>
              </w:tc>
              <w:tc>
                <w:tcPr>
                  <w:tcW w:w="1846" w:type="dxa"/>
                  <w:vAlign w:val="center"/>
                </w:tcPr>
                <w:p>
                  <w:pPr>
                    <w:spacing w:line="360" w:lineRule="auto"/>
                    <w:jc w:val="center"/>
                    <w:rPr>
                      <w:rFonts w:ascii="Times New Roman" w:hAnsi="Times New Roman"/>
                      <w:szCs w:val="21"/>
                    </w:rPr>
                  </w:pPr>
                  <w:r>
                    <w:rPr>
                      <w:rFonts w:ascii="Times New Roman" w:hAnsi="Times New Roman"/>
                      <w:szCs w:val="21"/>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hint="eastAsia" w:ascii="Times New Roman" w:hAnsi="Times New Roman"/>
                      <w:szCs w:val="21"/>
                    </w:rPr>
                    <w:t>1</w:t>
                  </w:r>
                  <w:r>
                    <w:rPr>
                      <w:rFonts w:ascii="Times New Roman" w:hAnsi="Times New Roman"/>
                      <w:szCs w:val="21"/>
                    </w:rPr>
                    <w:t>89</w:t>
                  </w:r>
                </w:p>
              </w:tc>
              <w:tc>
                <w:tcPr>
                  <w:tcW w:w="972" w:type="dxa"/>
                  <w:vAlign w:val="center"/>
                </w:tcPr>
                <w:p>
                  <w:pPr>
                    <w:spacing w:line="360" w:lineRule="auto"/>
                    <w:jc w:val="center"/>
                    <w:rPr>
                      <w:rFonts w:ascii="Times New Roman" w:hAnsi="Times New Roman"/>
                      <w:szCs w:val="21"/>
                      <w:highlight w:val="yellow"/>
                    </w:rPr>
                  </w:pPr>
                  <w:r>
                    <w:rPr>
                      <w:rFonts w:ascii="Times New Roman" w:hAnsi="Times New Roman"/>
                      <w:szCs w:val="21"/>
                    </w:rPr>
                    <w:t>0.14</w:t>
                  </w:r>
                </w:p>
              </w:tc>
              <w:tc>
                <w:tcPr>
                  <w:tcW w:w="992" w:type="dxa"/>
                  <w:vAlign w:val="center"/>
                </w:tcPr>
                <w:p>
                  <w:pPr>
                    <w:spacing w:line="360" w:lineRule="auto"/>
                    <w:jc w:val="center"/>
                    <w:rPr>
                      <w:rFonts w:ascii="Times New Roman" w:hAnsi="Times New Roman"/>
                      <w:szCs w:val="21"/>
                      <w:highlight w:val="yellow"/>
                    </w:rPr>
                  </w:pPr>
                  <w:r>
                    <w:rPr>
                      <w:rFonts w:ascii="Times New Roman" w:hAnsi="Times New Roman"/>
                      <w:szCs w:val="21"/>
                    </w:rPr>
                    <w:t>3.51</w:t>
                  </w:r>
                </w:p>
              </w:tc>
              <w:tc>
                <w:tcPr>
                  <w:tcW w:w="1854" w:type="dxa"/>
                  <w:vAlign w:val="center"/>
                </w:tcPr>
                <w:p>
                  <w:pPr>
                    <w:spacing w:line="360" w:lineRule="auto"/>
                    <w:jc w:val="center"/>
                    <w:rPr>
                      <w:rFonts w:ascii="Times New Roman" w:hAnsi="Times New Roman"/>
                      <w:szCs w:val="21"/>
                      <w:highlight w:val="yellow"/>
                    </w:rPr>
                  </w:pPr>
                  <w:r>
                    <w:rPr>
                      <w:rFonts w:ascii="Times New Roman" w:hAnsi="Times New Roman"/>
                      <w:szCs w:val="21"/>
                    </w:rPr>
                    <w:t>3.65</w:t>
                  </w:r>
                </w:p>
              </w:tc>
              <w:tc>
                <w:tcPr>
                  <w:tcW w:w="839" w:type="dxa"/>
                  <w:vAlign w:val="center"/>
                </w:tcPr>
                <w:p>
                  <w:pPr>
                    <w:spacing w:line="360" w:lineRule="auto"/>
                    <w:jc w:val="center"/>
                    <w:rPr>
                      <w:rFonts w:ascii="Times New Roman" w:hAnsi="Times New Roman"/>
                      <w:szCs w:val="21"/>
                    </w:rPr>
                  </w:pPr>
                  <w:r>
                    <w:rPr>
                      <w:rFonts w:ascii="Times New Roman" w:hAnsi="Times New Roman"/>
                      <w:szCs w:val="21"/>
                    </w:rPr>
                    <w:t>0.14</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2.33</w:t>
                  </w:r>
                </w:p>
              </w:tc>
              <w:tc>
                <w:tcPr>
                  <w:tcW w:w="1846" w:type="dxa"/>
                  <w:vAlign w:val="center"/>
                </w:tcPr>
                <w:p>
                  <w:pPr>
                    <w:jc w:val="center"/>
                    <w:rPr>
                      <w:rFonts w:ascii="Times New Roman" w:hAnsi="Times New Roman"/>
                      <w:b/>
                      <w:bCs/>
                      <w:szCs w:val="21"/>
                    </w:rPr>
                  </w:pPr>
                  <w:r>
                    <w:rPr>
                      <w:rFonts w:ascii="Times New Roman" w:hAnsi="Times New Roman"/>
                      <w:b/>
                      <w:bCs/>
                      <w:szCs w:val="21"/>
                    </w:rPr>
                    <w:t>2.47</w:t>
                  </w:r>
                  <w:r>
                    <w:rPr>
                      <w:rFonts w:hint="eastAsia" w:ascii="Times New Roman" w:hAnsi="Times New Roman"/>
                      <w:b/>
                      <w:bCs/>
                      <w:szCs w:val="21"/>
                    </w:rPr>
                    <w:t>（监督区）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Cs w:val="21"/>
                    </w:rPr>
                  </w:pPr>
                  <w:r>
                    <w:rPr>
                      <w:rFonts w:hint="eastAsia" w:ascii="Times New Roman" w:hAnsi="Times New Roman"/>
                      <w:szCs w:val="21"/>
                    </w:rPr>
                    <w:t>2</w:t>
                  </w:r>
                  <w:r>
                    <w:rPr>
                      <w:rFonts w:ascii="Times New Roman" w:hAnsi="Times New Roman"/>
                      <w:szCs w:val="21"/>
                    </w:rPr>
                    <w:t>29</w:t>
                  </w:r>
                </w:p>
              </w:tc>
              <w:tc>
                <w:tcPr>
                  <w:tcW w:w="972" w:type="dxa"/>
                  <w:vAlign w:val="center"/>
                </w:tcPr>
                <w:p>
                  <w:pPr>
                    <w:spacing w:line="360" w:lineRule="auto"/>
                    <w:jc w:val="center"/>
                    <w:rPr>
                      <w:rFonts w:ascii="Times New Roman" w:hAnsi="Times New Roman"/>
                      <w:szCs w:val="21"/>
                    </w:rPr>
                  </w:pPr>
                  <w:r>
                    <w:rPr>
                      <w:rFonts w:ascii="Times New Roman" w:hAnsi="Times New Roman"/>
                      <w:szCs w:val="21"/>
                    </w:rPr>
                    <w:t>0.10</w:t>
                  </w:r>
                </w:p>
              </w:tc>
              <w:tc>
                <w:tcPr>
                  <w:tcW w:w="992" w:type="dxa"/>
                  <w:vAlign w:val="center"/>
                </w:tcPr>
                <w:p>
                  <w:pPr>
                    <w:spacing w:line="360" w:lineRule="auto"/>
                    <w:jc w:val="center"/>
                    <w:rPr>
                      <w:rFonts w:ascii="Times New Roman" w:hAnsi="Times New Roman"/>
                      <w:szCs w:val="21"/>
                    </w:rPr>
                  </w:pPr>
                  <w:r>
                    <w:rPr>
                      <w:rFonts w:ascii="Times New Roman" w:hAnsi="Times New Roman"/>
                      <w:szCs w:val="21"/>
                    </w:rPr>
                    <w:t>2.39</w:t>
                  </w:r>
                </w:p>
              </w:tc>
              <w:tc>
                <w:tcPr>
                  <w:tcW w:w="1854" w:type="dxa"/>
                  <w:vAlign w:val="center"/>
                </w:tcPr>
                <w:p>
                  <w:pPr>
                    <w:jc w:val="center"/>
                    <w:rPr>
                      <w:rFonts w:ascii="Times New Roman" w:hAnsi="Times New Roman"/>
                      <w:b/>
                      <w:bCs/>
                      <w:szCs w:val="21"/>
                    </w:rPr>
                  </w:pPr>
                  <w:r>
                    <w:rPr>
                      <w:rFonts w:ascii="Times New Roman" w:hAnsi="Times New Roman"/>
                      <w:b/>
                      <w:bCs/>
                      <w:szCs w:val="21"/>
                    </w:rPr>
                    <w:t>2.49</w:t>
                  </w:r>
                  <w:r>
                    <w:rPr>
                      <w:rFonts w:hint="eastAsia" w:ascii="Times New Roman" w:hAnsi="Times New Roman"/>
                      <w:b/>
                      <w:bCs/>
                      <w:szCs w:val="21"/>
                    </w:rPr>
                    <w:t>（监督区）</w:t>
                  </w:r>
                </w:p>
              </w:tc>
              <w:tc>
                <w:tcPr>
                  <w:tcW w:w="839" w:type="dxa"/>
                  <w:vAlign w:val="center"/>
                </w:tcPr>
                <w:p>
                  <w:pPr>
                    <w:spacing w:line="360" w:lineRule="auto"/>
                    <w:jc w:val="center"/>
                    <w:rPr>
                      <w:rFonts w:ascii="Times New Roman" w:hAnsi="Times New Roman"/>
                      <w:szCs w:val="21"/>
                    </w:rPr>
                  </w:pPr>
                  <w:r>
                    <w:rPr>
                      <w:rFonts w:hint="eastAsia" w:ascii="Times New Roman" w:hAnsi="Times New Roman"/>
                      <w:szCs w:val="21"/>
                    </w:rPr>
                    <w:t>0</w:t>
                  </w:r>
                  <w:r>
                    <w:rPr>
                      <w:rFonts w:ascii="Times New Roman" w:hAnsi="Times New Roman"/>
                      <w:szCs w:val="21"/>
                    </w:rPr>
                    <w:t>.10</w:t>
                  </w:r>
                </w:p>
              </w:tc>
              <w:tc>
                <w:tcPr>
                  <w:tcW w:w="1134" w:type="dxa"/>
                  <w:vAlign w:val="center"/>
                </w:tcPr>
                <w:p>
                  <w:pPr>
                    <w:spacing w:line="360" w:lineRule="auto"/>
                    <w:jc w:val="center"/>
                    <w:rPr>
                      <w:rFonts w:ascii="Times New Roman" w:hAnsi="Times New Roman"/>
                      <w:szCs w:val="21"/>
                    </w:rPr>
                  </w:pPr>
                  <w:r>
                    <w:rPr>
                      <w:rFonts w:ascii="Times New Roman" w:hAnsi="Times New Roman"/>
                      <w:szCs w:val="21"/>
                    </w:rPr>
                    <w:t>1.59</w:t>
                  </w:r>
                </w:p>
              </w:tc>
              <w:tc>
                <w:tcPr>
                  <w:tcW w:w="1846" w:type="dxa"/>
                  <w:vAlign w:val="center"/>
                </w:tcPr>
                <w:p>
                  <w:pPr>
                    <w:spacing w:line="360" w:lineRule="auto"/>
                    <w:jc w:val="center"/>
                    <w:rPr>
                      <w:rFonts w:ascii="Times New Roman" w:hAnsi="Times New Roman"/>
                      <w:szCs w:val="21"/>
                    </w:rPr>
                  </w:pPr>
                  <w:r>
                    <w:rPr>
                      <w:rFonts w:ascii="Times New Roman" w:hAnsi="Times New Roman"/>
                      <w:szCs w:val="21"/>
                    </w:rPr>
                    <w:t>1.69</w:t>
                  </w:r>
                </w:p>
              </w:tc>
            </w:tr>
          </w:tbl>
          <w:p>
            <w:pPr>
              <w:spacing w:line="360" w:lineRule="auto"/>
              <w:ind w:firstLine="482" w:firstLineChars="200"/>
              <w:rPr>
                <w:rFonts w:ascii="Times New Roman" w:hAnsi="Times New Roman"/>
                <w:b/>
                <w:bCs/>
                <w:sz w:val="24"/>
              </w:rPr>
            </w:pPr>
            <w:r>
              <w:rPr>
                <w:rFonts w:ascii="Times New Roman" w:hAnsi="Times New Roman"/>
                <w:b/>
                <w:bCs/>
                <w:sz w:val="24"/>
              </w:rPr>
              <w:t>表11-5  不同距离非主射方向空气吸收剂量计算表（</w:t>
            </w:r>
            <w:r>
              <w:rPr>
                <w:rFonts w:hint="eastAsia" w:ascii="Times New Roman" w:hAnsi="Times New Roman"/>
                <w:b/>
                <w:bCs/>
                <w:sz w:val="24"/>
              </w:rPr>
              <w:t>有</w:t>
            </w:r>
            <w:r>
              <w:rPr>
                <w:rFonts w:ascii="Times New Roman" w:hAnsi="Times New Roman"/>
                <w:b/>
                <w:bCs/>
                <w:sz w:val="24"/>
              </w:rPr>
              <w:t>铅屏风）（μSv/h）</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830"/>
              <w:gridCol w:w="1134"/>
              <w:gridCol w:w="1854"/>
              <w:gridCol w:w="981"/>
              <w:gridCol w:w="992"/>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restart"/>
                  <w:vAlign w:val="center"/>
                </w:tcPr>
                <w:p>
                  <w:pPr>
                    <w:jc w:val="center"/>
                    <w:rPr>
                      <w:rFonts w:ascii="Times New Roman" w:hAnsi="Times New Roman"/>
                      <w:sz w:val="24"/>
                    </w:rPr>
                  </w:pPr>
                  <w:r>
                    <w:rPr>
                      <w:rFonts w:hint="eastAsia" w:ascii="Times New Roman" w:hAnsi="Times New Roman"/>
                      <w:sz w:val="24"/>
                    </w:rPr>
                    <w:t>距射线靶的距离(m)</w:t>
                  </w:r>
                </w:p>
              </w:tc>
              <w:tc>
                <w:tcPr>
                  <w:tcW w:w="3818" w:type="dxa"/>
                  <w:gridSpan w:val="3"/>
                  <w:vAlign w:val="center"/>
                </w:tcPr>
                <w:p>
                  <w:pPr>
                    <w:jc w:val="center"/>
                    <w:rPr>
                      <w:rFonts w:ascii="Times New Roman" w:hAnsi="Times New Roman"/>
                      <w:sz w:val="24"/>
                    </w:rPr>
                  </w:pPr>
                  <w:r>
                    <w:rPr>
                      <w:rFonts w:hint="eastAsia" w:ascii="Times New Roman" w:hAnsi="Times New Roman"/>
                      <w:color w:val="000000"/>
                      <w:sz w:val="24"/>
                    </w:rPr>
                    <w:t>X</w:t>
                  </w:r>
                  <w:r>
                    <w:rPr>
                      <w:rFonts w:ascii="Times New Roman" w:hAnsi="Times New Roman"/>
                      <w:color w:val="000000"/>
                      <w:sz w:val="24"/>
                    </w:rPr>
                    <w:t>T-3005</w:t>
                  </w:r>
                  <w:r>
                    <w:rPr>
                      <w:rFonts w:hint="eastAsia" w:ascii="Times New Roman" w:hAnsi="Times New Roman"/>
                      <w:color w:val="000000"/>
                      <w:sz w:val="24"/>
                    </w:rPr>
                    <w:t>和X</w:t>
                  </w:r>
                  <w:r>
                    <w:rPr>
                      <w:rFonts w:ascii="Times New Roman" w:hAnsi="Times New Roman"/>
                      <w:color w:val="000000"/>
                      <w:sz w:val="24"/>
                    </w:rPr>
                    <w:t>XG-3005</w:t>
                  </w:r>
                  <w:r>
                    <w:rPr>
                      <w:rFonts w:hint="eastAsia" w:ascii="Times New Roman" w:hAnsi="Times New Roman"/>
                      <w:color w:val="000000"/>
                      <w:sz w:val="24"/>
                    </w:rPr>
                    <w:t>型工业用X射线探伤机</w:t>
                  </w:r>
                </w:p>
              </w:tc>
              <w:tc>
                <w:tcPr>
                  <w:tcW w:w="3819" w:type="dxa"/>
                  <w:gridSpan w:val="3"/>
                  <w:vAlign w:val="center"/>
                </w:tcPr>
                <w:p>
                  <w:pPr>
                    <w:spacing w:line="360" w:lineRule="auto"/>
                    <w:jc w:val="center"/>
                    <w:rPr>
                      <w:rFonts w:ascii="Times New Roman" w:hAnsi="Times New Roman"/>
                      <w:sz w:val="24"/>
                    </w:rPr>
                  </w:pPr>
                  <w:r>
                    <w:rPr>
                      <w:rFonts w:hint="eastAsia" w:ascii="Times New Roman" w:hAnsi="Times New Roman"/>
                      <w:color w:val="000000"/>
                      <w:sz w:val="24"/>
                    </w:rPr>
                    <w:t>X</w:t>
                  </w:r>
                  <w:r>
                    <w:rPr>
                      <w:rFonts w:ascii="Times New Roman" w:hAnsi="Times New Roman"/>
                      <w:color w:val="000000"/>
                      <w:sz w:val="24"/>
                    </w:rPr>
                    <w:t>XG-2505</w:t>
                  </w:r>
                  <w:r>
                    <w:rPr>
                      <w:rFonts w:hint="eastAsia" w:ascii="Times New Roman" w:hAnsi="Times New Roman"/>
                      <w:color w:val="000000"/>
                      <w:sz w:val="24"/>
                    </w:rPr>
                    <w:t>型工业用X射线探伤机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continue"/>
                  <w:vAlign w:val="center"/>
                </w:tcPr>
                <w:p>
                  <w:pPr>
                    <w:spacing w:line="360" w:lineRule="auto"/>
                    <w:jc w:val="center"/>
                    <w:rPr>
                      <w:rFonts w:ascii="Times New Roman" w:hAnsi="Times New Roman"/>
                      <w:sz w:val="24"/>
                    </w:rPr>
                  </w:pPr>
                </w:p>
              </w:tc>
              <w:tc>
                <w:tcPr>
                  <w:tcW w:w="830" w:type="dxa"/>
                  <w:vAlign w:val="center"/>
                </w:tcPr>
                <w:p>
                  <w:pPr>
                    <w:spacing w:line="360" w:lineRule="auto"/>
                    <w:jc w:val="center"/>
                    <w:rPr>
                      <w:rFonts w:ascii="Times New Roman" w:hAnsi="Times New Roman"/>
                      <w:sz w:val="24"/>
                    </w:rPr>
                  </w:pPr>
                  <w:r>
                    <w:rPr>
                      <w:rFonts w:hint="eastAsia" w:ascii="Times New Roman" w:hAnsi="Times New Roman"/>
                      <w:sz w:val="24"/>
                    </w:rPr>
                    <w:t>漏射</w:t>
                  </w:r>
                </w:p>
              </w:tc>
              <w:tc>
                <w:tcPr>
                  <w:tcW w:w="1134" w:type="dxa"/>
                  <w:vAlign w:val="center"/>
                </w:tcPr>
                <w:p>
                  <w:pPr>
                    <w:spacing w:line="360" w:lineRule="auto"/>
                    <w:jc w:val="center"/>
                    <w:rPr>
                      <w:rFonts w:ascii="Times New Roman" w:hAnsi="Times New Roman"/>
                      <w:sz w:val="24"/>
                    </w:rPr>
                  </w:pPr>
                  <w:r>
                    <w:rPr>
                      <w:rFonts w:hint="eastAsia" w:ascii="Times New Roman" w:hAnsi="Times New Roman"/>
                      <w:sz w:val="24"/>
                    </w:rPr>
                    <w:t>散射</w:t>
                  </w:r>
                </w:p>
              </w:tc>
              <w:tc>
                <w:tcPr>
                  <w:tcW w:w="1854" w:type="dxa"/>
                  <w:vAlign w:val="center"/>
                </w:tcPr>
                <w:p>
                  <w:pPr>
                    <w:spacing w:line="360" w:lineRule="auto"/>
                    <w:jc w:val="center"/>
                    <w:rPr>
                      <w:rFonts w:ascii="Times New Roman" w:hAnsi="Times New Roman"/>
                      <w:sz w:val="24"/>
                    </w:rPr>
                  </w:pPr>
                  <w:r>
                    <w:rPr>
                      <w:rFonts w:hint="eastAsia" w:ascii="Times New Roman" w:hAnsi="Times New Roman"/>
                      <w:sz w:val="24"/>
                    </w:rPr>
                    <w:t>合计</w:t>
                  </w:r>
                </w:p>
              </w:tc>
              <w:tc>
                <w:tcPr>
                  <w:tcW w:w="981" w:type="dxa"/>
                  <w:vAlign w:val="center"/>
                </w:tcPr>
                <w:p>
                  <w:pPr>
                    <w:spacing w:line="360" w:lineRule="auto"/>
                    <w:jc w:val="center"/>
                    <w:rPr>
                      <w:rFonts w:ascii="Times New Roman" w:hAnsi="Times New Roman"/>
                      <w:sz w:val="24"/>
                    </w:rPr>
                  </w:pPr>
                  <w:r>
                    <w:rPr>
                      <w:rFonts w:hint="eastAsia" w:ascii="Times New Roman" w:hAnsi="Times New Roman"/>
                      <w:sz w:val="24"/>
                    </w:rPr>
                    <w:t>漏射</w:t>
                  </w:r>
                </w:p>
              </w:tc>
              <w:tc>
                <w:tcPr>
                  <w:tcW w:w="992" w:type="dxa"/>
                  <w:vAlign w:val="center"/>
                </w:tcPr>
                <w:p>
                  <w:pPr>
                    <w:spacing w:line="360" w:lineRule="auto"/>
                    <w:jc w:val="center"/>
                    <w:rPr>
                      <w:rFonts w:ascii="Times New Roman" w:hAnsi="Times New Roman"/>
                      <w:sz w:val="24"/>
                    </w:rPr>
                  </w:pPr>
                  <w:r>
                    <w:rPr>
                      <w:rFonts w:hint="eastAsia" w:ascii="Times New Roman" w:hAnsi="Times New Roman"/>
                      <w:sz w:val="24"/>
                    </w:rPr>
                    <w:t>散射</w:t>
                  </w:r>
                </w:p>
              </w:tc>
              <w:tc>
                <w:tcPr>
                  <w:tcW w:w="1846" w:type="dxa"/>
                  <w:vAlign w:val="center"/>
                </w:tcPr>
                <w:p>
                  <w:pPr>
                    <w:spacing w:line="360" w:lineRule="auto"/>
                    <w:jc w:val="center"/>
                    <w:rPr>
                      <w:rFonts w:ascii="Times New Roman" w:hAnsi="Times New Roman"/>
                      <w:sz w:val="24"/>
                    </w:rPr>
                  </w:pPr>
                  <w:r>
                    <w:rPr>
                      <w:rFonts w:hint="eastAsia" w:ascii="Times New Roman" w:hAnsi="Times New Roman"/>
                      <w:sz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 w:val="24"/>
                    </w:rPr>
                  </w:pPr>
                  <w:r>
                    <w:rPr>
                      <w:rFonts w:hint="eastAsia" w:ascii="Times New Roman" w:hAnsi="Times New Roman"/>
                      <w:sz w:val="24"/>
                    </w:rPr>
                    <w:t>5</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16.00</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401.28</w:t>
                  </w:r>
                </w:p>
              </w:tc>
              <w:tc>
                <w:tcPr>
                  <w:tcW w:w="185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417.28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100.08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6.00</w:t>
                  </w:r>
                </w:p>
              </w:tc>
              <w:tc>
                <w:tcPr>
                  <w:tcW w:w="1846"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106.08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 w:val="24"/>
                    </w:rPr>
                  </w:pPr>
                  <w:r>
                    <w:rPr>
                      <w:rFonts w:hint="eastAsia" w:ascii="Times New Roman" w:hAnsi="Times New Roman"/>
                      <w:sz w:val="24"/>
                    </w:rPr>
                    <w:t>1</w:t>
                  </w:r>
                  <w:r>
                    <w:rPr>
                      <w:rFonts w:ascii="Times New Roman" w:hAnsi="Times New Roman"/>
                      <w:sz w:val="24"/>
                    </w:rPr>
                    <w:t>0</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4.00</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100.32</w:t>
                  </w:r>
                </w:p>
              </w:tc>
              <w:tc>
                <w:tcPr>
                  <w:tcW w:w="185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104.32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25.02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1.50</w:t>
                  </w:r>
                </w:p>
              </w:tc>
              <w:tc>
                <w:tcPr>
                  <w:tcW w:w="1846"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26.52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 w:val="24"/>
                    </w:rPr>
                  </w:pPr>
                  <w:r>
                    <w:rPr>
                      <w:rFonts w:hint="eastAsia" w:ascii="Times New Roman" w:hAnsi="Times New Roman"/>
                      <w:sz w:val="24"/>
                    </w:rPr>
                    <w:t>1</w:t>
                  </w:r>
                  <w:r>
                    <w:rPr>
                      <w:rFonts w:ascii="Times New Roman" w:hAnsi="Times New Roman"/>
                      <w:sz w:val="24"/>
                    </w:rPr>
                    <w:t>5</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1.78</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44.59</w:t>
                  </w:r>
                </w:p>
              </w:tc>
              <w:tc>
                <w:tcPr>
                  <w:tcW w:w="185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46.36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14.80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0.89</w:t>
                  </w:r>
                </w:p>
              </w:tc>
              <w:tc>
                <w:tcPr>
                  <w:tcW w:w="1846" w:type="dxa"/>
                  <w:vAlign w:val="center"/>
                </w:tcPr>
                <w:p>
                  <w:pPr>
                    <w:jc w:val="center"/>
                    <w:rPr>
                      <w:rFonts w:ascii="Times New Roman" w:hAnsi="Times New Roman"/>
                      <w:b/>
                      <w:bCs/>
                      <w:szCs w:val="21"/>
                    </w:rPr>
                  </w:pPr>
                  <w:r>
                    <w:rPr>
                      <w:rFonts w:ascii="Times New Roman" w:hAnsi="Times New Roman" w:eastAsia="微软雅黑"/>
                      <w:b/>
                      <w:bCs/>
                      <w:color w:val="000000"/>
                      <w:szCs w:val="21"/>
                    </w:rPr>
                    <w:t>15.69</w:t>
                  </w:r>
                  <w:r>
                    <w:rPr>
                      <w:rFonts w:hint="eastAsia" w:asciiTheme="minorEastAsia" w:hAnsiTheme="minorEastAsia" w:eastAsiaTheme="minorEastAsia"/>
                      <w:b/>
                      <w:bCs/>
                      <w:color w:val="000000"/>
                      <w:szCs w:val="21"/>
                    </w:rPr>
                    <w:t>（控制区）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72" w:type="dxa"/>
                  <w:vAlign w:val="center"/>
                </w:tcPr>
                <w:p>
                  <w:pPr>
                    <w:spacing w:line="360" w:lineRule="auto"/>
                    <w:jc w:val="center"/>
                    <w:rPr>
                      <w:rFonts w:ascii="Times New Roman" w:hAnsi="Times New Roman"/>
                      <w:sz w:val="24"/>
                    </w:rPr>
                  </w:pPr>
                  <w:r>
                    <w:rPr>
                      <w:rFonts w:hint="eastAsia" w:ascii="Times New Roman" w:hAnsi="Times New Roman"/>
                      <w:sz w:val="24"/>
                    </w:rPr>
                    <w:t>1</w:t>
                  </w:r>
                  <w:r>
                    <w:rPr>
                      <w:rFonts w:ascii="Times New Roman" w:hAnsi="Times New Roman"/>
                      <w:sz w:val="24"/>
                    </w:rPr>
                    <w:t>8</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1.23</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30.96</w:t>
                  </w:r>
                </w:p>
              </w:tc>
              <w:tc>
                <w:tcPr>
                  <w:tcW w:w="1854" w:type="dxa"/>
                  <w:vAlign w:val="center"/>
                </w:tcPr>
                <w:p>
                  <w:pPr>
                    <w:jc w:val="center"/>
                    <w:rPr>
                      <w:rFonts w:ascii="Times New Roman" w:hAnsi="Times New Roman"/>
                      <w:b/>
                      <w:bCs/>
                      <w:szCs w:val="21"/>
                    </w:rPr>
                  </w:pPr>
                  <w:r>
                    <w:rPr>
                      <w:rFonts w:ascii="Times New Roman" w:hAnsi="Times New Roman" w:eastAsia="微软雅黑"/>
                      <w:color w:val="000000"/>
                      <w:szCs w:val="21"/>
                    </w:rPr>
                    <w:t xml:space="preserve">32.20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11.12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0.67</w:t>
                  </w:r>
                </w:p>
              </w:tc>
              <w:tc>
                <w:tcPr>
                  <w:tcW w:w="1846"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72" w:type="dxa"/>
                  <w:vAlign w:val="center"/>
                </w:tcPr>
                <w:p>
                  <w:pPr>
                    <w:spacing w:line="360" w:lineRule="auto"/>
                    <w:jc w:val="center"/>
                    <w:rPr>
                      <w:rFonts w:ascii="Times New Roman" w:hAnsi="Times New Roman"/>
                      <w:sz w:val="24"/>
                    </w:rPr>
                  </w:pPr>
                  <w:r>
                    <w:rPr>
                      <w:rFonts w:hint="eastAsia" w:ascii="Times New Roman" w:hAnsi="Times New Roman"/>
                      <w:sz w:val="24"/>
                    </w:rPr>
                    <w:t>2</w:t>
                  </w:r>
                  <w:r>
                    <w:rPr>
                      <w:rFonts w:ascii="Times New Roman" w:hAnsi="Times New Roman"/>
                      <w:sz w:val="24"/>
                    </w:rPr>
                    <w:t>0</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1.00</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25.08</w:t>
                  </w:r>
                </w:p>
              </w:tc>
              <w:tc>
                <w:tcPr>
                  <w:tcW w:w="1854" w:type="dxa"/>
                  <w:vAlign w:val="center"/>
                </w:tcPr>
                <w:p>
                  <w:pPr>
                    <w:spacing w:line="360" w:lineRule="auto"/>
                    <w:jc w:val="center"/>
                    <w:rPr>
                      <w:rFonts w:ascii="Times New Roman" w:hAnsi="Times New Roman"/>
                      <w:b/>
                      <w:bCs/>
                      <w:szCs w:val="21"/>
                    </w:rPr>
                  </w:pPr>
                  <w:r>
                    <w:rPr>
                      <w:rFonts w:ascii="Times New Roman" w:hAnsi="Times New Roman" w:eastAsia="微软雅黑"/>
                      <w:color w:val="000000"/>
                      <w:szCs w:val="21"/>
                    </w:rPr>
                    <w:t xml:space="preserve">26.08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7.72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0.46</w:t>
                  </w:r>
                </w:p>
              </w:tc>
              <w:tc>
                <w:tcPr>
                  <w:tcW w:w="1846"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 w:val="24"/>
                    </w:rPr>
                  </w:pPr>
                  <w:r>
                    <w:rPr>
                      <w:rFonts w:hint="eastAsia" w:ascii="Times New Roman" w:hAnsi="Times New Roman"/>
                      <w:sz w:val="24"/>
                    </w:rPr>
                    <w:t>2</w:t>
                  </w:r>
                  <w:r>
                    <w:rPr>
                      <w:rFonts w:ascii="Times New Roman" w:hAnsi="Times New Roman"/>
                      <w:sz w:val="24"/>
                    </w:rPr>
                    <w:t>7</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0.55</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13.76</w:t>
                  </w:r>
                </w:p>
              </w:tc>
              <w:tc>
                <w:tcPr>
                  <w:tcW w:w="1854" w:type="dxa"/>
                  <w:vAlign w:val="center"/>
                </w:tcPr>
                <w:p>
                  <w:pPr>
                    <w:jc w:val="center"/>
                    <w:rPr>
                      <w:rFonts w:ascii="Times New Roman" w:hAnsi="Times New Roman"/>
                      <w:b/>
                      <w:bCs/>
                      <w:szCs w:val="21"/>
                    </w:rPr>
                  </w:pPr>
                  <w:r>
                    <w:rPr>
                      <w:rFonts w:ascii="Times New Roman" w:hAnsi="Times New Roman" w:eastAsia="微软雅黑"/>
                      <w:b/>
                      <w:bCs/>
                      <w:color w:val="000000"/>
                      <w:szCs w:val="21"/>
                    </w:rPr>
                    <w:t>14.31</w:t>
                  </w:r>
                  <w:r>
                    <w:rPr>
                      <w:rFonts w:hint="eastAsia" w:asciiTheme="minorEastAsia" w:hAnsiTheme="minorEastAsia" w:eastAsiaTheme="minorEastAsia"/>
                      <w:b/>
                      <w:bCs/>
                      <w:color w:val="000000"/>
                      <w:szCs w:val="21"/>
                    </w:rPr>
                    <w:t>（控制区）</w:t>
                  </w:r>
                  <w:r>
                    <w:rPr>
                      <w:rFonts w:ascii="Times New Roman" w:hAnsi="Times New Roman" w:eastAsia="微软雅黑"/>
                      <w:b/>
                      <w:bCs/>
                      <w:color w:val="000000"/>
                      <w:szCs w:val="21"/>
                    </w:rPr>
                    <w:t xml:space="preserve">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6.26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0.38</w:t>
                  </w:r>
                </w:p>
              </w:tc>
              <w:tc>
                <w:tcPr>
                  <w:tcW w:w="1846"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2" w:type="dxa"/>
                  <w:vAlign w:val="center"/>
                </w:tcPr>
                <w:p>
                  <w:pPr>
                    <w:spacing w:line="360" w:lineRule="auto"/>
                    <w:jc w:val="center"/>
                    <w:rPr>
                      <w:rFonts w:ascii="Times New Roman" w:hAnsi="Times New Roman"/>
                      <w:sz w:val="24"/>
                    </w:rPr>
                  </w:pPr>
                  <w:r>
                    <w:rPr>
                      <w:rFonts w:hint="eastAsia" w:ascii="Times New Roman" w:hAnsi="Times New Roman"/>
                      <w:sz w:val="24"/>
                    </w:rPr>
                    <w:t>3</w:t>
                  </w:r>
                  <w:r>
                    <w:rPr>
                      <w:rFonts w:ascii="Times New Roman" w:hAnsi="Times New Roman"/>
                      <w:sz w:val="24"/>
                    </w:rPr>
                    <w:t>0</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0.44</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11.15</w:t>
                  </w:r>
                </w:p>
              </w:tc>
              <w:tc>
                <w:tcPr>
                  <w:tcW w:w="185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11.59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2.78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0.17</w:t>
                  </w:r>
                </w:p>
              </w:tc>
              <w:tc>
                <w:tcPr>
                  <w:tcW w:w="1846"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 w:val="24"/>
                    </w:rPr>
                  </w:pPr>
                  <w:r>
                    <w:rPr>
                      <w:rFonts w:hint="eastAsia" w:ascii="Times New Roman" w:hAnsi="Times New Roman"/>
                      <w:sz w:val="24"/>
                    </w:rPr>
                    <w:t>3</w:t>
                  </w:r>
                  <w:r>
                    <w:rPr>
                      <w:rFonts w:ascii="Times New Roman" w:hAnsi="Times New Roman"/>
                      <w:sz w:val="24"/>
                    </w:rPr>
                    <w:t>3</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0.37</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9.21</w:t>
                  </w:r>
                </w:p>
              </w:tc>
              <w:tc>
                <w:tcPr>
                  <w:tcW w:w="185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9.58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2.30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0.14</w:t>
                  </w:r>
                </w:p>
              </w:tc>
              <w:tc>
                <w:tcPr>
                  <w:tcW w:w="1846" w:type="dxa"/>
                  <w:vAlign w:val="center"/>
                </w:tcPr>
                <w:p>
                  <w:pPr>
                    <w:jc w:val="center"/>
                    <w:rPr>
                      <w:rFonts w:ascii="Times New Roman" w:hAnsi="Times New Roman"/>
                      <w:b/>
                      <w:bCs/>
                      <w:szCs w:val="21"/>
                    </w:rPr>
                  </w:pPr>
                  <w:r>
                    <w:rPr>
                      <w:rFonts w:ascii="Times New Roman" w:hAnsi="Times New Roman" w:eastAsia="微软雅黑"/>
                      <w:b/>
                      <w:bCs/>
                      <w:color w:val="000000"/>
                      <w:szCs w:val="21"/>
                    </w:rPr>
                    <w:t>2.44</w:t>
                  </w:r>
                  <w:r>
                    <w:rPr>
                      <w:rFonts w:hint="eastAsia" w:asciiTheme="minorEastAsia" w:hAnsiTheme="minorEastAsia" w:eastAsiaTheme="minorEastAsia"/>
                      <w:b/>
                      <w:bCs/>
                      <w:color w:val="000000"/>
                      <w:szCs w:val="21"/>
                    </w:rPr>
                    <w:t>（监督区）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72" w:type="dxa"/>
                  <w:vAlign w:val="center"/>
                </w:tcPr>
                <w:p>
                  <w:pPr>
                    <w:spacing w:line="360" w:lineRule="auto"/>
                    <w:jc w:val="center"/>
                    <w:rPr>
                      <w:rFonts w:ascii="Times New Roman" w:hAnsi="Times New Roman"/>
                      <w:sz w:val="24"/>
                    </w:rPr>
                  </w:pPr>
                  <w:r>
                    <w:rPr>
                      <w:rFonts w:hint="eastAsia" w:ascii="Times New Roman" w:hAnsi="Times New Roman"/>
                      <w:sz w:val="24"/>
                    </w:rPr>
                    <w:t>4</w:t>
                  </w:r>
                  <w:r>
                    <w:rPr>
                      <w:rFonts w:ascii="Times New Roman" w:hAnsi="Times New Roman"/>
                      <w:sz w:val="24"/>
                    </w:rPr>
                    <w:t>0</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0.25</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6.27</w:t>
                  </w:r>
                </w:p>
              </w:tc>
              <w:tc>
                <w:tcPr>
                  <w:tcW w:w="185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6.52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1.56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0.09</w:t>
                  </w:r>
                </w:p>
              </w:tc>
              <w:tc>
                <w:tcPr>
                  <w:tcW w:w="1846"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Align w:val="center"/>
                </w:tcPr>
                <w:p>
                  <w:pPr>
                    <w:spacing w:line="360" w:lineRule="auto"/>
                    <w:jc w:val="center"/>
                    <w:rPr>
                      <w:rFonts w:ascii="Times New Roman" w:hAnsi="Times New Roman"/>
                      <w:sz w:val="24"/>
                    </w:rPr>
                  </w:pPr>
                  <w:r>
                    <w:rPr>
                      <w:rFonts w:ascii="Times New Roman" w:hAnsi="Times New Roman"/>
                      <w:sz w:val="24"/>
                    </w:rPr>
                    <w:t>65</w:t>
                  </w:r>
                </w:p>
              </w:tc>
              <w:tc>
                <w:tcPr>
                  <w:tcW w:w="830"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0.09</w:t>
                  </w:r>
                </w:p>
              </w:tc>
              <w:tc>
                <w:tcPr>
                  <w:tcW w:w="1134"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2.37</w:t>
                  </w:r>
                </w:p>
              </w:tc>
              <w:tc>
                <w:tcPr>
                  <w:tcW w:w="1854" w:type="dxa"/>
                  <w:vAlign w:val="center"/>
                </w:tcPr>
                <w:p>
                  <w:pPr>
                    <w:jc w:val="center"/>
                    <w:rPr>
                      <w:rFonts w:ascii="Times New Roman" w:hAnsi="Times New Roman"/>
                      <w:b/>
                      <w:bCs/>
                      <w:szCs w:val="21"/>
                    </w:rPr>
                  </w:pPr>
                  <w:r>
                    <w:rPr>
                      <w:rFonts w:ascii="Times New Roman" w:hAnsi="Times New Roman" w:eastAsia="微软雅黑"/>
                      <w:b/>
                      <w:bCs/>
                      <w:color w:val="000000"/>
                      <w:szCs w:val="21"/>
                    </w:rPr>
                    <w:t>2.47</w:t>
                  </w:r>
                  <w:r>
                    <w:rPr>
                      <w:rFonts w:hint="eastAsia" w:asciiTheme="minorEastAsia" w:hAnsiTheme="minorEastAsia" w:eastAsiaTheme="minorEastAsia"/>
                      <w:b/>
                      <w:bCs/>
                      <w:color w:val="000000"/>
                      <w:szCs w:val="21"/>
                    </w:rPr>
                    <w:t>（监督区）</w:t>
                  </w:r>
                  <w:r>
                    <w:rPr>
                      <w:rFonts w:ascii="Times New Roman" w:hAnsi="Times New Roman"/>
                      <w:b/>
                      <w:bCs/>
                      <w:szCs w:val="21"/>
                    </w:rPr>
                    <w:t xml:space="preserve"> </w:t>
                  </w:r>
                </w:p>
              </w:tc>
              <w:tc>
                <w:tcPr>
                  <w:tcW w:w="981"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 xml:space="preserve">0.59 </w:t>
                  </w:r>
                </w:p>
              </w:tc>
              <w:tc>
                <w:tcPr>
                  <w:tcW w:w="992"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0.00</w:t>
                  </w:r>
                </w:p>
              </w:tc>
              <w:tc>
                <w:tcPr>
                  <w:tcW w:w="1846" w:type="dxa"/>
                  <w:vAlign w:val="center"/>
                </w:tcPr>
                <w:p>
                  <w:pPr>
                    <w:spacing w:line="360" w:lineRule="auto"/>
                    <w:jc w:val="center"/>
                    <w:rPr>
                      <w:rFonts w:ascii="Times New Roman" w:hAnsi="Times New Roman"/>
                      <w:szCs w:val="21"/>
                    </w:rPr>
                  </w:pPr>
                  <w:r>
                    <w:rPr>
                      <w:rFonts w:ascii="Times New Roman" w:hAnsi="Times New Roman" w:eastAsia="微软雅黑"/>
                      <w:color w:val="000000"/>
                      <w:szCs w:val="21"/>
                    </w:rPr>
                    <w:t>0.59</w:t>
                  </w:r>
                </w:p>
              </w:tc>
            </w:tr>
          </w:tbl>
          <w:p>
            <w:pPr>
              <w:spacing w:line="360" w:lineRule="auto"/>
              <w:rPr>
                <w:rFonts w:ascii="Times New Roman" w:hAnsi="Times New Roman"/>
                <w:sz w:val="24"/>
              </w:rPr>
            </w:pPr>
            <w:r>
              <w:rPr>
                <w:rFonts w:hint="eastAsia" w:ascii="Times New Roman" w:hAnsi="Times New Roman"/>
                <w:b/>
                <w:bCs/>
                <w:color w:val="000000"/>
                <w:sz w:val="24"/>
              </w:rPr>
              <w:t>（4）理论计算结果</w:t>
            </w:r>
          </w:p>
          <w:p>
            <w:pPr>
              <w:spacing w:line="360" w:lineRule="auto"/>
              <w:ind w:firstLine="480" w:firstLineChars="200"/>
              <w:rPr>
                <w:rFonts w:ascii="Times New Roman" w:hAnsi="Times New Roman"/>
                <w:sz w:val="24"/>
              </w:rPr>
            </w:pPr>
            <w:r>
              <w:rPr>
                <w:rFonts w:hint="eastAsia" w:ascii="Times New Roman" w:hAnsi="Times New Roman"/>
                <w:sz w:val="24"/>
              </w:rPr>
              <w:t>本项目现场探伤是根据探伤对象材料及厚度等实际情况选用相应的探伤机，且每次探伤作业仅限单台探伤机开机操作，将现场探伤作业设备的相关参数带入公式（</w:t>
            </w:r>
            <w:r>
              <w:rPr>
                <w:rFonts w:ascii="Times New Roman" w:hAnsi="Times New Roman"/>
                <w:sz w:val="24"/>
              </w:rPr>
              <w:t>1</w:t>
            </w:r>
            <w:r>
              <w:rPr>
                <w:rFonts w:hint="eastAsia" w:ascii="Times New Roman" w:hAnsi="Times New Roman"/>
                <w:sz w:val="24"/>
              </w:rPr>
              <w:t>）～（</w:t>
            </w:r>
            <w:r>
              <w:rPr>
                <w:rFonts w:ascii="Times New Roman" w:hAnsi="Times New Roman"/>
                <w:sz w:val="24"/>
              </w:rPr>
              <w:t>4</w:t>
            </w:r>
            <w:r>
              <w:rPr>
                <w:rFonts w:hint="eastAsia" w:ascii="Times New Roman" w:hAnsi="Times New Roman"/>
                <w:sz w:val="24"/>
              </w:rPr>
              <w:t>），可估算出不同管电压条件下探伤机探伤时控制区和监督区的边界范围，具体见表11-</w:t>
            </w:r>
            <w:r>
              <w:rPr>
                <w:rFonts w:ascii="Times New Roman" w:hAnsi="Times New Roman"/>
                <w:sz w:val="24"/>
              </w:rPr>
              <w:t>6</w:t>
            </w:r>
            <w:r>
              <w:rPr>
                <w:rFonts w:hint="eastAsia" w:ascii="Times New Roman" w:hAnsi="Times New Roman"/>
                <w:sz w:val="24"/>
              </w:rPr>
              <w:t>。</w:t>
            </w:r>
          </w:p>
          <w:p>
            <w:pPr>
              <w:spacing w:line="360" w:lineRule="auto"/>
              <w:jc w:val="center"/>
              <w:rPr>
                <w:rFonts w:ascii="Times New Roman" w:hAnsi="Times New Roman"/>
                <w:b/>
                <w:bCs/>
                <w:sz w:val="24"/>
              </w:rPr>
            </w:pPr>
            <w:r>
              <w:rPr>
                <w:rFonts w:hint="eastAsia" w:ascii="Times New Roman" w:hAnsi="Times New Roman"/>
                <w:b/>
                <w:bCs/>
                <w:sz w:val="24"/>
              </w:rPr>
              <w:t>表11-</w:t>
            </w:r>
            <w:r>
              <w:rPr>
                <w:rFonts w:ascii="Times New Roman" w:hAnsi="Times New Roman"/>
                <w:b/>
                <w:bCs/>
                <w:sz w:val="24"/>
              </w:rPr>
              <w:t>6</w:t>
            </w:r>
            <w:r>
              <w:rPr>
                <w:rFonts w:hint="eastAsia" w:ascii="Times New Roman" w:hAnsi="Times New Roman"/>
                <w:b/>
                <w:bCs/>
                <w:sz w:val="24"/>
              </w:rPr>
              <w:t xml:space="preserve"> </w:t>
            </w:r>
            <w:r>
              <w:rPr>
                <w:rFonts w:ascii="Times New Roman" w:hAnsi="Times New Roman"/>
                <w:b/>
                <w:bCs/>
                <w:sz w:val="24"/>
              </w:rPr>
              <w:t xml:space="preserve"> </w:t>
            </w:r>
            <w:r>
              <w:rPr>
                <w:rFonts w:hint="eastAsia" w:ascii="Times New Roman" w:hAnsi="Times New Roman"/>
                <w:b/>
                <w:bCs/>
                <w:sz w:val="24"/>
              </w:rPr>
              <w:t>本项目现场探伤控制区与监督区边界范围估算结果表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835"/>
              <w:gridCol w:w="1843"/>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Align w:val="center"/>
                </w:tcPr>
                <w:p>
                  <w:pPr>
                    <w:jc w:val="center"/>
                    <w:rPr>
                      <w:rFonts w:ascii="Times New Roman" w:hAnsi="Times New Roman"/>
                      <w:szCs w:val="21"/>
                    </w:rPr>
                  </w:pPr>
                  <w:r>
                    <w:rPr>
                      <w:rFonts w:hint="eastAsia" w:ascii="Times New Roman" w:hAnsi="Times New Roman"/>
                      <w:szCs w:val="21"/>
                    </w:rPr>
                    <w:t>探伤机型号</w:t>
                  </w:r>
                </w:p>
              </w:tc>
              <w:tc>
                <w:tcPr>
                  <w:tcW w:w="2835" w:type="dxa"/>
                  <w:vAlign w:val="center"/>
                </w:tcPr>
                <w:p>
                  <w:pPr>
                    <w:jc w:val="center"/>
                    <w:rPr>
                      <w:rFonts w:ascii="Times New Roman" w:hAnsi="Times New Roman"/>
                      <w:szCs w:val="21"/>
                    </w:rPr>
                  </w:pPr>
                  <w:r>
                    <w:rPr>
                      <w:rFonts w:hint="eastAsia" w:ascii="Times New Roman" w:hAnsi="Times New Roman"/>
                      <w:szCs w:val="21"/>
                    </w:rPr>
                    <w:t>射线类型</w:t>
                  </w:r>
                </w:p>
              </w:tc>
              <w:tc>
                <w:tcPr>
                  <w:tcW w:w="1843" w:type="dxa"/>
                  <w:vAlign w:val="center"/>
                </w:tcPr>
                <w:p>
                  <w:pPr>
                    <w:jc w:val="center"/>
                    <w:rPr>
                      <w:rFonts w:ascii="Times New Roman" w:hAnsi="Times New Roman"/>
                      <w:szCs w:val="21"/>
                    </w:rPr>
                  </w:pPr>
                  <w:r>
                    <w:rPr>
                      <w:rFonts w:hint="eastAsia" w:ascii="Times New Roman" w:hAnsi="Times New Roman"/>
                      <w:szCs w:val="21"/>
                    </w:rPr>
                    <w:t>控制区范围（m）</w:t>
                  </w:r>
                </w:p>
              </w:tc>
              <w:tc>
                <w:tcPr>
                  <w:tcW w:w="1706" w:type="dxa"/>
                  <w:vAlign w:val="center"/>
                </w:tcPr>
                <w:p>
                  <w:pPr>
                    <w:jc w:val="center"/>
                    <w:rPr>
                      <w:rFonts w:ascii="Times New Roman" w:hAnsi="Times New Roman"/>
                      <w:szCs w:val="21"/>
                    </w:rPr>
                  </w:pPr>
                  <w:r>
                    <w:rPr>
                      <w:rFonts w:hint="eastAsia" w:ascii="Times New Roman" w:hAnsi="Times New Roman"/>
                      <w:szCs w:val="21"/>
                    </w:rPr>
                    <w:t>监督区范围（m）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restart"/>
                  <w:vAlign w:val="center"/>
                </w:tcPr>
                <w:p>
                  <w:pPr>
                    <w:jc w:val="center"/>
                    <w:rPr>
                      <w:rFonts w:ascii="Times New Roman" w:hAnsi="Times New Roman"/>
                      <w:szCs w:val="21"/>
                    </w:rPr>
                  </w:pPr>
                  <w:r>
                    <w:rPr>
                      <w:rFonts w:hint="eastAsia" w:ascii="Times New Roman" w:hAnsi="Times New Roman"/>
                      <w:color w:val="000000"/>
                      <w:szCs w:val="21"/>
                    </w:rPr>
                    <w:t>X</w:t>
                  </w:r>
                  <w:r>
                    <w:rPr>
                      <w:rFonts w:ascii="Times New Roman" w:hAnsi="Times New Roman"/>
                      <w:color w:val="000000"/>
                      <w:szCs w:val="21"/>
                    </w:rPr>
                    <w:t>T-3005</w:t>
                  </w:r>
                  <w:r>
                    <w:rPr>
                      <w:rFonts w:hint="eastAsia" w:ascii="Times New Roman" w:hAnsi="Times New Roman"/>
                      <w:color w:val="000000"/>
                      <w:szCs w:val="21"/>
                    </w:rPr>
                    <w:t>和X</w:t>
                  </w:r>
                  <w:r>
                    <w:rPr>
                      <w:rFonts w:ascii="Times New Roman" w:hAnsi="Times New Roman"/>
                      <w:color w:val="000000"/>
                      <w:szCs w:val="21"/>
                    </w:rPr>
                    <w:t>XG-3005</w:t>
                  </w:r>
                  <w:r>
                    <w:rPr>
                      <w:rFonts w:hint="eastAsia" w:ascii="Times New Roman" w:hAnsi="Times New Roman"/>
                      <w:color w:val="000000"/>
                      <w:szCs w:val="21"/>
                    </w:rPr>
                    <w:t>型工业用X射线探伤机</w:t>
                  </w:r>
                </w:p>
              </w:tc>
              <w:tc>
                <w:tcPr>
                  <w:tcW w:w="2835" w:type="dxa"/>
                  <w:vAlign w:val="center"/>
                </w:tcPr>
                <w:p>
                  <w:pPr>
                    <w:jc w:val="center"/>
                    <w:rPr>
                      <w:rFonts w:ascii="Times New Roman" w:hAnsi="Times New Roman"/>
                      <w:szCs w:val="21"/>
                    </w:rPr>
                  </w:pPr>
                  <w:r>
                    <w:rPr>
                      <w:rFonts w:hint="eastAsia" w:ascii="Times New Roman" w:hAnsi="Times New Roman"/>
                      <w:szCs w:val="21"/>
                    </w:rPr>
                    <w:t>主射方向</w:t>
                  </w:r>
                </w:p>
                <w:p>
                  <w:pPr>
                    <w:jc w:val="center"/>
                    <w:rPr>
                      <w:rFonts w:ascii="Times New Roman" w:hAnsi="Times New Roman"/>
                      <w:szCs w:val="21"/>
                    </w:rPr>
                  </w:pPr>
                  <w:r>
                    <w:rPr>
                      <w:rFonts w:hint="eastAsia" w:ascii="Times New Roman" w:hAnsi="Times New Roman"/>
                      <w:szCs w:val="21"/>
                    </w:rPr>
                    <w:t>（5mm铅当量铅屏风屏蔽）</w:t>
                  </w:r>
                </w:p>
              </w:tc>
              <w:tc>
                <w:tcPr>
                  <w:tcW w:w="1843" w:type="dxa"/>
                  <w:vAlign w:val="center"/>
                </w:tcPr>
                <w:p>
                  <w:pPr>
                    <w:jc w:val="center"/>
                    <w:rPr>
                      <w:rFonts w:ascii="Times New Roman" w:hAnsi="Times New Roman"/>
                      <w:szCs w:val="21"/>
                    </w:rPr>
                  </w:pPr>
                  <w:r>
                    <w:rPr>
                      <w:rFonts w:ascii="Times New Roman" w:hAnsi="Times New Roman"/>
                      <w:szCs w:val="21"/>
                    </w:rPr>
                    <w:t>155</w:t>
                  </w:r>
                </w:p>
              </w:tc>
              <w:tc>
                <w:tcPr>
                  <w:tcW w:w="1706" w:type="dxa"/>
                  <w:vAlign w:val="center"/>
                </w:tcPr>
                <w:p>
                  <w:pPr>
                    <w:jc w:val="center"/>
                    <w:rPr>
                      <w:rFonts w:ascii="Times New Roman" w:hAnsi="Times New Roman"/>
                      <w:szCs w:val="21"/>
                    </w:rPr>
                  </w:pPr>
                  <w:r>
                    <w:rPr>
                      <w:rFonts w:ascii="Times New Roman" w:hAnsi="Times New Roman"/>
                      <w:szCs w:val="21"/>
                    </w:rPr>
                    <w:t>155~400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pPr>
                    <w:jc w:val="center"/>
                    <w:rPr>
                      <w:rFonts w:ascii="Times New Roman" w:hAnsi="Times New Roman"/>
                      <w:szCs w:val="21"/>
                    </w:rPr>
                  </w:pPr>
                </w:p>
              </w:tc>
              <w:tc>
                <w:tcPr>
                  <w:tcW w:w="2835" w:type="dxa"/>
                  <w:vAlign w:val="center"/>
                </w:tcPr>
                <w:p>
                  <w:pPr>
                    <w:jc w:val="center"/>
                    <w:rPr>
                      <w:rFonts w:ascii="Times New Roman" w:hAnsi="Times New Roman"/>
                      <w:szCs w:val="21"/>
                    </w:rPr>
                  </w:pPr>
                  <w:r>
                    <w:rPr>
                      <w:rFonts w:hint="eastAsia" w:ascii="Times New Roman" w:hAnsi="Times New Roman"/>
                      <w:szCs w:val="21"/>
                    </w:rPr>
                    <w:t>非主射方向</w:t>
                  </w:r>
                </w:p>
                <w:p>
                  <w:pPr>
                    <w:jc w:val="center"/>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mm铅当量铅屏风屏蔽）</w:t>
                  </w:r>
                </w:p>
              </w:tc>
              <w:tc>
                <w:tcPr>
                  <w:tcW w:w="1843" w:type="dxa"/>
                  <w:vAlign w:val="center"/>
                </w:tcPr>
                <w:p>
                  <w:pPr>
                    <w:jc w:val="center"/>
                    <w:rPr>
                      <w:rFonts w:ascii="Times New Roman" w:hAnsi="Times New Roman"/>
                      <w:szCs w:val="21"/>
                    </w:rPr>
                  </w:pPr>
                  <w:r>
                    <w:rPr>
                      <w:rFonts w:ascii="Times New Roman" w:hAnsi="Times New Roman"/>
                      <w:szCs w:val="21"/>
                    </w:rPr>
                    <w:t>27</w:t>
                  </w:r>
                </w:p>
              </w:tc>
              <w:tc>
                <w:tcPr>
                  <w:tcW w:w="1706" w:type="dxa"/>
                  <w:vAlign w:val="center"/>
                </w:tcPr>
                <w:p>
                  <w:pPr>
                    <w:jc w:val="center"/>
                    <w:rPr>
                      <w:rFonts w:ascii="Times New Roman" w:hAnsi="Times New Roman"/>
                      <w:szCs w:val="21"/>
                    </w:rPr>
                  </w:pPr>
                  <w:r>
                    <w:rPr>
                      <w:rFonts w:ascii="Times New Roman" w:hAnsi="Times New Roman"/>
                      <w:szCs w:val="21"/>
                    </w:rPr>
                    <w:t>27~65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restart"/>
                  <w:vAlign w:val="center"/>
                </w:tcPr>
                <w:p>
                  <w:pPr>
                    <w:jc w:val="center"/>
                    <w:rPr>
                      <w:rFonts w:ascii="Times New Roman" w:hAnsi="Times New Roman"/>
                      <w:szCs w:val="21"/>
                    </w:rPr>
                  </w:pPr>
                  <w:r>
                    <w:rPr>
                      <w:rFonts w:hint="eastAsia" w:ascii="Times New Roman" w:hAnsi="Times New Roman"/>
                      <w:color w:val="000000"/>
                      <w:szCs w:val="21"/>
                    </w:rPr>
                    <w:t>X</w:t>
                  </w:r>
                  <w:r>
                    <w:rPr>
                      <w:rFonts w:ascii="Times New Roman" w:hAnsi="Times New Roman"/>
                      <w:color w:val="000000"/>
                      <w:szCs w:val="21"/>
                    </w:rPr>
                    <w:t>XG-2505</w:t>
                  </w:r>
                  <w:r>
                    <w:rPr>
                      <w:rFonts w:hint="eastAsia" w:ascii="Times New Roman" w:hAnsi="Times New Roman"/>
                      <w:color w:val="000000"/>
                      <w:szCs w:val="21"/>
                    </w:rPr>
                    <w:t>型工业用X射线探伤机</w:t>
                  </w:r>
                </w:p>
              </w:tc>
              <w:tc>
                <w:tcPr>
                  <w:tcW w:w="2835" w:type="dxa"/>
                  <w:vAlign w:val="center"/>
                </w:tcPr>
                <w:p>
                  <w:pPr>
                    <w:jc w:val="center"/>
                    <w:rPr>
                      <w:rFonts w:ascii="Times New Roman" w:hAnsi="Times New Roman"/>
                      <w:szCs w:val="21"/>
                    </w:rPr>
                  </w:pPr>
                  <w:r>
                    <w:rPr>
                      <w:rFonts w:hint="eastAsia" w:ascii="Times New Roman" w:hAnsi="Times New Roman"/>
                      <w:szCs w:val="21"/>
                    </w:rPr>
                    <w:t>主射方向</w:t>
                  </w:r>
                </w:p>
                <w:p>
                  <w:pPr>
                    <w:jc w:val="center"/>
                    <w:rPr>
                      <w:rFonts w:ascii="Times New Roman" w:hAnsi="Times New Roman"/>
                      <w:szCs w:val="21"/>
                    </w:rPr>
                  </w:pPr>
                  <w:r>
                    <w:rPr>
                      <w:rFonts w:hint="eastAsia" w:ascii="Times New Roman" w:hAnsi="Times New Roman"/>
                      <w:szCs w:val="21"/>
                    </w:rPr>
                    <w:t>（5mm铅当量铅屏风屏蔽）</w:t>
                  </w:r>
                </w:p>
              </w:tc>
              <w:tc>
                <w:tcPr>
                  <w:tcW w:w="1843" w:type="dxa"/>
                  <w:vAlign w:val="center"/>
                </w:tcPr>
                <w:p>
                  <w:pPr>
                    <w:jc w:val="center"/>
                    <w:rPr>
                      <w:rFonts w:ascii="Times New Roman" w:hAnsi="Times New Roman"/>
                      <w:szCs w:val="21"/>
                    </w:rPr>
                  </w:pPr>
                  <w:r>
                    <w:rPr>
                      <w:rFonts w:ascii="Times New Roman" w:hAnsi="Times New Roman"/>
                      <w:szCs w:val="21"/>
                    </w:rPr>
                    <w:t>30</w:t>
                  </w:r>
                </w:p>
              </w:tc>
              <w:tc>
                <w:tcPr>
                  <w:tcW w:w="1706" w:type="dxa"/>
                  <w:vAlign w:val="center"/>
                </w:tcPr>
                <w:p>
                  <w:pPr>
                    <w:jc w:val="center"/>
                    <w:rPr>
                      <w:rFonts w:ascii="Times New Roman" w:hAnsi="Times New Roman"/>
                      <w:szCs w:val="21"/>
                    </w:rPr>
                  </w:pPr>
                  <w:r>
                    <w:rPr>
                      <w:rFonts w:ascii="Times New Roman" w:hAnsi="Times New Roman"/>
                      <w:szCs w:val="21"/>
                    </w:rPr>
                    <w:t>30~81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5" w:type="dxa"/>
                  <w:vMerge w:val="continue"/>
                  <w:vAlign w:val="center"/>
                </w:tcPr>
                <w:p>
                  <w:pPr>
                    <w:jc w:val="center"/>
                    <w:rPr>
                      <w:rFonts w:ascii="Times New Roman" w:hAnsi="Times New Roman"/>
                      <w:szCs w:val="21"/>
                    </w:rPr>
                  </w:pPr>
                </w:p>
              </w:tc>
              <w:tc>
                <w:tcPr>
                  <w:tcW w:w="2835" w:type="dxa"/>
                  <w:vAlign w:val="center"/>
                </w:tcPr>
                <w:p>
                  <w:pPr>
                    <w:jc w:val="center"/>
                    <w:rPr>
                      <w:rFonts w:ascii="Times New Roman" w:hAnsi="Times New Roman"/>
                      <w:szCs w:val="21"/>
                    </w:rPr>
                  </w:pPr>
                  <w:r>
                    <w:rPr>
                      <w:rFonts w:hint="eastAsia" w:ascii="Times New Roman" w:hAnsi="Times New Roman"/>
                      <w:szCs w:val="21"/>
                    </w:rPr>
                    <w:t>非主射方向</w:t>
                  </w:r>
                </w:p>
                <w:p>
                  <w:pPr>
                    <w:jc w:val="center"/>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mm铅当量铅屏风屏蔽）</w:t>
                  </w:r>
                </w:p>
              </w:tc>
              <w:tc>
                <w:tcPr>
                  <w:tcW w:w="1843" w:type="dxa"/>
                  <w:vAlign w:val="center"/>
                </w:tcPr>
                <w:p>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5</w:t>
                  </w:r>
                </w:p>
              </w:tc>
              <w:tc>
                <w:tcPr>
                  <w:tcW w:w="1706" w:type="dxa"/>
                  <w:vAlign w:val="center"/>
                </w:tcPr>
                <w:p>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5~33</w:t>
                  </w:r>
                </w:p>
              </w:tc>
            </w:tr>
          </w:tbl>
          <w:p>
            <w:pPr>
              <w:spacing w:line="360" w:lineRule="auto"/>
              <w:jc w:val="center"/>
              <w:rPr>
                <w:rFonts w:ascii="Times New Roman" w:hAnsi="Times New Roman"/>
                <w:b/>
                <w:bCs/>
                <w:sz w:val="24"/>
              </w:rPr>
            </w:pPr>
            <w:r>
              <w:rPr>
                <w:rFonts w:hint="eastAsia" w:ascii="Times New Roman" w:hAnsi="Times New Roman"/>
                <w:b/>
                <w:bCs/>
                <w:sz w:val="24"/>
              </w:rPr>
              <w:t>图1</w:t>
            </w:r>
            <w:r>
              <w:rPr>
                <w:rFonts w:ascii="Times New Roman" w:hAnsi="Times New Roman"/>
                <w:b/>
                <w:bCs/>
                <w:sz w:val="24"/>
              </w:rPr>
              <w:t xml:space="preserve">0-1 </w:t>
            </w:r>
            <w:r>
              <w:rPr>
                <w:rFonts w:hint="eastAsia" w:ascii="Times New Roman" w:hAnsi="Times New Roman"/>
                <w:b/>
                <w:bCs/>
                <w:sz w:val="24"/>
              </w:rPr>
              <w:t>现场探伤两区划分示意图（XT-3005和XXG-3005型工业用X射线探伤机）</w:t>
            </w:r>
          </w:p>
          <w:p>
            <w:pPr>
              <w:spacing w:line="360" w:lineRule="auto"/>
              <w:ind w:firstLine="420" w:firstLineChars="200"/>
              <w:rPr>
                <w:rFonts w:ascii="Times New Roman" w:hAnsi="Times New Roman"/>
                <w:b/>
                <w:bCs/>
                <w:sz w:val="24"/>
              </w:rPr>
            </w:pPr>
            <w:r>
              <w:drawing>
                <wp:inline distT="0" distB="0" distL="0" distR="0">
                  <wp:extent cx="4839335" cy="3959860"/>
                  <wp:effectExtent l="0" t="0" r="0" b="2540"/>
                  <wp:docPr id="6093530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53001"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39578" cy="3960000"/>
                          </a:xfrm>
                          <a:prstGeom prst="rect">
                            <a:avLst/>
                          </a:prstGeom>
                          <a:noFill/>
                          <a:ln>
                            <a:noFill/>
                          </a:ln>
                        </pic:spPr>
                      </pic:pic>
                    </a:graphicData>
                  </a:graphic>
                </wp:inline>
              </w:drawing>
            </w:r>
          </w:p>
          <w:p>
            <w:pPr>
              <w:spacing w:line="360" w:lineRule="auto"/>
              <w:ind w:firstLine="482" w:firstLineChars="200"/>
              <w:rPr>
                <w:rFonts w:ascii="Times New Roman" w:hAnsi="Times New Roman"/>
                <w:b/>
                <w:bCs/>
                <w:sz w:val="24"/>
              </w:rPr>
            </w:pPr>
            <w:r>
              <w:rPr>
                <w:rFonts w:hint="eastAsia" w:ascii="Times New Roman" w:hAnsi="Times New Roman"/>
                <w:b/>
                <w:bCs/>
                <w:sz w:val="24"/>
              </w:rPr>
              <w:t>图1</w:t>
            </w:r>
            <w:r>
              <w:rPr>
                <w:rFonts w:ascii="Times New Roman" w:hAnsi="Times New Roman"/>
                <w:b/>
                <w:bCs/>
                <w:sz w:val="24"/>
              </w:rPr>
              <w:t>0-2</w:t>
            </w:r>
            <w:r>
              <w:rPr>
                <w:rFonts w:hint="eastAsia" w:ascii="Times New Roman" w:hAnsi="Times New Roman"/>
                <w:b/>
                <w:bCs/>
                <w:sz w:val="24"/>
              </w:rPr>
              <w:t>现场探伤两区划分示意图（XXG-2505型工业用X射线探伤机）</w:t>
            </w:r>
          </w:p>
          <w:p>
            <w:pPr>
              <w:spacing w:line="360" w:lineRule="auto"/>
              <w:ind w:firstLine="482" w:firstLineChars="200"/>
              <w:rPr>
                <w:rFonts w:ascii="Times New Roman" w:hAnsi="Times New Roman"/>
                <w:b/>
                <w:bCs/>
                <w:sz w:val="24"/>
              </w:rPr>
            </w:pPr>
            <w:r>
              <w:rPr>
                <w:rFonts w:ascii="Times New Roman" w:hAnsi="Times New Roman"/>
                <w:b/>
                <w:bCs/>
                <w:sz w:val="24"/>
              </w:rPr>
              <w:drawing>
                <wp:inline distT="0" distB="0" distL="0" distR="0">
                  <wp:extent cx="4789170" cy="3959860"/>
                  <wp:effectExtent l="0" t="0" r="0" b="2540"/>
                  <wp:docPr id="15560783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78324"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89699" cy="3960000"/>
                          </a:xfrm>
                          <a:prstGeom prst="rect">
                            <a:avLst/>
                          </a:prstGeom>
                          <a:noFill/>
                          <a:ln>
                            <a:noFill/>
                          </a:ln>
                        </pic:spPr>
                      </pic:pic>
                    </a:graphicData>
                  </a:graphic>
                </wp:inline>
              </w:drawing>
            </w:r>
          </w:p>
          <w:p>
            <w:pPr>
              <w:spacing w:line="360" w:lineRule="auto"/>
              <w:ind w:firstLine="480" w:firstLineChars="200"/>
              <w:rPr>
                <w:rFonts w:ascii="Times New Roman" w:hAnsi="Times New Roman"/>
                <w:sz w:val="24"/>
              </w:rPr>
            </w:pPr>
            <w:r>
              <w:rPr>
                <w:rFonts w:hint="eastAsia" w:ascii="Times New Roman" w:hAnsi="Times New Roman"/>
                <w:sz w:val="24"/>
              </w:rPr>
              <w:t>本项目使用3种型号的探伤机，根据不同的任务需求，探伤作业时会使用到不同的设备，因此，本项目控制区、监督区的划分根据不同设备分别进行划定探伤作业实施，计算时，均采用设备的最大输出参数，但实际使用时最大管电压一般低于设备额定参数，因此，本项目理论计算结果划定的控制区、监督区相对保守，在实际探伤作业时，可结合理论计算结果并根据现场实际情况进行巡测后对控制区及监督区的划定。</w:t>
            </w:r>
          </w:p>
          <w:p>
            <w:pPr>
              <w:spacing w:line="360" w:lineRule="auto"/>
              <w:ind w:firstLine="480"/>
              <w:rPr>
                <w:rFonts w:ascii="Times New Roman" w:hAnsi="Times New Roman"/>
                <w:color w:val="000000"/>
                <w:sz w:val="24"/>
              </w:rPr>
            </w:pPr>
            <w:r>
              <w:rPr>
                <w:rFonts w:ascii="Times New Roman" w:hAnsi="Times New Roman"/>
                <w:color w:val="000000"/>
                <w:sz w:val="24"/>
              </w:rPr>
              <w:t>进行现工作业时，现场一般有大量设备可对X射线探伤机的X射线进行屏蔽，其控制区、监督区边界距离会比理论估算值偏小很多，</w:t>
            </w:r>
            <w:r>
              <w:rPr>
                <w:rFonts w:hint="eastAsia" w:ascii="Times New Roman" w:hAnsi="Times New Roman"/>
                <w:color w:val="000000"/>
                <w:sz w:val="24"/>
              </w:rPr>
              <w:t>新疆质检院</w:t>
            </w:r>
            <w:r>
              <w:rPr>
                <w:rFonts w:ascii="Times New Roman" w:hAnsi="Times New Roman"/>
                <w:color w:val="000000"/>
                <w:sz w:val="24"/>
              </w:rPr>
              <w:t>进行现场探伤时，应结合探伤现场周边保护目标与探伤点距离等情况合理选择探伤时间、出束条件、出束方向等使周边保护目标位于监督区外；无法避免时，应设置移动铅屏风等屏蔽措施使周边保护目标位于监督区外。同时，</w:t>
            </w:r>
            <w:r>
              <w:rPr>
                <w:rFonts w:hint="eastAsia" w:ascii="Times New Roman" w:hAnsi="Times New Roman"/>
                <w:color w:val="000000"/>
                <w:sz w:val="24"/>
              </w:rPr>
              <w:t>新疆质检院</w:t>
            </w:r>
            <w:r>
              <w:rPr>
                <w:rFonts w:ascii="Times New Roman" w:hAnsi="Times New Roman"/>
                <w:color w:val="000000"/>
                <w:sz w:val="24"/>
              </w:rPr>
              <w:t>应做好现场探伤的记录，积累不同出束方向、出束条件、探伤工件厚度等条件下的常用控制区与监督区距离，便于</w:t>
            </w:r>
            <w:r>
              <w:rPr>
                <w:rFonts w:hint="eastAsia" w:ascii="Times New Roman" w:hAnsi="Times New Roman"/>
                <w:color w:val="000000"/>
                <w:sz w:val="24"/>
              </w:rPr>
              <w:t>新疆质检院</w:t>
            </w:r>
            <w:r>
              <w:rPr>
                <w:rFonts w:ascii="Times New Roman" w:hAnsi="Times New Roman"/>
                <w:color w:val="000000"/>
                <w:sz w:val="24"/>
              </w:rPr>
              <w:t>日常辐射安全的管理。</w:t>
            </w:r>
          </w:p>
          <w:p>
            <w:pPr>
              <w:spacing w:line="360" w:lineRule="auto"/>
              <w:ind w:firstLine="480"/>
              <w:rPr>
                <w:rFonts w:ascii="Times New Roman" w:hAnsi="Times New Roman"/>
                <w:color w:val="000000"/>
                <w:sz w:val="24"/>
              </w:rPr>
            </w:pPr>
            <w:r>
              <w:rPr>
                <w:rFonts w:hint="eastAsia" w:ascii="Times New Roman" w:hAnsi="Times New Roman"/>
                <w:color w:val="000000"/>
                <w:sz w:val="24"/>
              </w:rPr>
              <w:t>进行</w:t>
            </w:r>
            <w:r>
              <w:rPr>
                <w:rFonts w:ascii="Times New Roman" w:hAnsi="Times New Roman"/>
                <w:color w:val="000000"/>
                <w:sz w:val="24"/>
              </w:rPr>
              <w:t>工业X射线现场探伤时，根据构件厚度及探伤条件初步划定控制区与监督区，并在各区边界及工作区域出入口设置警戒线、警示标语、声光报警装置等辐射安全与防护措施，以提醒和防止无关人员靠近监督区或误入。</w:t>
            </w:r>
          </w:p>
          <w:p>
            <w:pPr>
              <w:spacing w:line="360" w:lineRule="auto"/>
              <w:rPr>
                <w:rFonts w:ascii="Times New Roman" w:hAnsi="Times New Roman"/>
                <w:b/>
                <w:color w:val="000000"/>
                <w:sz w:val="24"/>
              </w:rPr>
            </w:pPr>
            <w:r>
              <w:rPr>
                <w:rFonts w:ascii="Times New Roman" w:hAnsi="Times New Roman"/>
                <w:b/>
                <w:bCs/>
                <w:sz w:val="24"/>
              </w:rPr>
              <w:t>11.2.4</w:t>
            </w:r>
            <w:r>
              <w:rPr>
                <w:rFonts w:ascii="Times New Roman" w:hAnsi="Times New Roman"/>
                <w:b/>
                <w:color w:val="000000"/>
                <w:sz w:val="24"/>
              </w:rPr>
              <w:t>辐射环境影响预测分析（</w:t>
            </w:r>
            <w:r>
              <w:rPr>
                <w:rFonts w:ascii="Times New Roman" w:hAnsi="Times New Roman"/>
                <w:b/>
                <w:bCs/>
                <w:kern w:val="0"/>
                <w:sz w:val="24"/>
                <w:szCs w:val="24"/>
              </w:rPr>
              <w:t>剂量估算</w:t>
            </w:r>
            <w:r>
              <w:rPr>
                <w:rFonts w:ascii="Times New Roman" w:hAnsi="Times New Roman"/>
                <w:b/>
                <w:color w:val="000000"/>
                <w:sz w:val="24"/>
              </w:rPr>
              <w:t>）</w:t>
            </w:r>
          </w:p>
          <w:p>
            <w:pPr>
              <w:spacing w:line="360" w:lineRule="auto"/>
              <w:ind w:firstLine="480"/>
              <w:rPr>
                <w:rFonts w:ascii="Times New Roman" w:hAnsi="Times New Roman"/>
                <w:color w:val="000000"/>
                <w:sz w:val="24"/>
              </w:rPr>
            </w:pPr>
            <w:r>
              <w:rPr>
                <w:rFonts w:ascii="Times New Roman" w:hAnsi="Times New Roman"/>
                <w:color w:val="000000"/>
                <w:sz w:val="24"/>
              </w:rPr>
              <w:t>按照职业人员所受的年附加有效剂量当量估算计算公式如下：</w:t>
            </w:r>
          </w:p>
          <w:p>
            <w:pPr>
              <w:jc w:val="center"/>
              <w:rPr>
                <w:rFonts w:ascii="Times New Roman" w:hAnsi="Times New Roman"/>
                <w:sz w:val="24"/>
              </w:rPr>
            </w:pPr>
            <w:r>
              <w:rPr>
                <w:rFonts w:ascii="Times New Roman" w:hAnsi="Times New Roman"/>
                <w:sz w:val="24"/>
              </w:rPr>
              <w:t>E=</w:t>
            </w:r>
            <w:r>
              <w:rPr>
                <w:rFonts w:ascii="Times New Roman" w:hAnsi="Times New Roman"/>
                <w:sz w:val="24"/>
              </w:rPr>
              <w:fldChar w:fldCharType="begin"/>
            </w:r>
            <w:r>
              <w:rPr>
                <w:rFonts w:ascii="Times New Roman" w:hAnsi="Times New Roman"/>
                <w:sz w:val="24"/>
              </w:rPr>
              <w:instrText xml:space="preserve">EQ \* jc2 \* hps12 \o\ad(\s\up 11(</w:instrText>
            </w:r>
            <w:r>
              <w:rPr>
                <w:rFonts w:ascii="Times New Roman" w:hAnsi="Times New Roman"/>
                <w:sz w:val="12"/>
              </w:rPr>
              <w:instrText xml:space="preserve">·</w:instrText>
            </w:r>
            <w:r>
              <w:rPr>
                <w:rFonts w:ascii="Times New Roman" w:hAnsi="Times New Roman"/>
                <w:sz w:val="24"/>
              </w:rPr>
              <w:instrText xml:space="preserve">),H)</w:instrText>
            </w:r>
            <w:r>
              <w:rPr>
                <w:rFonts w:ascii="Times New Roman" w:hAnsi="Times New Roman"/>
                <w:sz w:val="24"/>
              </w:rPr>
              <w:fldChar w:fldCharType="end"/>
            </w:r>
            <w:r>
              <w:rPr>
                <w:rFonts w:ascii="Times New Roman" w:hAnsi="Times New Roman"/>
                <w:sz w:val="24"/>
              </w:rPr>
              <w:t>/1000</w:t>
            </w:r>
            <w:r>
              <w:rPr>
                <w:rFonts w:hint="eastAsia" w:ascii="Times New Roman" w:hAnsi="Times New Roman"/>
                <w:sz w:val="24"/>
              </w:rPr>
              <w:t>×t×</w:t>
            </w:r>
            <w:r>
              <w:rPr>
                <w:rFonts w:ascii="Times New Roman" w:hAnsi="Times New Roman"/>
                <w:sz w:val="24"/>
              </w:rPr>
              <w:t>T</w:t>
            </w:r>
          </w:p>
          <w:p>
            <w:pPr>
              <w:spacing w:line="360" w:lineRule="auto"/>
              <w:rPr>
                <w:rFonts w:ascii="Times New Roman" w:hAnsi="Times New Roman"/>
                <w:sz w:val="24"/>
              </w:rPr>
            </w:pPr>
            <w:r>
              <w:rPr>
                <w:rFonts w:ascii="Times New Roman" w:hAnsi="Times New Roman"/>
                <w:sz w:val="24"/>
              </w:rPr>
              <w:t xml:space="preserve">    其中：E----</w:t>
            </w:r>
            <w:r>
              <w:rPr>
                <w:rFonts w:hint="eastAsia" w:ascii="Times New Roman" w:hAnsi="Times New Roman"/>
                <w:sz w:val="24"/>
              </w:rPr>
              <w:t>保护目标的受照剂量，mSv/a；</w:t>
            </w:r>
          </w:p>
          <w:p>
            <w:pPr>
              <w:spacing w:line="360" w:lineRule="auto"/>
              <w:rPr>
                <w:rFonts w:ascii="Times New Roman" w:hAnsi="Times New Roman"/>
                <w:sz w:val="24"/>
              </w:rPr>
            </w:pPr>
            <w:r>
              <w:rPr>
                <w:rFonts w:ascii="Times New Roman" w:hAnsi="Times New Roman"/>
                <w:sz w:val="24"/>
              </w:rPr>
              <w:t xml:space="preserve">         </w:t>
            </w:r>
            <w:r>
              <w:rPr>
                <w:rFonts w:ascii="Times New Roman" w:hAnsi="Times New Roman"/>
                <w:sz w:val="24"/>
              </w:rPr>
              <w:fldChar w:fldCharType="begin"/>
            </w:r>
            <w:r>
              <w:rPr>
                <w:rFonts w:ascii="Times New Roman" w:hAnsi="Times New Roman"/>
                <w:sz w:val="24"/>
              </w:rPr>
              <w:instrText xml:space="preserve">EQ \* jc2 \* hps12 \o\ad(\s\up 11(</w:instrText>
            </w:r>
            <w:r>
              <w:rPr>
                <w:rFonts w:ascii="Times New Roman" w:hAnsi="Times New Roman"/>
                <w:sz w:val="12"/>
              </w:rPr>
              <w:instrText xml:space="preserve">·</w:instrText>
            </w:r>
            <w:r>
              <w:rPr>
                <w:rFonts w:ascii="Times New Roman" w:hAnsi="Times New Roman"/>
                <w:sz w:val="24"/>
              </w:rPr>
              <w:instrText xml:space="preserve">),H)</w:instrText>
            </w:r>
            <w:r>
              <w:rPr>
                <w:rFonts w:ascii="Times New Roman" w:hAnsi="Times New Roman"/>
                <w:sz w:val="24"/>
              </w:rPr>
              <w:fldChar w:fldCharType="end"/>
            </w:r>
            <w:r>
              <w:rPr>
                <w:rFonts w:ascii="Times New Roman" w:hAnsi="Times New Roman"/>
                <w:sz w:val="24"/>
              </w:rPr>
              <w:t>----</w:t>
            </w:r>
            <w:r>
              <w:rPr>
                <w:rFonts w:hint="eastAsia" w:ascii="Times New Roman" w:hAnsi="Times New Roman"/>
                <w:sz w:val="24"/>
              </w:rPr>
              <w:t>保护目标的受照剂量率，</w:t>
            </w:r>
            <w:r>
              <w:rPr>
                <w:rFonts w:ascii="Times New Roman" w:hAnsi="Times New Roman"/>
                <w:sz w:val="24"/>
              </w:rPr>
              <w:t>μSv/h；</w:t>
            </w:r>
          </w:p>
          <w:p>
            <w:pPr>
              <w:spacing w:line="360" w:lineRule="auto"/>
              <w:rPr>
                <w:rFonts w:ascii="Times New Roman" w:hAnsi="Times New Roman"/>
                <w:sz w:val="24"/>
              </w:rPr>
            </w:pPr>
            <w:r>
              <w:rPr>
                <w:rFonts w:ascii="Times New Roman" w:hAnsi="Times New Roman"/>
                <w:sz w:val="24"/>
              </w:rPr>
              <w:t xml:space="preserve">         t----本项目全年出束时间，h；</w:t>
            </w:r>
          </w:p>
          <w:p>
            <w:pPr>
              <w:spacing w:line="360" w:lineRule="auto"/>
              <w:rPr>
                <w:rFonts w:ascii="Times New Roman" w:hAnsi="Times New Roman"/>
                <w:sz w:val="24"/>
              </w:rPr>
            </w:pPr>
            <w:r>
              <w:rPr>
                <w:rFonts w:ascii="Times New Roman" w:hAnsi="Times New Roman"/>
                <w:sz w:val="24"/>
              </w:rPr>
              <w:t xml:space="preserve">         T----保护目标的居留因子。</w:t>
            </w:r>
          </w:p>
          <w:p>
            <w:pPr>
              <w:spacing w:line="440" w:lineRule="exact"/>
              <w:ind w:firstLine="480" w:firstLineChars="200"/>
              <w:rPr>
                <w:rFonts w:ascii="Times New Roman" w:hAnsi="Times New Roman"/>
                <w:sz w:val="24"/>
              </w:rPr>
            </w:pPr>
            <w:r>
              <w:rPr>
                <w:rFonts w:ascii="Times New Roman" w:hAnsi="Times New Roman"/>
                <w:sz w:val="24"/>
              </w:rPr>
              <w:t>由新疆质检院提供资料可知，XXG-2505、</w:t>
            </w:r>
            <w:r>
              <w:rPr>
                <w:rFonts w:hint="eastAsia" w:ascii="Times New Roman" w:hAnsi="Times New Roman"/>
                <w:sz w:val="24"/>
              </w:rPr>
              <w:t>X</w:t>
            </w:r>
            <w:r>
              <w:rPr>
                <w:rFonts w:ascii="Times New Roman" w:hAnsi="Times New Roman"/>
                <w:sz w:val="24"/>
              </w:rPr>
              <w:t>T3005</w:t>
            </w:r>
            <w:r>
              <w:rPr>
                <w:rFonts w:hint="eastAsia" w:ascii="Times New Roman" w:hAnsi="Times New Roman"/>
                <w:sz w:val="24"/>
              </w:rPr>
              <w:t>、</w:t>
            </w:r>
            <w:r>
              <w:rPr>
                <w:rFonts w:ascii="Times New Roman" w:hAnsi="Times New Roman"/>
                <w:sz w:val="24"/>
              </w:rPr>
              <w:t>XXG-3005型探伤机年任务总次数60次/年，每次任务探伤出束120min，则年出束120h。新疆质检院每次最多同时派出2个工作组进行现场探伤作业，每个组单次只使用1台X射线探伤机，不会同时使用2台X射线探伤机。每次任务探伤出束2h，则年出束120h。因每次划定的控制区、监督区范围大小不一，确认边界剂量率所需时间不一。从偏保守角度考虑，划定控制区的时间为总出束时间的1/6（20h），其余时间（总出束时间的5/6，100h）为监督区停留时间，辐射工作人员受照剂量率取各边界处剂量率控制值（控制区15μSv/h，监督区2.5μSv/h）。X射线探伤机操作人员6人，2～3人/组，分为2组。</w:t>
            </w:r>
          </w:p>
          <w:p>
            <w:pPr>
              <w:spacing w:line="440" w:lineRule="exact"/>
              <w:ind w:firstLine="480" w:firstLineChars="200"/>
              <w:rPr>
                <w:rFonts w:ascii="Times New Roman" w:hAnsi="Times New Roman"/>
                <w:sz w:val="24"/>
              </w:rPr>
            </w:pPr>
            <w:r>
              <w:rPr>
                <w:rFonts w:ascii="Times New Roman" w:hAnsi="Times New Roman"/>
                <w:sz w:val="24"/>
              </w:rPr>
              <w:t>新疆质检院每次现场探伤场所属于不同的作业区和作业公司，从偏保守角度考虑，新疆质检院在同一作业区年探伤任务次数2次/年，每次任务探伤机的出束时间（2h/次），则单个作业区年出束时间为240min（4h）。X射线现场探伤时，厂区人员较少，公众人员居留因子取1/16，现场探伤时公众受照剂量率取监督区边界剂量率2.5μSv/h。上述取值是偏保守和安全的。</w:t>
            </w:r>
          </w:p>
          <w:p>
            <w:pPr>
              <w:spacing w:line="360" w:lineRule="auto"/>
              <w:jc w:val="center"/>
              <w:rPr>
                <w:rFonts w:ascii="Times New Roman" w:hAnsi="Times New Roman"/>
                <w:b/>
                <w:sz w:val="24"/>
              </w:rPr>
            </w:pPr>
            <w:r>
              <w:rPr>
                <w:rFonts w:ascii="Times New Roman" w:hAnsi="Times New Roman"/>
                <w:b/>
                <w:sz w:val="24"/>
              </w:rPr>
              <w:t>表11-6  X射线探伤机现场探伤工作人员及公众人员的年有效剂量估算结果表</w:t>
            </w:r>
          </w:p>
          <w:tbl>
            <w:tblPr>
              <w:tblStyle w:val="17"/>
              <w:tblW w:w="9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212"/>
              <w:gridCol w:w="1787"/>
              <w:gridCol w:w="1790"/>
              <w:gridCol w:w="1506"/>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成员</w:t>
                  </w:r>
                </w:p>
              </w:tc>
              <w:tc>
                <w:tcPr>
                  <w:tcW w:w="1212"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操作类型</w:t>
                  </w:r>
                </w:p>
              </w:tc>
              <w:tc>
                <w:tcPr>
                  <w:tcW w:w="1787"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剂量率（μSv/h）</w:t>
                  </w:r>
                </w:p>
              </w:tc>
              <w:tc>
                <w:tcPr>
                  <w:tcW w:w="1790"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时间（h）</w:t>
                  </w:r>
                </w:p>
              </w:tc>
              <w:tc>
                <w:tcPr>
                  <w:tcW w:w="3012" w:type="dxa"/>
                  <w:gridSpan w:val="2"/>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年有效剂量（mSv）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Merge w:val="restart"/>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工作人员</w:t>
                  </w:r>
                </w:p>
              </w:tc>
              <w:tc>
                <w:tcPr>
                  <w:tcW w:w="1212"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控制区</w:t>
                  </w:r>
                </w:p>
              </w:tc>
              <w:tc>
                <w:tcPr>
                  <w:tcW w:w="1787"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15</w:t>
                  </w:r>
                </w:p>
              </w:tc>
              <w:tc>
                <w:tcPr>
                  <w:tcW w:w="1790"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20÷2组=10</w:t>
                  </w:r>
                </w:p>
              </w:tc>
              <w:tc>
                <w:tcPr>
                  <w:tcW w:w="1506"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0.15</w:t>
                  </w:r>
                </w:p>
              </w:tc>
              <w:tc>
                <w:tcPr>
                  <w:tcW w:w="1506" w:type="dxa"/>
                  <w:vMerge w:val="restart"/>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vMerge w:val="continue"/>
                  <w:vAlign w:val="center"/>
                </w:tcPr>
                <w:p>
                  <w:pPr>
                    <w:adjustRightInd w:val="0"/>
                    <w:spacing w:line="312" w:lineRule="atLeast"/>
                    <w:jc w:val="center"/>
                    <w:textAlignment w:val="baseline"/>
                    <w:rPr>
                      <w:rFonts w:ascii="Times New Roman" w:hAnsi="Times New Roman"/>
                      <w:color w:val="000000"/>
                      <w:kern w:val="0"/>
                    </w:rPr>
                  </w:pPr>
                </w:p>
              </w:tc>
              <w:tc>
                <w:tcPr>
                  <w:tcW w:w="1212"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监督区</w:t>
                  </w:r>
                </w:p>
              </w:tc>
              <w:tc>
                <w:tcPr>
                  <w:tcW w:w="1787"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2.5</w:t>
                  </w:r>
                </w:p>
              </w:tc>
              <w:tc>
                <w:tcPr>
                  <w:tcW w:w="1790"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100÷2组=50</w:t>
                  </w:r>
                </w:p>
              </w:tc>
              <w:tc>
                <w:tcPr>
                  <w:tcW w:w="1506"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0.13</w:t>
                  </w:r>
                </w:p>
              </w:tc>
              <w:tc>
                <w:tcPr>
                  <w:tcW w:w="1506" w:type="dxa"/>
                  <w:vMerge w:val="continue"/>
                  <w:vAlign w:val="center"/>
                </w:tcPr>
                <w:p>
                  <w:pPr>
                    <w:adjustRightInd w:val="0"/>
                    <w:spacing w:line="312" w:lineRule="atLeast"/>
                    <w:jc w:val="center"/>
                    <w:textAlignment w:val="baseline"/>
                    <w:rPr>
                      <w:rFonts w:ascii="Times New Roman" w:hAnsi="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6" w:type="dxa"/>
                  <w:gridSpan w:val="2"/>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其他公众人员</w:t>
                  </w:r>
                </w:p>
              </w:tc>
              <w:tc>
                <w:tcPr>
                  <w:tcW w:w="1787"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2.5</w:t>
                  </w:r>
                </w:p>
              </w:tc>
              <w:tc>
                <w:tcPr>
                  <w:tcW w:w="1790" w:type="dxa"/>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4×（1/16）=0.25</w:t>
                  </w:r>
                </w:p>
              </w:tc>
              <w:tc>
                <w:tcPr>
                  <w:tcW w:w="3012" w:type="dxa"/>
                  <w:gridSpan w:val="2"/>
                  <w:vAlign w:val="center"/>
                </w:tcPr>
                <w:p>
                  <w:pPr>
                    <w:adjustRightInd w:val="0"/>
                    <w:spacing w:line="312" w:lineRule="atLeast"/>
                    <w:jc w:val="center"/>
                    <w:textAlignment w:val="baseline"/>
                    <w:rPr>
                      <w:rFonts w:ascii="Times New Roman" w:hAnsi="Times New Roman"/>
                      <w:color w:val="000000"/>
                      <w:kern w:val="0"/>
                    </w:rPr>
                  </w:pPr>
                  <w:r>
                    <w:rPr>
                      <w:rFonts w:ascii="Times New Roman" w:hAnsi="Times New Roman"/>
                      <w:color w:val="000000"/>
                      <w:kern w:val="0"/>
                    </w:rPr>
                    <w:t>6.25×10</w:t>
                  </w:r>
                  <w:r>
                    <w:rPr>
                      <w:rFonts w:ascii="Times New Roman" w:hAnsi="Times New Roman"/>
                      <w:color w:val="000000"/>
                      <w:kern w:val="0"/>
                      <w:vertAlign w:val="superscript"/>
                    </w:rPr>
                    <w:t>-4</w:t>
                  </w:r>
                </w:p>
              </w:tc>
            </w:tr>
          </w:tbl>
          <w:p>
            <w:pPr>
              <w:spacing w:line="440" w:lineRule="exact"/>
              <w:ind w:firstLine="480" w:firstLineChars="200"/>
              <w:rPr>
                <w:rFonts w:ascii="Times New Roman" w:hAnsi="Times New Roman"/>
                <w:sz w:val="24"/>
              </w:rPr>
            </w:pPr>
            <w:r>
              <w:rPr>
                <w:rFonts w:ascii="Times New Roman" w:hAnsi="Times New Roman"/>
                <w:sz w:val="24"/>
              </w:rPr>
              <w:t>由表11-6可知，X射线探伤机现场探伤时对工作人员职业照射的最大年有效剂量值为0.28mSv/a，符合《电离辐射防护与辐射源安全基本标准》（GB18871-2002）的要求，也低于剂量约束值5mSv。对公众照射的最大年有效剂量值为6.25×10</w:t>
            </w:r>
            <w:r>
              <w:rPr>
                <w:rFonts w:ascii="Times New Roman" w:hAnsi="Times New Roman"/>
                <w:sz w:val="24"/>
                <w:vertAlign w:val="superscript"/>
              </w:rPr>
              <w:t>-4</w:t>
            </w:r>
            <w:r>
              <w:rPr>
                <w:rFonts w:ascii="Times New Roman" w:hAnsi="Times New Roman"/>
                <w:sz w:val="24"/>
              </w:rPr>
              <w:t>mSv/a，符合《电离辐射防护与辐射源安全基本标准》（GB18871-2002）的要求，也低于剂量约束值0.1mSv/a。</w:t>
            </w:r>
          </w:p>
          <w:p>
            <w:pPr>
              <w:pStyle w:val="33"/>
              <w:kinsoku w:val="0"/>
              <w:overflowPunct w:val="0"/>
              <w:spacing w:line="480" w:lineRule="exact"/>
              <w:contextualSpacing/>
              <w:jc w:val="both"/>
              <w:rPr>
                <w:b/>
                <w:sz w:val="28"/>
                <w:szCs w:val="28"/>
              </w:rPr>
            </w:pPr>
            <w:r>
              <w:rPr>
                <w:b/>
                <w:bCs/>
                <w:sz w:val="28"/>
                <w:szCs w:val="28"/>
              </w:rPr>
              <w:t>11.3</w:t>
            </w:r>
            <w:r>
              <w:rPr>
                <w:b/>
                <w:sz w:val="28"/>
                <w:szCs w:val="28"/>
              </w:rPr>
              <w:t>“三废”影响分析</w:t>
            </w:r>
          </w:p>
          <w:p>
            <w:pPr>
              <w:pStyle w:val="33"/>
              <w:kinsoku w:val="0"/>
              <w:overflowPunct w:val="0"/>
              <w:spacing w:line="460" w:lineRule="exact"/>
              <w:contextualSpacing/>
              <w:jc w:val="both"/>
            </w:pPr>
            <w:r>
              <w:rPr>
                <w:b/>
              </w:rPr>
              <w:t>11.3.1废气影响分析</w:t>
            </w:r>
          </w:p>
          <w:p>
            <w:pPr>
              <w:spacing w:line="440" w:lineRule="exact"/>
              <w:ind w:firstLine="540"/>
              <w:rPr>
                <w:rFonts w:ascii="Times New Roman" w:hAnsi="Times New Roman"/>
                <w:color w:val="000000"/>
                <w:sz w:val="24"/>
              </w:rPr>
            </w:pPr>
            <w:r>
              <w:rPr>
                <w:rFonts w:ascii="Times New Roman" w:hAnsi="Times New Roman"/>
                <w:color w:val="000000"/>
                <w:sz w:val="24"/>
              </w:rPr>
              <w:t>X射线能使空气电离，会产生少量臭氧和氮氧化物，因此本项目X射线探伤装置在运行时除产生少量的臭氧和氮氧化物外，无其它放射性废气产生。因为现场探伤，产生的少量的臭氧和氮氧化物可稀释至大气中，不会对周围环境产生影响。</w:t>
            </w:r>
          </w:p>
          <w:p>
            <w:pPr>
              <w:pStyle w:val="33"/>
              <w:kinsoku w:val="0"/>
              <w:overflowPunct w:val="0"/>
              <w:spacing w:line="360" w:lineRule="auto"/>
              <w:contextualSpacing/>
              <w:jc w:val="both"/>
              <w:rPr>
                <w:b/>
              </w:rPr>
            </w:pPr>
            <w:r>
              <w:rPr>
                <w:b/>
              </w:rPr>
              <w:t>11.3.2固废与废水影响分析</w:t>
            </w:r>
          </w:p>
          <w:p>
            <w:pPr>
              <w:pStyle w:val="33"/>
              <w:kinsoku w:val="0"/>
              <w:overflowPunct w:val="0"/>
              <w:spacing w:line="360" w:lineRule="auto"/>
              <w:ind w:firstLine="480" w:firstLineChars="200"/>
              <w:contextualSpacing/>
              <w:jc w:val="both"/>
            </w:pPr>
            <w:r>
              <w:rPr>
                <w:color w:val="000000"/>
              </w:rPr>
              <w:t>探伤拍片产生的洗片废显（定）影液（含重金属）及胶片属于国家危险废物名录中感光材料废物HW16，其中显（定）影液年产生量为100L，废胶片年产生量约为100张，定期交由</w:t>
            </w:r>
            <w:r>
              <w:t>有相应危废处置资质的单位回收处置。</w:t>
            </w:r>
          </w:p>
          <w:p>
            <w:pPr>
              <w:pStyle w:val="33"/>
              <w:kinsoku w:val="0"/>
              <w:overflowPunct w:val="0"/>
              <w:spacing w:line="480" w:lineRule="exact"/>
              <w:contextualSpacing/>
              <w:rPr>
                <w:b/>
                <w:bCs/>
                <w:sz w:val="28"/>
                <w:szCs w:val="28"/>
              </w:rPr>
            </w:pPr>
            <w:r>
              <w:rPr>
                <w:b/>
                <w:bCs/>
                <w:sz w:val="28"/>
                <w:szCs w:val="28"/>
              </w:rPr>
              <w:t>11.4事故影响分析</w:t>
            </w:r>
          </w:p>
          <w:p>
            <w:pPr>
              <w:pStyle w:val="33"/>
              <w:kinsoku w:val="0"/>
              <w:overflowPunct w:val="0"/>
              <w:spacing w:line="460" w:lineRule="exact"/>
              <w:contextualSpacing/>
              <w:rPr>
                <w:b/>
                <w:bCs/>
              </w:rPr>
            </w:pPr>
            <w:r>
              <w:rPr>
                <w:b/>
                <w:bCs/>
              </w:rPr>
              <w:t>11.4.1事故风险分析</w:t>
            </w:r>
          </w:p>
          <w:p>
            <w:pPr>
              <w:pStyle w:val="33"/>
              <w:kinsoku w:val="0"/>
              <w:overflowPunct w:val="0"/>
              <w:spacing w:line="460" w:lineRule="exact"/>
              <w:ind w:firstLine="480" w:firstLineChars="200"/>
              <w:contextualSpacing/>
            </w:pPr>
            <w:r>
              <w:t>1、探伤装置丢失、被盗造成的事故。</w:t>
            </w:r>
          </w:p>
          <w:p>
            <w:pPr>
              <w:pStyle w:val="33"/>
              <w:kinsoku w:val="0"/>
              <w:overflowPunct w:val="0"/>
              <w:spacing w:line="460" w:lineRule="exact"/>
              <w:ind w:firstLine="480" w:firstLineChars="200"/>
              <w:contextualSpacing/>
            </w:pPr>
            <w:r>
              <w:t>2、X射线装置只有在开机曝光时才产生X射线，因此，X射线检测事故多为开机误照射事故，主要有：</w:t>
            </w:r>
          </w:p>
          <w:p>
            <w:pPr>
              <w:pStyle w:val="33"/>
              <w:kinsoku w:val="0"/>
              <w:overflowPunct w:val="0"/>
              <w:spacing w:line="460" w:lineRule="exact"/>
              <w:ind w:firstLine="480" w:firstLineChars="200"/>
              <w:contextualSpacing/>
            </w:pPr>
            <w:r>
              <w:t>（1）X射线探伤前清场不完全或在探伤过程中，警戒工作未到位，致使工作人员或公众误入控制区和监督区，使其受到超剂量的外照射；</w:t>
            </w:r>
          </w:p>
          <w:p>
            <w:pPr>
              <w:pStyle w:val="33"/>
              <w:kinsoku w:val="0"/>
              <w:overflowPunct w:val="0"/>
              <w:spacing w:line="460" w:lineRule="exact"/>
              <w:ind w:firstLine="480" w:firstLineChars="200"/>
              <w:contextualSpacing/>
            </w:pPr>
            <w:r>
              <w:t>（2）探伤现场选择及现场控制区、监督区划分不合理，检测过程中未对两区边界辐射水平进行检测，对工作人员和现场周围公众造成外照射；探伤人员违反操作规程强行探伤，对工作人员和现场周围公众造成外照射。</w:t>
            </w:r>
          </w:p>
          <w:p>
            <w:pPr>
              <w:pStyle w:val="33"/>
              <w:kinsoku w:val="0"/>
              <w:overflowPunct w:val="0"/>
              <w:spacing w:line="460" w:lineRule="exact"/>
              <w:contextualSpacing/>
              <w:rPr>
                <w:b/>
                <w:bCs/>
              </w:rPr>
            </w:pPr>
            <w:r>
              <w:rPr>
                <w:b/>
                <w:bCs/>
              </w:rPr>
              <w:t>11.4.2事故处理方法</w:t>
            </w:r>
          </w:p>
          <w:p>
            <w:pPr>
              <w:pStyle w:val="33"/>
              <w:kinsoku w:val="0"/>
              <w:overflowPunct w:val="0"/>
              <w:spacing w:line="460" w:lineRule="exact"/>
              <w:ind w:firstLine="480" w:firstLineChars="200"/>
              <w:contextualSpacing/>
            </w:pPr>
            <w:r>
              <w:t>1、丢失：</w:t>
            </w:r>
          </w:p>
          <w:p>
            <w:pPr>
              <w:pStyle w:val="33"/>
              <w:kinsoku w:val="0"/>
              <w:overflowPunct w:val="0"/>
              <w:spacing w:line="460" w:lineRule="exact"/>
              <w:ind w:firstLine="480" w:firstLineChars="200"/>
              <w:contextualSpacing/>
              <w:rPr>
                <w:color w:val="000000"/>
              </w:rPr>
            </w:pPr>
            <w:r>
              <w:rPr>
                <w:color w:val="000000"/>
              </w:rPr>
              <w:t>（1）进行曝光作业时，应有专人值守，严防探伤装置丢失。现场作业，探伤装置用毕不能及时返回库房保管的，应利用保险柜，现场保存，并有专人24小时值守。</w:t>
            </w:r>
          </w:p>
          <w:p>
            <w:pPr>
              <w:pStyle w:val="33"/>
              <w:kinsoku w:val="0"/>
              <w:overflowPunct w:val="0"/>
              <w:spacing w:line="460" w:lineRule="exact"/>
              <w:ind w:firstLine="480" w:firstLineChars="200"/>
              <w:contextualSpacing/>
              <w:rPr>
                <w:color w:val="000000"/>
              </w:rPr>
            </w:pPr>
            <w:r>
              <w:rPr>
                <w:color w:val="000000"/>
              </w:rPr>
              <w:t>（2）若发生丢失事故，应立即上报</w:t>
            </w:r>
            <w:r>
              <w:t>生态环境部门和公安部门报告，尽快组织搜寻遗失探伤装置，避免事态进一步扩大。</w:t>
            </w:r>
          </w:p>
          <w:p>
            <w:pPr>
              <w:pStyle w:val="33"/>
              <w:kinsoku w:val="0"/>
              <w:overflowPunct w:val="0"/>
              <w:spacing w:line="460" w:lineRule="exact"/>
              <w:ind w:firstLine="480" w:firstLineChars="200"/>
              <w:contextualSpacing/>
            </w:pPr>
            <w:r>
              <w:t>2、意外照射：</w:t>
            </w:r>
          </w:p>
          <w:p>
            <w:pPr>
              <w:pStyle w:val="33"/>
              <w:kinsoku w:val="0"/>
              <w:overflowPunct w:val="0"/>
              <w:spacing w:line="460" w:lineRule="exact"/>
              <w:ind w:firstLine="480" w:firstLineChars="200"/>
              <w:contextualSpacing/>
            </w:pPr>
            <w:r>
              <w:t>（1）发现异常立即停止探伤装置曝光，核算人员误照射剂量，并及时到专业医院就诊检查治疗。</w:t>
            </w:r>
          </w:p>
          <w:p>
            <w:pPr>
              <w:pStyle w:val="33"/>
              <w:kinsoku w:val="0"/>
              <w:overflowPunct w:val="0"/>
              <w:spacing w:line="460" w:lineRule="exact"/>
              <w:ind w:firstLine="480" w:firstLineChars="200"/>
              <w:contextualSpacing/>
            </w:pPr>
            <w:r>
              <w:t>（2）X射线探伤时辐射工作人员应使用辐射巡检仪进行巡检，发现异常情况应立即停止出束，并检查排出异常，并做好记录。</w:t>
            </w:r>
          </w:p>
          <w:p>
            <w:pPr>
              <w:pStyle w:val="33"/>
              <w:kinsoku w:val="0"/>
              <w:overflowPunct w:val="0"/>
              <w:spacing w:line="460" w:lineRule="exact"/>
              <w:ind w:firstLine="480" w:firstLineChars="200"/>
              <w:contextualSpacing/>
            </w:pPr>
            <w:r>
              <w:t>（3）对辐射工作人员造成额外照射，应及时检测辐射工作人员所佩戴的个人剂量计，剂量超标则人员应及时调岗，并及时到专业医院就诊检查治疗。</w:t>
            </w:r>
          </w:p>
          <w:p>
            <w:pPr>
              <w:pStyle w:val="33"/>
              <w:kinsoku w:val="0"/>
              <w:overflowPunct w:val="0"/>
              <w:spacing w:line="460" w:lineRule="exact"/>
              <w:ind w:firstLine="480" w:firstLineChars="200"/>
              <w:contextualSpacing/>
            </w:pPr>
            <w:r>
              <w:t>（4）新疆质检院相关管理人员应加强对射线装置及相关工作人员的管理，严格执行安全操作规程，在装置开机前确认探伤现场无误留人员，确认无误后方可开机，避免发生辐射事故。</w:t>
            </w: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ind w:firstLine="480" w:firstLineChars="200"/>
              <w:contextualSpacing/>
            </w:pPr>
          </w:p>
          <w:p>
            <w:pPr>
              <w:pStyle w:val="33"/>
              <w:kinsoku w:val="0"/>
              <w:overflowPunct w:val="0"/>
              <w:spacing w:line="460" w:lineRule="exact"/>
              <w:contextualSpacing/>
            </w:pPr>
          </w:p>
        </w:tc>
      </w:tr>
    </w:tbl>
    <w:p>
      <w:pPr>
        <w:pStyle w:val="2"/>
        <w:rPr>
          <w:rFonts w:ascii="Times New Roman" w:hAnsi="Times New Roman"/>
          <w:sz w:val="28"/>
          <w:szCs w:val="28"/>
        </w:rPr>
      </w:pPr>
      <w:bookmarkStart w:id="42" w:name="_Toc457302976"/>
      <w:bookmarkStart w:id="43" w:name="_Toc6736"/>
      <w:bookmarkStart w:id="44" w:name="_Toc457303397"/>
      <w:r>
        <w:rPr>
          <w:rFonts w:ascii="Times New Roman" w:hAnsi="Times New Roman"/>
          <w:sz w:val="28"/>
          <w:szCs w:val="28"/>
        </w:rPr>
        <w:t>表12辐射安全管理</w:t>
      </w:r>
      <w:bookmarkEnd w:id="42"/>
      <w:bookmarkEnd w:id="43"/>
      <w:bookmarkEnd w:id="44"/>
    </w:p>
    <w:tbl>
      <w:tblPr>
        <w:tblStyle w:val="16"/>
        <w:tblW w:w="8985" w:type="dxa"/>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9" w:hRule="atLeast"/>
        </w:trPr>
        <w:tc>
          <w:tcPr>
            <w:tcW w:w="8985" w:type="dxa"/>
          </w:tcPr>
          <w:p>
            <w:pPr>
              <w:snapToGrid w:val="0"/>
              <w:spacing w:before="156" w:beforeLines="50" w:line="360" w:lineRule="auto"/>
              <w:contextualSpacing/>
              <w:rPr>
                <w:rFonts w:ascii="Times New Roman" w:hAnsi="Times New Roman"/>
                <w:b/>
                <w:sz w:val="28"/>
                <w:szCs w:val="28"/>
              </w:rPr>
            </w:pPr>
            <w:r>
              <w:rPr>
                <w:rFonts w:ascii="Times New Roman" w:hAnsi="Times New Roman"/>
                <w:b/>
                <w:sz w:val="28"/>
                <w:szCs w:val="28"/>
              </w:rPr>
              <w:t>12.1辐射安全与环境管理机构的设置</w:t>
            </w:r>
          </w:p>
          <w:p>
            <w:pPr>
              <w:snapToGrid w:val="0"/>
              <w:spacing w:line="360" w:lineRule="auto"/>
              <w:contextualSpacing/>
              <w:rPr>
                <w:rFonts w:ascii="Times New Roman" w:hAnsi="Times New Roman"/>
                <w:b/>
                <w:sz w:val="24"/>
                <w:szCs w:val="24"/>
              </w:rPr>
            </w:pPr>
            <w:r>
              <w:rPr>
                <w:rFonts w:ascii="Times New Roman" w:hAnsi="Times New Roman"/>
                <w:b/>
                <w:sz w:val="24"/>
                <w:szCs w:val="24"/>
              </w:rPr>
              <w:t>12.1.1放射防护管理领导小组</w:t>
            </w:r>
          </w:p>
          <w:p>
            <w:pPr>
              <w:snapToGrid w:val="0"/>
              <w:spacing w:line="360" w:lineRule="auto"/>
              <w:ind w:firstLine="480" w:firstLineChars="200"/>
              <w:contextualSpacing/>
              <w:rPr>
                <w:rFonts w:ascii="Times New Roman" w:hAnsi="Times New Roman"/>
                <w:sz w:val="24"/>
                <w:szCs w:val="24"/>
              </w:rPr>
            </w:pPr>
            <w:r>
              <w:rPr>
                <w:rFonts w:ascii="Times New Roman" w:hAnsi="Times New Roman"/>
                <w:sz w:val="24"/>
                <w:szCs w:val="24"/>
              </w:rPr>
              <w:t>按照《放射性同位素与射线装置安全和防护条例》（国务院令第449号）等相关规定，新疆质检院应成立辐射防护管理领导小组。</w:t>
            </w:r>
          </w:p>
          <w:p>
            <w:pPr>
              <w:snapToGrid w:val="0"/>
              <w:spacing w:line="360" w:lineRule="auto"/>
              <w:ind w:firstLine="360" w:firstLineChars="150"/>
              <w:contextualSpacing/>
              <w:rPr>
                <w:rFonts w:ascii="Times New Roman" w:hAnsi="Times New Roman"/>
                <w:sz w:val="24"/>
                <w:szCs w:val="24"/>
              </w:rPr>
            </w:pPr>
            <w:r>
              <w:rPr>
                <w:rFonts w:ascii="Times New Roman" w:hAnsi="Times New Roman"/>
                <w:sz w:val="24"/>
                <w:szCs w:val="24"/>
              </w:rPr>
              <w:t>（1）法人为本单位辐射防护管理的第一责任人，本单位法人授权辐射防护管理领导小组组长代表法人全面负责辐射防护管理工作，承担分管领导责任；</w:t>
            </w:r>
          </w:p>
          <w:p>
            <w:pPr>
              <w:snapToGrid w:val="0"/>
              <w:spacing w:line="360" w:lineRule="auto"/>
              <w:ind w:firstLine="360" w:firstLineChars="150"/>
              <w:contextualSpacing/>
              <w:rPr>
                <w:rFonts w:ascii="Times New Roman" w:hAnsi="Times New Roman"/>
                <w:sz w:val="24"/>
                <w:szCs w:val="24"/>
              </w:rPr>
            </w:pPr>
            <w:r>
              <w:rPr>
                <w:rFonts w:ascii="Times New Roman" w:hAnsi="Times New Roman"/>
                <w:sz w:val="24"/>
                <w:szCs w:val="24"/>
              </w:rPr>
              <w:t>（2）负责对射线装置安全防护工作和环境保护工作实施统一监督管理；</w:t>
            </w:r>
          </w:p>
          <w:p>
            <w:pPr>
              <w:snapToGrid w:val="0"/>
              <w:spacing w:line="360" w:lineRule="auto"/>
              <w:ind w:firstLine="360" w:firstLineChars="150"/>
              <w:contextualSpacing/>
              <w:rPr>
                <w:rFonts w:ascii="Times New Roman" w:hAnsi="Times New Roman"/>
                <w:sz w:val="24"/>
                <w:szCs w:val="24"/>
              </w:rPr>
            </w:pPr>
            <w:r>
              <w:rPr>
                <w:rFonts w:ascii="Times New Roman" w:hAnsi="Times New Roman"/>
                <w:sz w:val="24"/>
                <w:szCs w:val="24"/>
              </w:rPr>
              <w:t>（3）负责辐射防护管理队伍的建设；</w:t>
            </w:r>
          </w:p>
          <w:p>
            <w:pPr>
              <w:snapToGrid w:val="0"/>
              <w:spacing w:line="360" w:lineRule="auto"/>
              <w:ind w:firstLine="360" w:firstLineChars="150"/>
              <w:contextualSpacing/>
              <w:rPr>
                <w:rFonts w:ascii="Times New Roman" w:hAnsi="Times New Roman"/>
                <w:sz w:val="24"/>
                <w:szCs w:val="24"/>
              </w:rPr>
            </w:pPr>
            <w:r>
              <w:rPr>
                <w:rFonts w:ascii="Times New Roman" w:hAnsi="Times New Roman"/>
                <w:sz w:val="24"/>
                <w:szCs w:val="24"/>
              </w:rPr>
              <w:t>（4）负责指导各小组成员及相应管理者实施辐射防护的日常监督管理；</w:t>
            </w:r>
          </w:p>
          <w:p>
            <w:pPr>
              <w:snapToGrid w:val="0"/>
              <w:spacing w:line="360" w:lineRule="auto"/>
              <w:ind w:firstLine="360" w:firstLineChars="150"/>
              <w:contextualSpacing/>
              <w:rPr>
                <w:rFonts w:ascii="Times New Roman" w:hAnsi="Times New Roman"/>
                <w:sz w:val="24"/>
                <w:szCs w:val="24"/>
              </w:rPr>
            </w:pPr>
            <w:r>
              <w:rPr>
                <w:rFonts w:ascii="Times New Roman" w:hAnsi="Times New Roman"/>
                <w:sz w:val="24"/>
                <w:szCs w:val="24"/>
              </w:rPr>
              <w:t>（5）组织制定并实施辐射事故应急预案；配合上级部门开展辐射事故的应急响应、调查处理和定级定性工作。</w:t>
            </w:r>
          </w:p>
          <w:p>
            <w:pPr>
              <w:snapToGrid w:val="0"/>
              <w:spacing w:line="440" w:lineRule="exact"/>
              <w:contextualSpacing/>
              <w:rPr>
                <w:rFonts w:ascii="Times New Roman" w:hAnsi="Times New Roman"/>
                <w:b/>
                <w:sz w:val="24"/>
              </w:rPr>
            </w:pPr>
            <w:r>
              <w:rPr>
                <w:rFonts w:ascii="Times New Roman" w:hAnsi="Times New Roman"/>
                <w:b/>
                <w:sz w:val="24"/>
              </w:rPr>
              <w:t>12.1.2辐射工作人员管理</w:t>
            </w:r>
          </w:p>
          <w:p>
            <w:pPr>
              <w:spacing w:line="440" w:lineRule="exact"/>
              <w:ind w:firstLine="480" w:firstLineChars="200"/>
              <w:rPr>
                <w:rFonts w:ascii="Times New Roman" w:hAnsi="Times New Roman"/>
                <w:sz w:val="24"/>
              </w:rPr>
            </w:pPr>
            <w:r>
              <w:rPr>
                <w:rFonts w:ascii="Times New Roman" w:hAnsi="Times New Roman"/>
                <w:sz w:val="24"/>
              </w:rPr>
              <w:t>按照</w:t>
            </w:r>
            <w:r>
              <w:rPr>
                <w:rFonts w:ascii="Times New Roman" w:hAnsi="Times New Roman"/>
                <w:color w:val="000000"/>
                <w:sz w:val="24"/>
              </w:rPr>
              <w:t>《工业探伤放射防护标准》（GBZ117-2022）中开展现场探伤工作的每台X射线装置至少配备两名工作人员的要求，</w:t>
            </w:r>
            <w:r>
              <w:rPr>
                <w:rFonts w:hint="eastAsia" w:ascii="Times New Roman" w:hAnsi="Times New Roman"/>
                <w:color w:val="000000"/>
                <w:sz w:val="24"/>
                <w:szCs w:val="32"/>
              </w:rPr>
              <w:t>新疆质检院</w:t>
            </w:r>
            <w:r>
              <w:rPr>
                <w:rFonts w:ascii="Times New Roman" w:hAnsi="Times New Roman"/>
                <w:color w:val="000000"/>
                <w:kern w:val="0"/>
                <w:sz w:val="24"/>
              </w:rPr>
              <w:t>应至少配备6名工作人员，工作人员应参加国家核技术利用辐射安全与防护培训平台</w:t>
            </w:r>
            <w:r>
              <w:rPr>
                <w:rFonts w:ascii="Times New Roman" w:hAnsi="Times New Roman"/>
                <w:sz w:val="24"/>
              </w:rPr>
              <w:t>放射性同位素与射线装置安全知识培训班，并考试合格取得相应的证书。</w:t>
            </w:r>
          </w:p>
          <w:p>
            <w:pPr>
              <w:spacing w:before="156" w:beforeLines="50" w:line="360" w:lineRule="auto"/>
              <w:ind w:firstLine="472" w:firstLineChars="196"/>
              <w:rPr>
                <w:rFonts w:ascii="Times New Roman" w:hAnsi="Times New Roman"/>
                <w:b/>
                <w:sz w:val="24"/>
                <w:szCs w:val="24"/>
              </w:rPr>
            </w:pPr>
            <w:r>
              <w:rPr>
                <w:rFonts w:ascii="Times New Roman" w:hAnsi="Times New Roman"/>
                <w:b/>
                <w:sz w:val="24"/>
                <w:szCs w:val="24"/>
              </w:rPr>
              <w:t>1、个人剂量管理</w:t>
            </w:r>
          </w:p>
          <w:p>
            <w:pPr>
              <w:spacing w:line="360" w:lineRule="auto"/>
              <w:ind w:firstLine="480"/>
              <w:rPr>
                <w:rFonts w:ascii="Times New Roman" w:hAnsi="Times New Roman"/>
                <w:sz w:val="24"/>
                <w:szCs w:val="24"/>
              </w:rPr>
            </w:pPr>
            <w:r>
              <w:rPr>
                <w:rFonts w:ascii="Times New Roman" w:hAnsi="Times New Roman"/>
                <w:sz w:val="24"/>
                <w:szCs w:val="24"/>
              </w:rPr>
              <w:t>制定《辐射工作人员个人剂量管理办法》，要求该单位应委托具有相应资质的单位对本单位辐射工作人员进行个人剂量监测，监测周期一般为30天，最长不超过90天。并建立个人剂量档案，个人剂量档案应当包括个人基本信息、工作岗位、剂量监测结果等材料。个人剂量档案应当保存至辐射工作人员年满七十五周岁，或者停止辐射工作三十年。</w:t>
            </w:r>
          </w:p>
          <w:p>
            <w:pPr>
              <w:spacing w:line="360" w:lineRule="auto"/>
              <w:ind w:firstLine="472" w:firstLineChars="196"/>
              <w:rPr>
                <w:rFonts w:ascii="Times New Roman" w:hAnsi="Times New Roman"/>
                <w:b/>
                <w:sz w:val="24"/>
                <w:szCs w:val="24"/>
              </w:rPr>
            </w:pPr>
            <w:r>
              <w:rPr>
                <w:rFonts w:ascii="Times New Roman" w:hAnsi="Times New Roman"/>
                <w:b/>
                <w:sz w:val="24"/>
                <w:szCs w:val="24"/>
              </w:rPr>
              <w:t>2、职业健康检查</w:t>
            </w:r>
          </w:p>
          <w:p>
            <w:pPr>
              <w:spacing w:line="360" w:lineRule="auto"/>
              <w:ind w:firstLine="480" w:firstLineChars="200"/>
              <w:rPr>
                <w:rFonts w:ascii="Times New Roman" w:hAnsi="Times New Roman"/>
                <w:sz w:val="24"/>
                <w:szCs w:val="24"/>
              </w:rPr>
            </w:pPr>
            <w:r>
              <w:rPr>
                <w:rFonts w:ascii="Times New Roman" w:hAnsi="Times New Roman"/>
                <w:sz w:val="24"/>
                <w:szCs w:val="24"/>
              </w:rPr>
              <w:t>应制定《辐射工作人员职业健康管理制度》，要求辐射工作人员上岗前，应当进行上岗前的职业健康检查，符合辐射工作人员健康标准的，方可参加相应的放射工作。上岗后辐射工作人员应定期进行职业健康检查，两次检查的时间间隔不超过2年，必要时可增加临时性检查。辐射工作人员脱离辐射工作岗位时，工作单位应当对其进行离岗前的职业健康检查。</w:t>
            </w:r>
          </w:p>
          <w:p>
            <w:pPr>
              <w:spacing w:line="360" w:lineRule="auto"/>
              <w:ind w:firstLine="472" w:firstLineChars="196"/>
              <w:rPr>
                <w:rFonts w:ascii="Times New Roman" w:hAnsi="Times New Roman"/>
                <w:b/>
                <w:sz w:val="24"/>
                <w:szCs w:val="24"/>
              </w:rPr>
            </w:pPr>
            <w:r>
              <w:rPr>
                <w:rFonts w:ascii="Times New Roman" w:hAnsi="Times New Roman"/>
                <w:b/>
                <w:sz w:val="24"/>
                <w:szCs w:val="24"/>
              </w:rPr>
              <w:t>3、辐射安全和防护专业知识培训</w:t>
            </w:r>
          </w:p>
          <w:p>
            <w:pPr>
              <w:pStyle w:val="5"/>
              <w:spacing w:line="360" w:lineRule="auto"/>
              <w:ind w:left="0" w:leftChars="0" w:firstLine="480" w:firstLineChars="200"/>
              <w:contextualSpacing/>
              <w:rPr>
                <w:rFonts w:ascii="Times New Roman" w:hAnsi="Times New Roman" w:eastAsia="宋体" w:cs="Times New Roman"/>
                <w:b w:val="0"/>
              </w:rPr>
            </w:pPr>
            <w:r>
              <w:rPr>
                <w:rFonts w:ascii="Times New Roman" w:hAnsi="Times New Roman" w:eastAsia="宋体" w:cs="Times New Roman"/>
                <w:b w:val="0"/>
              </w:rPr>
              <w:t>根据《放射性同位素与射线装置安全和防护条例》（国务院令第449号）和《放射性同位素与射线装置安全和管理办法》（生态环境部1号令）要求，所有辐射工作人员必须通过环境保护部门举办的辐射安全和防护专业知识培训及相关法律法规的培训和考核，尤其是新进、转岗的人员，必须取得岗位培训合格证，方可持证上岗。辐射安全与防护培训合格证为四年，到期前，必须参加复训并取得合格证。</w:t>
            </w:r>
          </w:p>
          <w:p>
            <w:pPr>
              <w:pStyle w:val="5"/>
              <w:spacing w:line="360" w:lineRule="auto"/>
              <w:ind w:left="0" w:leftChars="0" w:firstLine="600" w:firstLineChars="250"/>
              <w:contextualSpacing/>
              <w:rPr>
                <w:rFonts w:ascii="Times New Roman" w:hAnsi="Times New Roman" w:eastAsia="宋体" w:cs="Times New Roman"/>
                <w:b w:val="0"/>
              </w:rPr>
            </w:pPr>
            <w:r>
              <w:rPr>
                <w:rFonts w:ascii="Times New Roman" w:hAnsi="Times New Roman" w:eastAsia="宋体" w:cs="Times New Roman"/>
                <w:b w:val="0"/>
              </w:rPr>
              <w:t>本项目辐射工作人员未取得辐射安全与防护合格证的人员，应积极组织人员参加环境保护部门组织的各项辐射安全和防护专业知识培训，并且严格落实《辐射工作人员培训制度》。</w:t>
            </w:r>
          </w:p>
          <w:p>
            <w:pPr>
              <w:pStyle w:val="5"/>
              <w:spacing w:line="360" w:lineRule="auto"/>
              <w:ind w:left="0" w:leftChars="0" w:firstLine="600" w:firstLineChars="250"/>
              <w:contextualSpacing/>
              <w:rPr>
                <w:rFonts w:ascii="Times New Roman" w:hAnsi="Times New Roman" w:eastAsia="宋体" w:cs="Times New Roman"/>
                <w:b w:val="0"/>
              </w:rPr>
            </w:pPr>
            <w:r>
              <w:rPr>
                <w:rFonts w:ascii="Times New Roman" w:hAnsi="Times New Roman" w:eastAsia="宋体" w:cs="Times New Roman"/>
                <w:b w:val="0"/>
              </w:rPr>
              <w:t>每年对检查系统的辐射安全和防护状况进行年度评估，并于次年1月31日前向发证机关提交上一年度的评估报告。</w:t>
            </w:r>
          </w:p>
          <w:p>
            <w:pPr>
              <w:snapToGrid w:val="0"/>
              <w:spacing w:line="360" w:lineRule="auto"/>
              <w:contextualSpacing/>
              <w:rPr>
                <w:rFonts w:ascii="Times New Roman" w:hAnsi="Times New Roman"/>
                <w:b/>
                <w:sz w:val="28"/>
                <w:szCs w:val="28"/>
              </w:rPr>
            </w:pPr>
            <w:r>
              <w:rPr>
                <w:rFonts w:ascii="Times New Roman" w:hAnsi="Times New Roman"/>
                <w:b/>
                <w:sz w:val="28"/>
                <w:szCs w:val="28"/>
              </w:rPr>
              <w:t>12.2辐射安全管理规章制度</w:t>
            </w:r>
          </w:p>
          <w:p>
            <w:pPr>
              <w:spacing w:line="360" w:lineRule="auto"/>
              <w:ind w:firstLine="480" w:firstLineChars="200"/>
              <w:rPr>
                <w:rFonts w:ascii="Times New Roman" w:hAnsi="Times New Roman"/>
                <w:color w:val="000000"/>
                <w:sz w:val="24"/>
              </w:rPr>
            </w:pPr>
            <w:r>
              <w:rPr>
                <w:rFonts w:ascii="Times New Roman" w:hAnsi="Times New Roman"/>
                <w:color w:val="000000"/>
                <w:sz w:val="24"/>
              </w:rPr>
              <w:t>1、单位须按法律法规要求，尽快向有权限的生态环境部门申请办理《辐射安全许可证》，领取许可证且办理登记手续后方可从事许可范围内的放射工作，需改变许可登记内容或终止放射工作时，必须按规范向审批部门办理变更或注销手续；</w:t>
            </w:r>
          </w:p>
          <w:p>
            <w:pPr>
              <w:spacing w:line="360" w:lineRule="auto"/>
              <w:ind w:firstLine="480" w:firstLineChars="200"/>
              <w:rPr>
                <w:rFonts w:ascii="Times New Roman" w:hAnsi="Times New Roman"/>
                <w:color w:val="000000"/>
                <w:sz w:val="24"/>
              </w:rPr>
            </w:pPr>
            <w:r>
              <w:rPr>
                <w:rFonts w:ascii="Times New Roman" w:hAnsi="Times New Roman"/>
                <w:color w:val="000000"/>
                <w:sz w:val="24"/>
              </w:rPr>
              <w:t>2、单位在从事辐射操作前，新疆质检院须组织辐射工作人员进行上岗培训和辐射安全防护知识的培训；进行个人剂量监测和职业健康检查；制订相关制度，《辐射安全防护管理工作制度》应包括：</w:t>
            </w:r>
          </w:p>
          <w:tbl>
            <w:tblPr>
              <w:tblStyle w:val="17"/>
              <w:tblW w:w="6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5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序号</w:t>
                  </w:r>
                </w:p>
              </w:tc>
              <w:tc>
                <w:tcPr>
                  <w:tcW w:w="5080" w:type="dxa"/>
                </w:tcPr>
                <w:p>
                  <w:pPr>
                    <w:jc w:val="center"/>
                    <w:rPr>
                      <w:rFonts w:ascii="Times New Roman" w:hAnsi="Times New Roman"/>
                      <w:color w:val="000000"/>
                      <w:sz w:val="24"/>
                    </w:rPr>
                  </w:pPr>
                  <w:r>
                    <w:rPr>
                      <w:rFonts w:ascii="Times New Roman" w:hAnsi="Times New Roman"/>
                      <w:color w:val="000000"/>
                      <w:sz w:val="24"/>
                    </w:rPr>
                    <w:t>工作制度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1</w:t>
                  </w:r>
                </w:p>
              </w:tc>
              <w:tc>
                <w:tcPr>
                  <w:tcW w:w="5080" w:type="dxa"/>
                </w:tcPr>
                <w:p>
                  <w:pPr>
                    <w:jc w:val="center"/>
                    <w:rPr>
                      <w:rFonts w:ascii="Times New Roman" w:hAnsi="Times New Roman"/>
                      <w:color w:val="000000"/>
                      <w:sz w:val="24"/>
                    </w:rPr>
                  </w:pPr>
                  <w:r>
                    <w:rPr>
                      <w:rFonts w:ascii="Times New Roman" w:hAnsi="Times New Roman"/>
                      <w:color w:val="000000"/>
                      <w:sz w:val="24"/>
                    </w:rPr>
                    <w:t>辐射安全总则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2</w:t>
                  </w:r>
                </w:p>
              </w:tc>
              <w:tc>
                <w:tcPr>
                  <w:tcW w:w="5080" w:type="dxa"/>
                </w:tcPr>
                <w:p>
                  <w:pPr>
                    <w:jc w:val="center"/>
                    <w:rPr>
                      <w:rFonts w:ascii="Times New Roman" w:hAnsi="Times New Roman"/>
                      <w:color w:val="000000"/>
                      <w:sz w:val="24"/>
                    </w:rPr>
                  </w:pPr>
                  <w:r>
                    <w:rPr>
                      <w:rFonts w:ascii="Times New Roman" w:hAnsi="Times New Roman"/>
                      <w:color w:val="000000"/>
                      <w:sz w:val="24"/>
                    </w:rPr>
                    <w:t>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3</w:t>
                  </w:r>
                </w:p>
              </w:tc>
              <w:tc>
                <w:tcPr>
                  <w:tcW w:w="5080" w:type="dxa"/>
                </w:tcPr>
                <w:p>
                  <w:pPr>
                    <w:jc w:val="center"/>
                    <w:rPr>
                      <w:rFonts w:ascii="Times New Roman" w:hAnsi="Times New Roman"/>
                      <w:color w:val="000000"/>
                      <w:sz w:val="24"/>
                    </w:rPr>
                  </w:pPr>
                  <w:r>
                    <w:rPr>
                      <w:rFonts w:ascii="Times New Roman" w:hAnsi="Times New Roman"/>
                      <w:color w:val="000000"/>
                      <w:sz w:val="24"/>
                    </w:rPr>
                    <w:t>辐射防护和安全保卫制度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4</w:t>
                  </w:r>
                </w:p>
              </w:tc>
              <w:tc>
                <w:tcPr>
                  <w:tcW w:w="5080" w:type="dxa"/>
                </w:tcPr>
                <w:p>
                  <w:pPr>
                    <w:jc w:val="center"/>
                    <w:rPr>
                      <w:rFonts w:ascii="Times New Roman" w:hAnsi="Times New Roman"/>
                      <w:color w:val="000000"/>
                      <w:sz w:val="24"/>
                    </w:rPr>
                  </w:pPr>
                  <w:r>
                    <w:rPr>
                      <w:rFonts w:ascii="Times New Roman" w:hAnsi="Times New Roman"/>
                      <w:color w:val="000000"/>
                      <w:sz w:val="24"/>
                    </w:rPr>
                    <w:t>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5</w:t>
                  </w:r>
                </w:p>
              </w:tc>
              <w:tc>
                <w:tcPr>
                  <w:tcW w:w="5080" w:type="dxa"/>
                </w:tcPr>
                <w:p>
                  <w:pPr>
                    <w:jc w:val="center"/>
                    <w:rPr>
                      <w:rFonts w:ascii="Times New Roman" w:hAnsi="Times New Roman"/>
                      <w:color w:val="000000"/>
                      <w:sz w:val="24"/>
                    </w:rPr>
                  </w:pPr>
                  <w:r>
                    <w:rPr>
                      <w:rFonts w:ascii="Times New Roman" w:hAnsi="Times New Roman"/>
                      <w:color w:val="000000"/>
                      <w:sz w:val="24"/>
                    </w:rPr>
                    <w:t>设备检修维护制度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6</w:t>
                  </w:r>
                </w:p>
              </w:tc>
              <w:tc>
                <w:tcPr>
                  <w:tcW w:w="5080" w:type="dxa"/>
                </w:tcPr>
                <w:p>
                  <w:pPr>
                    <w:jc w:val="center"/>
                    <w:rPr>
                      <w:rFonts w:ascii="Times New Roman" w:hAnsi="Times New Roman"/>
                      <w:color w:val="000000"/>
                      <w:sz w:val="24"/>
                    </w:rPr>
                  </w:pPr>
                  <w:r>
                    <w:rPr>
                      <w:rFonts w:ascii="Times New Roman" w:hAnsi="Times New Roman"/>
                      <w:color w:val="000000"/>
                      <w:sz w:val="24"/>
                    </w:rPr>
                    <w:t>人员培训制度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7</w:t>
                  </w:r>
                </w:p>
              </w:tc>
              <w:tc>
                <w:tcPr>
                  <w:tcW w:w="5080" w:type="dxa"/>
                </w:tcPr>
                <w:p>
                  <w:pPr>
                    <w:jc w:val="center"/>
                    <w:rPr>
                      <w:rFonts w:ascii="Times New Roman" w:hAnsi="Times New Roman"/>
                      <w:color w:val="000000"/>
                      <w:sz w:val="24"/>
                    </w:rPr>
                  </w:pPr>
                  <w:r>
                    <w:rPr>
                      <w:rFonts w:ascii="Times New Roman" w:hAnsi="Times New Roman"/>
                      <w:color w:val="000000"/>
                      <w:sz w:val="24"/>
                    </w:rPr>
                    <w:t>辐射监测方案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8</w:t>
                  </w:r>
                </w:p>
              </w:tc>
              <w:tc>
                <w:tcPr>
                  <w:tcW w:w="5080" w:type="dxa"/>
                </w:tcPr>
                <w:p>
                  <w:pPr>
                    <w:jc w:val="center"/>
                    <w:rPr>
                      <w:rFonts w:ascii="Times New Roman" w:hAnsi="Times New Roman"/>
                      <w:color w:val="000000"/>
                      <w:sz w:val="24"/>
                    </w:rPr>
                  </w:pPr>
                  <w:r>
                    <w:rPr>
                      <w:rFonts w:ascii="Times New Roman" w:hAnsi="Times New Roman"/>
                      <w:color w:val="000000"/>
                      <w:sz w:val="24"/>
                    </w:rPr>
                    <w:t>个人剂量管理和健康管理规定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9</w:t>
                  </w:r>
                </w:p>
              </w:tc>
              <w:tc>
                <w:tcPr>
                  <w:tcW w:w="5080" w:type="dxa"/>
                </w:tcPr>
                <w:p>
                  <w:pPr>
                    <w:jc w:val="center"/>
                    <w:rPr>
                      <w:rFonts w:ascii="Times New Roman" w:hAnsi="Times New Roman"/>
                      <w:color w:val="000000"/>
                      <w:sz w:val="24"/>
                    </w:rPr>
                  </w:pPr>
                  <w:r>
                    <w:rPr>
                      <w:rFonts w:ascii="Times New Roman" w:hAnsi="Times New Roman"/>
                      <w:color w:val="000000"/>
                      <w:sz w:val="24"/>
                    </w:rPr>
                    <w:t>辐射报警仪器使用维护操作规程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10</w:t>
                  </w:r>
                </w:p>
              </w:tc>
              <w:tc>
                <w:tcPr>
                  <w:tcW w:w="5080" w:type="dxa"/>
                </w:tcPr>
                <w:p>
                  <w:pPr>
                    <w:jc w:val="center"/>
                    <w:rPr>
                      <w:rFonts w:ascii="Times New Roman" w:hAnsi="Times New Roman"/>
                      <w:color w:val="000000"/>
                      <w:sz w:val="24"/>
                    </w:rPr>
                  </w:pPr>
                  <w:r>
                    <w:rPr>
                      <w:rFonts w:ascii="Times New Roman" w:hAnsi="Times New Roman"/>
                      <w:color w:val="000000"/>
                      <w:sz w:val="24"/>
                    </w:rPr>
                    <w:t>台账管理制度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tcPr>
                <w:p>
                  <w:pPr>
                    <w:jc w:val="center"/>
                    <w:rPr>
                      <w:rFonts w:ascii="Times New Roman" w:hAnsi="Times New Roman"/>
                      <w:color w:val="000000"/>
                      <w:sz w:val="24"/>
                    </w:rPr>
                  </w:pPr>
                  <w:r>
                    <w:rPr>
                      <w:rFonts w:ascii="Times New Roman" w:hAnsi="Times New Roman"/>
                      <w:color w:val="000000"/>
                      <w:sz w:val="24"/>
                    </w:rPr>
                    <w:t>11</w:t>
                  </w:r>
                </w:p>
              </w:tc>
              <w:tc>
                <w:tcPr>
                  <w:tcW w:w="5080" w:type="dxa"/>
                </w:tcPr>
                <w:p>
                  <w:pPr>
                    <w:jc w:val="center"/>
                    <w:rPr>
                      <w:rFonts w:ascii="Times New Roman" w:hAnsi="Times New Roman"/>
                      <w:color w:val="000000"/>
                      <w:sz w:val="24"/>
                    </w:rPr>
                  </w:pPr>
                  <w:r>
                    <w:rPr>
                      <w:rFonts w:ascii="Times New Roman" w:hAnsi="Times New Roman"/>
                      <w:color w:val="000000"/>
                      <w:sz w:val="24"/>
                    </w:rPr>
                    <w:t>“三废”处理方案</w:t>
                  </w:r>
                </w:p>
              </w:tc>
            </w:tr>
          </w:tbl>
          <w:p>
            <w:pPr>
              <w:spacing w:line="360" w:lineRule="auto"/>
              <w:contextualSpacing/>
              <w:rPr>
                <w:rFonts w:ascii="Times New Roman" w:hAnsi="Times New Roman"/>
                <w:b/>
                <w:sz w:val="28"/>
                <w:szCs w:val="28"/>
              </w:rPr>
            </w:pPr>
            <w:r>
              <w:rPr>
                <w:rFonts w:ascii="Times New Roman" w:hAnsi="Times New Roman"/>
                <w:b/>
                <w:sz w:val="28"/>
                <w:szCs w:val="28"/>
              </w:rPr>
              <w:t>12.3辐射监测</w:t>
            </w:r>
          </w:p>
          <w:p>
            <w:pPr>
              <w:pStyle w:val="29"/>
              <w:autoSpaceDE w:val="0"/>
              <w:autoSpaceDN w:val="0"/>
              <w:adjustRightInd w:val="0"/>
              <w:spacing w:before="0" w:after="0" w:line="360" w:lineRule="auto"/>
              <w:jc w:val="left"/>
              <w:rPr>
                <w:rFonts w:ascii="Times New Roman" w:hAnsi="Times New Roman" w:eastAsia="宋体"/>
                <w:b/>
                <w:kern w:val="2"/>
                <w:sz w:val="24"/>
                <w:szCs w:val="24"/>
                <w:lang w:val="en-US" w:eastAsia="zh-CN"/>
              </w:rPr>
            </w:pPr>
            <w:r>
              <w:rPr>
                <w:rFonts w:ascii="Times New Roman" w:hAnsi="Times New Roman" w:eastAsia="宋体"/>
                <w:b/>
                <w:kern w:val="2"/>
                <w:sz w:val="24"/>
                <w:szCs w:val="24"/>
                <w:lang w:val="en-US" w:eastAsia="zh-CN"/>
              </w:rPr>
              <w:t>12.3.1现场探伤场所辐射水平监测</w:t>
            </w:r>
          </w:p>
          <w:p>
            <w:pPr>
              <w:tabs>
                <w:tab w:val="left" w:pos="1017"/>
              </w:tabs>
              <w:adjustRightInd w:val="0"/>
              <w:spacing w:line="360" w:lineRule="auto"/>
              <w:ind w:firstLine="480" w:firstLineChars="200"/>
              <w:contextualSpacing/>
              <w:rPr>
                <w:rFonts w:ascii="Times New Roman" w:hAnsi="Times New Roman"/>
                <w:sz w:val="24"/>
                <w:szCs w:val="24"/>
              </w:rPr>
            </w:pPr>
            <w:r>
              <w:rPr>
                <w:rFonts w:ascii="Times New Roman" w:hAnsi="Times New Roman"/>
                <w:sz w:val="24"/>
                <w:szCs w:val="24"/>
              </w:rPr>
              <w:t>单位应委托有资质的单位，定期（每年1次）对</w:t>
            </w:r>
            <w:r>
              <w:rPr>
                <w:rFonts w:ascii="Times New Roman" w:hAnsi="Times New Roman"/>
                <w:color w:val="000000"/>
                <w:sz w:val="24"/>
              </w:rPr>
              <w:t>现场探伤周围环境进行辐射环境监测</w:t>
            </w:r>
            <w:r>
              <w:rPr>
                <w:rFonts w:ascii="Times New Roman" w:hAnsi="Times New Roman"/>
                <w:sz w:val="24"/>
                <w:szCs w:val="24"/>
              </w:rPr>
              <w:t>，监测数据每年随年度评估报告一并上报自治区生态环境厅备案。</w:t>
            </w:r>
          </w:p>
          <w:p>
            <w:pPr>
              <w:tabs>
                <w:tab w:val="left" w:pos="1017"/>
              </w:tabs>
              <w:adjustRightInd w:val="0"/>
              <w:spacing w:line="360" w:lineRule="auto"/>
              <w:ind w:firstLine="480" w:firstLineChars="200"/>
              <w:contextualSpacing/>
              <w:rPr>
                <w:rFonts w:ascii="Times New Roman" w:hAnsi="Times New Roman"/>
                <w:sz w:val="24"/>
                <w:szCs w:val="24"/>
              </w:rPr>
            </w:pPr>
            <w:r>
              <w:rPr>
                <w:rFonts w:ascii="Times New Roman" w:hAnsi="Times New Roman"/>
                <w:sz w:val="24"/>
                <w:szCs w:val="24"/>
              </w:rPr>
              <w:t>1、监测频度：每年常规监测一次；</w:t>
            </w:r>
          </w:p>
          <w:p>
            <w:pPr>
              <w:spacing w:line="360" w:lineRule="auto"/>
              <w:ind w:firstLine="480"/>
              <w:rPr>
                <w:rFonts w:ascii="Times New Roman" w:hAnsi="Times New Roman"/>
                <w:sz w:val="24"/>
                <w:szCs w:val="24"/>
              </w:rPr>
            </w:pPr>
            <w:r>
              <w:rPr>
                <w:rFonts w:ascii="Times New Roman" w:hAnsi="Times New Roman"/>
                <w:sz w:val="24"/>
                <w:szCs w:val="24"/>
              </w:rPr>
              <w:t>2、监测范围：</w:t>
            </w:r>
            <w:r>
              <w:rPr>
                <w:rFonts w:ascii="Times New Roman" w:hAnsi="Times New Roman"/>
                <w:color w:val="000000"/>
                <w:sz w:val="24"/>
              </w:rPr>
              <w:t>控制区、监督区和工作人员操作位等</w:t>
            </w:r>
            <w:r>
              <w:rPr>
                <w:rFonts w:ascii="Times New Roman" w:hAnsi="Times New Roman"/>
                <w:sz w:val="24"/>
                <w:szCs w:val="24"/>
              </w:rPr>
              <w:t>；</w:t>
            </w:r>
          </w:p>
          <w:p>
            <w:pPr>
              <w:tabs>
                <w:tab w:val="left" w:pos="1017"/>
              </w:tabs>
              <w:adjustRightInd w:val="0"/>
              <w:spacing w:line="360" w:lineRule="auto"/>
              <w:ind w:firstLine="480" w:firstLineChars="200"/>
              <w:contextualSpacing/>
              <w:rPr>
                <w:rFonts w:ascii="Times New Roman" w:hAnsi="Times New Roman"/>
                <w:sz w:val="24"/>
                <w:szCs w:val="24"/>
              </w:rPr>
            </w:pPr>
            <w:r>
              <w:rPr>
                <w:rFonts w:ascii="Times New Roman" w:hAnsi="Times New Roman"/>
                <w:sz w:val="24"/>
                <w:szCs w:val="24"/>
              </w:rPr>
              <w:t>3、监测项目：X-γ辐射剂量率（配备X-γ便携式辐射检测仪器或委托有资质的单位检测）；</w:t>
            </w:r>
          </w:p>
          <w:p>
            <w:pPr>
              <w:spacing w:line="360" w:lineRule="auto"/>
              <w:ind w:firstLine="480"/>
              <w:rPr>
                <w:rFonts w:ascii="Times New Roman" w:hAnsi="Times New Roman"/>
                <w:sz w:val="24"/>
                <w:szCs w:val="24"/>
              </w:rPr>
            </w:pPr>
            <w:r>
              <w:rPr>
                <w:rFonts w:ascii="Times New Roman" w:hAnsi="Times New Roman"/>
                <w:sz w:val="24"/>
                <w:szCs w:val="24"/>
              </w:rPr>
              <w:t>4、监测记录应清晰、准确、完整并纳入档案进行保存。</w:t>
            </w:r>
          </w:p>
          <w:p>
            <w:pPr>
              <w:pStyle w:val="29"/>
              <w:autoSpaceDE w:val="0"/>
              <w:autoSpaceDN w:val="0"/>
              <w:adjustRightInd w:val="0"/>
              <w:spacing w:before="0" w:after="0" w:line="360" w:lineRule="auto"/>
              <w:jc w:val="left"/>
              <w:rPr>
                <w:rFonts w:ascii="Times New Roman" w:hAnsi="Times New Roman" w:eastAsia="宋体"/>
                <w:b/>
                <w:kern w:val="2"/>
                <w:sz w:val="24"/>
                <w:szCs w:val="24"/>
                <w:lang w:val="en-US" w:eastAsia="zh-CN"/>
              </w:rPr>
            </w:pPr>
            <w:r>
              <w:rPr>
                <w:rFonts w:ascii="Times New Roman" w:hAnsi="Times New Roman" w:eastAsia="宋体"/>
                <w:b/>
                <w:kern w:val="2"/>
                <w:sz w:val="24"/>
                <w:szCs w:val="24"/>
                <w:lang w:val="en-US" w:eastAsia="zh-CN"/>
              </w:rPr>
              <w:t>12.3.2个人剂量监测</w:t>
            </w:r>
          </w:p>
          <w:p>
            <w:pPr>
              <w:spacing w:line="360" w:lineRule="auto"/>
              <w:ind w:firstLine="480"/>
              <w:rPr>
                <w:rFonts w:ascii="Times New Roman" w:hAnsi="Times New Roman"/>
                <w:sz w:val="24"/>
              </w:rPr>
            </w:pPr>
            <w:r>
              <w:rPr>
                <w:rFonts w:ascii="Times New Roman" w:hAnsi="Times New Roman"/>
                <w:sz w:val="24"/>
                <w:szCs w:val="24"/>
              </w:rPr>
              <w:t>单位应制定《辐射工作人员个人剂量管理办法》，按照环评要求严格按照国家关于个人剂量监测的规定，对辐射</w:t>
            </w:r>
            <w:r>
              <w:rPr>
                <w:rFonts w:ascii="Times New Roman" w:hAnsi="Times New Roman"/>
                <w:sz w:val="24"/>
              </w:rPr>
              <w:t>工作人员进行个人剂量监测，建立个人剂量档案，并保存职业照射记录。</w:t>
            </w:r>
          </w:p>
          <w:p>
            <w:pPr>
              <w:spacing w:line="360" w:lineRule="auto"/>
              <w:contextualSpacing/>
              <w:rPr>
                <w:rFonts w:ascii="Times New Roman" w:hAnsi="Times New Roman"/>
                <w:b/>
                <w:sz w:val="28"/>
                <w:szCs w:val="28"/>
              </w:rPr>
            </w:pPr>
            <w:r>
              <w:rPr>
                <w:rFonts w:ascii="Times New Roman" w:hAnsi="Times New Roman"/>
                <w:b/>
                <w:sz w:val="28"/>
                <w:szCs w:val="28"/>
              </w:rPr>
              <w:t>12.4辐射事故应急</w:t>
            </w:r>
          </w:p>
          <w:p>
            <w:pPr>
              <w:spacing w:line="360" w:lineRule="auto"/>
              <w:ind w:firstLine="480" w:firstLineChars="200"/>
              <w:rPr>
                <w:rFonts w:ascii="Times New Roman" w:hAnsi="Times New Roman"/>
                <w:sz w:val="24"/>
                <w:szCs w:val="24"/>
              </w:rPr>
            </w:pPr>
            <w:r>
              <w:rPr>
                <w:rFonts w:ascii="Times New Roman" w:hAnsi="Times New Roman"/>
                <w:color w:val="000000"/>
                <w:sz w:val="24"/>
              </w:rPr>
              <w:t>本项目使用射线装置属Ⅱ射线装置，单位应根据《放射性同位素与射线装置安全和防护条例》第四十条之规定，</w:t>
            </w:r>
            <w:r>
              <w:rPr>
                <w:rFonts w:ascii="Times New Roman" w:hAnsi="Times New Roman"/>
                <w:sz w:val="24"/>
                <w:szCs w:val="24"/>
              </w:rPr>
              <w:t>制定《辐射事故应急预案》。根据《生产经营单位生产安全事故应急预案编制导则》（GB/T29639-2020）中对应急预案编制的要求，新疆质检院《辐射事故应急预案》应包括以下内容：</w:t>
            </w:r>
          </w:p>
          <w:p>
            <w:pPr>
              <w:spacing w:line="360" w:lineRule="auto"/>
              <w:ind w:firstLine="480" w:firstLineChars="200"/>
              <w:rPr>
                <w:rFonts w:ascii="Times New Roman" w:hAnsi="Times New Roman"/>
                <w:sz w:val="24"/>
                <w:szCs w:val="24"/>
              </w:rPr>
            </w:pPr>
            <w:r>
              <w:rPr>
                <w:rFonts w:ascii="Times New Roman" w:hAnsi="Times New Roman"/>
                <w:sz w:val="24"/>
                <w:szCs w:val="24"/>
              </w:rPr>
              <w:t>1、总则</w:t>
            </w:r>
          </w:p>
          <w:p>
            <w:pPr>
              <w:spacing w:line="360" w:lineRule="auto"/>
              <w:ind w:firstLine="480" w:firstLineChars="200"/>
              <w:rPr>
                <w:rFonts w:ascii="Times New Roman" w:hAnsi="Times New Roman"/>
                <w:sz w:val="24"/>
                <w:szCs w:val="24"/>
              </w:rPr>
            </w:pPr>
            <w:r>
              <w:rPr>
                <w:rFonts w:ascii="Times New Roman" w:hAnsi="Times New Roman"/>
                <w:sz w:val="24"/>
                <w:szCs w:val="24"/>
              </w:rPr>
              <w:t>1.1</w:t>
            </w:r>
            <w:r>
              <w:rPr>
                <w:rFonts w:hint="eastAsia" w:ascii="Times New Roman" w:hAnsi="Times New Roman"/>
                <w:sz w:val="24"/>
                <w:szCs w:val="24"/>
              </w:rPr>
              <w:t xml:space="preserve"> 适用范围</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说明应急预案适用的范围。</w:t>
            </w:r>
          </w:p>
          <w:p>
            <w:pPr>
              <w:spacing w:line="360" w:lineRule="auto"/>
              <w:ind w:firstLine="480" w:firstLineChars="200"/>
              <w:rPr>
                <w:rFonts w:ascii="Times New Roman" w:hAnsi="Times New Roman"/>
                <w:sz w:val="24"/>
                <w:szCs w:val="24"/>
              </w:rPr>
            </w:pPr>
            <w:r>
              <w:rPr>
                <w:rFonts w:ascii="Times New Roman" w:hAnsi="Times New Roman"/>
                <w:sz w:val="24"/>
                <w:szCs w:val="24"/>
              </w:rPr>
              <w:t>1.2</w:t>
            </w:r>
            <w:r>
              <w:rPr>
                <w:rFonts w:hint="eastAsia" w:ascii="Times New Roman" w:hAnsi="Times New Roman"/>
                <w:sz w:val="24"/>
                <w:szCs w:val="24"/>
              </w:rPr>
              <w:t>响应分级</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依据事故危害程度、影响范围和生产经营单位控制事态的能力,对事故应急响应进行分级，明确分级响应的基本原则。响应分级不必照搬事故分级。</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2应急组织机构及职责</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明确应急组织形式(可用图示)及构成单位(部门)的应急处置职责。应急组织机构可设置相应的工作小组,各小组具体构成、职责分工及行动任务应以工作方案的形式作为附件。</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3应急响应</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3.1信息报告</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3.1.1信息接报</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明确应急值守电话、事故信息接收,内部通报程序、方式和责任人,向上级主管部门、上级单位报告事故信息的流程、内容、时限和责任人,以及向本单位以外的有关部门或单位通报事故信息的方法、程序和责任人。</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3.1.2信息处置与研判</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3.1.2.1明确响应启动的程序和方式。根据事故性质、严重程度、影响范围和可控性，结合响应分级明确的条件,可由应急领导小组作出响应启动的决策并宣布,或者依据事故信息是否达到响应启动的条件自动启动。</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3.1.2.2若未达到响应启动条件，应急领导小组可作出预警启动的决策，做好响应准备，实时跟踪事态发展。</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3.1.2.3响应启动后,应注意跟踪事态发展，科学分析处置需求,及时调整响应级别,避免响应不足或过度响应。</w:t>
            </w:r>
          </w:p>
          <w:p>
            <w:pPr>
              <w:spacing w:line="360" w:lineRule="auto"/>
              <w:ind w:firstLine="480" w:firstLineChars="200"/>
              <w:rPr>
                <w:rFonts w:ascii="Times New Roman" w:hAnsi="Times New Roman"/>
                <w:sz w:val="24"/>
                <w:szCs w:val="24"/>
              </w:rPr>
            </w:pPr>
            <w:r>
              <w:rPr>
                <w:rFonts w:ascii="Times New Roman" w:hAnsi="Times New Roman"/>
                <w:sz w:val="24"/>
                <w:szCs w:val="24"/>
              </w:rPr>
              <w:t>3.2</w:t>
            </w:r>
            <w:r>
              <w:rPr>
                <w:rFonts w:hint="eastAsia" w:ascii="Times New Roman" w:hAnsi="Times New Roman"/>
                <w:sz w:val="24"/>
                <w:szCs w:val="24"/>
              </w:rPr>
              <w:t>预警</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w:t>
            </w:r>
            <w:r>
              <w:rPr>
                <w:rFonts w:ascii="Times New Roman" w:hAnsi="Times New Roman"/>
                <w:sz w:val="24"/>
                <w:szCs w:val="24"/>
              </w:rPr>
              <w:t>.2.1</w:t>
            </w:r>
            <w:r>
              <w:rPr>
                <w:rFonts w:hint="eastAsia" w:ascii="Times New Roman" w:hAnsi="Times New Roman"/>
                <w:sz w:val="24"/>
                <w:szCs w:val="24"/>
              </w:rPr>
              <w:t>预警启动</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明确预警信息发布渠道、方式和内容。</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6.3.2.2</w:t>
            </w:r>
            <w:r>
              <w:rPr>
                <w:rFonts w:hint="eastAsia" w:ascii="Times New Roman" w:hAnsi="Times New Roman"/>
                <w:sz w:val="24"/>
                <w:szCs w:val="24"/>
              </w:rPr>
              <w:tab/>
            </w:r>
            <w:r>
              <w:rPr>
                <w:rFonts w:hint="eastAsia" w:ascii="Times New Roman" w:hAnsi="Times New Roman"/>
                <w:sz w:val="24"/>
                <w:szCs w:val="24"/>
              </w:rPr>
              <w:t>响应准备</w:t>
            </w:r>
            <w:r>
              <w:rPr>
                <w:rFonts w:hint="eastAsia" w:ascii="Times New Roman" w:hAnsi="Times New Roman"/>
                <w:sz w:val="24"/>
                <w:szCs w:val="24"/>
              </w:rPr>
              <w:tab/>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明确作出预警启动后应开展的响应准备工作,包括队伍、物资、装备、后勤及通信。</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3.2.3预警解除</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明确预警解除的基本条件、要求及责任人。</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3.3响应启动</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确定响应级别,明确响应启动后的程序性工作,包括应急会议召开、信息上报、资源协调、信息公开、后勤及财力保障工作。</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3.4应急处置</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明确事故现场的警戒疏散、人员搜救、医疗救治、现场监测、技术支持、工程抢险及环境保护方面的应急处置措施,并明确人员防护的要求。</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3.5应急支援</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明确当事态无法控制情况下,向外部(救援)力量请求支援的程序及要求、联动程序及要求,以及外部(救援)力量到达后的指挥关系。</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3.6响应终止</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明确响应终止的基本条件、要求和责任人。</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4后期处置</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明确污染物处理、生产秩序恢复、人员安置方面的内容。</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5</w:t>
            </w:r>
            <w:r>
              <w:rPr>
                <w:rFonts w:hint="eastAsia" w:ascii="Times New Roman" w:hAnsi="Times New Roman"/>
                <w:sz w:val="24"/>
                <w:szCs w:val="24"/>
              </w:rPr>
              <w:tab/>
            </w:r>
            <w:r>
              <w:rPr>
                <w:rFonts w:hint="eastAsia" w:ascii="Times New Roman" w:hAnsi="Times New Roman"/>
                <w:sz w:val="24"/>
                <w:szCs w:val="24"/>
              </w:rPr>
              <w:t>应急保障</w:t>
            </w:r>
            <w:r>
              <w:rPr>
                <w:rFonts w:hint="eastAsia" w:ascii="Times New Roman" w:hAnsi="Times New Roman"/>
                <w:sz w:val="24"/>
                <w:szCs w:val="24"/>
              </w:rPr>
              <w:tab/>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5.1通信与信息保障</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明确应急保障的相关单位及人员通信联系方式和方法,以及备用方案和保障责任人。</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5.2应急队伍保障</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明确相关的应急人力资源，包括专家、专兼职应急救援队伍及协议应急救援队伍。</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5.3物资装备保障</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明确本单位的应急物资和装备的类型、数量、性能、存放位置、运输及使用条件、更新及补充时限、管理责任人及其联系方式，并建立台账。</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5</w:t>
            </w:r>
            <w:r>
              <w:rPr>
                <w:rFonts w:ascii="Times New Roman" w:hAnsi="Times New Roman"/>
                <w:sz w:val="24"/>
                <w:szCs w:val="24"/>
              </w:rPr>
              <w:t>.4</w:t>
            </w:r>
            <w:r>
              <w:rPr>
                <w:rFonts w:hint="eastAsia" w:ascii="Times New Roman" w:hAnsi="Times New Roman"/>
                <w:sz w:val="24"/>
                <w:szCs w:val="24"/>
              </w:rPr>
              <w:t>其他保障</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根据应急工作需求而确定的其他相关保障措施（如：能源保障、经费保障、交通运输保障、治安保障、技术保障、医疗保障及后勤保障）。</w:t>
            </w:r>
          </w:p>
          <w:p>
            <w:pPr>
              <w:spacing w:line="360" w:lineRule="auto"/>
              <w:ind w:firstLine="480" w:firstLineChars="200"/>
              <w:rPr>
                <w:rFonts w:ascii="Times New Roman" w:hAnsi="Times New Roman"/>
                <w:sz w:val="24"/>
                <w:szCs w:val="24"/>
              </w:rPr>
            </w:pPr>
            <w:r>
              <w:rPr>
                <w:rFonts w:ascii="Times New Roman" w:hAnsi="Times New Roman"/>
                <w:sz w:val="24"/>
                <w:szCs w:val="24"/>
              </w:rPr>
              <w:t>6应急预案管理</w:t>
            </w:r>
          </w:p>
          <w:p>
            <w:pPr>
              <w:spacing w:line="360" w:lineRule="auto"/>
              <w:ind w:firstLine="480" w:firstLineChars="200"/>
              <w:rPr>
                <w:rFonts w:ascii="Times New Roman" w:hAnsi="Times New Roman"/>
                <w:sz w:val="24"/>
                <w:szCs w:val="24"/>
              </w:rPr>
            </w:pPr>
            <w:r>
              <w:rPr>
                <w:rFonts w:ascii="Times New Roman" w:hAnsi="Times New Roman"/>
                <w:sz w:val="24"/>
                <w:szCs w:val="24"/>
              </w:rPr>
              <w:t>6.1应急预案培训</w:t>
            </w:r>
          </w:p>
          <w:p>
            <w:pPr>
              <w:spacing w:line="360" w:lineRule="auto"/>
              <w:ind w:firstLine="480" w:firstLineChars="200"/>
              <w:rPr>
                <w:rFonts w:ascii="Times New Roman" w:hAnsi="Times New Roman"/>
                <w:sz w:val="24"/>
                <w:szCs w:val="24"/>
              </w:rPr>
            </w:pPr>
            <w:r>
              <w:rPr>
                <w:rFonts w:ascii="Times New Roman" w:hAnsi="Times New Roman"/>
                <w:sz w:val="24"/>
                <w:szCs w:val="24"/>
              </w:rPr>
              <w:t>明确对公司人员开展的应急预案培训计划、方式和要求，使有关人员了解相关应急预案内容，熟悉应急职责、应急程序和现场处置方案。如果应急预案涉及社区和居民，要做好宣传教育和告知等工作。</w:t>
            </w:r>
          </w:p>
          <w:p>
            <w:pPr>
              <w:spacing w:line="360" w:lineRule="auto"/>
              <w:ind w:firstLine="480" w:firstLineChars="200"/>
              <w:rPr>
                <w:rFonts w:ascii="Times New Roman" w:hAnsi="Times New Roman"/>
                <w:sz w:val="24"/>
                <w:szCs w:val="24"/>
              </w:rPr>
            </w:pPr>
            <w:r>
              <w:rPr>
                <w:rFonts w:ascii="Times New Roman" w:hAnsi="Times New Roman"/>
                <w:sz w:val="24"/>
                <w:szCs w:val="24"/>
              </w:rPr>
              <w:t>6.2应急预案演练</w:t>
            </w:r>
          </w:p>
          <w:p>
            <w:pPr>
              <w:spacing w:line="360" w:lineRule="auto"/>
              <w:ind w:firstLine="480" w:firstLineChars="200"/>
              <w:rPr>
                <w:rFonts w:ascii="Times New Roman" w:hAnsi="Times New Roman"/>
                <w:sz w:val="24"/>
                <w:szCs w:val="24"/>
              </w:rPr>
            </w:pPr>
            <w:r>
              <w:rPr>
                <w:rFonts w:ascii="Times New Roman" w:hAnsi="Times New Roman"/>
                <w:sz w:val="24"/>
                <w:szCs w:val="24"/>
              </w:rPr>
              <w:t>明确生产经营单位不同类型应急预案演练的形式、范围、频次、内容以及演练评估、总结等要求。</w:t>
            </w:r>
          </w:p>
          <w:p>
            <w:pPr>
              <w:spacing w:line="360" w:lineRule="auto"/>
              <w:ind w:firstLine="480" w:firstLineChars="200"/>
              <w:rPr>
                <w:rFonts w:ascii="Times New Roman" w:hAnsi="Times New Roman"/>
                <w:sz w:val="24"/>
                <w:szCs w:val="24"/>
              </w:rPr>
            </w:pPr>
            <w:r>
              <w:rPr>
                <w:rFonts w:ascii="Times New Roman" w:hAnsi="Times New Roman"/>
                <w:sz w:val="24"/>
                <w:szCs w:val="24"/>
              </w:rPr>
              <w:t>附件</w:t>
            </w:r>
          </w:p>
          <w:p>
            <w:pPr>
              <w:spacing w:line="360" w:lineRule="auto"/>
              <w:ind w:firstLine="480" w:firstLineChars="200"/>
              <w:rPr>
                <w:rFonts w:ascii="Times New Roman" w:hAnsi="Times New Roman"/>
                <w:sz w:val="24"/>
                <w:szCs w:val="24"/>
              </w:rPr>
            </w:pPr>
            <w:r>
              <w:rPr>
                <w:rFonts w:ascii="Times New Roman" w:hAnsi="Times New Roman"/>
                <w:sz w:val="24"/>
                <w:szCs w:val="24"/>
              </w:rPr>
              <w:t>1、有关应急部门、机构或人员的联系方式</w:t>
            </w:r>
          </w:p>
          <w:p>
            <w:pPr>
              <w:spacing w:line="360" w:lineRule="auto"/>
              <w:ind w:firstLine="480" w:firstLineChars="200"/>
              <w:rPr>
                <w:rFonts w:ascii="Times New Roman" w:hAnsi="Times New Roman"/>
                <w:sz w:val="24"/>
                <w:szCs w:val="24"/>
              </w:rPr>
            </w:pPr>
            <w:r>
              <w:rPr>
                <w:rFonts w:ascii="Times New Roman" w:hAnsi="Times New Roman"/>
                <w:sz w:val="24"/>
                <w:szCs w:val="24"/>
              </w:rPr>
              <w:t>2、应急物资装备的名录或清单</w:t>
            </w:r>
          </w:p>
          <w:p>
            <w:pPr>
              <w:spacing w:line="360" w:lineRule="auto"/>
              <w:ind w:firstLine="480" w:firstLineChars="200"/>
              <w:rPr>
                <w:rFonts w:ascii="Times New Roman" w:hAnsi="Times New Roman"/>
                <w:sz w:val="24"/>
                <w:szCs w:val="24"/>
              </w:rPr>
            </w:pPr>
            <w:r>
              <w:rPr>
                <w:rFonts w:ascii="Times New Roman" w:hAnsi="Times New Roman"/>
                <w:sz w:val="24"/>
                <w:szCs w:val="24"/>
              </w:rPr>
              <w:t>3、规范化应急上报格式文本</w:t>
            </w:r>
          </w:p>
          <w:p>
            <w:pPr>
              <w:spacing w:line="360" w:lineRule="auto"/>
              <w:ind w:firstLine="480" w:firstLineChars="200"/>
              <w:rPr>
                <w:rFonts w:ascii="Times New Roman" w:hAnsi="Times New Roman"/>
                <w:sz w:val="24"/>
                <w:szCs w:val="24"/>
              </w:rPr>
            </w:pPr>
            <w:r>
              <w:rPr>
                <w:rFonts w:ascii="Times New Roman" w:hAnsi="Times New Roman"/>
                <w:sz w:val="24"/>
                <w:szCs w:val="24"/>
              </w:rPr>
              <w:t>依据《关于建立放射性同位素与射线装置辐射事故分级处理和报告制度的通知》（环发[2006]145号文）的要求，当发生事故时，公司应当立即启动辐射事故应急方案，采取有效防范措施，及时制止事故的恶化，并在2小时内向当地生态环境部门和公安部门报告。造成或可能造成人员超剂量照射的，还应同时向当地卫生行政部门报告。</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r>
    </w:tbl>
    <w:p>
      <w:pPr>
        <w:pStyle w:val="2"/>
        <w:rPr>
          <w:rFonts w:ascii="Times New Roman" w:hAnsi="Times New Roman"/>
          <w:sz w:val="28"/>
          <w:szCs w:val="28"/>
        </w:rPr>
      </w:pPr>
      <w:bookmarkStart w:id="45" w:name="_Toc31629"/>
      <w:r>
        <w:rPr>
          <w:rFonts w:ascii="Times New Roman" w:hAnsi="Times New Roman"/>
          <w:sz w:val="28"/>
          <w:szCs w:val="28"/>
        </w:rPr>
        <w:t>表13结论与建议</w:t>
      </w:r>
      <w:bookmarkEnd w:id="45"/>
    </w:p>
    <w:tbl>
      <w:tblPr>
        <w:tblStyle w:val="16"/>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22" w:type="dxa"/>
          </w:tcPr>
          <w:p>
            <w:pPr>
              <w:spacing w:line="480" w:lineRule="exact"/>
              <w:contextualSpacing/>
              <w:rPr>
                <w:rFonts w:ascii="Times New Roman" w:hAnsi="Times New Roman"/>
                <w:b/>
                <w:sz w:val="28"/>
                <w:szCs w:val="28"/>
              </w:rPr>
            </w:pPr>
            <w:r>
              <w:rPr>
                <w:rFonts w:ascii="Times New Roman" w:hAnsi="Times New Roman"/>
                <w:b/>
                <w:sz w:val="28"/>
                <w:szCs w:val="28"/>
              </w:rPr>
              <w:t>13.1结论</w:t>
            </w:r>
          </w:p>
          <w:p>
            <w:pPr>
              <w:snapToGrid w:val="0"/>
              <w:spacing w:line="480" w:lineRule="exact"/>
              <w:ind w:firstLine="480" w:firstLineChars="200"/>
              <w:contextualSpacing/>
              <w:rPr>
                <w:rFonts w:ascii="Times New Roman" w:hAnsi="Times New Roman"/>
                <w:color w:val="000000"/>
                <w:sz w:val="24"/>
              </w:rPr>
            </w:pPr>
            <w:r>
              <w:rPr>
                <w:rFonts w:hint="eastAsia" w:ascii="Times New Roman" w:hAnsi="Times New Roman"/>
                <w:color w:val="000000"/>
                <w:sz w:val="24"/>
                <w:szCs w:val="32"/>
              </w:rPr>
              <w:t>新疆质检院</w:t>
            </w:r>
            <w:r>
              <w:rPr>
                <w:rFonts w:ascii="Times New Roman" w:hAnsi="Times New Roman"/>
                <w:color w:val="000000"/>
                <w:sz w:val="24"/>
              </w:rPr>
              <w:t>新增3台</w:t>
            </w:r>
            <w:r>
              <w:rPr>
                <w:rFonts w:hint="eastAsia" w:ascii="Times New Roman" w:hAnsi="Times New Roman"/>
                <w:color w:val="000000"/>
                <w:sz w:val="24"/>
              </w:rPr>
              <w:t>工业用</w:t>
            </w:r>
            <w:r>
              <w:rPr>
                <w:rFonts w:ascii="Times New Roman" w:hAnsi="Times New Roman"/>
                <w:color w:val="000000"/>
                <w:sz w:val="24"/>
              </w:rPr>
              <w:t>X射线探伤</w:t>
            </w:r>
            <w:r>
              <w:rPr>
                <w:rFonts w:hint="eastAsia" w:ascii="Times New Roman" w:hAnsi="Times New Roman"/>
                <w:color w:val="000000"/>
                <w:sz w:val="24"/>
              </w:rPr>
              <w:t>机</w:t>
            </w:r>
            <w:r>
              <w:rPr>
                <w:rFonts w:ascii="Times New Roman" w:hAnsi="Times New Roman"/>
                <w:color w:val="000000"/>
                <w:sz w:val="24"/>
              </w:rPr>
              <w:t>用于现场探伤，现场探伤场所不固定，探伤工件主要是</w:t>
            </w:r>
            <w:r>
              <w:rPr>
                <w:rFonts w:hint="eastAsia" w:ascii="Times New Roman" w:hAnsi="Times New Roman"/>
                <w:sz w:val="24"/>
              </w:rPr>
              <w:t>钢结构、管道、非承压、承压设备等</w:t>
            </w:r>
            <w:r>
              <w:rPr>
                <w:rFonts w:ascii="Times New Roman" w:hAnsi="Times New Roman"/>
                <w:color w:val="000000"/>
                <w:sz w:val="24"/>
              </w:rPr>
              <w:t>。其中新增XXG-2505D型</w:t>
            </w:r>
            <w:r>
              <w:rPr>
                <w:rFonts w:hint="eastAsia" w:ascii="Times New Roman" w:hAnsi="Times New Roman"/>
                <w:color w:val="000000"/>
                <w:sz w:val="24"/>
              </w:rPr>
              <w:t>工业用</w:t>
            </w:r>
            <w:r>
              <w:rPr>
                <w:rFonts w:ascii="Times New Roman" w:hAnsi="Times New Roman"/>
                <w:color w:val="000000"/>
                <w:sz w:val="24"/>
              </w:rPr>
              <w:t>X射线探伤</w:t>
            </w:r>
            <w:r>
              <w:rPr>
                <w:rFonts w:hint="eastAsia" w:ascii="Times New Roman" w:hAnsi="Times New Roman"/>
                <w:color w:val="000000"/>
                <w:sz w:val="24"/>
              </w:rPr>
              <w:t>机</w:t>
            </w:r>
            <w:r>
              <w:rPr>
                <w:rFonts w:ascii="Times New Roman" w:hAnsi="Times New Roman"/>
                <w:color w:val="000000"/>
                <w:sz w:val="24"/>
              </w:rPr>
              <w:t>1台，新增XXG-3005C型</w:t>
            </w:r>
            <w:r>
              <w:rPr>
                <w:rFonts w:hint="eastAsia" w:ascii="Times New Roman" w:hAnsi="Times New Roman"/>
                <w:color w:val="000000"/>
                <w:sz w:val="24"/>
              </w:rPr>
              <w:t>工业用</w:t>
            </w:r>
            <w:r>
              <w:rPr>
                <w:rFonts w:ascii="Times New Roman" w:hAnsi="Times New Roman"/>
                <w:color w:val="000000"/>
                <w:sz w:val="24"/>
              </w:rPr>
              <w:t>X射线探伤</w:t>
            </w:r>
            <w:r>
              <w:rPr>
                <w:rFonts w:hint="eastAsia" w:ascii="Times New Roman" w:hAnsi="Times New Roman"/>
                <w:color w:val="000000"/>
                <w:sz w:val="24"/>
              </w:rPr>
              <w:t>机</w:t>
            </w:r>
            <w:r>
              <w:rPr>
                <w:rFonts w:ascii="Times New Roman" w:hAnsi="Times New Roman"/>
                <w:color w:val="000000"/>
                <w:sz w:val="24"/>
              </w:rPr>
              <w:t>1台，新增XT-3005D型</w:t>
            </w:r>
            <w:r>
              <w:rPr>
                <w:rFonts w:hint="eastAsia" w:ascii="Times New Roman" w:hAnsi="Times New Roman"/>
                <w:color w:val="000000"/>
                <w:sz w:val="24"/>
              </w:rPr>
              <w:t>工业用</w:t>
            </w:r>
            <w:r>
              <w:rPr>
                <w:rFonts w:ascii="Times New Roman" w:hAnsi="Times New Roman"/>
                <w:color w:val="000000"/>
                <w:sz w:val="24"/>
              </w:rPr>
              <w:t>X射线探伤</w:t>
            </w:r>
            <w:r>
              <w:rPr>
                <w:rFonts w:hint="eastAsia" w:ascii="Times New Roman" w:hAnsi="Times New Roman"/>
                <w:color w:val="000000"/>
                <w:sz w:val="24"/>
              </w:rPr>
              <w:t>机</w:t>
            </w:r>
            <w:r>
              <w:rPr>
                <w:rFonts w:ascii="Times New Roman" w:hAnsi="Times New Roman"/>
                <w:color w:val="000000"/>
                <w:sz w:val="24"/>
              </w:rPr>
              <w:t>1台。本项目3台</w:t>
            </w:r>
            <w:r>
              <w:rPr>
                <w:rFonts w:hint="eastAsia" w:ascii="Times New Roman" w:hAnsi="Times New Roman"/>
                <w:color w:val="000000"/>
                <w:sz w:val="24"/>
              </w:rPr>
              <w:t>工业用</w:t>
            </w:r>
            <w:r>
              <w:rPr>
                <w:rFonts w:ascii="Times New Roman" w:hAnsi="Times New Roman"/>
                <w:color w:val="000000"/>
                <w:sz w:val="24"/>
              </w:rPr>
              <w:t>X射线探伤</w:t>
            </w:r>
            <w:r>
              <w:rPr>
                <w:rFonts w:hint="eastAsia" w:ascii="Times New Roman" w:hAnsi="Times New Roman"/>
                <w:color w:val="000000"/>
                <w:sz w:val="24"/>
              </w:rPr>
              <w:t>机</w:t>
            </w:r>
            <w:r>
              <w:rPr>
                <w:rFonts w:ascii="Times New Roman" w:hAnsi="Times New Roman"/>
                <w:color w:val="000000"/>
                <w:sz w:val="24"/>
              </w:rPr>
              <w:t>暂存于</w:t>
            </w:r>
            <w:r>
              <w:rPr>
                <w:rFonts w:hint="eastAsia" w:ascii="Times New Roman" w:hAnsi="Times New Roman"/>
                <w:color w:val="000000"/>
                <w:sz w:val="24"/>
                <w:szCs w:val="24"/>
              </w:rPr>
              <w:t>新疆昌吉高新技术产业开发区辉煌大道南侧机械所负一层无损检测室（</w:t>
            </w:r>
            <w:r>
              <w:rPr>
                <w:rFonts w:ascii="Times New Roman" w:hAnsi="Times New Roman"/>
                <w:color w:val="000000"/>
                <w:sz w:val="24"/>
                <w:szCs w:val="24"/>
              </w:rPr>
              <w:t>2）内</w:t>
            </w:r>
            <w:r>
              <w:rPr>
                <w:rFonts w:ascii="Times New Roman" w:hAnsi="Times New Roman"/>
                <w:color w:val="000000"/>
                <w:sz w:val="24"/>
              </w:rPr>
              <w:t>，</w:t>
            </w:r>
            <w:r>
              <w:rPr>
                <w:rFonts w:ascii="Times New Roman" w:hAnsi="Times New Roman"/>
                <w:color w:val="000000"/>
                <w:sz w:val="24"/>
                <w:szCs w:val="24"/>
              </w:rPr>
              <w:t>冲片室</w:t>
            </w:r>
            <w:r>
              <w:rPr>
                <w:rFonts w:hint="eastAsia" w:ascii="Times New Roman" w:hAnsi="Times New Roman"/>
                <w:color w:val="000000"/>
                <w:sz w:val="24"/>
                <w:szCs w:val="24"/>
              </w:rPr>
              <w:t>和</w:t>
            </w:r>
            <w:r>
              <w:rPr>
                <w:rFonts w:ascii="Times New Roman" w:hAnsi="Times New Roman"/>
                <w:color w:val="000000"/>
                <w:sz w:val="24"/>
                <w:szCs w:val="24"/>
              </w:rPr>
              <w:t>暗室设置在负一楼无损检测室（1）</w:t>
            </w:r>
            <w:r>
              <w:rPr>
                <w:rFonts w:hint="eastAsia" w:ascii="Times New Roman" w:hAnsi="Times New Roman"/>
                <w:color w:val="000000"/>
                <w:sz w:val="24"/>
                <w:szCs w:val="24"/>
              </w:rPr>
              <w:t>内。</w:t>
            </w:r>
          </w:p>
          <w:p>
            <w:pPr>
              <w:spacing w:line="460" w:lineRule="exact"/>
              <w:contextualSpacing/>
              <w:rPr>
                <w:rFonts w:ascii="Times New Roman" w:hAnsi="Times New Roman"/>
                <w:b/>
                <w:sz w:val="24"/>
                <w:szCs w:val="24"/>
              </w:rPr>
            </w:pPr>
            <w:r>
              <w:rPr>
                <w:rFonts w:ascii="Times New Roman" w:hAnsi="Times New Roman"/>
                <w:b/>
                <w:sz w:val="24"/>
                <w:szCs w:val="24"/>
              </w:rPr>
              <w:t>13.1.1可行性分析结论</w:t>
            </w:r>
          </w:p>
          <w:p>
            <w:pPr>
              <w:snapToGrid w:val="0"/>
              <w:spacing w:line="480" w:lineRule="exact"/>
              <w:ind w:firstLine="480" w:firstLineChars="200"/>
              <w:contextualSpacing/>
              <w:rPr>
                <w:rFonts w:ascii="Times New Roman" w:hAnsi="Times New Roman"/>
                <w:color w:val="000000"/>
                <w:sz w:val="24"/>
              </w:rPr>
            </w:pPr>
            <w:r>
              <w:rPr>
                <w:rFonts w:ascii="Times New Roman" w:hAnsi="Times New Roman"/>
                <w:color w:val="000000"/>
                <w:sz w:val="24"/>
              </w:rPr>
              <w:t>1、产业政策的符合性</w:t>
            </w:r>
          </w:p>
          <w:p>
            <w:pPr>
              <w:snapToGrid w:val="0"/>
              <w:spacing w:line="480" w:lineRule="exact"/>
              <w:ind w:firstLine="480" w:firstLineChars="200"/>
              <w:contextualSpacing/>
              <w:rPr>
                <w:rFonts w:ascii="Times New Roman" w:hAnsi="Times New Roman"/>
                <w:color w:val="000000"/>
                <w:sz w:val="24"/>
              </w:rPr>
            </w:pPr>
            <w:r>
              <w:rPr>
                <w:rFonts w:ascii="Times New Roman" w:hAnsi="Times New Roman"/>
                <w:color w:val="000000"/>
                <w:sz w:val="24"/>
              </w:rPr>
              <w:t>本项目属于国家发展和改革委员会《产业结构调整指导目录(2019年本)》中鼓励类项目（第六项核能第6条同位素、加速器及辐照应用技术开发；第三十一项科技服务业第1条质量认证和检验检测服务），本工程不涉及自然保护区、风景名胜区、森林公园、饮用水水源保护区等生态敏感区域，项目建设符合国家产业政策、环保政策和相关规划。</w:t>
            </w:r>
          </w:p>
          <w:p>
            <w:pPr>
              <w:snapToGrid w:val="0"/>
              <w:spacing w:line="480" w:lineRule="exact"/>
              <w:ind w:firstLine="480" w:firstLineChars="200"/>
              <w:contextualSpacing/>
              <w:rPr>
                <w:rFonts w:ascii="Times New Roman" w:hAnsi="Times New Roman"/>
                <w:color w:val="000000"/>
                <w:sz w:val="24"/>
              </w:rPr>
            </w:pPr>
            <w:r>
              <w:rPr>
                <w:rFonts w:ascii="Times New Roman" w:hAnsi="Times New Roman"/>
                <w:color w:val="000000"/>
                <w:sz w:val="24"/>
              </w:rPr>
              <w:t>2、实践的正当性</w:t>
            </w:r>
          </w:p>
          <w:p>
            <w:pPr>
              <w:snapToGrid w:val="0"/>
              <w:spacing w:line="480" w:lineRule="exact"/>
              <w:ind w:firstLine="480" w:firstLineChars="200"/>
              <w:contextualSpacing/>
              <w:rPr>
                <w:rFonts w:ascii="Times New Roman" w:hAnsi="Times New Roman"/>
                <w:color w:val="FF0000"/>
                <w:sz w:val="24"/>
              </w:rPr>
            </w:pPr>
            <w:r>
              <w:rPr>
                <w:rFonts w:hint="eastAsia" w:ascii="Times New Roman" w:hAnsi="Times New Roman"/>
                <w:color w:val="000000"/>
                <w:sz w:val="24"/>
                <w:szCs w:val="32"/>
              </w:rPr>
              <w:t>新疆质检院</w:t>
            </w:r>
            <w:r>
              <w:rPr>
                <w:rFonts w:ascii="Times New Roman" w:hAnsi="Times New Roman"/>
                <w:color w:val="000000"/>
                <w:sz w:val="24"/>
              </w:rPr>
              <w:t>使用X射线探伤的目的是保证产品的质量与生产的安全，符合辐射防护“正当实践”原则；同</w:t>
            </w:r>
            <w:r>
              <w:rPr>
                <w:rFonts w:ascii="Times New Roman" w:hAnsi="Times New Roman"/>
                <w:bCs/>
                <w:color w:val="000000"/>
                <w:sz w:val="24"/>
              </w:rPr>
              <w:t>时根据表11的</w:t>
            </w:r>
            <w:r>
              <w:rPr>
                <w:rFonts w:hint="eastAsia" w:ascii="Times New Roman" w:hAnsi="Times New Roman"/>
                <w:bCs/>
                <w:color w:val="000000"/>
                <w:sz w:val="24"/>
              </w:rPr>
              <w:t>理论</w:t>
            </w:r>
            <w:r>
              <w:rPr>
                <w:rFonts w:ascii="Times New Roman" w:hAnsi="Times New Roman"/>
                <w:bCs/>
                <w:color w:val="000000"/>
                <w:sz w:val="24"/>
              </w:rPr>
              <w:t>分析，本项目运营后，在正常工况下对周边环境和人员产生额外的电离辐射影响</w:t>
            </w:r>
            <w:r>
              <w:rPr>
                <w:rFonts w:ascii="Times New Roman" w:hAnsi="Times New Roman"/>
                <w:sz w:val="24"/>
                <w:szCs w:val="24"/>
              </w:rPr>
              <w:t>，符合《电离辐射防护与辐射源安全基本标准》（GB18871-2002）“实践的正当性”的原则。</w:t>
            </w:r>
          </w:p>
          <w:p>
            <w:pPr>
              <w:spacing w:line="460" w:lineRule="exact"/>
              <w:contextualSpacing/>
              <w:rPr>
                <w:rFonts w:ascii="Times New Roman" w:hAnsi="Times New Roman"/>
                <w:b/>
                <w:sz w:val="24"/>
                <w:szCs w:val="24"/>
              </w:rPr>
            </w:pPr>
            <w:r>
              <w:rPr>
                <w:rFonts w:ascii="Times New Roman" w:hAnsi="Times New Roman"/>
                <w:b/>
                <w:sz w:val="24"/>
                <w:szCs w:val="24"/>
              </w:rPr>
              <w:t>13.1.2环境影响分析结论</w:t>
            </w:r>
          </w:p>
          <w:p>
            <w:pPr>
              <w:spacing w:line="360" w:lineRule="auto"/>
              <w:ind w:firstLine="465"/>
              <w:rPr>
                <w:rFonts w:ascii="Times New Roman" w:hAnsi="Times New Roman"/>
                <w:b/>
                <w:sz w:val="24"/>
                <w:szCs w:val="24"/>
              </w:rPr>
            </w:pPr>
            <w:r>
              <w:rPr>
                <w:rFonts w:ascii="Times New Roman" w:hAnsi="Times New Roman"/>
                <w:sz w:val="24"/>
              </w:rPr>
              <w:t>根据表11</w:t>
            </w:r>
            <w:r>
              <w:rPr>
                <w:rFonts w:ascii="Times New Roman" w:hAnsi="Times New Roman"/>
                <w:bCs/>
                <w:color w:val="000000"/>
                <w:sz w:val="24"/>
              </w:rPr>
              <w:t>类比分析</w:t>
            </w:r>
            <w:r>
              <w:rPr>
                <w:rFonts w:ascii="Times New Roman" w:hAnsi="Times New Roman"/>
                <w:sz w:val="24"/>
              </w:rPr>
              <w:t>，本项目职业人员在探伤装置射线出束状态下的最大附加年有效剂量为0.28</w:t>
            </w:r>
            <w:r>
              <w:rPr>
                <w:rFonts w:ascii="Times New Roman" w:hAnsi="Times New Roman"/>
                <w:sz w:val="24"/>
                <w:lang w:val="en-GB"/>
              </w:rPr>
              <w:t>mSv/a，</w:t>
            </w:r>
            <w:r>
              <w:rPr>
                <w:rFonts w:ascii="Times New Roman" w:hAnsi="Times New Roman"/>
                <w:sz w:val="24"/>
              </w:rPr>
              <w:t>公众人员在探伤装置射线出束状态下的最大附加年有效剂量为6.25×10</w:t>
            </w:r>
            <w:r>
              <w:rPr>
                <w:rFonts w:ascii="Times New Roman" w:hAnsi="Times New Roman"/>
                <w:sz w:val="24"/>
                <w:vertAlign w:val="superscript"/>
              </w:rPr>
              <w:t>-4</w:t>
            </w:r>
            <w:r>
              <w:rPr>
                <w:rFonts w:ascii="Times New Roman" w:hAnsi="Times New Roman"/>
                <w:sz w:val="24"/>
                <w:lang w:val="en-GB"/>
              </w:rPr>
              <w:t>mSv/a</w:t>
            </w:r>
            <w:r>
              <w:rPr>
                <w:rFonts w:ascii="Times New Roman" w:hAnsi="Times New Roman"/>
                <w:sz w:val="24"/>
              </w:rPr>
              <w:t>。项目正常运行时，周围环境中辐射工作人员和公众人员所受辐射年有效剂量均低于本评价提出的5.0mSv/a和0.1mSv/a的年管理剂量约束值。符合《电离辐射防护与辐射源安全基本标准》（GB18871-2002）中关于“剂量限制”的要求。</w:t>
            </w:r>
          </w:p>
          <w:p>
            <w:pPr>
              <w:spacing w:line="460" w:lineRule="exact"/>
              <w:contextualSpacing/>
              <w:rPr>
                <w:rFonts w:ascii="Times New Roman" w:hAnsi="Times New Roman"/>
                <w:b/>
                <w:sz w:val="24"/>
                <w:szCs w:val="24"/>
              </w:rPr>
            </w:pPr>
            <w:r>
              <w:rPr>
                <w:rFonts w:ascii="Times New Roman" w:hAnsi="Times New Roman"/>
                <w:b/>
                <w:sz w:val="24"/>
                <w:szCs w:val="24"/>
              </w:rPr>
              <w:t>13.1.3辐射安全与防护分析结论</w:t>
            </w:r>
          </w:p>
          <w:p>
            <w:pPr>
              <w:snapToGrid w:val="0"/>
              <w:spacing w:line="480" w:lineRule="exact"/>
              <w:ind w:firstLine="482" w:firstLineChars="200"/>
              <w:contextualSpacing/>
              <w:rPr>
                <w:rFonts w:ascii="Times New Roman" w:hAnsi="Times New Roman"/>
                <w:b/>
                <w:bCs/>
                <w:color w:val="000000"/>
                <w:sz w:val="24"/>
              </w:rPr>
            </w:pPr>
            <w:r>
              <w:rPr>
                <w:rFonts w:ascii="Times New Roman" w:hAnsi="Times New Roman"/>
                <w:b/>
                <w:bCs/>
                <w:color w:val="000000"/>
                <w:sz w:val="24"/>
              </w:rPr>
              <w:t>1、辐射防护措施评价</w:t>
            </w:r>
          </w:p>
          <w:p>
            <w:pPr>
              <w:snapToGrid w:val="0"/>
              <w:spacing w:line="460" w:lineRule="exact"/>
              <w:ind w:firstLine="465"/>
              <w:contextualSpacing/>
              <w:rPr>
                <w:rFonts w:ascii="Times New Roman" w:hAnsi="Times New Roman"/>
                <w:b/>
                <w:sz w:val="24"/>
                <w:szCs w:val="24"/>
              </w:rPr>
            </w:pPr>
            <w:r>
              <w:rPr>
                <w:rFonts w:ascii="Times New Roman" w:hAnsi="Times New Roman"/>
                <w:color w:val="000000"/>
                <w:sz w:val="24"/>
              </w:rPr>
              <w:t>单位工作人员在进行移动式X探伤作业时，由专人用X、γ剂量率仪通过监测划定控制区和监督区的范围，使控制区边界的剂量率低于15μSv/h，未经许可人员不得进入控制区；使监督区边界的剂量率低于2.5μSv/h，有关工作人员可进入，但公众不得进入。进行曝光作业时，应有专人值守，严防探伤装置丢失。现场作业，探伤装置用毕，不能及时返回库房保管的，应利用保险柜，现场保存，并有专人24小时值守。以上措施符合辐射防护要求。</w:t>
            </w:r>
          </w:p>
          <w:p>
            <w:pPr>
              <w:snapToGrid w:val="0"/>
              <w:spacing w:line="460" w:lineRule="exact"/>
              <w:ind w:firstLine="465"/>
              <w:contextualSpacing/>
              <w:rPr>
                <w:rFonts w:ascii="Times New Roman" w:hAnsi="Times New Roman"/>
                <w:b/>
                <w:bCs/>
                <w:color w:val="000000"/>
                <w:sz w:val="24"/>
              </w:rPr>
            </w:pPr>
            <w:r>
              <w:rPr>
                <w:rFonts w:ascii="Times New Roman" w:hAnsi="Times New Roman"/>
                <w:b/>
                <w:bCs/>
                <w:color w:val="000000"/>
                <w:sz w:val="24"/>
              </w:rPr>
              <w:t>2、辐射安全措施评价</w:t>
            </w:r>
          </w:p>
          <w:p>
            <w:pPr>
              <w:snapToGrid w:val="0"/>
              <w:spacing w:line="460" w:lineRule="exact"/>
              <w:ind w:firstLine="465"/>
              <w:contextualSpacing/>
              <w:rPr>
                <w:rFonts w:ascii="Times New Roman" w:hAnsi="Times New Roman"/>
                <w:color w:val="000000"/>
                <w:sz w:val="24"/>
              </w:rPr>
            </w:pPr>
            <w:r>
              <w:rPr>
                <w:rFonts w:ascii="Times New Roman" w:hAnsi="Times New Roman"/>
                <w:color w:val="000000"/>
                <w:sz w:val="24"/>
              </w:rPr>
              <w:t>本项目存放场所采取安装摄像头、专人看管等安全措施。在每次进行探伤现场作业前，单位的操作人员在监督区周围拉警戒线、放置警示标识，专人警戒，防止公众进入辐射剂量率高的区域。落实以上措施后，该项目辐射安全措施满足《放射性同位素与射线装置安全许可管理办法》（环境保护部第3号令）的有关要求。</w:t>
            </w:r>
          </w:p>
          <w:p>
            <w:pPr>
              <w:snapToGrid w:val="0"/>
              <w:spacing w:line="460" w:lineRule="exact"/>
              <w:ind w:firstLine="465"/>
              <w:contextualSpacing/>
              <w:rPr>
                <w:rFonts w:ascii="Times New Roman" w:hAnsi="Times New Roman"/>
                <w:b/>
                <w:bCs/>
                <w:color w:val="000000"/>
                <w:sz w:val="24"/>
              </w:rPr>
            </w:pPr>
            <w:r>
              <w:rPr>
                <w:rFonts w:ascii="Times New Roman" w:hAnsi="Times New Roman"/>
                <w:b/>
                <w:bCs/>
                <w:color w:val="000000"/>
                <w:sz w:val="24"/>
              </w:rPr>
              <w:t>3、辐射安全管理评价</w:t>
            </w:r>
          </w:p>
          <w:p>
            <w:pPr>
              <w:snapToGrid w:val="0"/>
              <w:spacing w:line="480" w:lineRule="exact"/>
              <w:ind w:firstLine="480" w:firstLineChars="200"/>
              <w:contextualSpacing/>
              <w:rPr>
                <w:rFonts w:ascii="Times New Roman" w:hAnsi="Times New Roman"/>
                <w:color w:val="000000"/>
                <w:sz w:val="24"/>
              </w:rPr>
            </w:pPr>
            <w:r>
              <w:rPr>
                <w:rFonts w:hint="eastAsia" w:ascii="Times New Roman" w:hAnsi="Times New Roman"/>
                <w:color w:val="000000"/>
                <w:sz w:val="24"/>
                <w:szCs w:val="32"/>
              </w:rPr>
              <w:t>新疆质检院</w:t>
            </w:r>
            <w:r>
              <w:rPr>
                <w:rFonts w:ascii="Times New Roman" w:hAnsi="Times New Roman"/>
                <w:color w:val="000000"/>
                <w:sz w:val="24"/>
              </w:rPr>
              <w:t>按照《放射性同位素</w:t>
            </w:r>
            <w:r>
              <w:rPr>
                <w:rFonts w:ascii="Times New Roman" w:hAnsi="Times New Roman"/>
                <w:sz w:val="24"/>
              </w:rPr>
              <w:t>与射线装置安全和防护条例》（国务院令第449号）等相关规定，应成立辐射防护管理领导小组，并且按管理要求制定了相应的安全管理措施和规章制度。</w:t>
            </w:r>
          </w:p>
          <w:p>
            <w:pPr>
              <w:snapToGrid w:val="0"/>
              <w:spacing w:line="480" w:lineRule="exact"/>
              <w:ind w:firstLine="480" w:firstLineChars="200"/>
              <w:contextualSpacing/>
              <w:rPr>
                <w:rFonts w:ascii="Times New Roman" w:hAnsi="Times New Roman"/>
                <w:color w:val="000000"/>
                <w:sz w:val="24"/>
              </w:rPr>
            </w:pPr>
            <w:r>
              <w:rPr>
                <w:rFonts w:ascii="Times New Roman" w:hAnsi="Times New Roman"/>
                <w:color w:val="000000"/>
                <w:sz w:val="24"/>
              </w:rPr>
              <w:t>本项目的辐射工作人员应配备个人剂量计，环评要求新疆质检院拟委托个人剂量监测资质单位长期对本项目放射工作人员进行个人剂量监测，要求单位安排辐射工作人员到具有相应资质的单位定期进行职业健康检查。未取得辐射安全与防护合格证的人员按要求积极组织人员参加国家核技术利用辐射安全与防护培训平台举办的各项辐射安全和防护专业知识培训，并且严格落实《辐射工作人员培训制度》。</w:t>
            </w:r>
          </w:p>
          <w:p>
            <w:pPr>
              <w:snapToGrid w:val="0"/>
              <w:spacing w:line="480" w:lineRule="exact"/>
              <w:ind w:firstLine="480" w:firstLineChars="200"/>
              <w:contextualSpacing/>
              <w:rPr>
                <w:rFonts w:ascii="Times New Roman" w:hAnsi="Times New Roman"/>
                <w:color w:val="000000"/>
                <w:sz w:val="24"/>
              </w:rPr>
            </w:pPr>
            <w:r>
              <w:rPr>
                <w:rFonts w:ascii="Times New Roman" w:hAnsi="Times New Roman"/>
                <w:color w:val="000000"/>
                <w:sz w:val="24"/>
              </w:rPr>
              <w:t>单位在严格执行相关法律法规、标准规范等文件，严格落实各项辐射安全管理、防护措施的前提下，其从事辐射活动的技术能力基本符合相应法律法规的要求。</w:t>
            </w:r>
          </w:p>
          <w:p>
            <w:pPr>
              <w:snapToGrid w:val="0"/>
              <w:spacing w:line="480" w:lineRule="exact"/>
              <w:ind w:firstLine="482" w:firstLineChars="200"/>
              <w:contextualSpacing/>
              <w:rPr>
                <w:rFonts w:ascii="Times New Roman" w:hAnsi="Times New Roman"/>
                <w:b/>
                <w:bCs/>
                <w:color w:val="000000"/>
                <w:sz w:val="24"/>
              </w:rPr>
            </w:pPr>
            <w:r>
              <w:rPr>
                <w:rFonts w:ascii="Times New Roman" w:hAnsi="Times New Roman"/>
                <w:b/>
                <w:bCs/>
                <w:color w:val="000000"/>
                <w:sz w:val="24"/>
              </w:rPr>
              <w:t>4、放射性三废及危险废物处置</w:t>
            </w:r>
          </w:p>
          <w:p>
            <w:pPr>
              <w:autoSpaceDE w:val="0"/>
              <w:autoSpaceDN w:val="0"/>
              <w:snapToGrid w:val="0"/>
              <w:spacing w:line="480" w:lineRule="exact"/>
              <w:ind w:firstLine="480" w:firstLineChars="200"/>
              <w:contextualSpacing/>
              <w:rPr>
                <w:rFonts w:ascii="Times New Roman" w:hAnsi="Times New Roman"/>
                <w:color w:val="000000"/>
                <w:sz w:val="24"/>
              </w:rPr>
            </w:pPr>
            <w:r>
              <w:rPr>
                <w:rFonts w:hint="eastAsia" w:ascii="Times New Roman" w:hAnsi="Times New Roman"/>
                <w:color w:val="000000"/>
                <w:sz w:val="24"/>
              </w:rPr>
              <w:t>本项目不产生</w:t>
            </w:r>
            <w:r>
              <w:rPr>
                <w:rFonts w:ascii="Times New Roman" w:hAnsi="Times New Roman"/>
                <w:color w:val="000000"/>
                <w:sz w:val="24"/>
              </w:rPr>
              <w:t>放射性废水、放射性废气及放射性固体废物。</w:t>
            </w:r>
          </w:p>
          <w:p>
            <w:pPr>
              <w:autoSpaceDE w:val="0"/>
              <w:autoSpaceDN w:val="0"/>
              <w:snapToGrid w:val="0"/>
              <w:spacing w:line="480" w:lineRule="exact"/>
              <w:ind w:firstLine="480" w:firstLineChars="200"/>
              <w:contextualSpacing/>
              <w:rPr>
                <w:rFonts w:ascii="Times New Roman" w:hAnsi="Times New Roman"/>
                <w:color w:val="000000"/>
                <w:sz w:val="24"/>
              </w:rPr>
            </w:pPr>
            <w:r>
              <w:rPr>
                <w:rFonts w:hint="eastAsia" w:ascii="Times New Roman" w:hAnsi="Times New Roman"/>
                <w:color w:val="000000"/>
                <w:sz w:val="24"/>
              </w:rPr>
              <w:t>本项目</w:t>
            </w:r>
            <w:r>
              <w:rPr>
                <w:rFonts w:ascii="Times New Roman" w:hAnsi="Times New Roman"/>
                <w:color w:val="000000"/>
                <w:sz w:val="24"/>
              </w:rPr>
              <w:t>X射线探伤装置胶片显影过程中估计年产生废胶片数量100张，废显（定）影液100L，废显（定）影液及废胶片属HW16感光材料废物，废胶片及废显（定）影液暂存在</w:t>
            </w:r>
            <w:r>
              <w:rPr>
                <w:rFonts w:hint="eastAsia" w:ascii="Times New Roman" w:hAnsi="Times New Roman"/>
                <w:color w:val="000000"/>
                <w:sz w:val="24"/>
                <w:szCs w:val="24"/>
              </w:rPr>
              <w:t>新疆昌吉高新技术产业开发区辉煌大道南侧机械所</w:t>
            </w:r>
            <w:r>
              <w:rPr>
                <w:rFonts w:hint="eastAsia" w:ascii="Times New Roman" w:hAnsi="Times New Roman"/>
                <w:spacing w:val="-2"/>
                <w:sz w:val="24"/>
              </w:rPr>
              <w:t>负一层暗室</w:t>
            </w:r>
            <w:r>
              <w:rPr>
                <w:rFonts w:ascii="Times New Roman" w:hAnsi="Times New Roman"/>
                <w:spacing w:val="-2"/>
                <w:sz w:val="24"/>
              </w:rPr>
              <w:t>内</w:t>
            </w:r>
            <w:r>
              <w:rPr>
                <w:rFonts w:ascii="Times New Roman" w:hAnsi="Times New Roman"/>
                <w:color w:val="000000"/>
                <w:sz w:val="24"/>
              </w:rPr>
              <w:t>，送有资质单位处理。</w:t>
            </w:r>
          </w:p>
          <w:p>
            <w:pPr>
              <w:autoSpaceDE w:val="0"/>
              <w:autoSpaceDN w:val="0"/>
              <w:snapToGrid w:val="0"/>
              <w:spacing w:after="312" w:afterLines="100" w:line="480" w:lineRule="exact"/>
              <w:ind w:firstLine="480" w:firstLineChars="200"/>
              <w:contextualSpacing/>
              <w:rPr>
                <w:rFonts w:ascii="Times New Roman" w:hAnsi="Times New Roman"/>
                <w:color w:val="000000"/>
                <w:sz w:val="24"/>
              </w:rPr>
            </w:pPr>
            <w:r>
              <w:rPr>
                <w:rFonts w:ascii="Times New Roman" w:hAnsi="Times New Roman"/>
                <w:color w:val="000000"/>
                <w:sz w:val="24"/>
              </w:rPr>
              <w:t>综上所述，</w:t>
            </w:r>
            <w:r>
              <w:rPr>
                <w:rFonts w:hint="eastAsia" w:ascii="Times New Roman" w:hAnsi="Times New Roman"/>
                <w:color w:val="000000"/>
                <w:sz w:val="24"/>
                <w:szCs w:val="32"/>
              </w:rPr>
              <w:t>新疆质检院</w:t>
            </w:r>
            <w:r>
              <w:rPr>
                <w:rFonts w:ascii="Times New Roman" w:hAnsi="Times New Roman"/>
                <w:color w:val="000000"/>
                <w:sz w:val="24"/>
              </w:rPr>
              <w:t>在落实本报告提出的各项污染防治措施和管理措施后，本项目将具有与其所从事的辐射活动相适应的技术能力和具备相应的辐射安全防护措施，其运行对周围环境产生的影响能够符合辐射环境保护的要求，从辐射环境保护的角度论证，该项目的建设和运行是可行的。</w:t>
            </w:r>
          </w:p>
          <w:p>
            <w:pPr>
              <w:spacing w:line="360" w:lineRule="auto"/>
              <w:contextualSpacing/>
              <w:rPr>
                <w:rFonts w:ascii="Times New Roman" w:hAnsi="Times New Roman"/>
                <w:b/>
                <w:sz w:val="28"/>
                <w:szCs w:val="28"/>
              </w:rPr>
            </w:pPr>
            <w:r>
              <w:rPr>
                <w:rFonts w:ascii="Times New Roman" w:hAnsi="Times New Roman"/>
                <w:b/>
                <w:sz w:val="28"/>
                <w:szCs w:val="28"/>
              </w:rPr>
              <w:t>13.2建议</w:t>
            </w:r>
          </w:p>
          <w:p>
            <w:pPr>
              <w:snapToGrid w:val="0"/>
              <w:spacing w:line="360" w:lineRule="auto"/>
              <w:ind w:firstLine="465"/>
              <w:contextualSpacing/>
              <w:rPr>
                <w:rFonts w:ascii="Times New Roman" w:hAnsi="Times New Roman"/>
                <w:b/>
                <w:sz w:val="28"/>
                <w:szCs w:val="28"/>
              </w:rPr>
            </w:pPr>
            <w:r>
              <w:rPr>
                <w:rFonts w:ascii="Times New Roman" w:hAnsi="Times New Roman"/>
                <w:sz w:val="24"/>
              </w:rPr>
              <w:t>1、认真学习国家环保法规政策，提高安全文化素养，增强辐射防护意识；要求工作人员严格执行各项安全管理规章制度和安全技术操作规程。</w:t>
            </w:r>
          </w:p>
          <w:p>
            <w:pPr>
              <w:snapToGrid w:val="0"/>
              <w:spacing w:line="360" w:lineRule="auto"/>
              <w:ind w:firstLine="465"/>
              <w:contextualSpacing/>
              <w:rPr>
                <w:rFonts w:ascii="Times New Roman" w:hAnsi="Times New Roman"/>
                <w:sz w:val="24"/>
                <w:szCs w:val="24"/>
              </w:rPr>
            </w:pPr>
            <w:r>
              <w:rPr>
                <w:rFonts w:ascii="Times New Roman" w:hAnsi="Times New Roman"/>
                <w:sz w:val="24"/>
              </w:rPr>
              <w:t>2、</w:t>
            </w:r>
            <w:r>
              <w:rPr>
                <w:rFonts w:ascii="Times New Roman" w:hAnsi="Times New Roman"/>
                <w:sz w:val="24"/>
                <w:szCs w:val="24"/>
              </w:rPr>
              <w:t>按照《放射性同位素与射线装置安全和防护条例》（国务院令第449号）等相关规定，新疆质检院应成立辐射防护管理领导小组。</w:t>
            </w:r>
          </w:p>
          <w:p>
            <w:pPr>
              <w:snapToGrid w:val="0"/>
              <w:spacing w:line="360" w:lineRule="auto"/>
              <w:ind w:firstLine="465"/>
              <w:contextualSpacing/>
              <w:rPr>
                <w:rFonts w:ascii="Times New Roman" w:hAnsi="Times New Roman"/>
                <w:sz w:val="24"/>
              </w:rPr>
            </w:pPr>
            <w:r>
              <w:rPr>
                <w:rFonts w:ascii="Times New Roman" w:hAnsi="Times New Roman"/>
                <w:sz w:val="24"/>
              </w:rPr>
              <w:t>3、单位应结合工作实际情况制定辐射安全管理制度并不断完善。</w:t>
            </w:r>
          </w:p>
          <w:p>
            <w:pPr>
              <w:snapToGrid w:val="0"/>
              <w:spacing w:line="360" w:lineRule="auto"/>
              <w:ind w:firstLine="465"/>
              <w:contextualSpacing/>
              <w:rPr>
                <w:rFonts w:ascii="Times New Roman" w:hAnsi="Times New Roman"/>
                <w:sz w:val="24"/>
              </w:rPr>
            </w:pPr>
            <w:r>
              <w:rPr>
                <w:rFonts w:ascii="Times New Roman" w:hAnsi="Times New Roman"/>
                <w:sz w:val="24"/>
              </w:rPr>
              <w:t>4、未取得辐射安全与防护合格证的人员，按相关要求积极组织人员参加环境保护部门组织的各项辐射安全和防护专业知识培训，并且严格落实《辐射工作人员培训制度》。</w:t>
            </w:r>
          </w:p>
          <w:p>
            <w:pPr>
              <w:autoSpaceDE w:val="0"/>
              <w:autoSpaceDN w:val="0"/>
              <w:spacing w:before="156" w:beforeLines="50" w:line="360" w:lineRule="auto"/>
              <w:ind w:firstLine="480" w:firstLineChars="200"/>
              <w:contextualSpacing/>
              <w:rPr>
                <w:rFonts w:ascii="Times New Roman" w:hAnsi="Times New Roman"/>
                <w:sz w:val="24"/>
              </w:rPr>
            </w:pPr>
            <w:r>
              <w:rPr>
                <w:rFonts w:ascii="Times New Roman" w:hAnsi="Times New Roman"/>
                <w:sz w:val="24"/>
              </w:rPr>
              <w:t>5、取得本项目环评批复后，</w:t>
            </w:r>
            <w:r>
              <w:rPr>
                <w:rFonts w:hint="eastAsia" w:ascii="Times New Roman" w:hAnsi="Times New Roman"/>
                <w:sz w:val="24"/>
              </w:rPr>
              <w:t xml:space="preserve">应尽快办理辐射安全许可证及竣工环保验收。 </w:t>
            </w:r>
          </w:p>
          <w:p>
            <w:pPr>
              <w:autoSpaceDE w:val="0"/>
              <w:autoSpaceDN w:val="0"/>
              <w:spacing w:before="156" w:beforeLines="50" w:line="360" w:lineRule="auto"/>
              <w:ind w:firstLine="480" w:firstLineChars="200"/>
              <w:contextualSpacing/>
              <w:rPr>
                <w:rFonts w:ascii="Times New Roman" w:hAnsi="Times New Roman"/>
                <w:bCs/>
                <w:sz w:val="24"/>
                <w:szCs w:val="24"/>
              </w:rPr>
            </w:pPr>
            <w:r>
              <w:rPr>
                <w:rFonts w:ascii="Times New Roman" w:hAnsi="Times New Roman"/>
                <w:sz w:val="24"/>
              </w:rPr>
              <w:t>6、</w:t>
            </w:r>
            <w:r>
              <w:rPr>
                <w:rFonts w:ascii="Times New Roman" w:hAnsi="Times New Roman"/>
                <w:bCs/>
                <w:sz w:val="24"/>
                <w:szCs w:val="24"/>
              </w:rPr>
              <w:t>取得辐射安全许可证后，应立即组织本项目的竣工辐射环境验收工作，验收合格后，方可投入使用。</w:t>
            </w:r>
            <w:r>
              <w:rPr>
                <w:rFonts w:hint="eastAsia" w:ascii="Times New Roman" w:hAnsi="Times New Roman"/>
                <w:color w:val="000000"/>
                <w:sz w:val="24"/>
                <w:szCs w:val="32"/>
              </w:rPr>
              <w:t>新疆质检院</w:t>
            </w:r>
            <w:r>
              <w:rPr>
                <w:rFonts w:ascii="Times New Roman" w:hAnsi="Times New Roman"/>
                <w:bCs/>
                <w:sz w:val="24"/>
                <w:szCs w:val="24"/>
              </w:rPr>
              <w:t>每年应对射线装置使用和防护状况进行年度评估，并于每年1月31日前向发证机关提交上一年度的评估报告，年度评估报告应当包括放射性同位素与射线装置台账、辐射安全和防护设施的运行与维护、辐射安全和防护制度及措施的建立和落实、事故和应急以及档案管理等方面的内容。</w:t>
            </w:r>
          </w:p>
          <w:p>
            <w:pPr>
              <w:spacing w:line="360" w:lineRule="auto"/>
              <w:ind w:firstLine="480" w:firstLineChars="200"/>
              <w:rPr>
                <w:rFonts w:ascii="Times New Roman" w:hAnsi="Times New Roman"/>
                <w:sz w:val="24"/>
              </w:rPr>
            </w:pPr>
            <w:r>
              <w:rPr>
                <w:rFonts w:ascii="Times New Roman" w:hAnsi="Times New Roman"/>
                <w:sz w:val="24"/>
              </w:rPr>
              <w:t>7、建议为减少“三废”排放，企业今后发展中应逐渐淘汰落后技术设备，在后期更换设备时考虑购买数字化X射线探伤装置，从而降低对环境的污染。</w:t>
            </w:r>
          </w:p>
          <w:p>
            <w:pPr>
              <w:autoSpaceDE w:val="0"/>
              <w:autoSpaceDN w:val="0"/>
              <w:spacing w:before="156" w:beforeLines="50" w:line="360" w:lineRule="auto"/>
              <w:ind w:firstLine="480" w:firstLineChars="200"/>
              <w:contextualSpacing/>
              <w:rPr>
                <w:rFonts w:ascii="Times New Roman" w:hAnsi="Times New Roman"/>
                <w:bCs/>
                <w:sz w:val="24"/>
                <w:szCs w:val="24"/>
              </w:rPr>
            </w:pPr>
            <w:r>
              <w:rPr>
                <w:rFonts w:ascii="Times New Roman" w:hAnsi="Times New Roman"/>
                <w:sz w:val="24"/>
              </w:rPr>
              <w:t>8、</w:t>
            </w:r>
            <w:r>
              <w:rPr>
                <w:rFonts w:ascii="Times New Roman" w:hAnsi="Times New Roman"/>
                <w:bCs/>
                <w:sz w:val="24"/>
                <w:szCs w:val="24"/>
              </w:rPr>
              <w:t>本报告表系按</w:t>
            </w:r>
            <w:r>
              <w:rPr>
                <w:rFonts w:hint="eastAsia" w:ascii="Times New Roman" w:hAnsi="Times New Roman"/>
                <w:color w:val="000000"/>
                <w:sz w:val="24"/>
                <w:szCs w:val="32"/>
              </w:rPr>
              <w:t>新疆质检院</w:t>
            </w:r>
            <w:r>
              <w:rPr>
                <w:rFonts w:ascii="Times New Roman" w:hAnsi="Times New Roman"/>
                <w:bCs/>
                <w:sz w:val="24"/>
                <w:szCs w:val="24"/>
              </w:rPr>
              <w:t>提供的资料编制，今后如使用的X射线设备有较大变化，应另作相应的环境影响评价，办理相应手续。</w:t>
            </w:r>
          </w:p>
          <w:p>
            <w:pPr>
              <w:spacing w:line="360" w:lineRule="auto"/>
              <w:rPr>
                <w:rFonts w:ascii="Times New Roman" w:hAnsi="Times New Roman"/>
                <w:sz w:val="24"/>
              </w:rPr>
            </w:pPr>
          </w:p>
        </w:tc>
      </w:tr>
    </w:tbl>
    <w:p>
      <w:pPr>
        <w:rPr>
          <w:rFonts w:ascii="Times New Roman" w:hAnsi="Times New Roman"/>
        </w:rPr>
      </w:pPr>
    </w:p>
    <w:p>
      <w:pPr>
        <w:rPr>
          <w:rFonts w:ascii="Times New Roman" w:hAnsi="Times New Roman"/>
        </w:rPr>
      </w:pPr>
    </w:p>
    <w:p>
      <w:pPr>
        <w:rPr>
          <w:rFonts w:ascii="Times New Roman" w:hAnsi="Times New Roman"/>
        </w:rPr>
      </w:pPr>
    </w:p>
    <w:p>
      <w:pPr>
        <w:rPr>
          <w:rStyle w:val="39"/>
          <w:rFonts w:ascii="Times New Roman" w:hAnsi="Times New Roman"/>
        </w:rPr>
      </w:pPr>
      <w:r>
        <w:rPr>
          <w:rStyle w:val="39"/>
          <w:rFonts w:ascii="Times New Roman" w:hAnsi="Times New Roman"/>
        </w:rPr>
        <w:br w:type="page"/>
      </w:r>
    </w:p>
    <w:p>
      <w:pPr>
        <w:rPr>
          <w:rFonts w:ascii="Times New Roman" w:hAnsi="Times New Roman"/>
        </w:rPr>
      </w:pPr>
      <w:r>
        <w:rPr>
          <w:rStyle w:val="39"/>
          <w:rFonts w:ascii="Times New Roman" w:hAnsi="Times New Roman"/>
        </w:rPr>
        <w:t>附件一：环评委托书</w:t>
      </w:r>
    </w:p>
    <w:p>
      <w:pPr>
        <w:rPr>
          <w:rFonts w:ascii="Times New Roman" w:hAnsi="Times New Roman"/>
        </w:rPr>
      </w:pPr>
      <w:r>
        <w:rPr>
          <w:rFonts w:ascii="Times New Roman" w:hAnsi="Times New Roman"/>
        </w:rPr>
        <w:drawing>
          <wp:inline distT="0" distB="0" distL="0" distR="0">
            <wp:extent cx="5274310" cy="7455535"/>
            <wp:effectExtent l="0" t="0" r="2540" b="0"/>
            <wp:docPr id="1962735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35863"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pPr>
        <w:rPr>
          <w:rFonts w:ascii="Times New Roman" w:hAnsi="Times New Roman"/>
        </w:rPr>
      </w:pPr>
    </w:p>
    <w:p>
      <w:pPr>
        <w:rPr>
          <w:rStyle w:val="39"/>
          <w:rFonts w:ascii="Times New Roman" w:hAnsi="Times New Roma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方正小标宋简体">
    <w:panose1 w:val="02000000000000000000"/>
    <w:charset w:val="86"/>
    <w:family w:val="script"/>
    <w:pitch w:val="default"/>
    <w:sig w:usb0="A00002BF" w:usb1="184F6CFA" w:usb2="00000012"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1020794"/>
      <w:docPartObj>
        <w:docPartGallery w:val="AutoText"/>
      </w:docPartObj>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ind w:left="4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CE5C64"/>
    <w:multiLevelType w:val="singleLevel"/>
    <w:tmpl w:val="57CE5C64"/>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C056DA2"/>
    <w:rsid w:val="00001E31"/>
    <w:rsid w:val="0000570A"/>
    <w:rsid w:val="000245D5"/>
    <w:rsid w:val="000301EC"/>
    <w:rsid w:val="00060122"/>
    <w:rsid w:val="00062C42"/>
    <w:rsid w:val="00066551"/>
    <w:rsid w:val="00077989"/>
    <w:rsid w:val="00095429"/>
    <w:rsid w:val="000A57F5"/>
    <w:rsid w:val="000B2104"/>
    <w:rsid w:val="000B3B11"/>
    <w:rsid w:val="000C7B54"/>
    <w:rsid w:val="000D126D"/>
    <w:rsid w:val="000D3D91"/>
    <w:rsid w:val="000E571C"/>
    <w:rsid w:val="000F2F54"/>
    <w:rsid w:val="000F47CB"/>
    <w:rsid w:val="000F7462"/>
    <w:rsid w:val="000F77CF"/>
    <w:rsid w:val="00127B6D"/>
    <w:rsid w:val="001407FD"/>
    <w:rsid w:val="00161B79"/>
    <w:rsid w:val="0016690C"/>
    <w:rsid w:val="00184015"/>
    <w:rsid w:val="001843A7"/>
    <w:rsid w:val="00184BE9"/>
    <w:rsid w:val="00184D83"/>
    <w:rsid w:val="00187262"/>
    <w:rsid w:val="00194C7D"/>
    <w:rsid w:val="001A0828"/>
    <w:rsid w:val="001A31A0"/>
    <w:rsid w:val="001B3AAB"/>
    <w:rsid w:val="001C1189"/>
    <w:rsid w:val="001C6F3E"/>
    <w:rsid w:val="001D158C"/>
    <w:rsid w:val="001D713E"/>
    <w:rsid w:val="001E4192"/>
    <w:rsid w:val="001E5961"/>
    <w:rsid w:val="001F4C29"/>
    <w:rsid w:val="001F5DC0"/>
    <w:rsid w:val="00200F40"/>
    <w:rsid w:val="00210E1A"/>
    <w:rsid w:val="00211205"/>
    <w:rsid w:val="00246E17"/>
    <w:rsid w:val="002714F2"/>
    <w:rsid w:val="0027608F"/>
    <w:rsid w:val="0028218C"/>
    <w:rsid w:val="00295D1C"/>
    <w:rsid w:val="002B4647"/>
    <w:rsid w:val="002C3CD1"/>
    <w:rsid w:val="002E1426"/>
    <w:rsid w:val="002F07BF"/>
    <w:rsid w:val="0031090C"/>
    <w:rsid w:val="00313F6F"/>
    <w:rsid w:val="00325BEF"/>
    <w:rsid w:val="0033640B"/>
    <w:rsid w:val="00341537"/>
    <w:rsid w:val="00344D52"/>
    <w:rsid w:val="00345DED"/>
    <w:rsid w:val="0034681F"/>
    <w:rsid w:val="00350C64"/>
    <w:rsid w:val="00355EB0"/>
    <w:rsid w:val="00385657"/>
    <w:rsid w:val="00397CCB"/>
    <w:rsid w:val="003B1454"/>
    <w:rsid w:val="003C747B"/>
    <w:rsid w:val="003D3FBF"/>
    <w:rsid w:val="00406935"/>
    <w:rsid w:val="00416A40"/>
    <w:rsid w:val="00423152"/>
    <w:rsid w:val="00432AEA"/>
    <w:rsid w:val="00433EE9"/>
    <w:rsid w:val="004361EA"/>
    <w:rsid w:val="00461F73"/>
    <w:rsid w:val="00473900"/>
    <w:rsid w:val="004A56BC"/>
    <w:rsid w:val="004C4860"/>
    <w:rsid w:val="004D2D90"/>
    <w:rsid w:val="004D6A27"/>
    <w:rsid w:val="004F751E"/>
    <w:rsid w:val="00505916"/>
    <w:rsid w:val="00521903"/>
    <w:rsid w:val="005279ED"/>
    <w:rsid w:val="00530D6E"/>
    <w:rsid w:val="0053132F"/>
    <w:rsid w:val="00544EA3"/>
    <w:rsid w:val="0054533B"/>
    <w:rsid w:val="0055103E"/>
    <w:rsid w:val="00557A50"/>
    <w:rsid w:val="00574BBC"/>
    <w:rsid w:val="0058566D"/>
    <w:rsid w:val="005A6168"/>
    <w:rsid w:val="005C589D"/>
    <w:rsid w:val="005C7306"/>
    <w:rsid w:val="005D61CB"/>
    <w:rsid w:val="005E1B05"/>
    <w:rsid w:val="005E589C"/>
    <w:rsid w:val="005F3904"/>
    <w:rsid w:val="006062DA"/>
    <w:rsid w:val="006157DD"/>
    <w:rsid w:val="00634C43"/>
    <w:rsid w:val="00644D86"/>
    <w:rsid w:val="00651866"/>
    <w:rsid w:val="006646D0"/>
    <w:rsid w:val="006648EC"/>
    <w:rsid w:val="006657F5"/>
    <w:rsid w:val="006734E6"/>
    <w:rsid w:val="00675582"/>
    <w:rsid w:val="00694812"/>
    <w:rsid w:val="006975C4"/>
    <w:rsid w:val="00697C66"/>
    <w:rsid w:val="006A468F"/>
    <w:rsid w:val="006B4249"/>
    <w:rsid w:val="006B6524"/>
    <w:rsid w:val="006D2311"/>
    <w:rsid w:val="006D6DFA"/>
    <w:rsid w:val="006E0305"/>
    <w:rsid w:val="006F47E6"/>
    <w:rsid w:val="006F7D43"/>
    <w:rsid w:val="007053BF"/>
    <w:rsid w:val="00707B17"/>
    <w:rsid w:val="00725137"/>
    <w:rsid w:val="00732E35"/>
    <w:rsid w:val="00733279"/>
    <w:rsid w:val="00743D57"/>
    <w:rsid w:val="00752162"/>
    <w:rsid w:val="00786920"/>
    <w:rsid w:val="007936AC"/>
    <w:rsid w:val="00794D5B"/>
    <w:rsid w:val="00794F84"/>
    <w:rsid w:val="007977DC"/>
    <w:rsid w:val="007A7A81"/>
    <w:rsid w:val="007C1C89"/>
    <w:rsid w:val="007C3885"/>
    <w:rsid w:val="007F09F0"/>
    <w:rsid w:val="007F7390"/>
    <w:rsid w:val="008053D7"/>
    <w:rsid w:val="00810C6C"/>
    <w:rsid w:val="00822BE4"/>
    <w:rsid w:val="00846C61"/>
    <w:rsid w:val="00857D0E"/>
    <w:rsid w:val="00867C85"/>
    <w:rsid w:val="0088143B"/>
    <w:rsid w:val="00886BF6"/>
    <w:rsid w:val="00897FA0"/>
    <w:rsid w:val="008B1AD4"/>
    <w:rsid w:val="008B57E4"/>
    <w:rsid w:val="008B5BB5"/>
    <w:rsid w:val="008D7638"/>
    <w:rsid w:val="008E41A1"/>
    <w:rsid w:val="008F25D3"/>
    <w:rsid w:val="00902825"/>
    <w:rsid w:val="00914AE5"/>
    <w:rsid w:val="0091696D"/>
    <w:rsid w:val="00920121"/>
    <w:rsid w:val="009318EB"/>
    <w:rsid w:val="00933395"/>
    <w:rsid w:val="00945661"/>
    <w:rsid w:val="00952D76"/>
    <w:rsid w:val="00954899"/>
    <w:rsid w:val="00954D81"/>
    <w:rsid w:val="009553DE"/>
    <w:rsid w:val="00960949"/>
    <w:rsid w:val="00963CA9"/>
    <w:rsid w:val="0099452C"/>
    <w:rsid w:val="009B0C6E"/>
    <w:rsid w:val="009C451A"/>
    <w:rsid w:val="009C6B7D"/>
    <w:rsid w:val="009D21B5"/>
    <w:rsid w:val="009E27E7"/>
    <w:rsid w:val="009E4156"/>
    <w:rsid w:val="00A16556"/>
    <w:rsid w:val="00A504B9"/>
    <w:rsid w:val="00A62664"/>
    <w:rsid w:val="00A6517E"/>
    <w:rsid w:val="00AA733B"/>
    <w:rsid w:val="00AC74BF"/>
    <w:rsid w:val="00AD15BA"/>
    <w:rsid w:val="00AD4051"/>
    <w:rsid w:val="00AE0AEC"/>
    <w:rsid w:val="00AE6FE8"/>
    <w:rsid w:val="00B02788"/>
    <w:rsid w:val="00B051A3"/>
    <w:rsid w:val="00B344CB"/>
    <w:rsid w:val="00B34AD8"/>
    <w:rsid w:val="00B34E98"/>
    <w:rsid w:val="00B36BE6"/>
    <w:rsid w:val="00B4078B"/>
    <w:rsid w:val="00B73607"/>
    <w:rsid w:val="00B84671"/>
    <w:rsid w:val="00BA4769"/>
    <w:rsid w:val="00BB4CC4"/>
    <w:rsid w:val="00BC060D"/>
    <w:rsid w:val="00BC10FF"/>
    <w:rsid w:val="00BD5507"/>
    <w:rsid w:val="00BE439D"/>
    <w:rsid w:val="00BF210A"/>
    <w:rsid w:val="00C06630"/>
    <w:rsid w:val="00C15A1A"/>
    <w:rsid w:val="00C20B51"/>
    <w:rsid w:val="00C20FDB"/>
    <w:rsid w:val="00C240E3"/>
    <w:rsid w:val="00C35710"/>
    <w:rsid w:val="00C37919"/>
    <w:rsid w:val="00C43611"/>
    <w:rsid w:val="00C47939"/>
    <w:rsid w:val="00C54CFA"/>
    <w:rsid w:val="00C70858"/>
    <w:rsid w:val="00C91302"/>
    <w:rsid w:val="00C94C15"/>
    <w:rsid w:val="00CC00F3"/>
    <w:rsid w:val="00CC0F4F"/>
    <w:rsid w:val="00CC1F72"/>
    <w:rsid w:val="00CF0FAE"/>
    <w:rsid w:val="00D05DCD"/>
    <w:rsid w:val="00D15931"/>
    <w:rsid w:val="00D2764E"/>
    <w:rsid w:val="00D309F3"/>
    <w:rsid w:val="00D34706"/>
    <w:rsid w:val="00D4001C"/>
    <w:rsid w:val="00D4126F"/>
    <w:rsid w:val="00D42831"/>
    <w:rsid w:val="00D534A0"/>
    <w:rsid w:val="00D54E44"/>
    <w:rsid w:val="00D55ECB"/>
    <w:rsid w:val="00D628CE"/>
    <w:rsid w:val="00D62AEA"/>
    <w:rsid w:val="00D65B18"/>
    <w:rsid w:val="00D72525"/>
    <w:rsid w:val="00D91EE1"/>
    <w:rsid w:val="00D92892"/>
    <w:rsid w:val="00DA756B"/>
    <w:rsid w:val="00DA7883"/>
    <w:rsid w:val="00DB770E"/>
    <w:rsid w:val="00DC03CB"/>
    <w:rsid w:val="00DD0C05"/>
    <w:rsid w:val="00DE4639"/>
    <w:rsid w:val="00DF17B7"/>
    <w:rsid w:val="00DF2EB1"/>
    <w:rsid w:val="00E10F21"/>
    <w:rsid w:val="00E16F0F"/>
    <w:rsid w:val="00E33A5C"/>
    <w:rsid w:val="00E532FE"/>
    <w:rsid w:val="00E86693"/>
    <w:rsid w:val="00E96F0C"/>
    <w:rsid w:val="00EA1DE2"/>
    <w:rsid w:val="00EA55AD"/>
    <w:rsid w:val="00EB0681"/>
    <w:rsid w:val="00EB0E18"/>
    <w:rsid w:val="00EB54EB"/>
    <w:rsid w:val="00EC1179"/>
    <w:rsid w:val="00ED4803"/>
    <w:rsid w:val="00ED5C84"/>
    <w:rsid w:val="00EE3FCD"/>
    <w:rsid w:val="00F008F5"/>
    <w:rsid w:val="00F100B9"/>
    <w:rsid w:val="00F10F22"/>
    <w:rsid w:val="00F13D9C"/>
    <w:rsid w:val="00F2778F"/>
    <w:rsid w:val="00F34F03"/>
    <w:rsid w:val="00F4548C"/>
    <w:rsid w:val="00F52600"/>
    <w:rsid w:val="00F66CC4"/>
    <w:rsid w:val="00F8485D"/>
    <w:rsid w:val="00F86818"/>
    <w:rsid w:val="00F9523D"/>
    <w:rsid w:val="00FE7159"/>
    <w:rsid w:val="00FF00CE"/>
    <w:rsid w:val="011A7F47"/>
    <w:rsid w:val="012263D1"/>
    <w:rsid w:val="01257419"/>
    <w:rsid w:val="0190084F"/>
    <w:rsid w:val="01DF73A5"/>
    <w:rsid w:val="01EA3CE0"/>
    <w:rsid w:val="020D14CE"/>
    <w:rsid w:val="024A0806"/>
    <w:rsid w:val="027A0104"/>
    <w:rsid w:val="03C63E19"/>
    <w:rsid w:val="03CD2C60"/>
    <w:rsid w:val="04270B0D"/>
    <w:rsid w:val="04651CA6"/>
    <w:rsid w:val="04780CD6"/>
    <w:rsid w:val="048D2C8F"/>
    <w:rsid w:val="051F315F"/>
    <w:rsid w:val="05552097"/>
    <w:rsid w:val="05764AFD"/>
    <w:rsid w:val="059313F9"/>
    <w:rsid w:val="05FB4FB0"/>
    <w:rsid w:val="067F6B8E"/>
    <w:rsid w:val="06BC3F88"/>
    <w:rsid w:val="06ED2DBD"/>
    <w:rsid w:val="06FE5618"/>
    <w:rsid w:val="071029B7"/>
    <w:rsid w:val="07176770"/>
    <w:rsid w:val="07A20DB3"/>
    <w:rsid w:val="084C7A80"/>
    <w:rsid w:val="087A6BCA"/>
    <w:rsid w:val="088E3621"/>
    <w:rsid w:val="090065AE"/>
    <w:rsid w:val="09D710CB"/>
    <w:rsid w:val="09E57405"/>
    <w:rsid w:val="0A28456A"/>
    <w:rsid w:val="0A2C742A"/>
    <w:rsid w:val="0A5672BD"/>
    <w:rsid w:val="0AEF65CF"/>
    <w:rsid w:val="0AF3757E"/>
    <w:rsid w:val="0BB13233"/>
    <w:rsid w:val="0D026221"/>
    <w:rsid w:val="0D070F67"/>
    <w:rsid w:val="0D5200A7"/>
    <w:rsid w:val="0E58414F"/>
    <w:rsid w:val="0E7E6653"/>
    <w:rsid w:val="0E8D00C9"/>
    <w:rsid w:val="0EB96900"/>
    <w:rsid w:val="0ED5250F"/>
    <w:rsid w:val="0F3712C7"/>
    <w:rsid w:val="0F58314A"/>
    <w:rsid w:val="0F7417AA"/>
    <w:rsid w:val="104F34B1"/>
    <w:rsid w:val="106B2A1D"/>
    <w:rsid w:val="10D94DA2"/>
    <w:rsid w:val="11450435"/>
    <w:rsid w:val="11916C74"/>
    <w:rsid w:val="11A605DF"/>
    <w:rsid w:val="122E16D4"/>
    <w:rsid w:val="12E6750B"/>
    <w:rsid w:val="132A7A81"/>
    <w:rsid w:val="13423577"/>
    <w:rsid w:val="13B02A99"/>
    <w:rsid w:val="13CC3CA1"/>
    <w:rsid w:val="140C4ACD"/>
    <w:rsid w:val="14545F1E"/>
    <w:rsid w:val="14A614F8"/>
    <w:rsid w:val="14D3719B"/>
    <w:rsid w:val="14DD5A0F"/>
    <w:rsid w:val="1659238F"/>
    <w:rsid w:val="169E2BD4"/>
    <w:rsid w:val="17096152"/>
    <w:rsid w:val="17490E42"/>
    <w:rsid w:val="17501353"/>
    <w:rsid w:val="17BA58A2"/>
    <w:rsid w:val="17CE27D5"/>
    <w:rsid w:val="17EE64B3"/>
    <w:rsid w:val="18A74FB3"/>
    <w:rsid w:val="18F7551F"/>
    <w:rsid w:val="18FA4F6A"/>
    <w:rsid w:val="191C6DB8"/>
    <w:rsid w:val="194B0FE2"/>
    <w:rsid w:val="195F304D"/>
    <w:rsid w:val="19C93428"/>
    <w:rsid w:val="19CD634F"/>
    <w:rsid w:val="1A1054DA"/>
    <w:rsid w:val="1A172473"/>
    <w:rsid w:val="1A52467F"/>
    <w:rsid w:val="1A9B0EEE"/>
    <w:rsid w:val="1B0C3AA3"/>
    <w:rsid w:val="1B9C1DCF"/>
    <w:rsid w:val="1BDF771B"/>
    <w:rsid w:val="1BEB36CE"/>
    <w:rsid w:val="1D1725CD"/>
    <w:rsid w:val="1D2713B8"/>
    <w:rsid w:val="1D75361A"/>
    <w:rsid w:val="1DB01C8B"/>
    <w:rsid w:val="1DBE3F01"/>
    <w:rsid w:val="1E515645"/>
    <w:rsid w:val="1F170BD1"/>
    <w:rsid w:val="1F1741C7"/>
    <w:rsid w:val="1F451A89"/>
    <w:rsid w:val="1F7B3A21"/>
    <w:rsid w:val="1F7B5859"/>
    <w:rsid w:val="1FC44D60"/>
    <w:rsid w:val="1FEA021D"/>
    <w:rsid w:val="204B1B3E"/>
    <w:rsid w:val="20984794"/>
    <w:rsid w:val="20E97C82"/>
    <w:rsid w:val="217563B9"/>
    <w:rsid w:val="21F74F54"/>
    <w:rsid w:val="221B25E8"/>
    <w:rsid w:val="229B1864"/>
    <w:rsid w:val="238F4172"/>
    <w:rsid w:val="23F33B84"/>
    <w:rsid w:val="24D92E45"/>
    <w:rsid w:val="25B62D2A"/>
    <w:rsid w:val="25F64441"/>
    <w:rsid w:val="25F77F4B"/>
    <w:rsid w:val="26000F70"/>
    <w:rsid w:val="263F650E"/>
    <w:rsid w:val="264B54B7"/>
    <w:rsid w:val="265268E1"/>
    <w:rsid w:val="2738114A"/>
    <w:rsid w:val="278B2DEF"/>
    <w:rsid w:val="27C213B8"/>
    <w:rsid w:val="27F20669"/>
    <w:rsid w:val="27F5556B"/>
    <w:rsid w:val="286641B4"/>
    <w:rsid w:val="28BC7F03"/>
    <w:rsid w:val="28DC2888"/>
    <w:rsid w:val="29AB0692"/>
    <w:rsid w:val="2AE9075A"/>
    <w:rsid w:val="2B0A2AE4"/>
    <w:rsid w:val="2BBC1697"/>
    <w:rsid w:val="2C1F03BA"/>
    <w:rsid w:val="2C2D3651"/>
    <w:rsid w:val="2C6C20E8"/>
    <w:rsid w:val="2DF64513"/>
    <w:rsid w:val="2E8507D9"/>
    <w:rsid w:val="2EA47057"/>
    <w:rsid w:val="2F2636D7"/>
    <w:rsid w:val="2F2E6454"/>
    <w:rsid w:val="2F78774E"/>
    <w:rsid w:val="2FE15160"/>
    <w:rsid w:val="30391BCB"/>
    <w:rsid w:val="309229EE"/>
    <w:rsid w:val="3092462F"/>
    <w:rsid w:val="30DE724A"/>
    <w:rsid w:val="313860FA"/>
    <w:rsid w:val="320C2ECC"/>
    <w:rsid w:val="32443A92"/>
    <w:rsid w:val="32650298"/>
    <w:rsid w:val="32B73745"/>
    <w:rsid w:val="32CB0C8E"/>
    <w:rsid w:val="335C0347"/>
    <w:rsid w:val="336D42B3"/>
    <w:rsid w:val="339E3866"/>
    <w:rsid w:val="33DC3810"/>
    <w:rsid w:val="34A23CE5"/>
    <w:rsid w:val="358C3CB3"/>
    <w:rsid w:val="35FF384F"/>
    <w:rsid w:val="3619225B"/>
    <w:rsid w:val="36486B4F"/>
    <w:rsid w:val="366B0CBE"/>
    <w:rsid w:val="37956A31"/>
    <w:rsid w:val="38270C0D"/>
    <w:rsid w:val="383D2D49"/>
    <w:rsid w:val="38B07B03"/>
    <w:rsid w:val="39355E8B"/>
    <w:rsid w:val="3A2A51FF"/>
    <w:rsid w:val="3A2E56F1"/>
    <w:rsid w:val="3A546152"/>
    <w:rsid w:val="3A55728F"/>
    <w:rsid w:val="3AA66CF3"/>
    <w:rsid w:val="3AF42CE8"/>
    <w:rsid w:val="3B372246"/>
    <w:rsid w:val="3B5457E3"/>
    <w:rsid w:val="3B650B97"/>
    <w:rsid w:val="3BD10358"/>
    <w:rsid w:val="3BE87F92"/>
    <w:rsid w:val="3C11450D"/>
    <w:rsid w:val="3C246784"/>
    <w:rsid w:val="3C4764C7"/>
    <w:rsid w:val="3CDD7894"/>
    <w:rsid w:val="3D770D57"/>
    <w:rsid w:val="3DA06B90"/>
    <w:rsid w:val="3E3E720D"/>
    <w:rsid w:val="3E465B09"/>
    <w:rsid w:val="3E754DE6"/>
    <w:rsid w:val="3F1E6015"/>
    <w:rsid w:val="3F341B47"/>
    <w:rsid w:val="3F6F03AC"/>
    <w:rsid w:val="3F8C6379"/>
    <w:rsid w:val="3FEF6C8B"/>
    <w:rsid w:val="40CD069F"/>
    <w:rsid w:val="41386B14"/>
    <w:rsid w:val="42376B89"/>
    <w:rsid w:val="42FA34E5"/>
    <w:rsid w:val="431E56C1"/>
    <w:rsid w:val="434A06D8"/>
    <w:rsid w:val="43836F5D"/>
    <w:rsid w:val="44027739"/>
    <w:rsid w:val="44055473"/>
    <w:rsid w:val="443A02C8"/>
    <w:rsid w:val="44CE7B64"/>
    <w:rsid w:val="454B1589"/>
    <w:rsid w:val="46D7441C"/>
    <w:rsid w:val="473F06DF"/>
    <w:rsid w:val="478D3652"/>
    <w:rsid w:val="47B17746"/>
    <w:rsid w:val="491111B1"/>
    <w:rsid w:val="49164086"/>
    <w:rsid w:val="491B434C"/>
    <w:rsid w:val="49667930"/>
    <w:rsid w:val="49E22B6C"/>
    <w:rsid w:val="4A150943"/>
    <w:rsid w:val="4A9E30C4"/>
    <w:rsid w:val="4B001E3B"/>
    <w:rsid w:val="4C056DA2"/>
    <w:rsid w:val="4C454E22"/>
    <w:rsid w:val="4CD76A40"/>
    <w:rsid w:val="4D4706C8"/>
    <w:rsid w:val="4DB32325"/>
    <w:rsid w:val="4E020A4E"/>
    <w:rsid w:val="4E88558B"/>
    <w:rsid w:val="4EC947BA"/>
    <w:rsid w:val="4F66503F"/>
    <w:rsid w:val="4F8A77FD"/>
    <w:rsid w:val="4FA34211"/>
    <w:rsid w:val="50A55E50"/>
    <w:rsid w:val="512F2364"/>
    <w:rsid w:val="51497A17"/>
    <w:rsid w:val="51C03BB8"/>
    <w:rsid w:val="528B362E"/>
    <w:rsid w:val="5323067D"/>
    <w:rsid w:val="536C6A56"/>
    <w:rsid w:val="53B32DE4"/>
    <w:rsid w:val="53C2454B"/>
    <w:rsid w:val="54B73DED"/>
    <w:rsid w:val="54C147BD"/>
    <w:rsid w:val="55144DA5"/>
    <w:rsid w:val="55E31E2C"/>
    <w:rsid w:val="55EA5950"/>
    <w:rsid w:val="55FC2DCC"/>
    <w:rsid w:val="560A220D"/>
    <w:rsid w:val="56551FFE"/>
    <w:rsid w:val="56D92986"/>
    <w:rsid w:val="572959FF"/>
    <w:rsid w:val="588B276A"/>
    <w:rsid w:val="59374D12"/>
    <w:rsid w:val="599F5CDC"/>
    <w:rsid w:val="59D14A7F"/>
    <w:rsid w:val="5A5D5BFE"/>
    <w:rsid w:val="5A8F30CC"/>
    <w:rsid w:val="5B0D2723"/>
    <w:rsid w:val="5B74485E"/>
    <w:rsid w:val="5BDD5A6E"/>
    <w:rsid w:val="5C196DAA"/>
    <w:rsid w:val="5C4063A6"/>
    <w:rsid w:val="5C4A4C2E"/>
    <w:rsid w:val="5C4A5D40"/>
    <w:rsid w:val="5D5C0753"/>
    <w:rsid w:val="5ED83204"/>
    <w:rsid w:val="5FA55207"/>
    <w:rsid w:val="60381E20"/>
    <w:rsid w:val="60E411D1"/>
    <w:rsid w:val="614022CA"/>
    <w:rsid w:val="615E0E9D"/>
    <w:rsid w:val="61F042CA"/>
    <w:rsid w:val="621E59C6"/>
    <w:rsid w:val="62351771"/>
    <w:rsid w:val="62A928A5"/>
    <w:rsid w:val="62D76742"/>
    <w:rsid w:val="632343C5"/>
    <w:rsid w:val="632D1D61"/>
    <w:rsid w:val="63912316"/>
    <w:rsid w:val="63E75E0A"/>
    <w:rsid w:val="63ED6C01"/>
    <w:rsid w:val="64176614"/>
    <w:rsid w:val="64643F5A"/>
    <w:rsid w:val="647767D6"/>
    <w:rsid w:val="64E70B08"/>
    <w:rsid w:val="64EF644F"/>
    <w:rsid w:val="66D754F8"/>
    <w:rsid w:val="67070CDE"/>
    <w:rsid w:val="670E3723"/>
    <w:rsid w:val="67535FC6"/>
    <w:rsid w:val="67620851"/>
    <w:rsid w:val="67F069A7"/>
    <w:rsid w:val="68507B6F"/>
    <w:rsid w:val="686A015D"/>
    <w:rsid w:val="68AE061E"/>
    <w:rsid w:val="68B403ED"/>
    <w:rsid w:val="69192528"/>
    <w:rsid w:val="695057FA"/>
    <w:rsid w:val="69B922DD"/>
    <w:rsid w:val="6AD476B0"/>
    <w:rsid w:val="6B415A2A"/>
    <w:rsid w:val="6CB12A94"/>
    <w:rsid w:val="6CC7665B"/>
    <w:rsid w:val="6D902B01"/>
    <w:rsid w:val="6D9C200E"/>
    <w:rsid w:val="6DE26513"/>
    <w:rsid w:val="6DF4051D"/>
    <w:rsid w:val="6DFB0A46"/>
    <w:rsid w:val="6E225984"/>
    <w:rsid w:val="6FB47C12"/>
    <w:rsid w:val="702376C1"/>
    <w:rsid w:val="70725B54"/>
    <w:rsid w:val="70CD7FA6"/>
    <w:rsid w:val="72451BF3"/>
    <w:rsid w:val="73042F76"/>
    <w:rsid w:val="73152B74"/>
    <w:rsid w:val="739C009B"/>
    <w:rsid w:val="73C92CA2"/>
    <w:rsid w:val="747F6AF5"/>
    <w:rsid w:val="74B852C9"/>
    <w:rsid w:val="74F86A24"/>
    <w:rsid w:val="74FC6FF4"/>
    <w:rsid w:val="75ED23E8"/>
    <w:rsid w:val="769C40E2"/>
    <w:rsid w:val="76A34C5A"/>
    <w:rsid w:val="76B23FFB"/>
    <w:rsid w:val="76B73A78"/>
    <w:rsid w:val="76F327D7"/>
    <w:rsid w:val="774E331C"/>
    <w:rsid w:val="77CB5CEB"/>
    <w:rsid w:val="77F34123"/>
    <w:rsid w:val="781559EF"/>
    <w:rsid w:val="789955D4"/>
    <w:rsid w:val="78C91145"/>
    <w:rsid w:val="79851FB2"/>
    <w:rsid w:val="79AB4A3A"/>
    <w:rsid w:val="79B71315"/>
    <w:rsid w:val="79CA5DBD"/>
    <w:rsid w:val="79EC4F41"/>
    <w:rsid w:val="7A4835EE"/>
    <w:rsid w:val="7A4D3069"/>
    <w:rsid w:val="7A9D4477"/>
    <w:rsid w:val="7A9F0AB4"/>
    <w:rsid w:val="7B601A39"/>
    <w:rsid w:val="7B6359BC"/>
    <w:rsid w:val="7BD725C8"/>
    <w:rsid w:val="7C20530F"/>
    <w:rsid w:val="7C55486A"/>
    <w:rsid w:val="7C767742"/>
    <w:rsid w:val="7D0A0092"/>
    <w:rsid w:val="7D28355B"/>
    <w:rsid w:val="7D4B6E19"/>
    <w:rsid w:val="7D515B74"/>
    <w:rsid w:val="7D730BDF"/>
    <w:rsid w:val="7DA03CE2"/>
    <w:rsid w:val="7E422B73"/>
    <w:rsid w:val="7E866463"/>
    <w:rsid w:val="7EA205BC"/>
    <w:rsid w:val="7EDB7427"/>
    <w:rsid w:val="7EF12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9"/>
    <w:qFormat/>
    <w:uiPriority w:val="0"/>
    <w:pPr>
      <w:keepNext/>
      <w:keepLines/>
      <w:outlineLvl w:val="0"/>
    </w:pPr>
    <w:rPr>
      <w:b/>
      <w:bCs/>
      <w:kern w:val="44"/>
      <w:sz w:val="32"/>
      <w:szCs w:val="44"/>
    </w:rPr>
  </w:style>
  <w:style w:type="paragraph" w:styleId="3">
    <w:name w:val="heading 3"/>
    <w:basedOn w:val="1"/>
    <w:next w:val="1"/>
    <w:unhideWhenUsed/>
    <w:qFormat/>
    <w:uiPriority w:val="0"/>
    <w:pPr>
      <w:spacing w:before="100" w:beforeAutospacing="1" w:after="100" w:afterAutospacing="1"/>
      <w:jc w:val="left"/>
      <w:outlineLvl w:val="2"/>
    </w:pPr>
    <w:rPr>
      <w:rFonts w:hint="eastAsia" w:ascii="宋体" w:hAnsi="宋体"/>
      <w:b/>
      <w:kern w:val="0"/>
      <w:sz w:val="24"/>
      <w:szCs w:val="24"/>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Closing"/>
    <w:basedOn w:val="1"/>
    <w:qFormat/>
    <w:uiPriority w:val="0"/>
    <w:pPr>
      <w:ind w:left="100" w:leftChars="2100"/>
    </w:pPr>
    <w:rPr>
      <w:rFonts w:ascii="Arial" w:hAnsi="Arial" w:eastAsia="楷体_GB2312" w:cs="Arial"/>
      <w:b/>
      <w:sz w:val="24"/>
      <w:szCs w:val="24"/>
    </w:rPr>
  </w:style>
  <w:style w:type="paragraph" w:styleId="6">
    <w:name w:val="Body Text"/>
    <w:basedOn w:val="1"/>
    <w:qFormat/>
    <w:uiPriority w:val="0"/>
    <w:pPr>
      <w:autoSpaceDE w:val="0"/>
      <w:autoSpaceDN w:val="0"/>
      <w:adjustRightInd w:val="0"/>
      <w:ind w:left="118"/>
      <w:jc w:val="left"/>
    </w:pPr>
    <w:rPr>
      <w:rFonts w:ascii="宋体" w:hAnsi="Times New Roman" w:cs="宋体"/>
      <w:kern w:val="0"/>
      <w:szCs w:val="21"/>
    </w:rPr>
  </w:style>
  <w:style w:type="paragraph" w:styleId="7">
    <w:name w:val="Body Text Indent"/>
    <w:basedOn w:val="1"/>
    <w:qFormat/>
    <w:uiPriority w:val="0"/>
    <w:pPr>
      <w:spacing w:line="360" w:lineRule="auto"/>
      <w:ind w:firstLine="735"/>
    </w:pPr>
    <w:rPr>
      <w:sz w:val="28"/>
      <w:szCs w:val="20"/>
    </w:rPr>
  </w:style>
  <w:style w:type="paragraph" w:styleId="8">
    <w:name w:val="Plain Text"/>
    <w:basedOn w:val="1"/>
    <w:qFormat/>
    <w:uiPriority w:val="0"/>
    <w:rPr>
      <w:rFonts w:ascii="宋体" w:hAnsi="Courier New" w:cs="Courier New"/>
      <w:szCs w:val="21"/>
    </w:rPr>
  </w:style>
  <w:style w:type="paragraph" w:styleId="9">
    <w:name w:val="Body Text Indent 2"/>
    <w:basedOn w:val="1"/>
    <w:qFormat/>
    <w:uiPriority w:val="0"/>
    <w:pPr>
      <w:spacing w:line="480" w:lineRule="auto"/>
      <w:ind w:left="420" w:leftChars="200"/>
    </w:pPr>
  </w:style>
  <w:style w:type="paragraph" w:styleId="10">
    <w:name w:val="Balloon Text"/>
    <w:basedOn w:val="1"/>
    <w:link w:val="51"/>
    <w:qFormat/>
    <w:uiPriority w:val="0"/>
    <w:rPr>
      <w:sz w:val="18"/>
      <w:szCs w:val="18"/>
    </w:rPr>
  </w:style>
  <w:style w:type="paragraph" w:styleId="11">
    <w:name w:val="footer"/>
    <w:basedOn w:val="1"/>
    <w:link w:val="56"/>
    <w:qFormat/>
    <w:uiPriority w:val="99"/>
    <w:pPr>
      <w:tabs>
        <w:tab w:val="center" w:pos="4153"/>
        <w:tab w:val="right" w:pos="8306"/>
      </w:tabs>
      <w:snapToGrid w:val="0"/>
      <w:jc w:val="left"/>
    </w:pPr>
    <w:rPr>
      <w:sz w:val="18"/>
      <w:szCs w:val="18"/>
    </w:rPr>
  </w:style>
  <w:style w:type="paragraph" w:styleId="12">
    <w:name w:val="header"/>
    <w:basedOn w:val="1"/>
    <w:link w:val="50"/>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300" w:lineRule="exact"/>
      <w:ind w:firstLine="200" w:firstLineChars="200"/>
    </w:pPr>
    <w:rPr>
      <w:rFonts w:ascii="Times New Roman" w:hAnsi="Times New Roman"/>
      <w:szCs w:val="24"/>
    </w:rPr>
  </w:style>
  <w:style w:type="paragraph" w:styleId="14">
    <w:name w:val="Normal (Web)"/>
    <w:basedOn w:val="1"/>
    <w:qFormat/>
    <w:uiPriority w:val="0"/>
    <w:pPr>
      <w:jc w:val="left"/>
    </w:pPr>
    <w:rPr>
      <w:kern w:val="0"/>
      <w:sz w:val="24"/>
    </w:rPr>
  </w:style>
  <w:style w:type="paragraph" w:styleId="15">
    <w:name w:val="annotation subject"/>
    <w:basedOn w:val="4"/>
    <w:next w:val="4"/>
    <w:semiHidden/>
    <w:qFormat/>
    <w:uiPriority w:val="0"/>
    <w:rPr>
      <w:b/>
      <w:bCs/>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FollowedHyperlink"/>
    <w:basedOn w:val="18"/>
    <w:qFormat/>
    <w:uiPriority w:val="0"/>
    <w:rPr>
      <w:color w:val="000000"/>
      <w:u w:val="none"/>
    </w:rPr>
  </w:style>
  <w:style w:type="character" w:styleId="21">
    <w:name w:val="Emphasis"/>
    <w:basedOn w:val="18"/>
    <w:qFormat/>
    <w:uiPriority w:val="0"/>
  </w:style>
  <w:style w:type="character" w:styleId="22">
    <w:name w:val="HTML Definition"/>
    <w:basedOn w:val="18"/>
    <w:qFormat/>
    <w:uiPriority w:val="0"/>
  </w:style>
  <w:style w:type="character" w:styleId="23">
    <w:name w:val="HTML Acronym"/>
    <w:basedOn w:val="18"/>
    <w:qFormat/>
    <w:uiPriority w:val="0"/>
  </w:style>
  <w:style w:type="character" w:styleId="24">
    <w:name w:val="HTML Variable"/>
    <w:basedOn w:val="18"/>
    <w:qFormat/>
    <w:uiPriority w:val="0"/>
  </w:style>
  <w:style w:type="character" w:styleId="25">
    <w:name w:val="Hyperlink"/>
    <w:basedOn w:val="18"/>
    <w:qFormat/>
    <w:uiPriority w:val="99"/>
    <w:rPr>
      <w:color w:val="333333"/>
      <w:u w:val="none"/>
    </w:rPr>
  </w:style>
  <w:style w:type="character" w:styleId="26">
    <w:name w:val="HTML Code"/>
    <w:basedOn w:val="18"/>
    <w:qFormat/>
    <w:uiPriority w:val="0"/>
    <w:rPr>
      <w:rFonts w:ascii="Courier New" w:hAnsi="Courier New"/>
      <w:sz w:val="20"/>
    </w:rPr>
  </w:style>
  <w:style w:type="character" w:styleId="27">
    <w:name w:val="annotation reference"/>
    <w:basedOn w:val="18"/>
    <w:semiHidden/>
    <w:qFormat/>
    <w:uiPriority w:val="0"/>
    <w:rPr>
      <w:sz w:val="21"/>
      <w:szCs w:val="21"/>
    </w:rPr>
  </w:style>
  <w:style w:type="character" w:styleId="28">
    <w:name w:val="HTML Cite"/>
    <w:basedOn w:val="18"/>
    <w:qFormat/>
    <w:uiPriority w:val="0"/>
  </w:style>
  <w:style w:type="paragraph" w:customStyle="1" w:styleId="29">
    <w:name w:val="Normal_0"/>
    <w:qFormat/>
    <w:uiPriority w:val="0"/>
    <w:pPr>
      <w:spacing w:before="120" w:after="240"/>
      <w:jc w:val="both"/>
    </w:pPr>
    <w:rPr>
      <w:rFonts w:ascii="Calibri" w:hAnsi="Calibri" w:eastAsia="Calibri" w:cs="Times New Roman"/>
      <w:sz w:val="22"/>
      <w:szCs w:val="22"/>
      <w:lang w:val="ru-RU" w:eastAsia="en-US" w:bidi="ar-SA"/>
    </w:rPr>
  </w:style>
  <w:style w:type="paragraph" w:customStyle="1" w:styleId="30">
    <w:name w:val="列出段落2"/>
    <w:basedOn w:val="1"/>
    <w:qFormat/>
    <w:uiPriority w:val="0"/>
    <w:pPr>
      <w:ind w:firstLine="420" w:firstLineChars="200"/>
    </w:pPr>
    <w:rPr>
      <w:rFonts w:ascii="Times New Roman" w:hAnsi="Times New Roman"/>
      <w:szCs w:val="24"/>
    </w:rPr>
  </w:style>
  <w:style w:type="paragraph" w:customStyle="1" w:styleId="31">
    <w:name w:val="标题 41"/>
    <w:basedOn w:val="1"/>
    <w:qFormat/>
    <w:uiPriority w:val="1"/>
    <w:pPr>
      <w:autoSpaceDE w:val="0"/>
      <w:autoSpaceDN w:val="0"/>
      <w:adjustRightInd w:val="0"/>
      <w:spacing w:before="26"/>
      <w:ind w:left="118"/>
      <w:jc w:val="left"/>
      <w:outlineLvl w:val="3"/>
    </w:pPr>
    <w:rPr>
      <w:rFonts w:ascii="宋体" w:hAnsi="Times New Roman" w:cs="宋体"/>
      <w:kern w:val="0"/>
      <w:sz w:val="24"/>
      <w:szCs w:val="24"/>
    </w:rPr>
  </w:style>
  <w:style w:type="paragraph" w:customStyle="1" w:styleId="32">
    <w:name w:val="列出段落1"/>
    <w:basedOn w:val="1"/>
    <w:qFormat/>
    <w:uiPriority w:val="34"/>
    <w:pPr>
      <w:ind w:firstLine="420" w:firstLineChars="200"/>
    </w:pPr>
  </w:style>
  <w:style w:type="paragraph" w:customStyle="1" w:styleId="33">
    <w:name w:val="Table Paragraph"/>
    <w:basedOn w:val="1"/>
    <w:qFormat/>
    <w:uiPriority w:val="1"/>
    <w:pPr>
      <w:autoSpaceDE w:val="0"/>
      <w:autoSpaceDN w:val="0"/>
      <w:adjustRightInd w:val="0"/>
      <w:jc w:val="left"/>
    </w:pPr>
    <w:rPr>
      <w:rFonts w:ascii="Times New Roman" w:hAnsi="Times New Roman"/>
      <w:kern w:val="0"/>
      <w:sz w:val="24"/>
      <w:szCs w:val="24"/>
    </w:rPr>
  </w:style>
  <w:style w:type="character" w:customStyle="1" w:styleId="34">
    <w:name w:val="font41"/>
    <w:basedOn w:val="18"/>
    <w:qFormat/>
    <w:uiPriority w:val="0"/>
    <w:rPr>
      <w:rFonts w:hint="default" w:ascii="Times New Roman" w:hAnsi="Times New Roman" w:cs="Times New Roman"/>
      <w:b/>
      <w:color w:val="000000"/>
      <w:sz w:val="18"/>
      <w:szCs w:val="18"/>
      <w:u w:val="none"/>
    </w:rPr>
  </w:style>
  <w:style w:type="character" w:customStyle="1" w:styleId="35">
    <w:name w:val="font171"/>
    <w:basedOn w:val="18"/>
    <w:qFormat/>
    <w:uiPriority w:val="0"/>
    <w:rPr>
      <w:rFonts w:hint="default" w:ascii="Times New Roman" w:hAnsi="Times New Roman" w:cs="Times New Roman"/>
      <w:b/>
      <w:color w:val="000000"/>
      <w:sz w:val="18"/>
      <w:szCs w:val="18"/>
      <w:u w:val="none"/>
    </w:rPr>
  </w:style>
  <w:style w:type="character" w:customStyle="1" w:styleId="36">
    <w:name w:val="h11"/>
    <w:basedOn w:val="18"/>
    <w:qFormat/>
    <w:uiPriority w:val="0"/>
    <w:rPr>
      <w:spacing w:val="400"/>
    </w:rPr>
  </w:style>
  <w:style w:type="character" w:customStyle="1" w:styleId="37">
    <w:name w:val="font131"/>
    <w:basedOn w:val="18"/>
    <w:qFormat/>
    <w:uiPriority w:val="0"/>
    <w:rPr>
      <w:rFonts w:hint="eastAsia" w:ascii="宋体" w:hAnsi="宋体" w:eastAsia="宋体" w:cs="宋体"/>
      <w:color w:val="000000"/>
      <w:sz w:val="22"/>
      <w:szCs w:val="22"/>
      <w:u w:val="none"/>
    </w:rPr>
  </w:style>
  <w:style w:type="character" w:customStyle="1" w:styleId="38">
    <w:name w:val="hover26"/>
    <w:basedOn w:val="18"/>
    <w:qFormat/>
    <w:uiPriority w:val="0"/>
  </w:style>
  <w:style w:type="character" w:customStyle="1" w:styleId="39">
    <w:name w:val="标题 1 字符"/>
    <w:link w:val="2"/>
    <w:qFormat/>
    <w:uiPriority w:val="0"/>
    <w:rPr>
      <w:b/>
      <w:bCs/>
      <w:kern w:val="44"/>
      <w:sz w:val="32"/>
      <w:szCs w:val="44"/>
    </w:rPr>
  </w:style>
  <w:style w:type="character" w:customStyle="1" w:styleId="40">
    <w:name w:val="font181"/>
    <w:basedOn w:val="18"/>
    <w:qFormat/>
    <w:uiPriority w:val="0"/>
    <w:rPr>
      <w:rFonts w:hint="default" w:ascii="Times New Roman" w:hAnsi="Times New Roman" w:cs="Times New Roman"/>
      <w:color w:val="000000"/>
      <w:sz w:val="22"/>
      <w:szCs w:val="22"/>
      <w:u w:val="none"/>
    </w:rPr>
  </w:style>
  <w:style w:type="character" w:customStyle="1" w:styleId="41">
    <w:name w:val="font191"/>
    <w:basedOn w:val="18"/>
    <w:qFormat/>
    <w:uiPriority w:val="0"/>
    <w:rPr>
      <w:rFonts w:hint="default" w:ascii="Times New Roman" w:hAnsi="Times New Roman" w:cs="Times New Roman"/>
      <w:b/>
      <w:color w:val="000000"/>
      <w:sz w:val="22"/>
      <w:szCs w:val="22"/>
      <w:u w:val="none"/>
    </w:rPr>
  </w:style>
  <w:style w:type="character" w:customStyle="1" w:styleId="42">
    <w:name w:val="font121"/>
    <w:basedOn w:val="18"/>
    <w:qFormat/>
    <w:uiPriority w:val="0"/>
    <w:rPr>
      <w:rFonts w:hint="default" w:ascii="Times New Roman" w:hAnsi="Times New Roman" w:cs="Times New Roman"/>
      <w:color w:val="000000"/>
      <w:sz w:val="18"/>
      <w:szCs w:val="18"/>
      <w:u w:val="none"/>
    </w:rPr>
  </w:style>
  <w:style w:type="character" w:customStyle="1" w:styleId="43">
    <w:name w:val="font51"/>
    <w:basedOn w:val="18"/>
    <w:qFormat/>
    <w:uiPriority w:val="0"/>
    <w:rPr>
      <w:rFonts w:hint="eastAsia" w:ascii="宋体" w:hAnsi="宋体" w:eastAsia="宋体" w:cs="宋体"/>
      <w:color w:val="000000"/>
      <w:sz w:val="16"/>
      <w:szCs w:val="16"/>
      <w:u w:val="none"/>
    </w:rPr>
  </w:style>
  <w:style w:type="character" w:customStyle="1" w:styleId="44">
    <w:name w:val="font01"/>
    <w:basedOn w:val="18"/>
    <w:qFormat/>
    <w:uiPriority w:val="0"/>
    <w:rPr>
      <w:rFonts w:hint="default" w:ascii="Times New Roman" w:hAnsi="Times New Roman" w:cs="Times New Roman"/>
      <w:b/>
      <w:color w:val="000000"/>
      <w:sz w:val="18"/>
      <w:szCs w:val="18"/>
      <w:u w:val="none"/>
      <w:vertAlign w:val="superscript"/>
    </w:rPr>
  </w:style>
  <w:style w:type="character" w:customStyle="1" w:styleId="45">
    <w:name w:val="标题1"/>
    <w:basedOn w:val="18"/>
    <w:qFormat/>
    <w:uiPriority w:val="0"/>
  </w:style>
  <w:style w:type="character" w:customStyle="1" w:styleId="46">
    <w:name w:val="bsharetext"/>
    <w:basedOn w:val="18"/>
    <w:qFormat/>
    <w:uiPriority w:val="0"/>
  </w:style>
  <w:style w:type="character" w:customStyle="1" w:styleId="47">
    <w:name w:val="font151"/>
    <w:basedOn w:val="18"/>
    <w:qFormat/>
    <w:uiPriority w:val="0"/>
    <w:rPr>
      <w:rFonts w:hint="default" w:ascii="Times New Roman" w:hAnsi="Times New Roman" w:cs="Times New Roman"/>
      <w:color w:val="000000"/>
      <w:sz w:val="16"/>
      <w:szCs w:val="16"/>
      <w:u w:val="none"/>
    </w:rPr>
  </w:style>
  <w:style w:type="character" w:customStyle="1" w:styleId="48">
    <w:name w:val="font61"/>
    <w:basedOn w:val="18"/>
    <w:qFormat/>
    <w:uiPriority w:val="0"/>
    <w:rPr>
      <w:rFonts w:hint="eastAsia" w:ascii="宋体" w:hAnsi="宋体" w:eastAsia="宋体" w:cs="宋体"/>
      <w:b/>
      <w:color w:val="000000"/>
      <w:sz w:val="18"/>
      <w:szCs w:val="18"/>
      <w:u w:val="none"/>
    </w:rPr>
  </w:style>
  <w:style w:type="character" w:customStyle="1" w:styleId="49">
    <w:name w:val="font71"/>
    <w:basedOn w:val="18"/>
    <w:qFormat/>
    <w:uiPriority w:val="0"/>
    <w:rPr>
      <w:rFonts w:hint="eastAsia" w:ascii="宋体" w:hAnsi="宋体" w:eastAsia="宋体" w:cs="宋体"/>
      <w:b/>
      <w:color w:val="000000"/>
      <w:sz w:val="22"/>
      <w:szCs w:val="22"/>
      <w:u w:val="none"/>
    </w:rPr>
  </w:style>
  <w:style w:type="character" w:customStyle="1" w:styleId="50">
    <w:name w:val="页眉 字符"/>
    <w:basedOn w:val="18"/>
    <w:link w:val="12"/>
    <w:qFormat/>
    <w:uiPriority w:val="0"/>
    <w:rPr>
      <w:rFonts w:ascii="Calibri" w:hAnsi="Calibri"/>
      <w:kern w:val="2"/>
      <w:sz w:val="18"/>
      <w:szCs w:val="18"/>
    </w:rPr>
  </w:style>
  <w:style w:type="character" w:customStyle="1" w:styleId="51">
    <w:name w:val="批注框文本 字符"/>
    <w:basedOn w:val="18"/>
    <w:link w:val="10"/>
    <w:qFormat/>
    <w:uiPriority w:val="0"/>
    <w:rPr>
      <w:rFonts w:ascii="Calibri" w:hAnsi="Calibri"/>
      <w:kern w:val="2"/>
      <w:sz w:val="18"/>
      <w:szCs w:val="18"/>
    </w:rPr>
  </w:style>
  <w:style w:type="character" w:customStyle="1" w:styleId="52">
    <w:name w:val="font21"/>
    <w:basedOn w:val="18"/>
    <w:qFormat/>
    <w:uiPriority w:val="0"/>
    <w:rPr>
      <w:rFonts w:hint="eastAsia" w:ascii="宋体" w:hAnsi="宋体" w:eastAsia="宋体" w:cs="宋体"/>
      <w:b/>
      <w:color w:val="000000"/>
      <w:sz w:val="18"/>
      <w:szCs w:val="18"/>
      <w:u w:val="none"/>
    </w:rPr>
  </w:style>
  <w:style w:type="character" w:customStyle="1" w:styleId="53">
    <w:name w:val="font31"/>
    <w:basedOn w:val="18"/>
    <w:qFormat/>
    <w:uiPriority w:val="0"/>
    <w:rPr>
      <w:rFonts w:hint="eastAsia" w:ascii="宋体" w:hAnsi="宋体" w:eastAsia="宋体" w:cs="宋体"/>
      <w:color w:val="000000"/>
      <w:sz w:val="18"/>
      <w:szCs w:val="18"/>
      <w:u w:val="none"/>
    </w:rPr>
  </w:style>
  <w:style w:type="paragraph" w:styleId="54">
    <w:name w:val="List Paragraph"/>
    <w:basedOn w:val="1"/>
    <w:qFormat/>
    <w:uiPriority w:val="1"/>
    <w:pPr>
      <w:spacing w:before="161"/>
      <w:ind w:left="960" w:firstLine="480"/>
    </w:pPr>
    <w:rPr>
      <w:rFonts w:ascii="宋体" w:hAnsi="宋体" w:cs="宋体"/>
    </w:rPr>
  </w:style>
  <w:style w:type="character" w:styleId="55">
    <w:name w:val="Placeholder Text"/>
    <w:basedOn w:val="18"/>
    <w:unhideWhenUsed/>
    <w:uiPriority w:val="99"/>
    <w:rPr>
      <w:color w:val="666666"/>
    </w:rPr>
  </w:style>
  <w:style w:type="character" w:customStyle="1" w:styleId="56">
    <w:name w:val="页脚 字符"/>
    <w:basedOn w:val="18"/>
    <w:link w:val="11"/>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emf"/><Relationship Id="rId12" Type="http://schemas.openxmlformats.org/officeDocument/2006/relationships/oleObject" Target="embeddings/Microsoft_Visio_2003-2010___1.vsd"/><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8DA00-513D-4DA7-BA7A-24E04F9D225A}">
  <ds:schemaRefs/>
</ds:datastoreItem>
</file>

<file path=docProps/app.xml><?xml version="1.0" encoding="utf-8"?>
<Properties xmlns="http://schemas.openxmlformats.org/officeDocument/2006/extended-properties" xmlns:vt="http://schemas.openxmlformats.org/officeDocument/2006/docPropsVTypes">
  <Template>Normal</Template>
  <Company>信念技术论坛</Company>
  <Pages>47</Pages>
  <Words>4570</Words>
  <Characters>26049</Characters>
  <Lines>217</Lines>
  <Paragraphs>61</Paragraphs>
  <TotalTime>2323</TotalTime>
  <ScaleCrop>false</ScaleCrop>
  <LinksUpToDate>false</LinksUpToDate>
  <CharactersWithSpaces>30558</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2023-11-07T10:44:00Z</dcterms:created>
  <dc:creator>cece</dc:creator>
  <cp:lastModifiedBy>Haibara Ai</cp:lastModifiedBy>
  <cp:lastPrinted>2023-11-28T13:01:00Z</cp:lastPrinted>
  <dcterms:modified xsi:type="dcterms:W3CDTF">2023-12-04T11:21:22Z</dcterms:modified>
  <dc:title>核技术利用建设项目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53B0155110F54ADC8BE867C908061E4A</vt:lpwstr>
  </property>
</Properties>
</file>