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outlineLvl w:val="9"/>
        <w:rPr>
          <w:color w:val="000000" w:themeColor="text1"/>
          <w14:textFill>
            <w14:solidFill>
              <w14:schemeClr w14:val="tx1"/>
            </w14:solidFill>
          </w14:textFill>
        </w:rPr>
      </w:pPr>
    </w:p>
    <w:p>
      <w:pPr>
        <w:bidi w:val="0"/>
        <w:outlineLvl w:val="9"/>
        <w:rPr>
          <w:color w:val="000000" w:themeColor="text1"/>
          <w14:textFill>
            <w14:solidFill>
              <w14:schemeClr w14:val="tx1"/>
            </w14:solidFill>
          </w14:textFill>
        </w:rPr>
      </w:pPr>
    </w:p>
    <w:p>
      <w:pPr>
        <w:bidi w:val="0"/>
        <w:outlineLvl w:val="9"/>
        <w:rPr>
          <w:color w:val="000000" w:themeColor="text1"/>
          <w14:textFill>
            <w14:solidFill>
              <w14:schemeClr w14:val="tx1"/>
            </w14:solidFill>
          </w14:textFill>
        </w:rPr>
      </w:pPr>
    </w:p>
    <w:p>
      <w:pPr>
        <w:bidi w:val="0"/>
        <w:outlineLvl w:val="9"/>
        <w:rPr>
          <w:color w:val="000000" w:themeColor="text1"/>
          <w14:textFill>
            <w14:solidFill>
              <w14:schemeClr w14:val="tx1"/>
            </w14:solidFill>
          </w14:textFill>
        </w:rPr>
      </w:pPr>
    </w:p>
    <w:p>
      <w:pPr>
        <w:bidi w:val="0"/>
        <w:outlineLvl w:val="9"/>
        <w:rPr>
          <w:rFonts w:hint="eastAsia"/>
          <w:color w:val="000000" w:themeColor="text1"/>
          <w14:textFill>
            <w14:solidFill>
              <w14:schemeClr w14:val="tx1"/>
            </w14:solidFill>
          </w14:textFill>
        </w:rPr>
      </w:pPr>
    </w:p>
    <w:p>
      <w:pPr>
        <w:bidi w:val="0"/>
        <w:ind w:left="0" w:leftChars="0" w:firstLine="0" w:firstLineChars="0"/>
        <w:jc w:val="center"/>
        <w:outlineLvl w:val="9"/>
        <w:rPr>
          <w:rFonts w:hint="eastAsia"/>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建设项目环境影响报告表</w:t>
      </w:r>
    </w:p>
    <w:p>
      <w:pPr>
        <w:bidi w:val="0"/>
        <w:jc w:val="center"/>
        <w:outlineLvl w:val="9"/>
        <w:rPr>
          <w:rFonts w:hint="eastAsia"/>
          <w:b/>
          <w:bCs/>
          <w:color w:val="000000" w:themeColor="text1"/>
          <w:sz w:val="48"/>
          <w:szCs w:val="48"/>
          <w14:textFill>
            <w14:solidFill>
              <w14:schemeClr w14:val="tx1"/>
            </w14:solidFill>
          </w14:textFill>
        </w:rPr>
      </w:pPr>
      <w:r>
        <w:rPr>
          <w:rFonts w:hint="eastAsia"/>
          <w:b/>
          <w:bCs/>
          <w:color w:val="000000" w:themeColor="text1"/>
          <w:sz w:val="48"/>
          <w:szCs w:val="48"/>
          <w14:textFill>
            <w14:solidFill>
              <w14:schemeClr w14:val="tx1"/>
            </w14:solidFill>
          </w14:textFill>
        </w:rPr>
        <w:t>（污染影响类）</w:t>
      </w:r>
    </w:p>
    <w:p>
      <w:pPr>
        <w:bidi w:val="0"/>
        <w:outlineLvl w:val="9"/>
        <w:rPr>
          <w:color w:val="000000" w:themeColor="text1"/>
          <w14:textFill>
            <w14:solidFill>
              <w14:schemeClr w14:val="tx1"/>
            </w14:solidFill>
          </w14:textFill>
        </w:rPr>
      </w:pPr>
    </w:p>
    <w:p>
      <w:pPr>
        <w:bidi w:val="0"/>
        <w:outlineLvl w:val="9"/>
        <w:rPr>
          <w:color w:val="000000" w:themeColor="text1"/>
          <w14:textFill>
            <w14:solidFill>
              <w14:schemeClr w14:val="tx1"/>
            </w14:solidFill>
          </w14:textFill>
        </w:rPr>
      </w:pPr>
    </w:p>
    <w:p>
      <w:pPr>
        <w:bidi w:val="0"/>
        <w:outlineLvl w:val="9"/>
        <w:rPr>
          <w:color w:val="000000" w:themeColor="text1"/>
          <w14:textFill>
            <w14:solidFill>
              <w14:schemeClr w14:val="tx1"/>
            </w14:solidFill>
          </w14:textFill>
        </w:rPr>
      </w:pPr>
    </w:p>
    <w:p>
      <w:pPr>
        <w:bidi w:val="0"/>
        <w:outlineLvl w:val="9"/>
        <w:rPr>
          <w:i w:val="0"/>
          <w:iCs w:val="0"/>
          <w:color w:val="000000" w:themeColor="text1"/>
          <w:sz w:val="36"/>
          <w:szCs w:val="36"/>
          <w:u w:val="single"/>
          <w14:textFill>
            <w14:solidFill>
              <w14:schemeClr w14:val="tx1"/>
            </w14:solidFill>
          </w14:textFill>
        </w:rPr>
      </w:pPr>
    </w:p>
    <w:p>
      <w:pPr>
        <w:bidi w:val="0"/>
        <w:ind w:left="0" w:leftChars="0" w:firstLine="0" w:firstLineChars="0"/>
        <w:outlineLvl w:val="9"/>
        <w:rPr>
          <w:rFonts w:hint="eastAsia" w:cs="Times New Roman"/>
          <w:i w:val="0"/>
          <w:iCs w:val="0"/>
          <w:color w:val="000000" w:themeColor="text1"/>
          <w:sz w:val="36"/>
          <w:szCs w:val="36"/>
          <w:u w:val="single"/>
          <w:lang w:val="en-US" w:eastAsia="zh-CN"/>
          <w14:textFill>
            <w14:solidFill>
              <w14:schemeClr w14:val="tx1"/>
            </w14:solidFill>
          </w14:textFill>
        </w:rPr>
      </w:pPr>
      <w:r>
        <w:rPr>
          <w:rFonts w:hint="eastAsia"/>
          <w:i w:val="0"/>
          <w:iCs w:val="0"/>
          <w:color w:val="000000" w:themeColor="text1"/>
          <w:sz w:val="36"/>
          <w:szCs w:val="36"/>
          <w:u w:val="none"/>
          <w14:textFill>
            <w14:solidFill>
              <w14:schemeClr w14:val="tx1"/>
            </w14:solidFill>
          </w14:textFill>
        </w:rPr>
        <w:t>项目名称：</w:t>
      </w:r>
      <w:r>
        <w:rPr>
          <w:rFonts w:hint="eastAsia"/>
          <w:i w:val="0"/>
          <w:iCs w:val="0"/>
          <w:color w:val="000000" w:themeColor="text1"/>
          <w:sz w:val="36"/>
          <w:szCs w:val="36"/>
          <w:u w:val="single"/>
          <w14:textFill>
            <w14:solidFill>
              <w14:schemeClr w14:val="tx1"/>
            </w14:solidFill>
          </w14:textFill>
        </w:rPr>
        <w:t xml:space="preserve"> </w:t>
      </w:r>
      <w:r>
        <w:rPr>
          <w:rFonts w:hint="eastAsia" w:ascii="Times New Roman" w:hAnsi="Times New Roman" w:eastAsia="宋体" w:cs="Times New Roman"/>
          <w:i w:val="0"/>
          <w:iCs w:val="0"/>
          <w:color w:val="000000" w:themeColor="text1"/>
          <w:sz w:val="36"/>
          <w:szCs w:val="36"/>
          <w:u w:val="single"/>
          <w:lang w:val="en-US" w:eastAsia="zh-CN"/>
          <w14:textFill>
            <w14:solidFill>
              <w14:schemeClr w14:val="tx1"/>
            </w14:solidFill>
          </w14:textFill>
        </w:rPr>
        <w:t xml:space="preserve"> </w:t>
      </w:r>
      <w:r>
        <w:rPr>
          <w:rFonts w:hint="eastAsia" w:cs="Times New Roman"/>
          <w:i w:val="0"/>
          <w:iCs w:val="0"/>
          <w:color w:val="000000" w:themeColor="text1"/>
          <w:sz w:val="36"/>
          <w:szCs w:val="36"/>
          <w:u w:val="single"/>
          <w:lang w:val="en-US" w:eastAsia="zh-CN"/>
          <w14:textFill>
            <w14:solidFill>
              <w14:schemeClr w14:val="tx1"/>
            </w14:solidFill>
          </w14:textFill>
        </w:rPr>
        <w:t xml:space="preserve"> </w:t>
      </w:r>
      <w:bookmarkStart w:id="9" w:name="_GoBack"/>
      <w:r>
        <w:rPr>
          <w:rFonts w:hint="eastAsia" w:cs="Times New Roman"/>
          <w:i w:val="0"/>
          <w:iCs w:val="0"/>
          <w:color w:val="000000" w:themeColor="text1"/>
          <w:sz w:val="36"/>
          <w:szCs w:val="36"/>
          <w:u w:val="single"/>
          <w:lang w:val="en-US" w:eastAsia="zh-CN"/>
          <w14:textFill>
            <w14:solidFill>
              <w14:schemeClr w14:val="tx1"/>
            </w14:solidFill>
          </w14:textFill>
        </w:rPr>
        <w:t>吉木萨尔县老台乡人民政府老台乡玉米烘</w:t>
      </w:r>
    </w:p>
    <w:p>
      <w:pPr>
        <w:bidi w:val="0"/>
        <w:ind w:left="0" w:leftChars="0" w:firstLine="0" w:firstLineChars="0"/>
        <w:outlineLvl w:val="9"/>
        <w:rPr>
          <w:rFonts w:hint="default" w:eastAsia="宋体"/>
          <w:i w:val="0"/>
          <w:iCs w:val="0"/>
          <w:color w:val="000000" w:themeColor="text1"/>
          <w:sz w:val="36"/>
          <w:szCs w:val="36"/>
          <w:u w:val="single"/>
          <w:lang w:val="en-US" w:eastAsia="zh-CN"/>
          <w14:textFill>
            <w14:solidFill>
              <w14:schemeClr w14:val="tx1"/>
            </w14:solidFill>
          </w14:textFill>
        </w:rPr>
      </w:pPr>
      <w:r>
        <w:rPr>
          <w:rFonts w:hint="eastAsia" w:cs="Times New Roman"/>
          <w:i w:val="0"/>
          <w:iCs w:val="0"/>
          <w:color w:val="000000" w:themeColor="text1"/>
          <w:sz w:val="36"/>
          <w:szCs w:val="36"/>
          <w:u w:val="none"/>
          <w:lang w:val="en-US" w:eastAsia="zh-CN"/>
          <w14:textFill>
            <w14:solidFill>
              <w14:schemeClr w14:val="tx1"/>
            </w14:solidFill>
          </w14:textFill>
        </w:rPr>
        <w:t xml:space="preserve">         </w:t>
      </w:r>
      <w:r>
        <w:rPr>
          <w:rFonts w:hint="eastAsia" w:cs="Times New Roman"/>
          <w:i w:val="0"/>
          <w:iCs w:val="0"/>
          <w:color w:val="000000" w:themeColor="text1"/>
          <w:sz w:val="36"/>
          <w:szCs w:val="36"/>
          <w:u w:val="single"/>
          <w:lang w:val="en-US" w:eastAsia="zh-CN"/>
          <w14:textFill>
            <w14:solidFill>
              <w14:schemeClr w14:val="tx1"/>
            </w14:solidFill>
          </w14:textFill>
        </w:rPr>
        <w:t xml:space="preserve">  干厂建设项目  </w:t>
      </w:r>
      <w:bookmarkEnd w:id="9"/>
      <w:r>
        <w:rPr>
          <w:rFonts w:hint="eastAsia" w:cs="Times New Roman"/>
          <w:i w:val="0"/>
          <w:iCs w:val="0"/>
          <w:color w:val="000000" w:themeColor="text1"/>
          <w:sz w:val="36"/>
          <w:szCs w:val="36"/>
          <w:u w:val="single"/>
          <w:lang w:val="en-US" w:eastAsia="zh-CN"/>
          <w14:textFill>
            <w14:solidFill>
              <w14:schemeClr w14:val="tx1"/>
            </w14:solidFill>
          </w14:textFill>
        </w:rPr>
        <w:t xml:space="preserve">                        </w:t>
      </w:r>
    </w:p>
    <w:p>
      <w:pPr>
        <w:bidi w:val="0"/>
        <w:ind w:left="0" w:leftChars="0" w:firstLine="0" w:firstLineChars="0"/>
        <w:outlineLvl w:val="9"/>
        <w:rPr>
          <w:rFonts w:hint="default" w:eastAsia="宋体"/>
          <w:i w:val="0"/>
          <w:iCs w:val="0"/>
          <w:color w:val="000000" w:themeColor="text1"/>
          <w:sz w:val="36"/>
          <w:szCs w:val="36"/>
          <w:u w:val="single"/>
          <w:lang w:val="en-US" w:eastAsia="zh-CN"/>
          <w14:textFill>
            <w14:solidFill>
              <w14:schemeClr w14:val="tx1"/>
            </w14:solidFill>
          </w14:textFill>
        </w:rPr>
      </w:pPr>
      <w:r>
        <w:rPr>
          <w:rFonts w:hint="eastAsia"/>
          <w:i w:val="0"/>
          <w:iCs w:val="0"/>
          <w:color w:val="000000" w:themeColor="text1"/>
          <w:sz w:val="36"/>
          <w:szCs w:val="36"/>
          <w:u w:val="none"/>
          <w14:textFill>
            <w14:solidFill>
              <w14:schemeClr w14:val="tx1"/>
            </w14:solidFill>
          </w14:textFill>
        </w:rPr>
        <w:t>建设单位（盖章）：</w:t>
      </w:r>
      <w:r>
        <w:rPr>
          <w:rFonts w:hint="eastAsia"/>
          <w:i w:val="0"/>
          <w:iCs w:val="0"/>
          <w:color w:val="000000" w:themeColor="text1"/>
          <w:sz w:val="36"/>
          <w:szCs w:val="36"/>
          <w:u w:val="single"/>
          <w14:textFill>
            <w14:solidFill>
              <w14:schemeClr w14:val="tx1"/>
            </w14:solidFill>
          </w14:textFill>
        </w:rPr>
        <w:t xml:space="preserve"> </w:t>
      </w:r>
      <w:r>
        <w:rPr>
          <w:rFonts w:hint="eastAsia"/>
          <w:i w:val="0"/>
          <w:iCs w:val="0"/>
          <w:color w:val="000000" w:themeColor="text1"/>
          <w:sz w:val="36"/>
          <w:szCs w:val="36"/>
          <w:u w:val="single"/>
          <w:lang w:val="en-US" w:eastAsia="zh-CN"/>
          <w14:textFill>
            <w14:solidFill>
              <w14:schemeClr w14:val="tx1"/>
            </w14:solidFill>
          </w14:textFill>
        </w:rPr>
        <w:t xml:space="preserve">  </w:t>
      </w:r>
      <w:r>
        <w:rPr>
          <w:rFonts w:hint="eastAsia" w:cs="Times New Roman"/>
          <w:i w:val="0"/>
          <w:iCs w:val="0"/>
          <w:color w:val="000000" w:themeColor="text1"/>
          <w:sz w:val="36"/>
          <w:szCs w:val="36"/>
          <w:u w:val="single"/>
          <w:lang w:eastAsia="zh-CN"/>
          <w14:textFill>
            <w14:solidFill>
              <w14:schemeClr w14:val="tx1"/>
            </w14:solidFill>
          </w14:textFill>
        </w:rPr>
        <w:t>吉木萨尔县老台乡人民政府</w:t>
      </w:r>
      <w:r>
        <w:rPr>
          <w:rFonts w:hint="eastAsia" w:cs="Times New Roman"/>
          <w:i w:val="0"/>
          <w:iCs w:val="0"/>
          <w:color w:val="000000" w:themeColor="text1"/>
          <w:sz w:val="36"/>
          <w:szCs w:val="36"/>
          <w:u w:val="single"/>
          <w:lang w:val="en-US" w:eastAsia="zh-CN"/>
          <w14:textFill>
            <w14:solidFill>
              <w14:schemeClr w14:val="tx1"/>
            </w14:solidFill>
          </w14:textFill>
        </w:rPr>
        <w:t xml:space="preserve">    </w:t>
      </w:r>
    </w:p>
    <w:p>
      <w:pPr>
        <w:bidi w:val="0"/>
        <w:ind w:left="0" w:leftChars="0" w:firstLine="0" w:firstLineChars="0"/>
        <w:outlineLvl w:val="9"/>
        <w:rPr>
          <w:rFonts w:hint="default" w:eastAsia="宋体"/>
          <w:i w:val="0"/>
          <w:iCs w:val="0"/>
          <w:color w:val="000000" w:themeColor="text1"/>
          <w:sz w:val="36"/>
          <w:szCs w:val="36"/>
          <w:u w:val="single"/>
          <w:lang w:val="en-US" w:eastAsia="zh-CN"/>
          <w14:textFill>
            <w14:solidFill>
              <w14:schemeClr w14:val="tx1"/>
            </w14:solidFill>
          </w14:textFill>
        </w:rPr>
      </w:pPr>
      <w:r>
        <w:rPr>
          <w:rFonts w:hint="eastAsia"/>
          <w:i w:val="0"/>
          <w:iCs w:val="0"/>
          <w:color w:val="000000" w:themeColor="text1"/>
          <w:sz w:val="36"/>
          <w:szCs w:val="36"/>
          <w:u w:val="none"/>
          <w14:textFill>
            <w14:solidFill>
              <w14:schemeClr w14:val="tx1"/>
            </w14:solidFill>
          </w14:textFill>
        </w:rPr>
        <w:t>编制日期：</w:t>
      </w:r>
      <w:r>
        <w:rPr>
          <w:i w:val="0"/>
          <w:iCs w:val="0"/>
          <w:color w:val="000000" w:themeColor="text1"/>
          <w:sz w:val="36"/>
          <w:szCs w:val="36"/>
          <w:u w:val="single"/>
          <w14:textFill>
            <w14:solidFill>
              <w14:schemeClr w14:val="tx1"/>
            </w14:solidFill>
          </w14:textFill>
        </w:rPr>
        <w:t xml:space="preserve">         </w:t>
      </w:r>
      <w:r>
        <w:rPr>
          <w:rFonts w:hint="eastAsia"/>
          <w:i w:val="0"/>
          <w:iCs w:val="0"/>
          <w:color w:val="000000" w:themeColor="text1"/>
          <w:sz w:val="36"/>
          <w:szCs w:val="36"/>
          <w:u w:val="single"/>
          <w:lang w:val="en-US" w:eastAsia="zh-CN"/>
          <w14:textFill>
            <w14:solidFill>
              <w14:schemeClr w14:val="tx1"/>
            </w14:solidFill>
          </w14:textFill>
        </w:rPr>
        <w:t xml:space="preserve"> </w:t>
      </w:r>
      <w:r>
        <w:rPr>
          <w:rFonts w:hint="eastAsia"/>
          <w:i w:val="0"/>
          <w:iCs w:val="0"/>
          <w:color w:val="000000" w:themeColor="text1"/>
          <w:sz w:val="36"/>
          <w:szCs w:val="36"/>
          <w:u w:val="single"/>
          <w14:textFill>
            <w14:solidFill>
              <w14:schemeClr w14:val="tx1"/>
            </w14:solidFill>
          </w14:textFill>
        </w:rPr>
        <w:t xml:space="preserve"> </w:t>
      </w:r>
      <w:r>
        <w:rPr>
          <w:rFonts w:hint="eastAsia"/>
          <w:i w:val="0"/>
          <w:iCs w:val="0"/>
          <w:color w:val="000000" w:themeColor="text1"/>
          <w:sz w:val="36"/>
          <w:szCs w:val="36"/>
          <w:u w:val="single"/>
          <w:lang w:val="en-US" w:eastAsia="zh-CN"/>
          <w14:textFill>
            <w14:solidFill>
              <w14:schemeClr w14:val="tx1"/>
            </w14:solidFill>
          </w14:textFill>
        </w:rPr>
        <w:t xml:space="preserve"> </w:t>
      </w:r>
      <w:r>
        <w:rPr>
          <w:rFonts w:hint="eastAsia"/>
          <w:i w:val="0"/>
          <w:iCs w:val="0"/>
          <w:color w:val="000000" w:themeColor="text1"/>
          <w:sz w:val="36"/>
          <w:szCs w:val="36"/>
          <w:u w:val="single"/>
          <w14:textFill>
            <w14:solidFill>
              <w14:schemeClr w14:val="tx1"/>
            </w14:solidFill>
          </w14:textFill>
        </w:rPr>
        <w:t xml:space="preserve"> </w:t>
      </w:r>
      <w:r>
        <w:rPr>
          <w:rFonts w:hint="eastAsia"/>
          <w:i w:val="0"/>
          <w:iCs w:val="0"/>
          <w:color w:val="000000" w:themeColor="text1"/>
          <w:sz w:val="36"/>
          <w:szCs w:val="36"/>
          <w:u w:val="single"/>
          <w:lang w:val="en-US" w:eastAsia="zh-CN"/>
          <w14:textFill>
            <w14:solidFill>
              <w14:schemeClr w14:val="tx1"/>
            </w14:solidFill>
          </w14:textFill>
        </w:rPr>
        <w:t>2023年8月</w:t>
      </w:r>
      <w:r>
        <w:rPr>
          <w:i w:val="0"/>
          <w:iCs w:val="0"/>
          <w:color w:val="000000" w:themeColor="text1"/>
          <w:sz w:val="36"/>
          <w:szCs w:val="36"/>
          <w:u w:val="single"/>
          <w14:textFill>
            <w14:solidFill>
              <w14:schemeClr w14:val="tx1"/>
            </w14:solidFill>
          </w14:textFill>
        </w:rPr>
        <w:t xml:space="preserve">    </w:t>
      </w:r>
      <w:r>
        <w:rPr>
          <w:rFonts w:hint="eastAsia"/>
          <w:i w:val="0"/>
          <w:iCs w:val="0"/>
          <w:color w:val="000000" w:themeColor="text1"/>
          <w:sz w:val="36"/>
          <w:szCs w:val="36"/>
          <w:u w:val="single"/>
          <w:lang w:val="en-US" w:eastAsia="zh-CN"/>
          <w14:textFill>
            <w14:solidFill>
              <w14:schemeClr w14:val="tx1"/>
            </w14:solidFill>
          </w14:textFill>
        </w:rPr>
        <w:t xml:space="preserve">    </w:t>
      </w:r>
      <w:r>
        <w:rPr>
          <w:i w:val="0"/>
          <w:iCs w:val="0"/>
          <w:color w:val="000000" w:themeColor="text1"/>
          <w:sz w:val="36"/>
          <w:szCs w:val="36"/>
          <w:u w:val="single"/>
          <w14:textFill>
            <w14:solidFill>
              <w14:schemeClr w14:val="tx1"/>
            </w14:solidFill>
          </w14:textFill>
        </w:rPr>
        <w:t xml:space="preserve">     </w:t>
      </w:r>
      <w:r>
        <w:rPr>
          <w:rFonts w:hint="eastAsia"/>
          <w:i w:val="0"/>
          <w:iCs w:val="0"/>
          <w:color w:val="000000" w:themeColor="text1"/>
          <w:sz w:val="36"/>
          <w:szCs w:val="36"/>
          <w:u w:val="single"/>
          <w:lang w:val="en-US" w:eastAsia="zh-CN"/>
          <w14:textFill>
            <w14:solidFill>
              <w14:schemeClr w14:val="tx1"/>
            </w14:solidFill>
          </w14:textFill>
        </w:rPr>
        <w:t xml:space="preserve">    </w:t>
      </w:r>
    </w:p>
    <w:p>
      <w:pPr>
        <w:bidi w:val="0"/>
        <w:outlineLvl w:val="9"/>
        <w:rPr>
          <w:color w:val="000000" w:themeColor="text1"/>
          <w14:textFill>
            <w14:solidFill>
              <w14:schemeClr w14:val="tx1"/>
            </w14:solidFill>
          </w14:textFill>
        </w:rPr>
      </w:pPr>
      <w:bookmarkStart w:id="0" w:name="_Hlk57884087"/>
    </w:p>
    <w:p>
      <w:pPr>
        <w:bidi w:val="0"/>
        <w:outlineLvl w:val="9"/>
        <w:rPr>
          <w:color w:val="000000" w:themeColor="text1"/>
          <w14:textFill>
            <w14:solidFill>
              <w14:schemeClr w14:val="tx1"/>
            </w14:solidFill>
          </w14:textFill>
        </w:rPr>
      </w:pPr>
    </w:p>
    <w:p>
      <w:pPr>
        <w:bidi w:val="0"/>
        <w:outlineLvl w:val="9"/>
        <w:rPr>
          <w:rFonts w:hint="eastAsia"/>
          <w:color w:val="000000" w:themeColor="text1"/>
          <w14:textFill>
            <w14:solidFill>
              <w14:schemeClr w14:val="tx1"/>
            </w14:solidFill>
          </w14:textFill>
        </w:rPr>
      </w:pPr>
    </w:p>
    <w:p>
      <w:pPr>
        <w:bidi w:val="0"/>
        <w:outlineLvl w:val="9"/>
        <w:rPr>
          <w:rFonts w:hint="eastAsia"/>
          <w:color w:val="000000" w:themeColor="text1"/>
          <w14:textFill>
            <w14:solidFill>
              <w14:schemeClr w14:val="tx1"/>
            </w14:solidFill>
          </w14:textFill>
        </w:rPr>
      </w:pPr>
    </w:p>
    <w:p>
      <w:pPr>
        <w:bidi w:val="0"/>
        <w:outlineLvl w:val="9"/>
        <w:rPr>
          <w:rFonts w:hint="eastAsia"/>
          <w:color w:val="000000" w:themeColor="text1"/>
          <w14:textFill>
            <w14:solidFill>
              <w14:schemeClr w14:val="tx1"/>
            </w14:solidFill>
          </w14:textFill>
        </w:rPr>
      </w:pPr>
    </w:p>
    <w:p>
      <w:pPr>
        <w:bidi w:val="0"/>
        <w:outlineLvl w:val="9"/>
        <w:rPr>
          <w:rFonts w:hint="eastAsia"/>
          <w:color w:val="000000" w:themeColor="text1"/>
          <w14:textFill>
            <w14:solidFill>
              <w14:schemeClr w14:val="tx1"/>
            </w14:solidFill>
          </w14:textFill>
        </w:rPr>
      </w:pPr>
    </w:p>
    <w:bookmarkEnd w:id="0"/>
    <w:p>
      <w:pPr>
        <w:bidi w:val="0"/>
        <w:jc w:val="center"/>
        <w:outlineLvl w:val="9"/>
        <w:rPr>
          <w:rFonts w:hint="eastAsia"/>
          <w:color w:val="000000" w:themeColor="text1"/>
          <w14:textFill>
            <w14:solidFill>
              <w14:schemeClr w14:val="tx1"/>
            </w14:solidFill>
          </w14:textFill>
        </w:rPr>
      </w:pPr>
      <w:r>
        <w:rPr>
          <w:rFonts w:hint="eastAsia"/>
          <w:color w:val="000000" w:themeColor="text1"/>
          <w:sz w:val="36"/>
          <w:szCs w:val="36"/>
          <w14:textFill>
            <w14:solidFill>
              <w14:schemeClr w14:val="tx1"/>
            </w14:solidFill>
          </w14:textFill>
        </w:rPr>
        <w:t>中华人民共和国生态环境部制</w:t>
      </w: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
        <w:bidi w:val="0"/>
        <w:outlineLvl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一、建设项目基本情况</w:t>
      </w:r>
    </w:p>
    <w:tbl>
      <w:tblPr>
        <w:tblStyle w:val="10"/>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278"/>
        <w:gridCol w:w="1960"/>
        <w:gridCol w:w="2134"/>
        <w:gridCol w:w="2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w:t>
            </w:r>
          </w:p>
        </w:tc>
        <w:tc>
          <w:tcPr>
            <w:tcW w:w="7076" w:type="dxa"/>
            <w:gridSpan w:val="3"/>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吉木萨尔县老台乡人民政府老台乡玉米烘干厂建设项目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项目代码</w:t>
            </w:r>
          </w:p>
        </w:tc>
        <w:tc>
          <w:tcPr>
            <w:tcW w:w="7076" w:type="dxa"/>
            <w:gridSpan w:val="3"/>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2208-652327-19-01-729940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建设单位联系人</w:t>
            </w:r>
          </w:p>
        </w:tc>
        <w:tc>
          <w:tcPr>
            <w:tcW w:w="196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c>
          <w:tcPr>
            <w:tcW w:w="213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联系方式</w:t>
            </w:r>
          </w:p>
        </w:tc>
        <w:tc>
          <w:tcPr>
            <w:tcW w:w="2982"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tc>
        <w:tc>
          <w:tcPr>
            <w:tcW w:w="7076" w:type="dxa"/>
            <w:gridSpan w:val="3"/>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吉木萨尔县老台乡西地中沟村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地理坐标</w:t>
            </w:r>
          </w:p>
        </w:tc>
        <w:tc>
          <w:tcPr>
            <w:tcW w:w="7076" w:type="dxa"/>
            <w:gridSpan w:val="3"/>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N</w:t>
            </w:r>
            <w:r>
              <w:rPr>
                <w:rFonts w:hint="eastAsia" w:cs="Times New Roman"/>
                <w:color w:val="000000" w:themeColor="text1"/>
                <w:lang w:val="en-US" w:eastAsia="zh-CN"/>
                <w14:textFill>
                  <w14:solidFill>
                    <w14:schemeClr w14:val="tx1"/>
                  </w14:solidFill>
                </w14:textFill>
              </w:rPr>
              <w:t>44°11'5.891"</w:t>
            </w:r>
            <w:r>
              <w:rPr>
                <w:rFonts w:hint="eastAsia" w:ascii="Times New Roman" w:hAnsi="Times New Roman" w:cs="Times New Roman"/>
                <w:color w:val="000000" w:themeColor="text1"/>
                <w:lang w:val="en-US" w:eastAsia="zh-CN"/>
                <w14:textFill>
                  <w14:solidFill>
                    <w14:schemeClr w14:val="tx1"/>
                  </w14:solidFill>
                </w14:textFill>
              </w:rPr>
              <w:t>、E</w:t>
            </w:r>
            <w:r>
              <w:rPr>
                <w:rFonts w:hint="eastAsia" w:cs="Times New Roman"/>
                <w:color w:val="000000" w:themeColor="text1"/>
                <w:lang w:val="en-US" w:eastAsia="zh-CN"/>
                <w14:textFill>
                  <w14:solidFill>
                    <w14:schemeClr w14:val="tx1"/>
                  </w14:solidFill>
                </w14:textFill>
              </w:rPr>
              <w:t>88°49'13.022"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278" w:type="dxa"/>
            <w:tcBorders>
              <w:tl2br w:val="nil"/>
              <w:tr2bl w:val="nil"/>
            </w:tcBorders>
            <w:noWrap w:val="0"/>
            <w:tcMar>
              <w:top w:w="16" w:type="dxa"/>
              <w:left w:w="16" w:type="dxa"/>
              <w:right w:w="16" w:type="dxa"/>
            </w:tcMar>
            <w:vAlign w:val="center"/>
          </w:tcPr>
          <w:p>
            <w:pPr>
              <w:pStyle w:val="14"/>
              <w:bidi w:val="0"/>
              <w:rPr>
                <w:rFonts w:hint="eastAsia"/>
                <w:color w:val="0000FF"/>
              </w:rPr>
            </w:pPr>
            <w:r>
              <w:rPr>
                <w:rFonts w:hint="eastAsia"/>
                <w:color w:val="0000FF"/>
              </w:rPr>
              <w:t>国民经济</w:t>
            </w:r>
          </w:p>
          <w:p>
            <w:pPr>
              <w:pStyle w:val="14"/>
              <w:bidi w:val="0"/>
              <w:rPr>
                <w:color w:val="0000FF"/>
              </w:rPr>
            </w:pPr>
            <w:r>
              <w:rPr>
                <w:rFonts w:hint="eastAsia"/>
                <w:color w:val="0000FF"/>
              </w:rPr>
              <w:t>行业类别</w:t>
            </w:r>
          </w:p>
        </w:tc>
        <w:tc>
          <w:tcPr>
            <w:tcW w:w="1960" w:type="dxa"/>
            <w:tcBorders>
              <w:tl2br w:val="nil"/>
              <w:tr2bl w:val="nil"/>
            </w:tcBorders>
            <w:noWrap w:val="0"/>
            <w:vAlign w:val="center"/>
          </w:tcPr>
          <w:p>
            <w:pPr>
              <w:pStyle w:val="14"/>
              <w:bidi w:val="0"/>
              <w:rPr>
                <w:rFonts w:hint="eastAsia"/>
                <w:color w:val="0000FF"/>
                <w:sz w:val="24"/>
                <w:szCs w:val="24"/>
                <w:lang w:val="en-US" w:eastAsia="zh-CN"/>
              </w:rPr>
            </w:pPr>
            <w:r>
              <w:rPr>
                <w:rFonts w:hint="eastAsia"/>
                <w:color w:val="0000FF"/>
                <w:sz w:val="24"/>
                <w:szCs w:val="24"/>
                <w:lang w:val="en-US" w:eastAsia="zh-CN"/>
              </w:rPr>
              <w:t>农产品初加工活动A0514</w:t>
            </w:r>
          </w:p>
          <w:p>
            <w:pPr>
              <w:pStyle w:val="14"/>
              <w:bidi w:val="0"/>
              <w:rPr>
                <w:rFonts w:hint="default"/>
                <w:color w:val="0000FF"/>
                <w:sz w:val="24"/>
                <w:szCs w:val="24"/>
                <w:lang w:val="en-US" w:eastAsia="zh-CN"/>
              </w:rPr>
            </w:pPr>
            <w:r>
              <w:rPr>
                <w:rFonts w:hint="eastAsia"/>
                <w:color w:val="0000FF"/>
                <w:sz w:val="24"/>
                <w:szCs w:val="24"/>
                <w:lang w:val="en-US" w:eastAsia="zh-CN"/>
              </w:rPr>
              <w:t>热力生产和供应D4430</w:t>
            </w:r>
          </w:p>
        </w:tc>
        <w:tc>
          <w:tcPr>
            <w:tcW w:w="2134" w:type="dxa"/>
            <w:tcBorders>
              <w:tl2br w:val="nil"/>
              <w:tr2bl w:val="nil"/>
            </w:tcBorders>
            <w:noWrap w:val="0"/>
            <w:vAlign w:val="center"/>
          </w:tcPr>
          <w:p>
            <w:pPr>
              <w:pStyle w:val="14"/>
              <w:bidi w:val="0"/>
              <w:rPr>
                <w:color w:val="0000FF"/>
              </w:rPr>
            </w:pPr>
            <w:bookmarkStart w:id="1" w:name="_Hlk49843745"/>
            <w:r>
              <w:rPr>
                <w:rFonts w:hint="eastAsia"/>
                <w:color w:val="0000FF"/>
              </w:rPr>
              <w:t>建设项目</w:t>
            </w:r>
          </w:p>
          <w:p>
            <w:pPr>
              <w:pStyle w:val="14"/>
              <w:bidi w:val="0"/>
              <w:rPr>
                <w:color w:val="0000FF"/>
              </w:rPr>
            </w:pPr>
            <w:r>
              <w:rPr>
                <w:rFonts w:hint="eastAsia"/>
                <w:color w:val="0000FF"/>
              </w:rPr>
              <w:t>行业类别</w:t>
            </w:r>
            <w:bookmarkEnd w:id="1"/>
          </w:p>
        </w:tc>
        <w:tc>
          <w:tcPr>
            <w:tcW w:w="2982" w:type="dxa"/>
            <w:tcBorders>
              <w:tl2br w:val="nil"/>
              <w:tr2bl w:val="nil"/>
            </w:tcBorders>
            <w:noWrap w:val="0"/>
            <w:vAlign w:val="center"/>
          </w:tcPr>
          <w:p>
            <w:pPr>
              <w:pStyle w:val="14"/>
              <w:bidi w:val="0"/>
              <w:rPr>
                <w:rFonts w:hint="eastAsia" w:ascii="Times New Roman" w:hAnsi="Times New Roman" w:cs="Times New Roman"/>
                <w:color w:val="0000FF"/>
                <w:sz w:val="24"/>
                <w:szCs w:val="24"/>
                <w:lang w:val="en-US" w:eastAsia="zh-CN"/>
              </w:rPr>
            </w:pPr>
            <w:r>
              <w:rPr>
                <w:rFonts w:hint="eastAsia" w:ascii="Times New Roman" w:hAnsi="Times New Roman" w:cs="Times New Roman"/>
                <w:color w:val="0000FF"/>
                <w:sz w:val="24"/>
                <w:szCs w:val="24"/>
                <w:lang w:val="en-US" w:eastAsia="zh-CN"/>
              </w:rPr>
              <w:t>“</w:t>
            </w:r>
            <w:r>
              <w:rPr>
                <w:rFonts w:hint="eastAsia" w:cs="Times New Roman"/>
                <w:color w:val="0000FF"/>
                <w:sz w:val="24"/>
                <w:szCs w:val="24"/>
                <w:lang w:val="en-US" w:eastAsia="zh-CN"/>
              </w:rPr>
              <w:t>十</w:t>
            </w:r>
            <w:r>
              <w:rPr>
                <w:rFonts w:hint="eastAsia" w:ascii="Times New Roman" w:hAnsi="Times New Roman" w:cs="Times New Roman"/>
                <w:color w:val="0000FF"/>
                <w:sz w:val="24"/>
                <w:szCs w:val="24"/>
                <w:lang w:val="en-US" w:eastAsia="zh-CN"/>
              </w:rPr>
              <w:t>、</w:t>
            </w:r>
            <w:r>
              <w:rPr>
                <w:rFonts w:hint="eastAsia" w:cs="Times New Roman"/>
                <w:color w:val="0000FF"/>
                <w:sz w:val="24"/>
                <w:szCs w:val="24"/>
                <w:lang w:val="en-US" w:eastAsia="zh-CN"/>
              </w:rPr>
              <w:t>农副食品加工业 12</w:t>
            </w:r>
            <w:r>
              <w:rPr>
                <w:rFonts w:hint="eastAsia" w:ascii="Times New Roman" w:hAnsi="Times New Roman" w:cs="Times New Roman"/>
                <w:color w:val="0000FF"/>
                <w:sz w:val="24"/>
                <w:szCs w:val="24"/>
                <w:lang w:val="en-US" w:eastAsia="zh-CN"/>
              </w:rPr>
              <w:t>”中“</w:t>
            </w:r>
            <w:r>
              <w:rPr>
                <w:rFonts w:hint="eastAsia" w:cs="Times New Roman"/>
                <w:color w:val="0000FF"/>
                <w:sz w:val="24"/>
                <w:szCs w:val="24"/>
                <w:lang w:val="en-US" w:eastAsia="zh-CN"/>
              </w:rPr>
              <w:t>15</w:t>
            </w:r>
            <w:r>
              <w:rPr>
                <w:rFonts w:hint="eastAsia" w:ascii="Times New Roman" w:hAnsi="Times New Roman" w:cs="Times New Roman"/>
                <w:color w:val="0000FF"/>
                <w:sz w:val="24"/>
                <w:szCs w:val="24"/>
                <w:lang w:val="en-US" w:eastAsia="zh-CN"/>
              </w:rPr>
              <w:t xml:space="preserve"> </w:t>
            </w:r>
            <w:r>
              <w:rPr>
                <w:rFonts w:hint="eastAsia" w:cs="Times New Roman"/>
                <w:color w:val="0000FF"/>
                <w:sz w:val="24"/>
                <w:szCs w:val="24"/>
                <w:lang w:val="en-US" w:eastAsia="zh-CN"/>
              </w:rPr>
              <w:t>谷物磨制131；饲料加工132</w:t>
            </w:r>
            <w:r>
              <w:rPr>
                <w:rFonts w:hint="eastAsia" w:ascii="Times New Roman" w:hAnsi="Times New Roman" w:cs="Times New Roman"/>
                <w:color w:val="0000FF"/>
                <w:sz w:val="24"/>
                <w:szCs w:val="24"/>
                <w:lang w:val="en-US" w:eastAsia="zh-CN"/>
              </w:rPr>
              <w:t>”的“含发酵工艺；年加工1万吨及以上的”</w:t>
            </w:r>
          </w:p>
          <w:p>
            <w:pPr>
              <w:pStyle w:val="14"/>
              <w:bidi w:val="0"/>
              <w:rPr>
                <w:rFonts w:hint="default" w:ascii="Times New Roman" w:hAnsi="Times New Roman" w:cs="Times New Roman"/>
                <w:color w:val="0000FF"/>
                <w:sz w:val="24"/>
                <w:szCs w:val="24"/>
                <w:lang w:val="en-US" w:eastAsia="zh-CN"/>
              </w:rPr>
            </w:pPr>
            <w:r>
              <w:rPr>
                <w:rFonts w:hint="eastAsia" w:cs="Times New Roman"/>
                <w:color w:val="0000FF"/>
                <w:sz w:val="24"/>
                <w:szCs w:val="24"/>
                <w:lang w:val="en-US" w:eastAsia="zh-CN"/>
              </w:rPr>
              <w:t>“四十一、电力、热力生产和供应业”中“91 热力生产和供应工程（包括建设单位自建自用的供热工程）”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建设性质</w:t>
            </w:r>
          </w:p>
        </w:tc>
        <w:tc>
          <w:tcPr>
            <w:tcW w:w="1960" w:type="dxa"/>
            <w:tcBorders>
              <w:tl2br w:val="nil"/>
              <w:tr2bl w:val="nil"/>
            </w:tcBorders>
            <w:noWrap w:val="0"/>
            <w:vAlign w:val="center"/>
          </w:tcPr>
          <w:p>
            <w:pPr>
              <w:pStyle w:val="14"/>
              <w:bidi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52"/>
            </w:r>
            <w:r>
              <w:rPr>
                <w:rFonts w:hint="eastAsia"/>
                <w:color w:val="000000" w:themeColor="text1"/>
                <w14:textFill>
                  <w14:solidFill>
                    <w14:schemeClr w14:val="tx1"/>
                  </w14:solidFill>
                </w14:textFill>
              </w:rPr>
              <w:t>新建（迁建）</w:t>
            </w:r>
          </w:p>
          <w:p>
            <w:pPr>
              <w:pStyle w:val="14"/>
              <w:bidi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□改建</w:t>
            </w:r>
          </w:p>
          <w:p>
            <w:pPr>
              <w:pStyle w:val="14"/>
              <w:bidi w:val="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□扩建</w:t>
            </w:r>
          </w:p>
          <w:p>
            <w:pPr>
              <w:pStyle w:val="14"/>
              <w:bidi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□技术改造</w:t>
            </w:r>
          </w:p>
        </w:tc>
        <w:tc>
          <w:tcPr>
            <w:tcW w:w="2134"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建设项目</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申报情形</w:t>
            </w:r>
          </w:p>
        </w:tc>
        <w:tc>
          <w:tcPr>
            <w:tcW w:w="2982" w:type="dxa"/>
            <w:tcBorders>
              <w:tl2br w:val="nil"/>
              <w:tr2bl w:val="nil"/>
            </w:tcBorders>
            <w:noWrap w:val="0"/>
            <w:vAlign w:val="center"/>
          </w:tcPr>
          <w:p>
            <w:pPr>
              <w:pStyle w:val="14"/>
              <w:bidi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52"/>
            </w:r>
            <w:r>
              <w:rPr>
                <w:rFonts w:hint="eastAsia"/>
                <w:color w:val="000000" w:themeColor="text1"/>
                <w14:textFill>
                  <w14:solidFill>
                    <w14:schemeClr w14:val="tx1"/>
                  </w14:solidFill>
                </w14:textFill>
              </w:rPr>
              <w:t>首次申报项目</w:t>
            </w:r>
            <w:r>
              <w:rPr>
                <w:color w:val="000000" w:themeColor="text1"/>
                <w14:textFill>
                  <w14:solidFill>
                    <w14:schemeClr w14:val="tx1"/>
                  </w14:solidFill>
                </w14:textFill>
              </w:rPr>
              <w:t xml:space="preserve"> </w:t>
            </w:r>
          </w:p>
          <w:p>
            <w:pPr>
              <w:pStyle w:val="14"/>
              <w:bidi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□不予批准后再次申报项目</w:t>
            </w:r>
          </w:p>
          <w:p>
            <w:pPr>
              <w:pStyle w:val="14"/>
              <w:bidi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超五年重新审核项目</w:t>
            </w:r>
            <w:r>
              <w:rPr>
                <w:color w:val="000000" w:themeColor="text1"/>
                <w14:textFill>
                  <w14:solidFill>
                    <w14:schemeClr w14:val="tx1"/>
                  </w14:solidFill>
                </w14:textFill>
              </w:rPr>
              <w:t xml:space="preserve">     </w:t>
            </w:r>
          </w:p>
          <w:p>
            <w:pPr>
              <w:pStyle w:val="14"/>
              <w:bidi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278" w:type="dxa"/>
            <w:tcBorders>
              <w:tl2br w:val="nil"/>
              <w:tr2bl w:val="nil"/>
            </w:tcBorders>
            <w:noWrap w:val="0"/>
            <w:tcMar>
              <w:top w:w="16" w:type="dxa"/>
              <w:left w:w="16" w:type="dxa"/>
              <w:right w:w="16"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项目审批（核准</w:t>
            </w:r>
            <w:r>
              <w:rPr>
                <w:color w:val="000000" w:themeColor="text1"/>
                <w14:textFill>
                  <w14:solidFill>
                    <w14:schemeClr w14:val="tx1"/>
                  </w14:solidFill>
                </w14:textFill>
              </w:rPr>
              <w:t>/</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备案）部门（选填）</w:t>
            </w:r>
          </w:p>
        </w:tc>
        <w:tc>
          <w:tcPr>
            <w:tcW w:w="196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吉木萨尔县发展和改革委员会</w:t>
            </w:r>
          </w:p>
        </w:tc>
        <w:tc>
          <w:tcPr>
            <w:tcW w:w="2134"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项目审批（核准</w:t>
            </w:r>
            <w:r>
              <w:rPr>
                <w:color w:val="000000" w:themeColor="text1"/>
                <w14:textFill>
                  <w14:solidFill>
                    <w14:schemeClr w14:val="tx1"/>
                  </w14:solidFill>
                </w14:textFill>
              </w:rPr>
              <w:t>/</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备案）文号（选填）</w:t>
            </w:r>
          </w:p>
        </w:tc>
        <w:tc>
          <w:tcPr>
            <w:tcW w:w="2982"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吉县发改〔2022〕185号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总投资（万元）</w:t>
            </w:r>
          </w:p>
        </w:tc>
        <w:tc>
          <w:tcPr>
            <w:tcW w:w="196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600</w:t>
            </w:r>
          </w:p>
        </w:tc>
        <w:tc>
          <w:tcPr>
            <w:tcW w:w="2134"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环保投资（万元）</w:t>
            </w:r>
          </w:p>
        </w:tc>
        <w:tc>
          <w:tcPr>
            <w:tcW w:w="2982" w:type="dxa"/>
            <w:tcBorders>
              <w:tl2br w:val="nil"/>
              <w:tr2bl w:val="nil"/>
            </w:tcBorders>
            <w:noWrap w:val="0"/>
            <w:vAlign w:val="center"/>
          </w:tcPr>
          <w:p>
            <w:pPr>
              <w:pStyle w:val="14"/>
              <w:bidi w:val="0"/>
              <w:rPr>
                <w:rFonts w:hint="default"/>
                <w:color w:val="000000" w:themeColor="text1"/>
                <w:lang w:val="en-US"/>
                <w14:textFill>
                  <w14:solidFill>
                    <w14:schemeClr w14:val="tx1"/>
                  </w14:solidFill>
                </w14:textFill>
              </w:rPr>
            </w:pPr>
            <w:r>
              <w:rPr>
                <w:rFonts w:hint="eastAsia" w:cs="Times New Roman"/>
                <w:snapToGrid w:val="0"/>
                <w:color w:val="000000" w:themeColor="text1"/>
                <w:sz w:val="24"/>
                <w:lang w:val="en-US" w:eastAsia="zh-CN"/>
                <w14:textFill>
                  <w14:solidFill>
                    <w14:schemeClr w14:val="tx1"/>
                  </w14:solidFill>
                </w14:textFill>
              </w:rPr>
              <w:t>121.5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环保投资占比（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tc>
          <w:tcPr>
            <w:tcW w:w="196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20.25</w:t>
            </w:r>
          </w:p>
        </w:tc>
        <w:tc>
          <w:tcPr>
            <w:tcW w:w="2134" w:type="dxa"/>
            <w:tcBorders>
              <w:tl2br w:val="nil"/>
              <w:tr2bl w:val="nil"/>
            </w:tcBorders>
            <w:noWrap w:val="0"/>
            <w:tcMar>
              <w:top w:w="16" w:type="dxa"/>
              <w:left w:w="16" w:type="dxa"/>
              <w:right w:w="16" w:type="dxa"/>
            </w:tcMar>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施工工期</w:t>
            </w:r>
          </w:p>
        </w:tc>
        <w:tc>
          <w:tcPr>
            <w:tcW w:w="2982"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2023年9月~2023年10月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78" w:type="dxa"/>
            <w:tcBorders>
              <w:tl2br w:val="nil"/>
              <w:tr2bl w:val="nil"/>
            </w:tcBorders>
            <w:noWrap w:val="0"/>
            <w:tcMar>
              <w:top w:w="16" w:type="dxa"/>
              <w:left w:w="16" w:type="dxa"/>
              <w:right w:w="16"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是否开工建设</w:t>
            </w:r>
          </w:p>
        </w:tc>
        <w:tc>
          <w:tcPr>
            <w:tcW w:w="1960"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52"/>
            </w:r>
            <w:r>
              <w:rPr>
                <w:rFonts w:hint="eastAsia"/>
                <w:color w:val="000000" w:themeColor="text1"/>
                <w14:textFill>
                  <w14:solidFill>
                    <w14:schemeClr w14:val="tx1"/>
                  </w14:solidFill>
                </w14:textFill>
              </w:rPr>
              <w:t>否</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是</w:t>
            </w:r>
          </w:p>
        </w:tc>
        <w:tc>
          <w:tcPr>
            <w:tcW w:w="2134" w:type="dxa"/>
            <w:tcBorders>
              <w:tl2br w:val="nil"/>
              <w:tr2bl w:val="nil"/>
            </w:tcBorders>
            <w:noWrap w:val="0"/>
            <w:tcMar>
              <w:top w:w="16" w:type="dxa"/>
              <w:left w:w="16" w:type="dxa"/>
              <w:right w:w="16"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用地面积（</w:t>
            </w:r>
            <w:r>
              <w:rPr>
                <w:rFonts w:hint="eastAsia"/>
                <w:color w:val="000000" w:themeColor="text1"/>
                <w:lang w:eastAsia="zh-CN"/>
                <w14:textFill>
                  <w14:solidFill>
                    <w14:schemeClr w14:val="tx1"/>
                  </w14:solidFill>
                </w14:textFill>
              </w:rPr>
              <w:t>m²</w:t>
            </w:r>
            <w:r>
              <w:rPr>
                <w:rFonts w:hint="eastAsia"/>
                <w:color w:val="000000" w:themeColor="text1"/>
                <w14:textFill>
                  <w14:solidFill>
                    <w14:schemeClr w14:val="tx1"/>
                  </w14:solidFill>
                </w14:textFill>
              </w:rPr>
              <w:t>）</w:t>
            </w:r>
          </w:p>
        </w:tc>
        <w:tc>
          <w:tcPr>
            <w:tcW w:w="2982"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16000m²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227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专项评价设置情况</w:t>
            </w:r>
          </w:p>
        </w:tc>
        <w:tc>
          <w:tcPr>
            <w:tcW w:w="7076" w:type="dxa"/>
            <w:gridSpan w:val="3"/>
            <w:tcBorders>
              <w:tl2br w:val="nil"/>
              <w:tr2bl w:val="nil"/>
            </w:tcBorders>
            <w:noWrap w:val="0"/>
            <w:vAlign w:val="center"/>
          </w:tcPr>
          <w:p>
            <w:pPr>
              <w:pStyle w:val="14"/>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2278"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规划情况</w:t>
            </w:r>
          </w:p>
        </w:tc>
        <w:tc>
          <w:tcPr>
            <w:tcW w:w="7076" w:type="dxa"/>
            <w:gridSpan w:val="3"/>
            <w:tcBorders>
              <w:tl2br w:val="nil"/>
              <w:tr2bl w:val="nil"/>
            </w:tcBorders>
            <w:noWrap w:val="0"/>
            <w:vAlign w:val="center"/>
          </w:tcPr>
          <w:p>
            <w:pPr>
              <w:pStyle w:val="14"/>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227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规划环境影响</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评价情况</w:t>
            </w:r>
          </w:p>
        </w:tc>
        <w:tc>
          <w:tcPr>
            <w:tcW w:w="7076" w:type="dxa"/>
            <w:gridSpan w:val="3"/>
            <w:tcBorders>
              <w:tl2br w:val="nil"/>
              <w:tr2bl w:val="nil"/>
            </w:tcBorders>
            <w:noWrap w:val="0"/>
            <w:vAlign w:val="center"/>
          </w:tcPr>
          <w:p>
            <w:pPr>
              <w:pStyle w:val="14"/>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227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规划及规划环境影响评价符合性分析</w:t>
            </w:r>
          </w:p>
        </w:tc>
        <w:tc>
          <w:tcPr>
            <w:tcW w:w="7076" w:type="dxa"/>
            <w:gridSpan w:val="3"/>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40" w:hRule="atLeast"/>
          <w:jc w:val="center"/>
        </w:trPr>
        <w:tc>
          <w:tcPr>
            <w:tcW w:w="2278"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其他符合性分析</w:t>
            </w:r>
          </w:p>
        </w:tc>
        <w:tc>
          <w:tcPr>
            <w:tcW w:w="7076" w:type="dxa"/>
            <w:gridSpan w:val="3"/>
            <w:tcBorders>
              <w:tl2br w:val="nil"/>
              <w:tr2bl w:val="nil"/>
            </w:tcBorders>
            <w:noWrap w:val="0"/>
            <w:vAlign w:val="center"/>
          </w:tcPr>
          <w:p>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1、产业政策符合性</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根据国家《产业结构调整指导目录（201</w:t>
            </w:r>
            <w:r>
              <w:rPr>
                <w:rFonts w:hint="default"/>
                <w:color w:val="000000" w:themeColor="text1"/>
                <w:lang w:val="en-US" w:eastAsia="zh-CN"/>
                <w14:textFill>
                  <w14:solidFill>
                    <w14:schemeClr w14:val="tx1"/>
                  </w14:solidFill>
                </w14:textFill>
              </w:rPr>
              <w:t>9</w:t>
            </w:r>
            <w:r>
              <w:rPr>
                <w:rFonts w:hint="default"/>
                <w:color w:val="000000" w:themeColor="text1"/>
                <w14:textFill>
                  <w14:solidFill>
                    <w14:schemeClr w14:val="tx1"/>
                  </w14:solidFill>
                </w14:textFill>
              </w:rPr>
              <w:t>年本）》</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2021年修改</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（中华人民共和国国家发展和改革委员会令 第29号）</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2021年修改</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不属于鼓励类、限制类、淘汰类，视为允许建设项目</w:t>
            </w:r>
            <w:r>
              <w:rPr>
                <w:rFonts w:hint="default"/>
                <w:color w:val="000000" w:themeColor="text1"/>
                <w14:textFill>
                  <w14:solidFill>
                    <w14:schemeClr w14:val="tx1"/>
                  </w14:solidFill>
                </w14:textFill>
              </w:rPr>
              <w:t>。</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根据中华人民共和国国家发展和改革委员会发布的《西部地区鼓励类产业目录（2020年本）》，项目属于新疆维吾尔自治区（含新疆生产建设兵团）中第16项，</w:t>
            </w:r>
            <w:r>
              <w:rPr>
                <w:rFonts w:hint="eastAsia"/>
                <w:color w:val="000000" w:themeColor="text1"/>
                <w:lang w:eastAsia="zh-CN"/>
                <w14:textFill>
                  <w14:solidFill>
                    <w14:schemeClr w14:val="tx1"/>
                  </w14:solidFill>
                </w14:textFill>
              </w:rPr>
              <w:t>小麦、玉米、棉花、大麦、豆类、番茄、辣椒、甜菜、红枣、啤酒花等农林作物种植及精深加工、采收机械化技术开发及应用</w:t>
            </w:r>
            <w:r>
              <w:rPr>
                <w:rFonts w:hint="eastAsia"/>
                <w:color w:val="000000" w:themeColor="text1"/>
                <w:lang w:val="en-US" w:eastAsia="zh-CN"/>
                <w14:textFill>
                  <w14:solidFill>
                    <w14:schemeClr w14:val="tx1"/>
                  </w14:solidFill>
                </w14:textFill>
              </w:rPr>
              <w:t>，属于名录中新疆维吾尔自治区鼓励项目。</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项目于</w:t>
            </w:r>
            <w:r>
              <w:rPr>
                <w:rFonts w:hint="eastAsia"/>
                <w:color w:val="000000" w:themeColor="text1"/>
                <w:lang w:val="en-US" w:eastAsia="zh-CN"/>
                <w14:textFill>
                  <w14:solidFill>
                    <w14:schemeClr w14:val="tx1"/>
                  </w14:solidFill>
                </w14:textFill>
              </w:rPr>
              <w:t>2022年8月3日在吉木萨尔县发展和改革委员会备案，项目备案证号：吉县发改〔2022〕185号，备案文件详见附件2。</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“三线一单”符合性</w:t>
            </w:r>
          </w:p>
          <w:p>
            <w:pPr>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新疆维吾尔自治区“三线一单”生态环境分区管控方案</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新政发〔2021〕18号</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三线一单</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生态环境分区管控基本原则为：（一）坚持底线思维：落实最严格的环境保护制度，坚持生态环境质量只能改善、不能变差，生产生活不突破生态保护红线，开发建设不突破资源环境承载力，确保生态环境安全</w:t>
            </w:r>
            <w:r>
              <w:rPr>
                <w:rFonts w:hint="default"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二</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坚持分类管控：以改善环境质量为核心，建立以环境管控单元为基础的生态环境分区管控体系；针对不同环境管控单元特征，分别提出管控要求，实施差异化环境准入，促进环境管理精准化。（三）坚持统筹实施：按照自治区统筹，上下联动、区域协同的原则，与区域发展和国土空间规划等相衔接，统筹推进落实“三线一单”管控要求；结合经济社会发展和生态环境改善的新形势新任务新要求，定期评估、动态更新调整。</w:t>
            </w:r>
          </w:p>
          <w:p>
            <w:pPr>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（1）生态红线</w:t>
            </w:r>
          </w:p>
          <w:p>
            <w:pPr>
              <w:ind w:firstLine="480" w:firstLineChars="20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生态保护红线，按照“生态功能不降低、面积不减少、性质不改变”的基本要求，对划定的生态保护红线实施严格管控，保障和维护国家生态安全的底线和生命线</w:t>
            </w:r>
            <w:r>
              <w:rPr>
                <w:rFonts w:hint="default" w:ascii="Times New Roman" w:hAnsi="Times New Roman" w:cs="Times New Roman"/>
                <w:color w:val="000000" w:themeColor="text1"/>
                <w14:textFill>
                  <w14:solidFill>
                    <w14:schemeClr w14:val="tx1"/>
                  </w14:solidFill>
                </w14:textFill>
              </w:rPr>
              <w:t>。</w:t>
            </w:r>
          </w:p>
          <w:p>
            <w:pPr>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w:t>
            </w:r>
            <w:r>
              <w:rPr>
                <w:rFonts w:hint="eastAsia" w:cs="Times New Roman"/>
                <w:color w:val="000000" w:themeColor="text1"/>
                <w:lang w:val="en-US" w:eastAsia="zh-CN"/>
                <w14:textFill>
                  <w14:solidFill>
                    <w14:schemeClr w14:val="tx1"/>
                  </w14:solidFill>
                </w14:textFill>
              </w:rPr>
              <w:t>玉米烘干项目</w:t>
            </w:r>
            <w:r>
              <w:rPr>
                <w:rFonts w:hint="eastAsia" w:ascii="Times New Roman" w:hAnsi="Times New Roman" w:cs="Times New Roman"/>
                <w:color w:val="000000" w:themeColor="text1"/>
                <w:lang w:val="en-US" w:eastAsia="zh-CN"/>
                <w14:textFill>
                  <w14:solidFill>
                    <w14:schemeClr w14:val="tx1"/>
                  </w14:solidFill>
                </w14:textFill>
              </w:rPr>
              <w:t>，项目位于</w:t>
            </w:r>
            <w:r>
              <w:rPr>
                <w:rFonts w:hint="eastAsia" w:cs="Times New Roman"/>
                <w:color w:val="000000" w:themeColor="text1"/>
                <w:lang w:val="en-US" w:eastAsia="zh-CN"/>
                <w14:textFill>
                  <w14:solidFill>
                    <w14:schemeClr w14:val="tx1"/>
                  </w14:solidFill>
                </w14:textFill>
              </w:rPr>
              <w:t>吉木萨尔县老台乡划定的农业设施配套服务区</w:t>
            </w:r>
            <w:r>
              <w:rPr>
                <w:rFonts w:hint="eastAsia" w:ascii="Times New Roman" w:hAnsi="Times New Roman" w:cs="Times New Roman"/>
                <w:color w:val="000000" w:themeColor="text1"/>
                <w:lang w:val="en-US" w:eastAsia="zh-CN"/>
                <w14:textFill>
                  <w14:solidFill>
                    <w14:schemeClr w14:val="tx1"/>
                  </w14:solidFill>
                </w14:textFill>
              </w:rPr>
              <w:t>，项目用地为</w:t>
            </w:r>
            <w:r>
              <w:rPr>
                <w:rFonts w:hint="eastAsia" w:cs="Times New Roman"/>
                <w:color w:val="000000" w:themeColor="text1"/>
                <w:lang w:val="en-US" w:eastAsia="zh-CN"/>
                <w14:textFill>
                  <w14:solidFill>
                    <w14:schemeClr w14:val="tx1"/>
                  </w14:solidFill>
                </w14:textFill>
              </w:rPr>
              <w:t>设施农用地</w:t>
            </w:r>
            <w:r>
              <w:rPr>
                <w:rFonts w:hint="eastAsia" w:ascii="Times New Roman" w:hAnsi="Times New Roman" w:cs="Times New Roman"/>
                <w:color w:val="000000" w:themeColor="text1"/>
                <w:lang w:val="en-US" w:eastAsia="zh-CN"/>
                <w14:textFill>
                  <w14:solidFill>
                    <w14:schemeClr w14:val="tx1"/>
                  </w14:solidFill>
                </w14:textFill>
              </w:rPr>
              <w:t>，且项目周边无国家公园、自然保护区、风景名胜区、饮用水水源保护区等环境敏感区分布，项目不涉及生态红线</w:t>
            </w:r>
            <w:r>
              <w:rPr>
                <w:rFonts w:hint="default" w:ascii="Times New Roman" w:hAnsi="Times New Roman" w:cs="Times New Roman"/>
                <w:color w:val="000000" w:themeColor="text1"/>
                <w:lang w:val="en-US" w:eastAsia="zh-CN"/>
                <w14:textFill>
                  <w14:solidFill>
                    <w14:schemeClr w14:val="tx1"/>
                  </w14:solidFill>
                </w14:textFill>
              </w:rPr>
              <w:t>。</w:t>
            </w:r>
          </w:p>
          <w:p>
            <w:pPr>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（2）环境质量底线</w:t>
            </w:r>
          </w:p>
          <w:p>
            <w:pPr>
              <w:ind w:firstLine="480" w:firstLineChars="20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r>
              <w:rPr>
                <w:rFonts w:hint="default" w:ascii="Times New Roman" w:hAnsi="Times New Roman" w:cs="Times New Roman"/>
                <w:color w:val="000000" w:themeColor="text1"/>
                <w14:textFill>
                  <w14:solidFill>
                    <w14:schemeClr w14:val="tx1"/>
                  </w14:solidFill>
                </w14:textFill>
              </w:rPr>
              <w:t>。</w:t>
            </w:r>
          </w:p>
          <w:p>
            <w:p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项目区为环境空气功能区二类区，执行《环境空气质量标准》（GB3095-2012）二级标准要求，同时根据</w:t>
            </w:r>
            <w:r>
              <w:rPr>
                <w:rFonts w:hint="default" w:ascii="Times New Roman" w:hAnsi="Times New Roman" w:cs="Times New Roman"/>
                <w:color w:val="000000" w:themeColor="text1"/>
                <w:lang w:val="en-US" w:eastAsia="zh-CN"/>
                <w14:textFill>
                  <w14:solidFill>
                    <w14:schemeClr w14:val="tx1"/>
                  </w14:solidFill>
                </w14:textFill>
              </w:rPr>
              <w:t>区域</w:t>
            </w:r>
            <w:r>
              <w:rPr>
                <w:rFonts w:hint="default" w:ascii="Times New Roman" w:hAnsi="Times New Roman" w:cs="Times New Roman"/>
                <w:color w:val="000000" w:themeColor="text1"/>
                <w14:textFill>
                  <w14:solidFill>
                    <w14:schemeClr w14:val="tx1"/>
                  </w14:solidFill>
                </w14:textFill>
              </w:rPr>
              <w:t>环境空气质量监测数据，</w:t>
            </w:r>
            <w:r>
              <w:rPr>
                <w:rFonts w:hint="eastAsia" w:ascii="Times New Roman" w:hAnsi="Times New Roman" w:cs="Times New Roman"/>
                <w:color w:val="000000" w:themeColor="text1"/>
                <w:lang w:val="en-US" w:eastAsia="zh-CN"/>
                <w14:textFill>
                  <w14:solidFill>
                    <w14:schemeClr w14:val="tx1"/>
                  </w14:solidFill>
                </w14:textFill>
              </w:rPr>
              <w:t>项目废气主要是</w:t>
            </w:r>
            <w:r>
              <w:rPr>
                <w:rFonts w:hint="eastAsia" w:cs="Times New Roman"/>
                <w:color w:val="000000" w:themeColor="text1"/>
                <w:lang w:val="en-US" w:eastAsia="zh-CN"/>
                <w14:textFill>
                  <w14:solidFill>
                    <w14:schemeClr w14:val="tx1"/>
                  </w14:solidFill>
                </w14:textFill>
              </w:rPr>
              <w:t>生物质热风炉燃烧废气，通过脱硝、脱硫、除尘措施后通过45m高排气筒外排</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烘干过程烘干塔设置过滤网封闭，出气口设置自吸式布袋除尘器除尘，</w:t>
            </w:r>
            <w:r>
              <w:rPr>
                <w:rFonts w:hint="eastAsia" w:ascii="Times New Roman" w:hAnsi="Times New Roman" w:cs="Times New Roman"/>
                <w:color w:val="000000" w:themeColor="text1"/>
                <w:lang w:val="en-US" w:eastAsia="zh-CN"/>
                <w14:textFill>
                  <w14:solidFill>
                    <w14:schemeClr w14:val="tx1"/>
                  </w14:solidFill>
                </w14:textFill>
              </w:rPr>
              <w:t>通过上述措施后，项目产生的各项废气均可达标排放，且根据环境空气质量监测可知，项目区大气环境质量良好，故可确定，本项目建设对项目区大气环境影响是可接受的，不会突破项目区的大气环境质量底线。</w:t>
            </w:r>
          </w:p>
          <w:p>
            <w:p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项目区无天然地表径流，项目不产生生产废水，生活污水</w:t>
            </w:r>
            <w:r>
              <w:rPr>
                <w:rFonts w:hint="eastAsia" w:cs="Times New Roman"/>
                <w:color w:val="000000" w:themeColor="text1"/>
                <w:lang w:val="en-US" w:eastAsia="zh-CN"/>
                <w14:textFill>
                  <w14:solidFill>
                    <w14:schemeClr w14:val="tx1"/>
                  </w14:solidFill>
                </w14:textFill>
              </w:rPr>
              <w:t>排入防渗化粪池定期抽运至</w:t>
            </w:r>
            <w:r>
              <w:rPr>
                <w:rFonts w:hint="eastAsia"/>
                <w:color w:val="000000" w:themeColor="text1"/>
                <w14:textFill>
                  <w14:solidFill>
                    <w14:schemeClr w14:val="tx1"/>
                  </w14:solidFill>
                </w14:textFill>
              </w:rPr>
              <w:t>吉木萨尔县北三台循环经济工业园区污水处理厂</w:t>
            </w:r>
            <w:r>
              <w:rPr>
                <w:rFonts w:hint="eastAsia" w:cs="Times New Roman"/>
                <w:color w:val="000000" w:themeColor="text1"/>
                <w:lang w:val="en-US" w:eastAsia="zh-CN"/>
                <w14:textFill>
                  <w14:solidFill>
                    <w14:schemeClr w14:val="tx1"/>
                  </w14:solidFill>
                </w14:textFill>
              </w:rPr>
              <w:t>进行后续处理</w:t>
            </w:r>
            <w:r>
              <w:rPr>
                <w:rFonts w:hint="eastAsia" w:ascii="Times New Roman" w:hAnsi="Times New Roman" w:cs="Times New Roman"/>
                <w:color w:val="000000" w:themeColor="text1"/>
                <w:lang w:val="en-US" w:eastAsia="zh-CN"/>
                <w14:textFill>
                  <w14:solidFill>
                    <w14:schemeClr w14:val="tx1"/>
                  </w14:solidFill>
                </w14:textFill>
              </w:rPr>
              <w:t>，项目的建设对水环境基本无影响，故可认定，项目的建设不会突破项目区水环境质量底线。</w:t>
            </w:r>
          </w:p>
          <w:p>
            <w:p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项目占地</w:t>
            </w:r>
            <w:r>
              <w:rPr>
                <w:rFonts w:hint="eastAsia" w:cs="Times New Roman"/>
                <w:color w:val="000000" w:themeColor="text1"/>
                <w:lang w:val="en-US" w:eastAsia="zh-CN"/>
                <w14:textFill>
                  <w14:solidFill>
                    <w14:schemeClr w14:val="tx1"/>
                  </w14:solidFill>
                </w14:textFill>
              </w:rPr>
              <w:t>16000</w:t>
            </w:r>
            <w:r>
              <w:rPr>
                <w:rFonts w:hint="eastAsia" w:ascii="Times New Roman" w:hAnsi="Times New Roman" w:cs="Times New Roman"/>
                <w:color w:val="000000" w:themeColor="text1"/>
                <w:lang w:val="en-US" w:eastAsia="zh-CN"/>
                <w14:textFill>
                  <w14:solidFill>
                    <w14:schemeClr w14:val="tx1"/>
                  </w14:solidFill>
                </w14:textFill>
              </w:rPr>
              <w:t>m²，由于项目用地面积较小，且</w:t>
            </w:r>
            <w:r>
              <w:rPr>
                <w:rFonts w:hint="eastAsia" w:cs="Times New Roman"/>
                <w:color w:val="000000" w:themeColor="text1"/>
                <w:lang w:val="en-US" w:eastAsia="zh-CN"/>
                <w14:textFill>
                  <w14:solidFill>
                    <w14:schemeClr w14:val="tx1"/>
                  </w14:solidFill>
                </w14:textFill>
              </w:rPr>
              <w:t>用地为设施农用地</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颗粒物</w:t>
            </w:r>
            <w:r>
              <w:rPr>
                <w:rFonts w:hint="eastAsia" w:ascii="Times New Roman" w:hAnsi="Times New Roman" w:cs="Times New Roman"/>
                <w:color w:val="000000" w:themeColor="text1"/>
                <w:lang w:val="en-US" w:eastAsia="zh-CN"/>
                <w14:textFill>
                  <w14:solidFill>
                    <w14:schemeClr w14:val="tx1"/>
                  </w14:solidFill>
                </w14:textFill>
              </w:rPr>
              <w:t>沉降影响由于颗粒物产生量极小，基本可以忽略不计，故可认定，项目的建设不会突破土壤环境质量底线。</w:t>
            </w:r>
          </w:p>
          <w:p>
            <w:pPr>
              <w:ind w:firstLine="48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综上，项目的建设符合环境质量底线的要求。</w:t>
            </w:r>
          </w:p>
          <w:p>
            <w:pPr>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（3）资源利用上线</w:t>
            </w:r>
          </w:p>
          <w:p>
            <w:pPr>
              <w:ind w:firstLine="480" w:firstLineChars="200"/>
              <w:rPr>
                <w:rFonts w:hint="eastAsia"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r>
              <w:rPr>
                <w:rFonts w:hint="eastAsia" w:ascii="Times New Roman" w:hAnsi="Times New Roman" w:cs="Times New Roman"/>
                <w:color w:val="000000" w:themeColor="text1"/>
                <w:lang w:val="en-US" w:eastAsia="zh-CN"/>
                <w14:textFill>
                  <w14:solidFill>
                    <w14:schemeClr w14:val="tx1"/>
                  </w14:solidFill>
                </w14:textFill>
              </w:rPr>
              <w:t>。</w:t>
            </w:r>
          </w:p>
          <w:p>
            <w:pPr>
              <w:ind w:firstLine="480" w:firstLineChars="20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项目为</w:t>
            </w:r>
            <w:r>
              <w:rPr>
                <w:rFonts w:hint="eastAsia" w:cs="Times New Roman"/>
                <w:color w:val="000000" w:themeColor="text1"/>
                <w:lang w:val="en-US" w:eastAsia="zh-CN"/>
                <w14:textFill>
                  <w14:solidFill>
                    <w14:schemeClr w14:val="tx1"/>
                  </w14:solidFill>
                </w14:textFill>
              </w:rPr>
              <w:t>玉米烘干项目</w:t>
            </w:r>
            <w:r>
              <w:rPr>
                <w:rFonts w:hint="eastAsia" w:ascii="Times New Roman" w:hAnsi="Times New Roman" w:cs="Times New Roman"/>
                <w:color w:val="000000" w:themeColor="text1"/>
                <w:lang w:val="en-US" w:eastAsia="zh-CN"/>
                <w14:textFill>
                  <w14:solidFill>
                    <w14:schemeClr w14:val="tx1"/>
                  </w14:solidFill>
                </w14:textFill>
              </w:rPr>
              <w:t>，项目运营期间主要消耗的资源为水、电，水通过市政管网引入，年耗水量为</w:t>
            </w:r>
            <w:r>
              <w:rPr>
                <w:rFonts w:hint="eastAsia" w:cs="Times New Roman"/>
                <w:color w:val="000000" w:themeColor="text1"/>
                <w:lang w:val="en-US" w:eastAsia="zh-CN"/>
                <w14:textFill>
                  <w14:solidFill>
                    <w14:schemeClr w14:val="tx1"/>
                  </w14:solidFill>
                </w14:textFill>
              </w:rPr>
              <w:t>696</w:t>
            </w:r>
            <w:r>
              <w:rPr>
                <w:rFonts w:hint="eastAsia" w:ascii="Times New Roman" w:hAnsi="Times New Roman" w:cs="Times New Roman"/>
                <w:color w:val="000000" w:themeColor="text1"/>
                <w:lang w:val="en-US" w:eastAsia="zh-CN"/>
                <w14:textFill>
                  <w14:solidFill>
                    <w14:schemeClr w14:val="tx1"/>
                  </w14:solidFill>
                </w14:textFill>
              </w:rPr>
              <w:t>m³，年用电量为17.5万</w:t>
            </w:r>
            <w:r>
              <w:rPr>
                <w:rFonts w:hint="eastAsia" w:cs="Times New Roman"/>
                <w:color w:val="000000" w:themeColor="text1"/>
                <w:lang w:val="en-US" w:eastAsia="zh-CN"/>
                <w14:textFill>
                  <w14:solidFill>
                    <w14:schemeClr w14:val="tx1"/>
                  </w14:solidFill>
                </w14:textFill>
              </w:rPr>
              <w:t>kW·h</w:t>
            </w:r>
            <w:r>
              <w:rPr>
                <w:rFonts w:hint="eastAsia" w:ascii="Times New Roman" w:hAnsi="Times New Roman" w:cs="Times New Roman"/>
                <w:color w:val="000000" w:themeColor="text1"/>
                <w:lang w:val="en-US" w:eastAsia="zh-CN"/>
                <w14:textFill>
                  <w14:solidFill>
                    <w14:schemeClr w14:val="tx1"/>
                  </w14:solidFill>
                </w14:textFill>
              </w:rPr>
              <w:t>，消耗的水电资源相对于</w:t>
            </w:r>
            <w:r>
              <w:rPr>
                <w:rFonts w:hint="eastAsia" w:cs="Times New Roman"/>
                <w:color w:val="000000" w:themeColor="text1"/>
                <w:lang w:val="en-US" w:eastAsia="zh-CN"/>
                <w14:textFill>
                  <w14:solidFill>
                    <w14:schemeClr w14:val="tx1"/>
                  </w14:solidFill>
                </w14:textFill>
              </w:rPr>
              <w:t>吉木萨尔县</w:t>
            </w:r>
            <w:r>
              <w:rPr>
                <w:rFonts w:hint="eastAsia" w:ascii="Times New Roman" w:hAnsi="Times New Roman" w:cs="Times New Roman"/>
                <w:color w:val="000000" w:themeColor="text1"/>
                <w:lang w:val="en-US" w:eastAsia="zh-CN"/>
                <w14:textFill>
                  <w14:solidFill>
                    <w14:schemeClr w14:val="tx1"/>
                  </w14:solidFill>
                </w14:textFill>
              </w:rPr>
              <w:t>整体的水电资源量占比极小，不会对</w:t>
            </w:r>
            <w:r>
              <w:rPr>
                <w:rFonts w:hint="eastAsia" w:cs="Times New Roman"/>
                <w:color w:val="000000" w:themeColor="text1"/>
                <w:lang w:val="en-US" w:eastAsia="zh-CN"/>
                <w14:textFill>
                  <w14:solidFill>
                    <w14:schemeClr w14:val="tx1"/>
                  </w14:solidFill>
                </w14:textFill>
              </w:rPr>
              <w:t>吉木萨尔县</w:t>
            </w:r>
            <w:r>
              <w:rPr>
                <w:rFonts w:hint="eastAsia" w:ascii="Times New Roman" w:hAnsi="Times New Roman" w:cs="Times New Roman"/>
                <w:color w:val="000000" w:themeColor="text1"/>
                <w:lang w:val="en-US" w:eastAsia="zh-CN"/>
                <w14:textFill>
                  <w14:solidFill>
                    <w14:schemeClr w14:val="tx1"/>
                  </w14:solidFill>
                </w14:textFill>
              </w:rPr>
              <w:t>整体的水电资源共给情况造成影响，</w:t>
            </w:r>
            <w:r>
              <w:rPr>
                <w:rFonts w:hint="eastAsia" w:cs="Times New Roman"/>
                <w:color w:val="000000" w:themeColor="text1"/>
                <w:lang w:val="en-US" w:eastAsia="zh-CN"/>
                <w14:textFill>
                  <w14:solidFill>
                    <w14:schemeClr w14:val="tx1"/>
                  </w14:solidFill>
                </w14:textFill>
              </w:rPr>
              <w:t>同时，本项目生物质消耗量为2500t/a，生物质消耗量较小，且使用呼图壁县公司生产的生物质，运输距离较近，</w:t>
            </w:r>
            <w:r>
              <w:rPr>
                <w:rFonts w:hint="eastAsia" w:ascii="Times New Roman" w:hAnsi="Times New Roman" w:cs="Times New Roman"/>
                <w:color w:val="000000" w:themeColor="text1"/>
                <w:lang w:val="en-US" w:eastAsia="zh-CN"/>
                <w14:textFill>
                  <w14:solidFill>
                    <w14:schemeClr w14:val="tx1"/>
                  </w14:solidFill>
                </w14:textFill>
              </w:rPr>
              <w:t>故可认定，项目的建设不会突破</w:t>
            </w:r>
            <w:r>
              <w:rPr>
                <w:rFonts w:hint="eastAsia" w:cs="Times New Roman"/>
                <w:color w:val="000000" w:themeColor="text1"/>
                <w:lang w:val="en-US" w:eastAsia="zh-CN"/>
                <w14:textFill>
                  <w14:solidFill>
                    <w14:schemeClr w14:val="tx1"/>
                  </w14:solidFill>
                </w14:textFill>
              </w:rPr>
              <w:t>吉木萨尔县</w:t>
            </w:r>
            <w:r>
              <w:rPr>
                <w:rFonts w:hint="eastAsia" w:ascii="Times New Roman" w:hAnsi="Times New Roman" w:cs="Times New Roman"/>
                <w:color w:val="000000" w:themeColor="text1"/>
                <w:lang w:val="en-US" w:eastAsia="zh-CN"/>
                <w14:textFill>
                  <w14:solidFill>
                    <w14:schemeClr w14:val="tx1"/>
                  </w14:solidFill>
                </w14:textFill>
              </w:rPr>
              <w:t>的资源利用上线。</w:t>
            </w:r>
          </w:p>
          <w:p>
            <w:pPr>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eastAsia" w:cs="Times New Roman"/>
                <w:color w:val="000000" w:themeColor="text1"/>
                <w:lang w:val="en-US" w:eastAsia="zh-CN"/>
                <w14:textFill>
                  <w14:solidFill>
                    <w14:schemeClr w14:val="tx1"/>
                  </w14:solidFill>
                </w14:textFill>
              </w:rPr>
              <w:t>生态环境准入清单</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生态环境准入清单是基于生态保护红线、环境质量底线和资源利用上线，以清单方式列出的禁止、限值等差别化环境准入条件和要求。项目运营期废气达标排放，无生产废水排放，生活污水排入化粪池，定期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进行后续处理</w:t>
            </w:r>
            <w:r>
              <w:rPr>
                <w:rFonts w:hint="eastAsia" w:cs="Times New Roman"/>
                <w:color w:val="000000" w:themeColor="text1"/>
                <w:sz w:val="24"/>
                <w:szCs w:val="24"/>
                <w:lang w:val="en-US" w:eastAsia="zh-CN"/>
                <w14:textFill>
                  <w14:solidFill>
                    <w14:schemeClr w14:val="tx1"/>
                  </w14:solidFill>
                </w14:textFill>
              </w:rPr>
              <w:t>，且项目用地为划定的设施农用地，无其他生态环境影响。同时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项目符合产业政策，且项目</w:t>
            </w:r>
            <w:r>
              <w:rPr>
                <w:rFonts w:hint="eastAsia"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不属于《新疆维吾尔自治区28个国家重点生态功能区县（市）产业准入负面清单（试行）》，同时不属于《新疆维吾尔自治区17个新增纳入国家重点生态功能区县（市）产业准入负面清单（试行）》</w:t>
            </w:r>
            <w:r>
              <w:rPr>
                <w:rFonts w:hint="eastAsia" w:cs="Times New Roman"/>
                <w:color w:val="000000" w:themeColor="text1"/>
                <w:sz w:val="24"/>
                <w:szCs w:val="24"/>
                <w:lang w:val="en-US" w:eastAsia="zh-CN"/>
                <w14:textFill>
                  <w14:solidFill>
                    <w14:schemeClr w14:val="tx1"/>
                  </w14:solidFill>
                </w14:textFill>
              </w:rPr>
              <w:t>中的，故可认定，项目符合生态环境准入清单。</w:t>
            </w:r>
          </w:p>
          <w:p>
            <w:pPr>
              <w:rPr>
                <w:rFonts w:hint="eastAsia"/>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3</w:t>
            </w:r>
            <w:r>
              <w:rPr>
                <w:rFonts w:hint="eastAsia" w:ascii="Times New Roman" w:hAnsi="Times New Roman" w:cs="Times New Roman"/>
                <w:b/>
                <w:bCs/>
                <w:color w:val="000000" w:themeColor="text1"/>
                <w:lang w:val="en-US"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与《昌吉回族自治州“三线一单”生态环境分区管控方案及生态环境准入清单》符合性分析</w:t>
            </w:r>
          </w:p>
          <w:p>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《昌吉回族自治州“三线一单”生态环境分区管控方案及生态环境准入清单》中基本原则为：</w:t>
            </w:r>
            <w:r>
              <w:rPr>
                <w:rFonts w:hint="eastAsia"/>
                <w:color w:val="000000" w:themeColor="text1"/>
                <w14:textFill>
                  <w14:solidFill>
                    <w14:schemeClr w14:val="tx1"/>
                  </w14:solidFill>
                </w14:textFill>
              </w:rPr>
              <w:t>坚持底线思维。落实最严格的环境保护制度，坚持生态环境质量只能改善、不能变差，生产生活不突破生态保护红线，开发建设不突破资源环境承载力，确保生态环境安全。坚持分类管控。以改善环境质量为核心，建立以环境管控单元为基础的生态环境分区管控体系；针对不同环境管控单元特征，分别提出管控要求，实施差异化环境准入，促进环境管理精准化。坚持统筹实施。按照自治区统筹、上下联动、区域协同的原则，与区域发展和国土空间规划等相衔接，统筹推进落实“三线一单”管控要求。坚持</w:t>
            </w:r>
            <w:r>
              <w:rPr>
                <w:color w:val="000000" w:themeColor="text1"/>
                <w14:textFill>
                  <w14:solidFill>
                    <w14:schemeClr w14:val="tx1"/>
                  </w14:solidFill>
                </w14:textFill>
              </w:rPr>
              <w:t>共建共享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依托国家和自治区统一搭建的数据共享系统，集成昌吉州“三线一单”成果，实现国家、自治区与昌吉州“三线一单”成果及信息系统共享</w:t>
            </w:r>
            <w:r>
              <w:rPr>
                <w:rFonts w:hint="eastAsia"/>
                <w:color w:val="000000" w:themeColor="text1"/>
                <w14:textFill>
                  <w14:solidFill>
                    <w14:schemeClr w14:val="tx1"/>
                  </w14:solidFill>
                </w14:textFill>
              </w:rPr>
              <w:t>。坚持</w:t>
            </w:r>
            <w:r>
              <w:rPr>
                <w:color w:val="000000" w:themeColor="text1"/>
                <w14:textFill>
                  <w14:solidFill>
                    <w14:schemeClr w14:val="tx1"/>
                  </w14:solidFill>
                </w14:textFill>
              </w:rPr>
              <w:t>动态管理</w:t>
            </w:r>
            <w:r>
              <w:rPr>
                <w:rFonts w:hint="eastAsia"/>
                <w:color w:val="000000" w:themeColor="text1"/>
                <w14:textFill>
                  <w14:solidFill>
                    <w14:schemeClr w14:val="tx1"/>
                  </w14:solidFill>
                </w14:textFill>
              </w:rPr>
              <w:t>。结合经济社会发展和生态环境改善的新形势新任务新要求，定期评估、动态更新。</w:t>
            </w:r>
          </w:p>
          <w:p>
            <w:pPr>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《昌吉回族自治州“三线一单”生态环境分区管控方案及生态环境准入清单》全州划定了</w:t>
            </w:r>
            <w:r>
              <w:rPr>
                <w:rFonts w:hint="eastAsia"/>
                <w:color w:val="000000" w:themeColor="text1"/>
                <w14:textFill>
                  <w14:solidFill>
                    <w14:schemeClr w14:val="tx1"/>
                  </w14:solidFill>
                </w14:textFill>
              </w:rPr>
              <w:t>自治州共划定119个环境管控单元，分为优先保护单元、重点管控单元和一般管控单元三类，实施分类管控。</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优先保护单元主要包括生态保护红线区和生态保护红线区以外的饮用水水源保护区、水源涵养区、防风固沙区、水土保持区、生物多样性维护区、土地沙化防控区、水土流失防控区等一般生态空间管控区。</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重点管控单元主要包括城镇建成区、工业园区和工业聚集区等。</w:t>
            </w:r>
          </w:p>
          <w:p>
            <w:pPr>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一般管控单元主要包括优先保护单元和重点管控单元之外的其它区域</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本项目位于吉木萨尔县一般管控单元，具体位置如图1-1。</w:t>
            </w:r>
          </w:p>
          <w:p>
            <w:pPr>
              <w:ind w:left="0" w:leftChars="0" w:firstLine="0" w:firstLineChars="0"/>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1890395</wp:posOffset>
                      </wp:positionH>
                      <wp:positionV relativeFrom="paragraph">
                        <wp:posOffset>1461770</wp:posOffset>
                      </wp:positionV>
                      <wp:extent cx="1479550" cy="646430"/>
                      <wp:effectExtent l="19050" t="6350" r="25400" b="33020"/>
                      <wp:wrapNone/>
                      <wp:docPr id="60" name="组合 60"/>
                      <wp:cNvGraphicFramePr/>
                      <a:graphic xmlns:a="http://schemas.openxmlformats.org/drawingml/2006/main">
                        <a:graphicData uri="http://schemas.microsoft.com/office/word/2010/wordprocessingGroup">
                          <wpg:wgp>
                            <wpg:cNvGrpSpPr/>
                            <wpg:grpSpPr>
                              <a:xfrm>
                                <a:off x="0" y="0"/>
                                <a:ext cx="1479550" cy="646430"/>
                                <a:chOff x="4278" y="1165517"/>
                                <a:chExt cx="2330" cy="1018"/>
                              </a:xfrm>
                            </wpg:grpSpPr>
                            <wps:wsp>
                              <wps:cNvPr id="58" name="五角星 58"/>
                              <wps:cNvSpPr/>
                              <wps:spPr>
                                <a:xfrm>
                                  <a:off x="4278" y="1166417"/>
                                  <a:ext cx="119" cy="1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圆角矩形标注 59"/>
                              <wps:cNvSpPr/>
                              <wps:spPr>
                                <a:xfrm>
                                  <a:off x="4984" y="1165517"/>
                                  <a:ext cx="1625" cy="517"/>
                                </a:xfrm>
                                <a:prstGeom prst="wedgeRoundRectCallout">
                                  <a:avLst>
                                    <a:gd name="adj1" fmla="val -86307"/>
                                    <a:gd name="adj2" fmla="val 138781"/>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bidi w:val="0"/>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48.85pt;margin-top:115.1pt;height:50.9pt;width:116.5pt;z-index:251663360;mso-width-relative:page;mso-height-relative:page;" coordorigin="4278,1165517" coordsize="2330,1018" o:gfxdata="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3I7Qa9oAAAALAQAADwAAAAAAAAABACAAAAAiAAAAZHJzL2Rvd25yZXYueG1sUEsBAhQAFAAAAAgA&#10;h07iQPGDkc95AwAAdAkAAA4AAAAAAAAAAQAgAAAAKQEAAGRycy9lMm9Eb2MueG1sUEsFBgAAAAAG&#10;AAYAWQEAABQHAAAAAA==&#10;">
                      <o:lock v:ext="edit" aspectratio="f"/>
                      <v:shape id="_x0000_s1026" o:spid="_x0000_s1026" style="position:absolute;left:4278;top:1166417;height:119;width:119;v-text-anchor:middle;" fillcolor="#FF0000" filled="t" stroked="t" coordsize="119,119" o:gfxdata="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2RmugAAANsA&#10;AAAPAAAAAAAAAAEAIAAAACIAAABkcnMvZG93bnJldi54bWxQSwECFAAUAAAACACHTuJAMy8FnjsA&#10;AAA5AAAAEAAAAAAAAAABACAAAAAJAQAAZHJzL3NoYXBleG1sLnhtbFBLBQYAAAAABgAGAFsBAACz&#10;AwAAAAA=&#10;" path="m0,45l45,45,59,0,73,45,118,45,82,73,96,118,59,90,22,118,36,73xe">
                        <v:path o:connectlocs="59,0;0,45;22,118;96,118;118,45" o:connectangles="247,164,82,82,0"/>
                        <v:fill on="t" focussize="0,0"/>
                        <v:stroke weight="1pt" color="#FF0000 [3204]" miterlimit="8" joinstyle="miter"/>
                        <v:imagedata o:title=""/>
                        <o:lock v:ext="edit" aspectratio="f"/>
                      </v:shape>
                      <v:shape id="_x0000_s1026" o:spid="_x0000_s1026" o:spt="62" type="#_x0000_t62" style="position:absolute;left:4984;top:1165517;height:517;width:1625;v-text-anchor:middle;" filled="f" stroked="t" coordsize="21600,21600" o:gfxdata="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agJy8AAAA&#10;2wAAAA8AAAAAAAAAAQAgAAAAIgAAAGRycy9kb3ducmV2LnhtbFBLAQIUABQAAAAIAIdO4kAzLwWe&#10;OwAAADkAAAAQAAAAAAAAAAEAIAAAAAsBAABkcnMvc2hhcGV4bWwueG1sUEsFBgAAAAAGAAYAWwEA&#10;ALUDAAAAAA==&#10;" adj="-7842,40777,14400">
                        <v:fill on="f" focussize="0,0"/>
                        <v:stroke weight="1pt" color="#FF0000 [3204]" miterlimit="8" joinstyle="miter"/>
                        <v:imagedata o:title=""/>
                        <o:lock v:ext="edit" aspectratio="f"/>
                        <v:textbox>
                          <w:txbxContent>
                            <w:p>
                              <w:pPr>
                                <w:pStyle w:val="15"/>
                                <w:bidi w:val="0"/>
                                <w:rPr>
                                  <w:rFonts w:hint="default" w:eastAsia="宋体"/>
                                  <w:color w:val="FF0000"/>
                                  <w:lang w:val="en-US" w:eastAsia="zh-CN"/>
                                </w:rPr>
                              </w:pPr>
                              <w:r>
                                <w:rPr>
                                  <w:rFonts w:hint="eastAsia"/>
                                  <w:color w:val="FF0000"/>
                                  <w:lang w:val="en-US" w:eastAsia="zh-CN"/>
                                </w:rPr>
                                <w:t>项目所在地</w:t>
                              </w:r>
                            </w:p>
                          </w:txbxContent>
                        </v:textbox>
                      </v:shape>
                    </v:group>
                  </w:pict>
                </mc:Fallback>
              </mc:AlternateContent>
            </w:r>
            <w:r>
              <w:rPr>
                <w:rFonts w:hint="eastAsia" w:ascii="仿宋_GB2312" w:eastAsia="仿宋_GB2312"/>
                <w:color w:val="000000" w:themeColor="text1"/>
                <w:sz w:val="28"/>
                <w:szCs w:val="28"/>
                <w14:textFill>
                  <w14:solidFill>
                    <w14:schemeClr w14:val="tx1"/>
                  </w14:solidFill>
                </w14:textFill>
              </w:rPr>
              <w:drawing>
                <wp:inline distT="0" distB="0" distL="114300" distR="114300">
                  <wp:extent cx="4319905" cy="3952875"/>
                  <wp:effectExtent l="0" t="0" r="4445" b="9525"/>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8" cstate="print">
                            <a:extLst>
                              <a:ext uri="{28A0092B-C50C-407E-A947-70E740481C1C}">
                                <a14:useLocalDpi xmlns:a14="http://schemas.microsoft.com/office/drawing/2010/main" val="0"/>
                              </a:ext>
                            </a:extLst>
                          </a:blip>
                          <a:srcRect l="1164" t="1788" r="1392" b="1793"/>
                          <a:stretch>
                            <a:fillRect/>
                          </a:stretch>
                        </pic:blipFill>
                        <pic:spPr>
                          <a:xfrm>
                            <a:off x="0" y="0"/>
                            <a:ext cx="4319905" cy="3952875"/>
                          </a:xfrm>
                          <a:prstGeom prst="rect">
                            <a:avLst/>
                          </a:prstGeom>
                          <a:ln>
                            <a:noFill/>
                          </a:ln>
                        </pic:spPr>
                      </pic:pic>
                    </a:graphicData>
                  </a:graphic>
                </wp:inline>
              </w:drawing>
            </w:r>
          </w:p>
          <w:p>
            <w:pPr>
              <w:pStyle w:val="14"/>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图1-1   项目在昌吉回族自治州环境管控单元图位置</w:t>
            </w:r>
          </w:p>
          <w:p>
            <w:pPr>
              <w:ind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项目位于吉木萨尔县一般管控单元，环境管控单元编码为：ZH65232730001，环境管控单元名称为：吉木萨尔县一般管控单元1。管控要求符合性分析详见表1-1。</w:t>
            </w:r>
          </w:p>
          <w:p>
            <w:pPr>
              <w:pStyle w:val="15"/>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表1-1   本项目与吉木萨尔县一般管控单元1管控要求符合性</w:t>
            </w:r>
          </w:p>
          <w:tbl>
            <w:tblPr>
              <w:tblStyle w:val="11"/>
              <w:tblW w:w="68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7"/>
              <w:gridCol w:w="3576"/>
              <w:gridCol w:w="2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573" w:type="dxa"/>
                  <w:gridSpan w:val="2"/>
                  <w:tcBorders>
                    <w:bottom w:val="single" w:color="auto" w:sz="12" w:space="0"/>
                  </w:tcBorders>
                  <w:vAlign w:val="center"/>
                </w:tcPr>
                <w:p>
                  <w:pPr>
                    <w:pStyle w:val="15"/>
                    <w:keepNext w:val="0"/>
                    <w:keepLines w:val="0"/>
                    <w:suppressLineNumbers w:val="0"/>
                    <w:bidi w:val="0"/>
                    <w:spacing w:before="0" w:beforeAutospacing="0" w:after="0" w:afterAutospacing="0"/>
                    <w:ind w:right="0"/>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管控要求</w:t>
                  </w:r>
                </w:p>
              </w:tc>
              <w:tc>
                <w:tcPr>
                  <w:tcW w:w="2287" w:type="dxa"/>
                  <w:tcBorders>
                    <w:bottom w:val="single" w:color="auto" w:sz="12" w:space="0"/>
                  </w:tcBorders>
                  <w:vAlign w:val="center"/>
                </w:tcPr>
                <w:p>
                  <w:pPr>
                    <w:pStyle w:val="15"/>
                    <w:keepNext w:val="0"/>
                    <w:keepLines w:val="0"/>
                    <w:suppressLineNumbers w:val="0"/>
                    <w:bidi w:val="0"/>
                    <w:spacing w:before="0" w:beforeAutospacing="0" w:after="0" w:afterAutospacing="0"/>
                    <w:ind w:right="0"/>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7" w:type="dxa"/>
                  <w:tcBorders>
                    <w:top w:val="single" w:color="auto" w:sz="12" w:space="0"/>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空间布局约束</w:t>
                  </w:r>
                </w:p>
              </w:tc>
              <w:tc>
                <w:tcPr>
                  <w:tcW w:w="3576" w:type="dxa"/>
                  <w:tcBorders>
                    <w:top w:val="single" w:color="auto" w:sz="12" w:space="0"/>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1、执行自治区总体准入要求中关于一般环境管控单元的准入要求（表2-4 A7.1）。</w:t>
                  </w:r>
                </w:p>
              </w:tc>
              <w:tc>
                <w:tcPr>
                  <w:tcW w:w="2287" w:type="dxa"/>
                  <w:tcBorders>
                    <w:top w:val="single" w:color="auto" w:sz="12" w:space="0"/>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项目属于玉米烘干建设项目，不属于“高污染、高环境风险产品”工业项目，符合空间布局约束。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污染物排放管控</w:t>
                  </w:r>
                </w:p>
              </w:tc>
              <w:tc>
                <w:tcPr>
                  <w:tcW w:w="3576"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1、执行自治区总体准入要求中关于一般环境管控单元的准入要求（表2-4 A7.2）。</w:t>
                  </w:r>
                </w:p>
              </w:tc>
              <w:tc>
                <w:tcPr>
                  <w:tcW w:w="228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项目落实污染物总量空置制度，再采取措施后，各项污染物均可达标排放，符合污染物排放管控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环境风险防控</w:t>
                  </w:r>
                </w:p>
              </w:tc>
              <w:tc>
                <w:tcPr>
                  <w:tcW w:w="3576"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1、执行自治区总体准入要求中关于一般环境管控单元的准入要求（表2-4 A7.3）。</w:t>
                  </w:r>
                </w:p>
              </w:tc>
              <w:tc>
                <w:tcPr>
                  <w:tcW w:w="228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项目符合A7.3中的环境风险防控。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9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资源利用效率</w:t>
                  </w:r>
                </w:p>
              </w:tc>
              <w:tc>
                <w:tcPr>
                  <w:tcW w:w="3576"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1、执行自治区总体准入要求中关于一般环境管控单元的准入要求（表2-4 A7.4）。</w:t>
                  </w:r>
                </w:p>
              </w:tc>
              <w:tc>
                <w:tcPr>
                  <w:tcW w:w="228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项目不开采地下水，生产过程中用水量极小，故符合资源利用效率。</w:t>
                  </w:r>
                </w:p>
              </w:tc>
            </w:tr>
          </w:tbl>
          <w:p>
            <w:p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通过上表可知，本项目</w:t>
            </w:r>
            <w:r>
              <w:rPr>
                <w:rFonts w:hint="eastAsia"/>
                <w:lang w:val="en-US" w:eastAsia="zh-CN"/>
              </w:rPr>
              <w:t>建设</w:t>
            </w:r>
            <w:r>
              <w:rPr>
                <w:rFonts w:hint="eastAsia"/>
                <w:color w:val="000000" w:themeColor="text1"/>
                <w:lang w:val="en-US" w:eastAsia="zh-CN"/>
                <w14:textFill>
                  <w14:solidFill>
                    <w14:schemeClr w14:val="tx1"/>
                  </w14:solidFill>
                </w14:textFill>
              </w:rPr>
              <w:t>符合《昌吉回族自治州“三线一单”生态环境分区管控方案及生态环境准入清单》的管控要求。</w:t>
            </w:r>
          </w:p>
          <w:p>
            <w:pPr>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4</w:t>
            </w:r>
            <w:r>
              <w:rPr>
                <w:rFonts w:hint="eastAsia"/>
                <w:b/>
                <w:bCs/>
                <w:color w:val="000000" w:themeColor="text1"/>
                <w:sz w:val="24"/>
                <w:szCs w:val="24"/>
                <w14:textFill>
                  <w14:solidFill>
                    <w14:schemeClr w14:val="tx1"/>
                  </w14:solidFill>
                </w14:textFill>
              </w:rPr>
              <w:t>、与《自治区打赢蓝天保卫战三年行动计划（</w:t>
            </w:r>
            <w:r>
              <w:rPr>
                <w:b/>
                <w:bCs/>
                <w:color w:val="000000" w:themeColor="text1"/>
                <w:sz w:val="24"/>
                <w:szCs w:val="24"/>
                <w14:textFill>
                  <w14:solidFill>
                    <w14:schemeClr w14:val="tx1"/>
                  </w14:solidFill>
                </w14:textFill>
              </w:rPr>
              <w:t>2018-2020</w:t>
            </w:r>
            <w:r>
              <w:rPr>
                <w:rFonts w:hint="eastAsia"/>
                <w:b/>
                <w:bCs/>
                <w:color w:val="000000" w:themeColor="text1"/>
                <w:sz w:val="24"/>
                <w:szCs w:val="24"/>
                <w14:textFill>
                  <w14:solidFill>
                    <w14:schemeClr w14:val="tx1"/>
                  </w14:solidFill>
                </w14:textFill>
              </w:rPr>
              <w:t>）》的符合性分析</w:t>
            </w:r>
          </w:p>
          <w:p>
            <w:pPr>
              <w:spacing w:line="360" w:lineRule="auto"/>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《自治区打赢蓝天保卫战三年行动计划（</w:t>
            </w:r>
            <w:r>
              <w:rPr>
                <w:color w:val="000000" w:themeColor="text1"/>
                <w:sz w:val="24"/>
                <w:szCs w:val="24"/>
                <w14:textFill>
                  <w14:solidFill>
                    <w14:schemeClr w14:val="tx1"/>
                  </w14:solidFill>
                </w14:textFill>
              </w:rPr>
              <w:t>2018-2020</w:t>
            </w:r>
            <w:r>
              <w:rPr>
                <w:rFonts w:hint="eastAsia"/>
                <w:color w:val="000000" w:themeColor="text1"/>
                <w:sz w:val="24"/>
                <w:szCs w:val="24"/>
                <w14:textFill>
                  <w14:solidFill>
                    <w14:schemeClr w14:val="tx1"/>
                  </w14:solidFill>
                </w14:textFill>
              </w:rPr>
              <w:t>）》中提出</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石</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奎</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独</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为重点区域为主战场，以明显降低细颗粒物（</w:t>
            </w:r>
            <w:r>
              <w:rPr>
                <w:color w:val="000000" w:themeColor="text1"/>
                <w:sz w:val="24"/>
                <w:szCs w:val="24"/>
                <w14:textFill>
                  <w14:solidFill>
                    <w14:schemeClr w14:val="tx1"/>
                  </w14:solidFill>
                </w14:textFill>
              </w:rPr>
              <w:t>PM</w:t>
            </w:r>
            <w:r>
              <w:rPr>
                <w:color w:val="000000" w:themeColor="text1"/>
                <w:sz w:val="24"/>
                <w:szCs w:val="24"/>
                <w:vertAlign w:val="subscript"/>
                <w14:textFill>
                  <w14:solidFill>
                    <w14:schemeClr w14:val="tx1"/>
                  </w14:solidFill>
                </w14:textFill>
              </w:rPr>
              <w:t>2.5</w:t>
            </w:r>
            <w:r>
              <w:rPr>
                <w:rFonts w:hint="eastAsia"/>
                <w:color w:val="000000" w:themeColor="text1"/>
                <w:sz w:val="24"/>
                <w:szCs w:val="24"/>
                <w14:textFill>
                  <w14:solidFill>
                    <w14:schemeClr w14:val="tx1"/>
                  </w14:solidFill>
                </w14:textFill>
              </w:rPr>
              <w:t>）浓度为重点，以减少重污染天数为主攻方向，以采暖季为重点时段，持续实施大气污染防治行动。</w:t>
            </w:r>
            <w:r>
              <w:rPr>
                <w:rFonts w:hint="eastAsia"/>
                <w:color w:val="000000" w:themeColor="text1"/>
                <w:sz w:val="24"/>
                <w:szCs w:val="24"/>
                <w:lang w:val="en-US" w:eastAsia="zh-CN"/>
                <w14:textFill>
                  <w14:solidFill>
                    <w14:schemeClr w14:val="tx1"/>
                  </w14:solidFill>
                </w14:textFill>
              </w:rPr>
              <w:t>县级及以上城市建成区原则上不再新建每小时35蒸吨以下的燃煤锅炉，其他地区原则上不再新建每小时10蒸吨以下的燃煤锅炉，</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石</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奎</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独</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乌</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区域各县级及以上城市建成区以及国家级、自治州区级（兵团级）工业园区禁止新建每小时65蒸吨以下燃煤锅炉。</w:t>
            </w:r>
          </w:p>
          <w:p>
            <w:pPr>
              <w:spacing w:line="360" w:lineRule="auto"/>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本项目位于</w:t>
            </w:r>
            <w:r>
              <w:rPr>
                <w:rFonts w:hint="eastAsia"/>
                <w:color w:val="000000" w:themeColor="text1"/>
                <w:lang w:val="en-US" w:eastAsia="zh-CN"/>
                <w14:textFill>
                  <w14:solidFill>
                    <w14:schemeClr w14:val="tx1"/>
                  </w14:solidFill>
                </w14:textFill>
              </w:rPr>
              <w:t>吉木萨尔县老台乡西地中沟村，不在“乌-昌-石”“奎-独-乌”重点区域内，不在吉木萨尔县城市建成区。故项目新增</w:t>
            </w:r>
            <w:r>
              <w:rPr>
                <w:rFonts w:hint="eastAsia" w:cs="Times New Roman"/>
                <w:color w:val="000000" w:themeColor="text1"/>
                <w:lang w:val="en-US" w:eastAsia="zh-CN"/>
                <w14:textFill>
                  <w14:solidFill>
                    <w14:schemeClr w14:val="tx1"/>
                  </w14:solidFill>
                </w14:textFill>
              </w:rPr>
              <w:t>14.7MW（21t/h）</w:t>
            </w:r>
            <w:r>
              <w:rPr>
                <w:rFonts w:hint="eastAsia"/>
                <w:color w:val="000000" w:themeColor="text1"/>
                <w:lang w:val="en-US" w:eastAsia="zh-CN"/>
                <w14:textFill>
                  <w14:solidFill>
                    <w14:schemeClr w14:val="tx1"/>
                  </w14:solidFill>
                </w14:textFill>
              </w:rPr>
              <w:t>生物质热风炉是符合</w:t>
            </w:r>
            <w:r>
              <w:rPr>
                <w:rFonts w:hint="eastAsia"/>
                <w:color w:val="000000" w:themeColor="text1"/>
                <w:sz w:val="24"/>
                <w:szCs w:val="24"/>
                <w14:textFill>
                  <w14:solidFill>
                    <w14:schemeClr w14:val="tx1"/>
                  </w14:solidFill>
                </w14:textFill>
              </w:rPr>
              <w:t>《自治区打赢蓝天保卫战三年行动计划（</w:t>
            </w:r>
            <w:r>
              <w:rPr>
                <w:color w:val="000000" w:themeColor="text1"/>
                <w:sz w:val="24"/>
                <w:szCs w:val="24"/>
                <w14:textFill>
                  <w14:solidFill>
                    <w14:schemeClr w14:val="tx1"/>
                  </w14:solidFill>
                </w14:textFill>
              </w:rPr>
              <w:t>2018-2020</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相关规定的。</w:t>
            </w:r>
          </w:p>
          <w:p>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本项目为</w:t>
            </w:r>
            <w:r>
              <w:rPr>
                <w:rFonts w:hint="eastAsia"/>
                <w:color w:val="000000" w:themeColor="text1"/>
                <w:sz w:val="24"/>
                <w:szCs w:val="24"/>
                <w:lang w:eastAsia="zh-CN"/>
                <w14:textFill>
                  <w14:solidFill>
                    <w14:schemeClr w14:val="tx1"/>
                  </w14:solidFill>
                </w14:textFill>
              </w:rPr>
              <w:t>玉米烘干项目</w:t>
            </w:r>
            <w:r>
              <w:rPr>
                <w:rFonts w:hint="eastAsia"/>
                <w:color w:val="000000" w:themeColor="text1"/>
                <w:sz w:val="24"/>
                <w:szCs w:val="24"/>
                <w14:textFill>
                  <w14:solidFill>
                    <w14:schemeClr w14:val="tx1"/>
                  </w14:solidFill>
                </w14:textFill>
              </w:rPr>
              <w:t>，生产过程仅消耗少量电能、水资源、热蒸汽，故不属于</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三高项目</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，符合行业准入条件，不属于落后产能和过剩产能，采取相应治理措施后，大气污染物均可达标排放，</w:t>
            </w:r>
            <w:r>
              <w:rPr>
                <w:rFonts w:hint="eastAsia"/>
                <w:color w:val="000000" w:themeColor="text1"/>
                <w:sz w:val="24"/>
                <w:szCs w:val="24"/>
                <w:lang w:val="en-US" w:eastAsia="zh-CN"/>
                <w14:textFill>
                  <w14:solidFill>
                    <w14:schemeClr w14:val="tx1"/>
                  </w14:solidFill>
                </w14:textFill>
              </w:rPr>
              <w:t>生物质</w:t>
            </w:r>
            <w:r>
              <w:rPr>
                <w:rFonts w:hint="eastAsia"/>
                <w:color w:val="000000" w:themeColor="text1"/>
                <w:sz w:val="24"/>
                <w:szCs w:val="24"/>
                <w14:textFill>
                  <w14:solidFill>
                    <w14:schemeClr w14:val="tx1"/>
                  </w14:solidFill>
                </w14:textFill>
              </w:rPr>
              <w:t>热风炉吨位为</w:t>
            </w:r>
            <w:r>
              <w:rPr>
                <w:rFonts w:hint="eastAsia" w:cs="Times New Roman"/>
                <w:color w:val="000000" w:themeColor="text1"/>
                <w:lang w:val="en-US" w:eastAsia="zh-CN"/>
                <w14:textFill>
                  <w14:solidFill>
                    <w14:schemeClr w14:val="tx1"/>
                  </w14:solidFill>
                </w14:textFill>
              </w:rPr>
              <w:t>14.7MW（21t/h）</w:t>
            </w:r>
            <w:r>
              <w:rPr>
                <w:rFonts w:hint="eastAsia"/>
                <w:color w:val="000000" w:themeColor="text1"/>
                <w:sz w:val="24"/>
                <w:szCs w:val="24"/>
                <w14:textFill>
                  <w14:solidFill>
                    <w14:schemeClr w14:val="tx1"/>
                  </w14:solidFill>
                </w14:textFill>
              </w:rPr>
              <w:t>，采用优质</w:t>
            </w:r>
            <w:r>
              <w:rPr>
                <w:rFonts w:hint="eastAsia"/>
                <w:color w:val="000000" w:themeColor="text1"/>
                <w:sz w:val="24"/>
                <w:szCs w:val="24"/>
                <w:lang w:val="en-US" w:eastAsia="zh-CN"/>
                <w14:textFill>
                  <w14:solidFill>
                    <w14:schemeClr w14:val="tx1"/>
                  </w14:solidFill>
                </w14:textFill>
              </w:rPr>
              <w:t>生物质燃料</w:t>
            </w:r>
            <w:r>
              <w:rPr>
                <w:rFonts w:hint="eastAsia"/>
                <w:color w:val="000000" w:themeColor="text1"/>
                <w:sz w:val="24"/>
                <w:szCs w:val="24"/>
                <w14:textFill>
                  <w14:solidFill>
                    <w14:schemeClr w14:val="tx1"/>
                  </w14:solidFill>
                </w14:textFill>
              </w:rPr>
              <w:t>，故本项目的实施符合《自治区打赢蓝天保卫战三年行动计划（</w:t>
            </w:r>
            <w:r>
              <w:rPr>
                <w:color w:val="000000" w:themeColor="text1"/>
                <w:sz w:val="24"/>
                <w:szCs w:val="24"/>
                <w14:textFill>
                  <w14:solidFill>
                    <w14:schemeClr w14:val="tx1"/>
                  </w14:solidFill>
                </w14:textFill>
              </w:rPr>
              <w:t>2018-2020</w:t>
            </w:r>
            <w:r>
              <w:rPr>
                <w:rFonts w:hint="eastAsia"/>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ind w:left="0" w:right="0" w:firstLine="482"/>
              <w:rPr>
                <w:rFonts w:hint="eastAsia"/>
                <w:b/>
                <w:bCs/>
                <w:color w:val="000000" w:themeColor="text1"/>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5、与</w:t>
            </w:r>
            <w:r>
              <w:rPr>
                <w:rFonts w:hint="eastAsia"/>
                <w:b/>
                <w:bCs/>
                <w:color w:val="000000" w:themeColor="text1"/>
                <w:lang w:val="en-US" w:eastAsia="zh-CN"/>
                <w14:textFill>
                  <w14:solidFill>
                    <w14:schemeClr w14:val="tx1"/>
                  </w14:solidFill>
                </w14:textFill>
              </w:rPr>
              <w:t>《新疆维吾尔自治区大气污染防治行动计划实施方案》符合性分析</w:t>
            </w:r>
          </w:p>
          <w:p>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《新疆维吾尔自治区大气污染防治行动计划实施方案》总目标为：</w:t>
            </w:r>
            <w:r>
              <w:rPr>
                <w:rFonts w:hint="eastAsia"/>
                <w:color w:val="000000" w:themeColor="text1"/>
                <w14:textFill>
                  <w14:solidFill>
                    <w14:schemeClr w14:val="tx1"/>
                  </w14:solidFill>
                </w14:textFill>
              </w:rPr>
              <w:t>到2017年实现全区城市空气质量总体改善，其中</w:t>
            </w:r>
            <w:r>
              <w:rPr>
                <w:rFonts w:hint="eastAsia"/>
                <w:color w:val="000000" w:themeColor="text1"/>
                <w:lang w:eastAsia="zh-CN"/>
                <w14:textFill>
                  <w14:solidFill>
                    <w14:schemeClr w14:val="tx1"/>
                  </w14:solidFill>
                </w14:textFill>
              </w:rPr>
              <w:t>富蕴县</w:t>
            </w:r>
            <w:r>
              <w:rPr>
                <w:rFonts w:hint="eastAsia"/>
                <w:color w:val="000000" w:themeColor="text1"/>
                <w14:textFill>
                  <w14:solidFill>
                    <w14:schemeClr w14:val="tx1"/>
                  </w14:solidFill>
                </w14:textFill>
              </w:rPr>
              <w:t>等重点城市重污染天气大幅度减少，空气质量明显好转；其他城市空气质量逐步改善。力争再用五年或更长时间，基本消除重污染天气，全区城市空气质量明显改善。</w:t>
            </w:r>
          </w:p>
          <w:p>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具体指标为：</w:t>
            </w:r>
            <w:r>
              <w:rPr>
                <w:rFonts w:hint="eastAsia"/>
                <w:color w:val="000000" w:themeColor="text1"/>
                <w14:textFill>
                  <w14:solidFill>
                    <w14:schemeClr w14:val="tx1"/>
                  </w14:solidFill>
                </w14:textFill>
              </w:rPr>
              <w:t>到2017年，</w:t>
            </w:r>
            <w:r>
              <w:rPr>
                <w:rFonts w:hint="eastAsia"/>
                <w:color w:val="000000" w:themeColor="text1"/>
                <w:lang w:eastAsia="zh-CN"/>
                <w14:textFill>
                  <w14:solidFill>
                    <w14:schemeClr w14:val="tx1"/>
                  </w14:solidFill>
                </w14:textFill>
              </w:rPr>
              <w:t>富蕴县</w:t>
            </w:r>
            <w:r>
              <w:rPr>
                <w:rFonts w:hint="eastAsia"/>
                <w:color w:val="000000" w:themeColor="text1"/>
                <w14:textFill>
                  <w14:solidFill>
                    <w14:schemeClr w14:val="tx1"/>
                  </w14:solidFill>
                </w14:textFill>
              </w:rPr>
              <w:t>可吸入颗粒物浓度比2012年下降25%以上，昌吉市、阜康市、五家渠市、奎屯市可吸入颗粒物浓度比2012年下降10%以上，乌苏市、石河子市、伊宁市、和田市、喀什市、阿克苏市、阿图什市、库尔勒市、吐鲁番市、哈密市可吸入颗粒物浓度比2012年下降5%，克拉玛依市、塔城市、博乐市、阿勒泰市可吸入颗粒物浓度保持2012年水平。</w:t>
            </w:r>
          </w:p>
          <w:p>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《新疆维吾尔自治区大气污染防治行动计划实施方案》提出要</w:t>
            </w:r>
            <w:r>
              <w:rPr>
                <w:rFonts w:hint="eastAsia"/>
                <w:color w:val="000000" w:themeColor="text1"/>
                <w14:textFill>
                  <w14:solidFill>
                    <w14:schemeClr w14:val="tx1"/>
                  </w14:solidFill>
                </w14:textFill>
              </w:rPr>
              <w:t>推进重点区域大气污染联防联控</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提高重点区域污染防治水平</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本项目为玉米烘干厂建设项目，生物质热风炉烟气通过脱硝、除尘、脱硫措施后，通过45m高烟囱达标排放，运营过程中产生的废水通过沉淀回用，生活污水</w:t>
            </w:r>
            <w:r>
              <w:rPr>
                <w:rFonts w:hint="eastAsia"/>
                <w:lang w:val="en-US" w:eastAsia="zh-CN"/>
              </w:rPr>
              <w:t>排入化粪池，抽运至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进行后续处理，故项目的建设符合《新疆维吾尔自治区大气污染防治行动计划实施方案》。</w:t>
            </w:r>
          </w:p>
          <w:p>
            <w:pPr>
              <w:bidi w:val="0"/>
              <w:rPr>
                <w:rFonts w:hint="default"/>
                <w:b/>
                <w:bCs/>
                <w:lang w:val="en-US" w:eastAsia="zh-CN"/>
              </w:rPr>
            </w:pPr>
            <w:r>
              <w:rPr>
                <w:rFonts w:hint="eastAsia"/>
                <w:b/>
                <w:bCs/>
                <w:lang w:val="en-US" w:eastAsia="zh-CN"/>
              </w:rPr>
              <w:t>6、</w:t>
            </w:r>
            <w:r>
              <w:rPr>
                <w:rFonts w:hint="default"/>
                <w:b/>
                <w:bCs/>
                <w:lang w:val="en-US" w:eastAsia="zh-CN"/>
              </w:rPr>
              <w:t>与</w:t>
            </w:r>
            <w:r>
              <w:rPr>
                <w:rFonts w:hint="eastAsia"/>
                <w:b/>
                <w:bCs/>
              </w:rPr>
              <w:t>《新疆生态环境保护“十四五”规划》</w:t>
            </w:r>
            <w:r>
              <w:rPr>
                <w:rFonts w:hint="default"/>
                <w:b/>
                <w:bCs/>
                <w:lang w:val="en-US" w:eastAsia="zh-CN"/>
              </w:rPr>
              <w:t>符合性分析</w:t>
            </w:r>
          </w:p>
          <w:p>
            <w:pPr>
              <w:bidi w:val="0"/>
              <w:rPr>
                <w:rFonts w:hint="default"/>
                <w:lang w:val="en-US" w:eastAsia="zh-CN"/>
              </w:rPr>
            </w:pPr>
            <w:r>
              <w:rPr>
                <w:rFonts w:hint="eastAsia"/>
              </w:rPr>
              <w:t>《新疆生态环境保护“十四五”规划》</w:t>
            </w:r>
            <w:r>
              <w:rPr>
                <w:rFonts w:hint="eastAsia"/>
                <w:lang w:val="en-US" w:eastAsia="zh-CN"/>
              </w:rPr>
              <w:t>中提出“</w:t>
            </w:r>
            <w:r>
              <w:rPr>
                <w:rFonts w:hint="default"/>
                <w:lang w:val="en-US" w:eastAsia="zh-CN"/>
              </w:rPr>
              <w:t>加大燃煤燃气锅炉整治力度</w:t>
            </w:r>
            <w:r>
              <w:rPr>
                <w:rFonts w:hint="eastAsia"/>
                <w:lang w:val="en-US" w:eastAsia="zh-CN"/>
              </w:rPr>
              <w:t>”：</w:t>
            </w:r>
          </w:p>
          <w:p>
            <w:pPr>
              <w:bidi w:val="0"/>
              <w:rPr>
                <w:rFonts w:hint="eastAsia"/>
              </w:rPr>
            </w:pPr>
            <w:r>
              <w:rPr>
                <w:rFonts w:hint="eastAsia"/>
                <w:lang w:val="en-US" w:eastAsia="zh-CN"/>
              </w:rPr>
              <w:t>第三章第三节</w:t>
            </w:r>
            <w:r>
              <w:rPr>
                <w:rFonts w:hint="default"/>
              </w:rPr>
              <w:t>建设清洁低碳能源体系</w:t>
            </w:r>
            <w:r>
              <w:rPr>
                <w:rFonts w:hint="eastAsia"/>
                <w:lang w:val="en-US" w:eastAsia="zh-CN"/>
              </w:rPr>
              <w:t>：</w:t>
            </w:r>
            <w:r>
              <w:rPr>
                <w:rFonts w:hint="eastAsia"/>
              </w:rPr>
              <w:t>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pPr>
              <w:bidi w:val="0"/>
              <w:rPr>
                <w:rFonts w:hint="default"/>
                <w:lang w:val="en-US" w:eastAsia="zh-CN"/>
              </w:rPr>
            </w:pPr>
            <w:r>
              <w:rPr>
                <w:rFonts w:hint="eastAsia"/>
                <w:lang w:val="en-US" w:eastAsia="zh-CN"/>
              </w:rPr>
              <w:t>第五章第二节</w:t>
            </w:r>
            <w:r>
              <w:rPr>
                <w:rFonts w:hint="default"/>
              </w:rPr>
              <w:t>分区施策改善区域大气环境</w:t>
            </w:r>
            <w:r>
              <w:rPr>
                <w:rFonts w:hint="eastAsia"/>
                <w:lang w:eastAsia="zh-CN"/>
              </w:rPr>
              <w:t>：</w:t>
            </w:r>
            <w:r>
              <w:rPr>
                <w:rFonts w:hint="eastAsia"/>
              </w:rPr>
              <w:t>深入推进重点区域大气污染治理。深入推进“乌—昌—石”“奎—独—乌”和伊宁市及周边区域大气污染治理，加快推进“乌—昌—石”区域城市细颗粒物和臭氧协同防控“一市一策”驻点跟踪研究工作。强化区域大气污染联防联控，合理确定产业布局，推动区域内统一产业准入和排放标准。实施钢铁、水泥、焦化等行业季节性生产调控措施，推进散煤整治、挥发性有机污染物（以下简称“VOCs”）综合治理、钢铁、水泥、焦化和燃煤工业锅炉行业超低排放改造、燃气锅炉低氮燃烧改造、工业园区内轨道运输（大宗货物“公转铁”）、柴油货车治理、锅炉炉窑综合治理等工程项目。全面推行绿色施工，持续推动城市建成区重污染企业搬迁或关闭退出。</w:t>
            </w:r>
            <w:r>
              <w:rPr>
                <w:rFonts w:hint="default"/>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jc w:val="both"/>
              <w:textAlignment w:val="auto"/>
              <w:outlineLvl w:val="9"/>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本项目属</w:t>
            </w:r>
            <w:r>
              <w:rPr>
                <w:rFonts w:hint="default" w:ascii="Times New Roman" w:hAnsi="Times New Roman" w:cs="Times New Roman"/>
                <w:color w:val="000000" w:themeColor="text1"/>
                <w:lang w:val="en-US" w:eastAsia="zh-CN"/>
                <w14:textFill>
                  <w14:solidFill>
                    <w14:schemeClr w14:val="tx1"/>
                  </w14:solidFill>
                </w14:textFill>
              </w:rPr>
              <w:t>于</w:t>
            </w:r>
            <w:r>
              <w:rPr>
                <w:rFonts w:hint="eastAsia" w:cs="Times New Roman"/>
                <w:color w:val="000000" w:themeColor="text1"/>
                <w:lang w:val="en-US" w:eastAsia="zh-CN"/>
                <w14:textFill>
                  <w14:solidFill>
                    <w14:schemeClr w14:val="tx1"/>
                  </w14:solidFill>
                </w14:textFill>
              </w:rPr>
              <w:t>玉米种植配套的烘干厂建设项目，</w:t>
            </w:r>
            <w:r>
              <w:rPr>
                <w:rFonts w:hint="eastAsia" w:ascii="Times New Roman" w:hAnsi="Times New Roman" w:cs="Times New Roman"/>
                <w:color w:val="000000" w:themeColor="text1"/>
                <w:lang w:val="en-US" w:eastAsia="zh-CN"/>
                <w14:textFill>
                  <w14:solidFill>
                    <w14:schemeClr w14:val="tx1"/>
                  </w14:solidFill>
                </w14:textFill>
              </w:rPr>
              <w:t>且所处地区不属于</w:t>
            </w:r>
            <w:r>
              <w:rPr>
                <w:rFonts w:hint="eastAsia" w:cs="Times New Roman"/>
                <w:color w:val="000000" w:themeColor="text1"/>
                <w:lang w:val="en-US" w:eastAsia="zh-CN"/>
                <w14:textFill>
                  <w14:solidFill>
                    <w14:schemeClr w14:val="tx1"/>
                  </w14:solidFill>
                </w14:textFill>
              </w:rPr>
              <w:t>城市建成区</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热源为14.7MW（21t/h）生物质热风炉</w:t>
            </w:r>
            <w:r>
              <w:rPr>
                <w:rFonts w:hint="eastAsia" w:ascii="Times New Roman" w:hAnsi="Times New Roman" w:cs="Times New Roman"/>
                <w:color w:val="000000" w:themeColor="text1"/>
                <w:lang w:val="en-US" w:eastAsia="zh-CN"/>
                <w14:textFill>
                  <w14:solidFill>
                    <w14:schemeClr w14:val="tx1"/>
                  </w14:solidFill>
                </w14:textFill>
              </w:rPr>
              <w:t>，不属于禁止或淘汰锅炉吨位，且采取高效治理措施</w:t>
            </w:r>
            <w:r>
              <w:rPr>
                <w:rFonts w:hint="eastAsia" w:cs="Times New Roman"/>
                <w:color w:val="000000" w:themeColor="text1"/>
                <w:lang w:val="en-US" w:eastAsia="zh-CN"/>
                <w14:textFill>
                  <w14:solidFill>
                    <w14:schemeClr w14:val="tx1"/>
                  </w14:solidFill>
                </w14:textFill>
              </w:rPr>
              <w:t>，符合新疆环境保护规划的要求。</w:t>
            </w:r>
          </w:p>
          <w:p>
            <w:pPr>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7、选址合理性分析</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w:t>
            </w:r>
            <w:r>
              <w:rPr>
                <w:rFonts w:hint="default"/>
                <w:color w:val="000000" w:themeColor="text1"/>
                <w14:textFill>
                  <w14:solidFill>
                    <w14:schemeClr w14:val="tx1"/>
                  </w14:solidFill>
                </w14:textFill>
              </w:rPr>
              <w:t>场地现为</w:t>
            </w:r>
            <w:r>
              <w:rPr>
                <w:rFonts w:hint="eastAsia"/>
                <w:color w:val="0000FF"/>
                <w:lang w:val="en-US" w:eastAsia="zh-CN"/>
              </w:rPr>
              <w:t>设施农用地</w:t>
            </w:r>
            <w:r>
              <w:rPr>
                <w:rFonts w:hint="default"/>
                <w:color w:val="000000" w:themeColor="text1"/>
                <w14:textFill>
                  <w14:solidFill>
                    <w14:schemeClr w14:val="tx1"/>
                  </w14:solidFill>
                </w14:textFill>
              </w:rPr>
              <w:t>，地势平坦，微地貌变化不大。场地无不良地质现象存在，也没有大的活动性构造通过，场地区域稳定性较好，属于可进行工程建设的一般型场地，工程地质条件较好。</w:t>
            </w:r>
          </w:p>
          <w:p>
            <w:pPr>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本项目不在水源保护区、居民集中区，基本农田保护区内，项目所在区域内无重要环境敏感点，条件优越，厂址符合土地用途管理和规划功能要求，且交通十分便利。故项目选址可行。</w:t>
            </w:r>
            <w:r>
              <w:rPr>
                <w:rFonts w:hint="eastAsia"/>
                <w:color w:val="000000" w:themeColor="text1"/>
                <w:lang w:val="en-US" w:eastAsia="zh-CN"/>
                <w14:textFill>
                  <w14:solidFill>
                    <w14:schemeClr w14:val="tx1"/>
                  </w14:solidFill>
                </w14:textFill>
              </w:rPr>
              <w:t>项目的选址取得了土地管理部门的审批，项目用地文件详见附件3。</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项目所在地为用地性质为</w:t>
            </w:r>
            <w:r>
              <w:rPr>
                <w:rFonts w:hint="eastAsia"/>
                <w:color w:val="0000FF"/>
                <w:lang w:val="en-US" w:eastAsia="zh-CN"/>
              </w:rPr>
              <w:t>设施农用地</w:t>
            </w:r>
            <w:r>
              <w:rPr>
                <w:rFonts w:hint="default"/>
                <w:color w:val="000000" w:themeColor="text1"/>
                <w14:textFill>
                  <w14:solidFill>
                    <w14:schemeClr w14:val="tx1"/>
                  </w14:solidFill>
                </w14:textFill>
              </w:rPr>
              <w:t>，</w:t>
            </w:r>
            <w:r>
              <w:rPr>
                <w:rFonts w:hint="eastAsia"/>
                <w:color w:val="0000FF"/>
                <w:lang w:val="en-US" w:eastAsia="zh-CN"/>
              </w:rPr>
              <w:t>项目周边500m范围无居民区，</w:t>
            </w:r>
            <w:r>
              <w:rPr>
                <w:rFonts w:hint="default"/>
                <w:color w:val="000000" w:themeColor="text1"/>
                <w14:textFill>
                  <w14:solidFill>
                    <w14:schemeClr w14:val="tx1"/>
                  </w14:solidFill>
                </w14:textFill>
              </w:rPr>
              <w:t>行业类别符合规划的产业准入条件，本项目非“三高”项目，污染源</w:t>
            </w:r>
            <w:r>
              <w:rPr>
                <w:rFonts w:hint="eastAsia"/>
                <w:color w:val="000000" w:themeColor="text1"/>
                <w:lang w:val="en-US" w:eastAsia="zh-CN"/>
                <w14:textFill>
                  <w14:solidFill>
                    <w14:schemeClr w14:val="tx1"/>
                  </w14:solidFill>
                </w14:textFill>
              </w:rPr>
              <w:t>采取相应污染防治措施后</w:t>
            </w:r>
            <w:r>
              <w:rPr>
                <w:rFonts w:hint="default"/>
                <w:color w:val="000000" w:themeColor="text1"/>
                <w14:textFill>
                  <w14:solidFill>
                    <w14:schemeClr w14:val="tx1"/>
                  </w14:solidFill>
                </w14:textFill>
              </w:rPr>
              <w:t>可实现稳定达标排放，故项目的建设符合</w:t>
            </w:r>
            <w:r>
              <w:rPr>
                <w:rFonts w:hint="eastAsia"/>
                <w:color w:val="000000" w:themeColor="text1"/>
                <w:lang w:val="en-US" w:eastAsia="zh-CN"/>
                <w14:textFill>
                  <w14:solidFill>
                    <w14:schemeClr w14:val="tx1"/>
                  </w14:solidFill>
                </w14:textFill>
              </w:rPr>
              <w:t>吉木萨尔县</w:t>
            </w:r>
            <w:r>
              <w:rPr>
                <w:rFonts w:hint="default"/>
                <w:color w:val="000000" w:themeColor="text1"/>
                <w14:textFill>
                  <w14:solidFill>
                    <w14:schemeClr w14:val="tx1"/>
                  </w14:solidFill>
                </w14:textFill>
              </w:rPr>
              <w:t>的规划。</w:t>
            </w:r>
          </w:p>
          <w:p>
            <w:pPr>
              <w:bidi w:val="0"/>
              <w:rPr>
                <w:rFonts w:hint="default" w:eastAsia="宋体"/>
                <w:color w:val="0000FF"/>
                <w:lang w:val="en-US" w:eastAsia="zh-CN"/>
              </w:rPr>
            </w:pPr>
            <w:r>
              <w:rPr>
                <w:rFonts w:hint="eastAsia"/>
                <w:color w:val="0000FF"/>
                <w:lang w:val="en-US" w:eastAsia="zh-CN"/>
              </w:rPr>
              <w:t>项目的建设位于吉木萨尔县规划的中部平原产业发展轴上，主要是要充分发挥老台乡的农业优势，充分发展老台乡的农业，本项目为玉米烘干项目，是老台乡农业发展的重要组成部分。选址是符合《吉木萨尔县国土空间总体规划（2021~2035年）》的。</w:t>
            </w:r>
          </w:p>
          <w:p>
            <w:pPr>
              <w:bidi w:val="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项目建成后，</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三废</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污染可以控制在较小的程度，对周边环境影响较小，不会改变区域现有环境功能，从环保角度考虑，本项目选址是可行的。</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8、</w:t>
            </w:r>
            <w:r>
              <w:rPr>
                <w:rFonts w:hint="default"/>
                <w:b/>
                <w:bCs/>
                <w:color w:val="000000" w:themeColor="text1"/>
                <w:lang w:val="en-US" w:eastAsia="zh-CN"/>
                <w14:textFill>
                  <w14:solidFill>
                    <w14:schemeClr w14:val="tx1"/>
                  </w14:solidFill>
                </w14:textFill>
              </w:rPr>
              <w:t>与</w:t>
            </w:r>
            <w:r>
              <w:rPr>
                <w:rFonts w:hint="default"/>
                <w:b/>
                <w:bCs/>
                <w:color w:val="000000" w:themeColor="text1"/>
                <w14:textFill>
                  <w14:solidFill>
                    <w14:schemeClr w14:val="tx1"/>
                  </w14:solidFill>
                </w14:textFill>
              </w:rPr>
              <w:t>《关于落实大气污染防治行动计划严格环境影响评价准入的通知》</w:t>
            </w:r>
            <w:r>
              <w:rPr>
                <w:rFonts w:hint="default"/>
                <w:b/>
                <w:bCs/>
                <w:color w:val="000000" w:themeColor="text1"/>
                <w:lang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环办〔2014〕30号</w:t>
            </w:r>
            <w:r>
              <w:rPr>
                <w:rFonts w:hint="default"/>
                <w:b/>
                <w:bCs/>
                <w:color w:val="000000" w:themeColor="text1"/>
                <w:lang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符合性分析</w:t>
            </w:r>
          </w:p>
          <w:p>
            <w:pPr>
              <w:keepNext w:val="0"/>
              <w:keepLines w:val="0"/>
              <w:suppressLineNumbers w:val="0"/>
              <w:bidi w:val="0"/>
              <w:spacing w:before="0" w:beforeAutospacing="0" w:after="0" w:afterAutospacing="0"/>
              <w:ind w:left="0" w:right="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关于落实大气污染防治行动计划严格环境影响评价准入的通知》</w:t>
            </w:r>
            <w:r>
              <w:rPr>
                <w:rFonts w:hint="eastAsia"/>
                <w:color w:val="000000" w:themeColor="text1"/>
                <w:lang w:val="en-US" w:eastAsia="zh-CN"/>
                <w14:textFill>
                  <w14:solidFill>
                    <w14:schemeClr w14:val="tx1"/>
                  </w14:solidFill>
                </w14:textFill>
              </w:rPr>
              <w:t>中与本项目相关的主要有：</w:t>
            </w:r>
            <w:r>
              <w:rPr>
                <w:rFonts w:hint="eastAsia"/>
                <w:color w:val="000000" w:themeColor="text1"/>
                <w14:textFill>
                  <w14:solidFill>
                    <w14:schemeClr w14:val="tx1"/>
                  </w14:solidFill>
                </w14:textFill>
              </w:rPr>
              <w:t>（一）火电、钢铁、水泥、有色、石化、化工和燃煤锅炉项目，必须采用清洁生产工艺，配套建设高效脱硫、脱硝、除尘设施。（二）重点控制区新建火电、钢铁、石化、水泥、有色、化工以及燃煤锅炉项目，必须执行大气污染物特别排放限值。（三）不得受理地级及以上城市建成区每小时20蒸吨以下及其他地区每小时10蒸吨以下的燃煤锅炉项目。（</w:t>
            </w:r>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）排放二氧化硫、氮氧化物、烟粉尘和挥发性有机污染物的项目，必须落实相关污染物总量减排方案，上一年度环境空气质量相关污染物年平均浓度不达标的城市，应进行倍量削减替代。</w:t>
            </w:r>
          </w:p>
          <w:p>
            <w:pPr>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本项目区不属于重点控制区，不属于吉木萨尔县的城市建成区，落实总量控制，采用的热风炉吨位为</w:t>
            </w:r>
            <w:r>
              <w:rPr>
                <w:rFonts w:hint="eastAsia" w:cs="Times New Roman"/>
                <w:color w:val="000000" w:themeColor="text1"/>
                <w:lang w:val="en-US" w:eastAsia="zh-CN"/>
                <w14:textFill>
                  <w14:solidFill>
                    <w14:schemeClr w14:val="tx1"/>
                  </w14:solidFill>
                </w14:textFill>
              </w:rPr>
              <w:t>14.7MW（21t/h），燃料为吉木萨尔县本地生产的生物质燃料，配套设置了高效的脱硫（钙钠双碱法）、脱硝（SNCR+低氮燃烧）、除尘（布袋除尘器）+45m高</w:t>
            </w:r>
            <w:r>
              <w:rPr>
                <w:rFonts w:hint="eastAsia"/>
                <w:color w:val="000000" w:themeColor="text1"/>
                <w:lang w:val="en-US" w:eastAsia="zh-CN"/>
                <w14:textFill>
                  <w14:solidFill>
                    <w14:schemeClr w14:val="tx1"/>
                  </w14:solidFill>
                </w14:textFill>
              </w:rPr>
              <w:t>烟囱</w:t>
            </w:r>
            <w:r>
              <w:rPr>
                <w:rFonts w:hint="eastAsia" w:cs="Times New Roman"/>
                <w:color w:val="000000" w:themeColor="text1"/>
                <w:lang w:val="en-US" w:eastAsia="zh-CN"/>
                <w14:textFill>
                  <w14:solidFill>
                    <w14:schemeClr w14:val="tx1"/>
                  </w14:solidFill>
                </w14:textFill>
              </w:rPr>
              <w:t>，可保证热风炉燃烧废气达标排放。综上，项目的建设是符合</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关于落实大气污染防治行动计划严格环境影响评价准入的通知》</w:t>
            </w:r>
            <w:r>
              <w:rPr>
                <w:rFonts w:hint="eastAsia"/>
                <w:color w:val="000000" w:themeColor="text1"/>
                <w:lang w:val="en-US" w:eastAsia="zh-CN"/>
                <w14:textFill>
                  <w14:solidFill>
                    <w14:schemeClr w14:val="tx1"/>
                  </w14:solidFill>
                </w14:textFill>
              </w:rPr>
              <w:t>中相关要求的。</w:t>
            </w:r>
          </w:p>
          <w:p>
            <w:pPr>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综上所述，本项目符合相关法律法规、产业政策、相关环保行动计划与意见，选址合理，平面布局合理，项目从环保角度来看，是可行的。</w:t>
            </w:r>
          </w:p>
          <w:p>
            <w:pPr>
              <w:spacing w:line="360" w:lineRule="auto"/>
              <w:ind w:firstLine="482" w:firstLineChars="20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9、项目建设生物质热风炉的符合性分析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根据中华人民共和国生态环境部部长信箱关于《关于生物质成型燃料是否真的为高污染燃料的回复意见》可知：</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物质成型燃料含硫量低、灰分低，燃烧后主要的污染物是烟尘。配置高效的布袋除尘器的生物质锅炉在正常运行时，可以达到《锅炉大气污染物排放标准》（GB13271-2014）的排放标准，是一种可再生能源，国家各部门都在积极推进生物质成型燃料的开发和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为有效推动生物质成型燃料的使用，发改委、国家能源局与</w:t>
            </w:r>
            <w:r>
              <w:rPr>
                <w:rFonts w:hint="eastAsia" w:ascii="Times New Roman" w:hAnsi="Times New Roman" w:cs="Times New Roman"/>
                <w:sz w:val="24"/>
                <w:szCs w:val="24"/>
                <w:lang w:val="en-US" w:eastAsia="zh-CN"/>
              </w:rPr>
              <w:t>生态环境部（原环境保护部）</w:t>
            </w:r>
            <w:r>
              <w:rPr>
                <w:rFonts w:hint="default" w:ascii="Times New Roman" w:hAnsi="Times New Roman" w:eastAsia="宋体" w:cs="Times New Roman"/>
                <w:sz w:val="24"/>
                <w:szCs w:val="24"/>
                <w:lang w:val="en-US" w:eastAsia="zh-CN"/>
              </w:rPr>
              <w:t>联合发布《关于印发能源行业加强大气污染防治工作方案的通知》（发改新能[2014]506号），通知要求：2015年，全国生物质能利用规模5000万吨标煤；2017年生物质能利用规模7000万吨标煤。重点推动生物质热电联产综合利用，加快生物质能供热应用，2017年，实现生物质固体成型燃料利用量超过1500万吨。2017年底前，每年新增生物质能供热面积350万平方米，每年新增生物质能工业供热利用量150万吨标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此外，</w:t>
            </w:r>
            <w:r>
              <w:rPr>
                <w:rFonts w:hint="eastAsia" w:ascii="Times New Roman" w:hAnsi="Times New Roman" w:cs="Times New Roman"/>
                <w:sz w:val="24"/>
                <w:szCs w:val="24"/>
                <w:lang w:val="en-US" w:eastAsia="zh-CN"/>
              </w:rPr>
              <w:t>生态环境部（原环境保护部）</w:t>
            </w:r>
            <w:r>
              <w:rPr>
                <w:rFonts w:hint="default" w:ascii="Times New Roman" w:hAnsi="Times New Roman" w:eastAsia="宋体" w:cs="Times New Roman"/>
                <w:sz w:val="24"/>
                <w:szCs w:val="24"/>
                <w:lang w:val="en-US" w:eastAsia="zh-CN"/>
              </w:rPr>
              <w:t>联合国家能源局发布《关于开展生物质成型燃料锅炉供热示范项目建设的通知》(国能新能[2014]295号)和《关于加强生物质成型燃料锅炉供热示范项目建设管理工作有关要求的通知》(国能新能[2014]520号)，文件中明确指出：生物质成型燃料锅炉供热是绿色低碳环保经济的分布式可再生能源，是替代化石能源供热，防治大气污染的重要措施，也可以构建城镇可再生能源体系，文件对生物质成型燃料和锅炉等内容做出了明确规定。</w:t>
            </w:r>
          </w:p>
          <w:p>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FF"/>
                <w:sz w:val="24"/>
                <w:lang w:val="en-US" w:eastAsia="zh-CN"/>
              </w:rPr>
              <w:t>根据</w:t>
            </w:r>
            <w:r>
              <w:rPr>
                <w:rFonts w:hint="eastAsia" w:ascii="Times New Roman" w:hAnsi="Times New Roman" w:cs="Times New Roman"/>
                <w:sz w:val="24"/>
                <w:szCs w:val="24"/>
                <w:lang w:val="en-US" w:eastAsia="zh-CN"/>
              </w:rPr>
              <w:t>生态环境部（原环境保护部）部长信箱的回复，生物质颗粒是</w:t>
            </w:r>
            <w:r>
              <w:rPr>
                <w:rFonts w:hint="default" w:ascii="Times New Roman" w:hAnsi="Times New Roman" w:eastAsia="宋体" w:cs="Times New Roman"/>
                <w:sz w:val="24"/>
                <w:szCs w:val="24"/>
                <w:lang w:val="en-US" w:eastAsia="zh-CN"/>
              </w:rPr>
              <w:t>绿色低碳环保经济的分布式可再生能源</w:t>
            </w:r>
            <w:r>
              <w:rPr>
                <w:rFonts w:hint="eastAsia" w:ascii="Times New Roman" w:hAnsi="Times New Roman" w:cs="Times New Roman"/>
                <w:sz w:val="24"/>
                <w:szCs w:val="24"/>
                <w:lang w:val="en-US" w:eastAsia="zh-CN"/>
              </w:rPr>
              <w:t>，且根据生物质燃料加工企业提供的生物质颗粒性质，本项目使用的生物质颗粒中硫分为0.</w:t>
            </w:r>
            <w:r>
              <w:rPr>
                <w:rFonts w:hint="eastAsia" w:cs="Times New Roman"/>
                <w:sz w:val="24"/>
                <w:szCs w:val="24"/>
                <w:lang w:val="en-US" w:eastAsia="zh-CN"/>
              </w:rPr>
              <w:t>054</w:t>
            </w:r>
            <w:r>
              <w:rPr>
                <w:rFonts w:hint="eastAsia" w:ascii="Times New Roman" w:hAnsi="Times New Roman" w:cs="Times New Roman"/>
                <w:sz w:val="24"/>
                <w:szCs w:val="24"/>
                <w:lang w:val="en-US" w:eastAsia="zh-CN"/>
              </w:rPr>
              <w:t>%</w:t>
            </w:r>
            <w:r>
              <w:rPr>
                <w:rFonts w:hint="eastAsia" w:cs="Times New Roman"/>
                <w:sz w:val="24"/>
                <w:szCs w:val="24"/>
                <w:lang w:val="en-US" w:eastAsia="zh-CN"/>
              </w:rPr>
              <w:t>（燃料组分详见附件4）</w:t>
            </w:r>
            <w:r>
              <w:rPr>
                <w:rFonts w:hint="eastAsia" w:ascii="Times New Roman" w:hAnsi="Times New Roman" w:cs="Times New Roman"/>
                <w:sz w:val="24"/>
                <w:szCs w:val="24"/>
                <w:lang w:val="en-US" w:eastAsia="zh-CN"/>
              </w:rPr>
              <w:t>，故本项目使用生物质</w:t>
            </w:r>
            <w:r>
              <w:rPr>
                <w:rFonts w:hint="eastAsia" w:cs="Times New Roman"/>
                <w:sz w:val="24"/>
                <w:szCs w:val="24"/>
                <w:lang w:val="en-US" w:eastAsia="zh-CN"/>
              </w:rPr>
              <w:t>热风炉作为热源</w:t>
            </w:r>
            <w:r>
              <w:rPr>
                <w:rFonts w:hint="eastAsia" w:ascii="Times New Roman" w:hAnsi="Times New Roman" w:cs="Times New Roman"/>
                <w:sz w:val="24"/>
                <w:szCs w:val="24"/>
                <w:lang w:val="en-US" w:eastAsia="zh-CN"/>
              </w:rPr>
              <w:t>是合理可行环保的</w:t>
            </w:r>
            <w:r>
              <w:rPr>
                <w:rFonts w:hint="default"/>
                <w:color w:val="0000FF"/>
                <w:lang w:val="en-US" w:eastAsia="zh-CN"/>
              </w:rPr>
              <w:t>。</w:t>
            </w:r>
          </w:p>
          <w:p>
            <w:pPr>
              <w:bidi w:val="0"/>
              <w:rPr>
                <w:rFonts w:hint="default" w:eastAsia="宋体"/>
                <w:b/>
                <w:bCs/>
                <w:color w:val="0000FF"/>
                <w:lang w:val="en-US" w:eastAsia="zh-CN"/>
              </w:rPr>
            </w:pPr>
            <w:r>
              <w:rPr>
                <w:rFonts w:hint="eastAsia"/>
                <w:b/>
                <w:bCs/>
                <w:color w:val="0000FF"/>
                <w:lang w:val="en-US" w:eastAsia="zh-CN"/>
              </w:rPr>
              <w:t>10、与</w:t>
            </w:r>
            <w:r>
              <w:rPr>
                <w:rFonts w:hint="eastAsia"/>
                <w:b/>
                <w:bCs/>
                <w:color w:val="0000FF"/>
              </w:rPr>
              <w:t>《</w:t>
            </w:r>
            <w:r>
              <w:rPr>
                <w:rFonts w:hint="eastAsia"/>
                <w:b/>
                <w:bCs/>
                <w:color w:val="0000FF"/>
                <w:lang w:val="en-US" w:eastAsia="zh-CN"/>
              </w:rPr>
              <w:t>吉木萨尔县2022年度夏秋季大气污染防治“冬病夏治”工作方案</w:t>
            </w:r>
            <w:r>
              <w:rPr>
                <w:rFonts w:hint="eastAsia"/>
                <w:b/>
                <w:bCs/>
                <w:color w:val="0000FF"/>
              </w:rPr>
              <w:t>》</w:t>
            </w:r>
            <w:r>
              <w:rPr>
                <w:rFonts w:hint="eastAsia"/>
                <w:b/>
                <w:bCs/>
                <w:color w:val="0000FF"/>
                <w:lang w:val="en-US" w:eastAsia="zh-CN"/>
              </w:rPr>
              <w:t>符合性分析</w:t>
            </w:r>
          </w:p>
          <w:p>
            <w:pPr>
              <w:bidi w:val="0"/>
              <w:rPr>
                <w:rFonts w:hint="eastAsia" w:eastAsia="宋体"/>
                <w:color w:val="0000FF"/>
                <w:lang w:val="en-US" w:eastAsia="zh-CN"/>
              </w:rPr>
            </w:pPr>
            <w:r>
              <w:rPr>
                <w:rFonts w:hint="eastAsia"/>
                <w:color w:val="0000FF"/>
              </w:rPr>
              <w:t>《</w:t>
            </w:r>
            <w:r>
              <w:rPr>
                <w:rFonts w:hint="eastAsia"/>
                <w:color w:val="0000FF"/>
                <w:lang w:val="en-US" w:eastAsia="zh-CN"/>
              </w:rPr>
              <w:t>吉木萨尔县2022年度夏秋季大气污染防治“冬病夏治”工作方案</w:t>
            </w:r>
            <w:r>
              <w:rPr>
                <w:rFonts w:hint="eastAsia"/>
                <w:color w:val="0000FF"/>
              </w:rPr>
              <w:t>》</w:t>
            </w:r>
            <w:r>
              <w:rPr>
                <w:rFonts w:hint="eastAsia"/>
                <w:color w:val="0000FF"/>
                <w:lang w:val="en-US" w:eastAsia="zh-CN"/>
              </w:rPr>
              <w:t>中提出的吉木萨尔县主要任务：（一）</w:t>
            </w:r>
            <w:r>
              <w:rPr>
                <w:rFonts w:hint="eastAsia"/>
                <w:color w:val="0000FF"/>
              </w:rPr>
              <w:t>推进清洁取暖，加大散煤治理力度</w:t>
            </w:r>
            <w:r>
              <w:rPr>
                <w:rFonts w:hint="eastAsia"/>
                <w:color w:val="0000FF"/>
                <w:lang w:eastAsia="zh-CN"/>
              </w:rPr>
              <w:t>；（</w:t>
            </w:r>
            <w:r>
              <w:rPr>
                <w:rFonts w:hint="eastAsia"/>
                <w:color w:val="0000FF"/>
                <w:lang w:val="en-US" w:eastAsia="zh-CN"/>
              </w:rPr>
              <w:t>二</w:t>
            </w:r>
            <w:r>
              <w:rPr>
                <w:rFonts w:hint="eastAsia"/>
                <w:color w:val="0000FF"/>
                <w:lang w:eastAsia="zh-CN"/>
              </w:rPr>
              <w:t>）</w:t>
            </w:r>
            <w:r>
              <w:rPr>
                <w:rFonts w:hint="eastAsia"/>
                <w:color w:val="0000FF"/>
              </w:rPr>
              <w:t>全面推进挥发性有机物（VOCs）综合治理</w:t>
            </w:r>
            <w:r>
              <w:rPr>
                <w:rFonts w:hint="eastAsia"/>
                <w:color w:val="0000FF"/>
                <w:lang w:eastAsia="zh-CN"/>
              </w:rPr>
              <w:t>；（</w:t>
            </w:r>
            <w:r>
              <w:rPr>
                <w:rFonts w:hint="eastAsia"/>
                <w:color w:val="0000FF"/>
                <w:lang w:val="en-US" w:eastAsia="zh-CN"/>
              </w:rPr>
              <w:t>三</w:t>
            </w:r>
            <w:r>
              <w:rPr>
                <w:rFonts w:hint="eastAsia"/>
                <w:color w:val="0000FF"/>
                <w:lang w:eastAsia="zh-CN"/>
              </w:rPr>
              <w:t>）</w:t>
            </w:r>
            <w:r>
              <w:rPr>
                <w:rFonts w:hint="eastAsia"/>
                <w:color w:val="0000FF"/>
              </w:rPr>
              <w:t>推进重点行业大气污染深度治理</w:t>
            </w:r>
            <w:r>
              <w:rPr>
                <w:rFonts w:hint="eastAsia"/>
                <w:color w:val="0000FF"/>
                <w:lang w:eastAsia="zh-CN"/>
              </w:rPr>
              <w:t>；（</w:t>
            </w:r>
            <w:r>
              <w:rPr>
                <w:rFonts w:hint="eastAsia"/>
                <w:color w:val="0000FF"/>
                <w:lang w:val="en-US" w:eastAsia="zh-CN"/>
              </w:rPr>
              <w:t>四</w:t>
            </w:r>
            <w:r>
              <w:rPr>
                <w:rFonts w:hint="eastAsia"/>
                <w:color w:val="0000FF"/>
                <w:lang w:eastAsia="zh-CN"/>
              </w:rPr>
              <w:t>）</w:t>
            </w:r>
            <w:r>
              <w:rPr>
                <w:rFonts w:hint="eastAsia"/>
                <w:color w:val="0000FF"/>
              </w:rPr>
              <w:t>实施工业炉窑大气污染综合治理</w:t>
            </w:r>
            <w:r>
              <w:rPr>
                <w:rFonts w:hint="eastAsia"/>
                <w:color w:val="0000FF"/>
                <w:lang w:eastAsia="zh-CN"/>
              </w:rPr>
              <w:t>；（</w:t>
            </w:r>
            <w:r>
              <w:rPr>
                <w:rFonts w:hint="eastAsia"/>
                <w:color w:val="0000FF"/>
                <w:lang w:val="en-US" w:eastAsia="zh-CN"/>
              </w:rPr>
              <w:t>五）</w:t>
            </w:r>
            <w:r>
              <w:rPr>
                <w:rFonts w:hint="eastAsia"/>
                <w:color w:val="0000FF"/>
              </w:rPr>
              <w:t>加快提升机动车绿色低碳水平</w:t>
            </w:r>
            <w:r>
              <w:rPr>
                <w:rFonts w:hint="eastAsia"/>
                <w:color w:val="0000FF"/>
                <w:lang w:eastAsia="zh-CN"/>
              </w:rPr>
              <w:t>；（</w:t>
            </w:r>
            <w:r>
              <w:rPr>
                <w:rFonts w:hint="eastAsia"/>
                <w:color w:val="0000FF"/>
                <w:lang w:val="en-US" w:eastAsia="zh-CN"/>
              </w:rPr>
              <w:t>六</w:t>
            </w:r>
            <w:r>
              <w:rPr>
                <w:rFonts w:hint="eastAsia"/>
                <w:color w:val="0000FF"/>
                <w:lang w:eastAsia="zh-CN"/>
              </w:rPr>
              <w:t>）</w:t>
            </w:r>
            <w:r>
              <w:rPr>
                <w:rFonts w:hint="eastAsia"/>
                <w:color w:val="0000FF"/>
              </w:rPr>
              <w:t>强化重污染天气应急分类分级管控，提升空气质量预测预报水平</w:t>
            </w:r>
            <w:r>
              <w:rPr>
                <w:rFonts w:hint="eastAsia"/>
                <w:color w:val="0000FF"/>
                <w:lang w:eastAsia="zh-CN"/>
              </w:rPr>
              <w:t>；（</w:t>
            </w:r>
            <w:r>
              <w:rPr>
                <w:rFonts w:hint="eastAsia"/>
                <w:color w:val="0000FF"/>
                <w:lang w:val="en-US" w:eastAsia="zh-CN"/>
              </w:rPr>
              <w:t>七</w:t>
            </w:r>
            <w:r>
              <w:rPr>
                <w:rFonts w:hint="eastAsia"/>
                <w:color w:val="0000FF"/>
                <w:lang w:eastAsia="zh-CN"/>
              </w:rPr>
              <w:t>）</w:t>
            </w:r>
            <w:r>
              <w:rPr>
                <w:rFonts w:hint="eastAsia"/>
                <w:color w:val="0000FF"/>
              </w:rPr>
              <w:t>深化扬尘污染综合治理</w:t>
            </w:r>
            <w:r>
              <w:rPr>
                <w:rFonts w:hint="eastAsia"/>
                <w:color w:val="0000FF"/>
                <w:lang w:eastAsia="zh-CN"/>
              </w:rPr>
              <w:t>；（</w:t>
            </w:r>
            <w:r>
              <w:rPr>
                <w:rFonts w:hint="eastAsia"/>
                <w:color w:val="0000FF"/>
                <w:lang w:val="en-US" w:eastAsia="zh-CN"/>
              </w:rPr>
              <w:t>八</w:t>
            </w:r>
            <w:r>
              <w:rPr>
                <w:rFonts w:hint="eastAsia"/>
                <w:color w:val="0000FF"/>
                <w:lang w:eastAsia="zh-CN"/>
              </w:rPr>
              <w:t>）</w:t>
            </w:r>
            <w:r>
              <w:rPr>
                <w:rFonts w:hint="eastAsia"/>
                <w:color w:val="0000FF"/>
              </w:rPr>
              <w:t>加大大气污染防治执法力度</w:t>
            </w:r>
            <w:r>
              <w:rPr>
                <w:rFonts w:hint="eastAsia"/>
                <w:color w:val="0000FF"/>
                <w:lang w:eastAsia="zh-CN"/>
              </w:rPr>
              <w:t>；（</w:t>
            </w:r>
            <w:r>
              <w:rPr>
                <w:rFonts w:hint="eastAsia"/>
                <w:color w:val="0000FF"/>
                <w:lang w:val="en-US" w:eastAsia="zh-CN"/>
              </w:rPr>
              <w:t>九</w:t>
            </w:r>
            <w:r>
              <w:rPr>
                <w:rFonts w:hint="eastAsia"/>
                <w:color w:val="0000FF"/>
                <w:lang w:eastAsia="zh-CN"/>
              </w:rPr>
              <w:t>）</w:t>
            </w:r>
            <w:r>
              <w:rPr>
                <w:rFonts w:hint="eastAsia"/>
                <w:color w:val="0000FF"/>
              </w:rPr>
              <w:t>强化部门间信息共享</w:t>
            </w:r>
            <w:r>
              <w:rPr>
                <w:rFonts w:hint="eastAsia"/>
                <w:color w:val="0000FF"/>
                <w:lang w:eastAsia="zh-CN"/>
              </w:rPr>
              <w:t>。</w:t>
            </w:r>
          </w:p>
          <w:p>
            <w:pPr>
              <w:bidi w:val="0"/>
              <w:rPr>
                <w:rFonts w:hint="eastAsia"/>
                <w:color w:val="0000FF"/>
                <w:lang w:val="en-US" w:eastAsia="zh-CN"/>
              </w:rPr>
            </w:pPr>
            <w:r>
              <w:rPr>
                <w:rFonts w:hint="eastAsia"/>
                <w:color w:val="0000FF"/>
                <w:lang w:val="en-US" w:eastAsia="zh-CN"/>
              </w:rPr>
              <w:t>本项目在施工过程中，严格落实施工阶段大气污染防治措施，采取了</w:t>
            </w:r>
            <w:r>
              <w:rPr>
                <w:rFonts w:hint="eastAsia"/>
                <w:color w:val="0000FF"/>
              </w:rPr>
              <w:t>建筑施工工地周边围挡、物料堆放覆盖、土方开挖湿法作业、路面硬化、出入车辆清洗、渣土车辆密闭运输</w:t>
            </w:r>
            <w:r>
              <w:rPr>
                <w:rFonts w:hint="eastAsia"/>
                <w:color w:val="0000FF"/>
                <w:lang w:val="en-US" w:eastAsia="zh-CN"/>
              </w:rPr>
              <w:t>措施，确保执行“六个百分之百”措施，最大程度减少了施工阶段的扬尘污染。</w:t>
            </w:r>
          </w:p>
          <w:p>
            <w:pPr>
              <w:bidi w:val="0"/>
              <w:rPr>
                <w:rFonts w:hint="eastAsia" w:eastAsia="宋体"/>
                <w:color w:val="0000FF"/>
                <w:lang w:val="en-US" w:eastAsia="zh-CN"/>
              </w:rPr>
            </w:pPr>
            <w:r>
              <w:rPr>
                <w:rFonts w:hint="eastAsia"/>
                <w:color w:val="0000FF"/>
                <w:lang w:val="en-US" w:eastAsia="zh-CN"/>
              </w:rPr>
              <w:t>运营阶段，本项目采取严格的运营期环境保护措施，燃用生物质燃料作为本项目热源，通过布袋除尘、脱硫、脱硝等措施，生物质燃烧烟气执行</w:t>
            </w:r>
            <w:r>
              <w:rPr>
                <w:rFonts w:hint="default"/>
                <w:color w:val="0000FF"/>
                <w:lang w:val="en-US" w:eastAsia="zh-CN"/>
              </w:rPr>
              <w:t>《锅炉大气污染物排放标准》（GB13271-2014）</w:t>
            </w:r>
            <w:r>
              <w:rPr>
                <w:rFonts w:hint="eastAsia"/>
                <w:color w:val="0000FF"/>
                <w:lang w:val="en-US" w:eastAsia="zh-CN"/>
              </w:rPr>
              <w:t>表2燃气锅炉排放限值，同时针对烘干他采取了封闭+顶部配套除尘器的措施，确保各项污染物均可达标排放，同时场内运输车辆，优先选用电能驱动，厂区内道路硬化并定期清扫，厂界及厂前区进行绿化，各项措施综合落实后，本项目符合</w:t>
            </w:r>
            <w:r>
              <w:rPr>
                <w:rFonts w:hint="eastAsia"/>
                <w:color w:val="0000FF"/>
              </w:rPr>
              <w:t>《</w:t>
            </w:r>
            <w:r>
              <w:rPr>
                <w:rFonts w:hint="eastAsia"/>
                <w:color w:val="0000FF"/>
                <w:lang w:val="en-US" w:eastAsia="zh-CN"/>
              </w:rPr>
              <w:t>吉木萨尔县2022年度夏秋季大气污染防治“冬病夏治”工作方案</w:t>
            </w:r>
            <w:r>
              <w:rPr>
                <w:rFonts w:hint="eastAsia"/>
                <w:color w:val="0000FF"/>
              </w:rPr>
              <w:t>》</w:t>
            </w:r>
            <w:r>
              <w:rPr>
                <w:rFonts w:hint="eastAsia"/>
                <w:color w:val="0000FF"/>
                <w:lang w:eastAsia="zh-CN"/>
              </w:rPr>
              <w:t>。</w:t>
            </w:r>
          </w:p>
          <w:p>
            <w:pPr>
              <w:bidi w:val="0"/>
              <w:rPr>
                <w:rFonts w:hint="eastAsia"/>
              </w:rPr>
            </w:pPr>
          </w:p>
          <w:p>
            <w:pPr>
              <w:bidi w:val="0"/>
              <w:rPr>
                <w:rFonts w:hint="eastAsia"/>
              </w:rPr>
            </w:pPr>
          </w:p>
          <w:p>
            <w:pPr>
              <w:bidi w:val="0"/>
              <w:rPr>
                <w:rFonts w:hint="eastAsia"/>
              </w:rPr>
            </w:pPr>
          </w:p>
          <w:p>
            <w:pPr>
              <w:bidi w:val="0"/>
            </w:pPr>
          </w:p>
          <w:p>
            <w:pPr>
              <w:bidi w:val="0"/>
            </w:pPr>
          </w:p>
          <w:p>
            <w:pPr>
              <w:bidi w:val="0"/>
            </w:pPr>
          </w:p>
          <w:p>
            <w:pPr>
              <w:bidi w:val="0"/>
            </w:pPr>
          </w:p>
          <w:p>
            <w:pPr>
              <w:bidi w:val="0"/>
            </w:pPr>
          </w:p>
          <w:p>
            <w:pPr>
              <w:bidi w:val="0"/>
            </w:pPr>
          </w:p>
        </w:tc>
      </w:tr>
    </w:tbl>
    <w:p>
      <w:pPr>
        <w:bidi w:val="0"/>
        <w:rPr>
          <w:color w:val="000000" w:themeColor="text1"/>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
        <w:bidi w:val="0"/>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二、建设项目工程分析</w:t>
      </w:r>
    </w:p>
    <w:tbl>
      <w:tblPr>
        <w:tblStyle w:val="10"/>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7"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tc>
        <w:tc>
          <w:tcPr>
            <w:tcW w:w="8497" w:type="dxa"/>
            <w:tcBorders>
              <w:tl2br w:val="nil"/>
              <w:tr2bl w:val="nil"/>
            </w:tcBorders>
            <w:noWrap w:val="0"/>
            <w:vAlign w:val="top"/>
          </w:tcPr>
          <w:p>
            <w:pPr>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一</w:t>
            </w:r>
            <w:r>
              <w:rPr>
                <w:rFonts w:hint="default" w:ascii="Times New Roman" w:hAnsi="Times New Roman" w:cs="Times New Roman"/>
                <w:b/>
                <w:bCs/>
                <w:color w:val="000000" w:themeColor="text1"/>
                <w14:textFill>
                  <w14:solidFill>
                    <w14:schemeClr w14:val="tx1"/>
                  </w14:solidFill>
                </w14:textFill>
              </w:rPr>
              <w:t>、项目建设地址及周边环境</w:t>
            </w:r>
          </w:p>
          <w:p>
            <w:pPr>
              <w:ind w:firstLine="482" w:firstLineChars="20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1、建设地址</w:t>
            </w:r>
          </w:p>
          <w:p>
            <w:pPr>
              <w:ind w:firstLine="480" w:firstLineChars="20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cs="Times New Roman"/>
                <w:color w:val="000000" w:themeColor="text1"/>
                <w:lang w:val="en-US" w:eastAsia="zh-CN"/>
                <w14:textFill>
                  <w14:solidFill>
                    <w14:schemeClr w14:val="tx1"/>
                  </w14:solidFill>
                </w14:textFill>
              </w:rPr>
              <w:t>吉木萨尔县老台乡西地中沟村</w:t>
            </w:r>
            <w:r>
              <w:rPr>
                <w:rFonts w:hint="eastAsia" w:ascii="Times New Roman" w:hAnsi="Times New Roman" w:cs="Times New Roman"/>
                <w:color w:val="000000" w:themeColor="text1"/>
                <w:lang w:val="en-US" w:eastAsia="zh-CN"/>
                <w14:textFill>
                  <w14:solidFill>
                    <w14:schemeClr w14:val="tx1"/>
                  </w14:solidFill>
                </w14:textFill>
              </w:rPr>
              <w:t>，项目行政规划隶属</w:t>
            </w:r>
            <w:r>
              <w:rPr>
                <w:rFonts w:hint="eastAsia" w:cs="Times New Roman"/>
                <w:color w:val="000000" w:themeColor="text1"/>
                <w:lang w:val="en-US" w:eastAsia="zh-CN"/>
                <w14:textFill>
                  <w14:solidFill>
                    <w14:schemeClr w14:val="tx1"/>
                  </w14:solidFill>
                </w14:textFill>
              </w:rPr>
              <w:t>吉木萨尔县</w:t>
            </w:r>
            <w:r>
              <w:rPr>
                <w:rFonts w:hint="eastAsia" w:ascii="Times New Roman" w:hAnsi="Times New Roman" w:cs="Times New Roman"/>
                <w:color w:val="000000" w:themeColor="text1"/>
                <w:lang w:val="en-US" w:eastAsia="zh-CN"/>
                <w14:textFill>
                  <w14:solidFill>
                    <w14:schemeClr w14:val="tx1"/>
                  </w14:solidFill>
                </w14:textFill>
              </w:rPr>
              <w:t>管辖，项目区中心位置地理坐标为：N</w:t>
            </w:r>
            <w:r>
              <w:rPr>
                <w:rFonts w:hint="eastAsia" w:cs="Times New Roman"/>
                <w:color w:val="000000" w:themeColor="text1"/>
                <w:lang w:val="en-US" w:eastAsia="zh-CN"/>
                <w14:textFill>
                  <w14:solidFill>
                    <w14:schemeClr w14:val="tx1"/>
                  </w14:solidFill>
                </w14:textFill>
              </w:rPr>
              <w:t>44°11'5.891"</w:t>
            </w:r>
            <w:r>
              <w:rPr>
                <w:rFonts w:hint="eastAsia" w:ascii="Times New Roman" w:hAnsi="Times New Roman" w:cs="Times New Roman"/>
                <w:color w:val="000000" w:themeColor="text1"/>
                <w:lang w:val="en-US" w:eastAsia="zh-CN"/>
                <w14:textFill>
                  <w14:solidFill>
                    <w14:schemeClr w14:val="tx1"/>
                  </w14:solidFill>
                </w14:textFill>
              </w:rPr>
              <w:t>、E</w:t>
            </w:r>
            <w:r>
              <w:rPr>
                <w:rFonts w:hint="eastAsia" w:cs="Times New Roman"/>
                <w:color w:val="000000" w:themeColor="text1"/>
                <w:lang w:val="en-US" w:eastAsia="zh-CN"/>
                <w14:textFill>
                  <w14:solidFill>
                    <w14:schemeClr w14:val="tx1"/>
                  </w14:solidFill>
                </w14:textFill>
              </w:rPr>
              <w:t>88°49'13.022"</w:t>
            </w:r>
            <w:r>
              <w:rPr>
                <w:rFonts w:hint="default" w:ascii="Times New Roman" w:hAnsi="Times New Roman" w:cs="Times New Roman"/>
                <w:color w:val="000000" w:themeColor="text1"/>
                <w:lang w:val="en-US" w:eastAsia="zh-CN"/>
                <w14:textFill>
                  <w14:solidFill>
                    <w14:schemeClr w14:val="tx1"/>
                  </w14:solidFill>
                </w14:textFill>
              </w:rPr>
              <w:t>。</w:t>
            </w:r>
          </w:p>
          <w:p>
            <w:pPr>
              <w:ind w:firstLine="48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地理位置图见附图</w:t>
            </w:r>
            <w:r>
              <w:rPr>
                <w:rFonts w:hint="eastAsia" w:cs="Times New Roman"/>
                <w:color w:val="000000" w:themeColor="text1"/>
                <w:kern w:val="0"/>
                <w:lang w:val="en-US" w:eastAsia="zh-CN"/>
                <w14:textFill>
                  <w14:solidFill>
                    <w14:schemeClr w14:val="tx1"/>
                  </w14:solidFill>
                </w14:textFill>
              </w:rPr>
              <w:t>1</w:t>
            </w:r>
            <w:r>
              <w:rPr>
                <w:rFonts w:hint="default" w:ascii="Times New Roman" w:hAnsi="Times New Roman" w:cs="Times New Roman"/>
                <w:color w:val="000000" w:themeColor="text1"/>
                <w:kern w:val="0"/>
                <w14:textFill>
                  <w14:solidFill>
                    <w14:schemeClr w14:val="tx1"/>
                  </w14:solidFill>
                </w14:textFill>
              </w:rPr>
              <w:t>。</w:t>
            </w:r>
          </w:p>
          <w:p>
            <w:pPr>
              <w:ind w:firstLine="482" w:firstLineChars="20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2、周边环境</w:t>
            </w:r>
          </w:p>
          <w:p>
            <w:pPr>
              <w:ind w:firstLine="480" w:firstLineChars="200"/>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项目区东侧：东侧为</w:t>
            </w:r>
            <w:r>
              <w:rPr>
                <w:rFonts w:hint="eastAsia" w:cs="Times New Roman"/>
                <w:color w:val="000000" w:themeColor="text1"/>
                <w:lang w:val="en-US" w:eastAsia="zh-CN"/>
                <w14:textFill>
                  <w14:solidFill>
                    <w14:schemeClr w14:val="tx1"/>
                  </w14:solidFill>
                </w14:textFill>
              </w:rPr>
              <w:t>老台乡西地中沟村</w:t>
            </w:r>
            <w:r>
              <w:rPr>
                <w:rFonts w:hint="eastAsia" w:cs="Times New Roman"/>
                <w:color w:val="000000" w:themeColor="text1"/>
                <w:szCs w:val="24"/>
                <w:lang w:val="en-US" w:eastAsia="zh-CN"/>
                <w14:textFill>
                  <w14:solidFill>
                    <w14:schemeClr w14:val="tx1"/>
                  </w14:solidFill>
                </w14:textFill>
              </w:rPr>
              <w:t>农田</w:t>
            </w:r>
            <w:r>
              <w:rPr>
                <w:rFonts w:hint="eastAsia" w:ascii="Times New Roman" w:hAnsi="Times New Roman" w:cs="Times New Roman"/>
                <w:color w:val="000000" w:themeColor="text1"/>
                <w:szCs w:val="24"/>
                <w:lang w:val="en-US" w:eastAsia="zh-CN"/>
                <w14:textFill>
                  <w14:solidFill>
                    <w14:schemeClr w14:val="tx1"/>
                  </w14:solidFill>
                </w14:textFill>
              </w:rPr>
              <w:t>。</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项目区南侧：南侧为老台乡西地中沟村农田，向南85m为县城-老台乡-红旗农场岔口公路。</w:t>
            </w:r>
          </w:p>
          <w:p>
            <w:pPr>
              <w:ind w:firstLine="480" w:firstLineChars="200"/>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项目区西侧：</w:t>
            </w:r>
            <w:r>
              <w:rPr>
                <w:rFonts w:hint="eastAsia" w:cs="Times New Roman"/>
                <w:color w:val="000000" w:themeColor="text1"/>
                <w:szCs w:val="24"/>
                <w:lang w:val="en-US" w:eastAsia="zh-CN"/>
                <w14:textFill>
                  <w14:solidFill>
                    <w14:schemeClr w14:val="tx1"/>
                  </w14:solidFill>
                </w14:textFill>
              </w:rPr>
              <w:t>西侧200m为</w:t>
            </w:r>
            <w:r>
              <w:rPr>
                <w:rFonts w:hint="eastAsia" w:cs="Times New Roman"/>
                <w:color w:val="000000" w:themeColor="text1"/>
                <w:lang w:val="en-US" w:eastAsia="zh-CN"/>
                <w14:textFill>
                  <w14:solidFill>
                    <w14:schemeClr w14:val="tx1"/>
                  </w14:solidFill>
                </w14:textFill>
              </w:rPr>
              <w:t>老台乡西地中沟村</w:t>
            </w:r>
            <w:r>
              <w:rPr>
                <w:rFonts w:hint="eastAsia" w:cs="Times New Roman"/>
                <w:color w:val="000000" w:themeColor="text1"/>
                <w:szCs w:val="24"/>
                <w:lang w:val="en-US" w:eastAsia="zh-CN"/>
                <w14:textFill>
                  <w14:solidFill>
                    <w14:schemeClr w14:val="tx1"/>
                  </w14:solidFill>
                </w14:textFill>
              </w:rPr>
              <w:t>。</w:t>
            </w:r>
          </w:p>
          <w:p>
            <w:pPr>
              <w:ind w:firstLine="480" w:firstLineChars="200"/>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项目区北侧：</w:t>
            </w:r>
            <w:r>
              <w:rPr>
                <w:rFonts w:hint="eastAsia" w:cs="Times New Roman"/>
                <w:color w:val="000000" w:themeColor="text1"/>
                <w:szCs w:val="24"/>
                <w:lang w:val="en-US" w:eastAsia="zh-CN"/>
                <w14:textFill>
                  <w14:solidFill>
                    <w14:schemeClr w14:val="tx1"/>
                  </w14:solidFill>
                </w14:textFill>
              </w:rPr>
              <w:t>北侧</w:t>
            </w:r>
            <w:r>
              <w:rPr>
                <w:rFonts w:hint="eastAsia" w:ascii="Times New Roman" w:hAnsi="Times New Roman" w:cs="Times New Roman"/>
                <w:color w:val="000000" w:themeColor="text1"/>
                <w:szCs w:val="24"/>
                <w:lang w:val="en-US"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老台乡西地中沟村</w:t>
            </w:r>
            <w:r>
              <w:rPr>
                <w:rFonts w:hint="eastAsia" w:cs="Times New Roman"/>
                <w:color w:val="000000" w:themeColor="text1"/>
                <w:szCs w:val="24"/>
                <w:lang w:val="en-US" w:eastAsia="zh-CN"/>
                <w14:textFill>
                  <w14:solidFill>
                    <w14:schemeClr w14:val="tx1"/>
                  </w14:solidFill>
                </w14:textFill>
              </w:rPr>
              <w:t>农田。</w:t>
            </w:r>
          </w:p>
          <w:p>
            <w:pPr>
              <w:ind w:firstLine="480" w:firstLineChars="200"/>
              <w:rPr>
                <w:rFonts w:hint="default" w:ascii="Times New Roman" w:hAnsi="Times New Roman" w:cs="Times New Roman"/>
                <w:color w:val="000000" w:themeColor="text1"/>
                <w:szCs w:val="24"/>
                <w:lang w:val="en-US" w:eastAsia="zh-CN"/>
                <w14:textFill>
                  <w14:solidFill>
                    <w14:schemeClr w14:val="tx1"/>
                  </w14:solidFill>
                </w14:textFill>
              </w:rPr>
            </w:pPr>
            <w:r>
              <w:rPr>
                <w:rFonts w:hint="eastAsia" w:ascii="Times New Roman" w:hAnsi="Times New Roman" w:cs="Times New Roman"/>
                <w:color w:val="000000" w:themeColor="text1"/>
                <w:szCs w:val="24"/>
                <w:lang w:val="en-US" w:eastAsia="zh-CN"/>
                <w14:textFill>
                  <w14:solidFill>
                    <w14:schemeClr w14:val="tx1"/>
                  </w14:solidFill>
                </w14:textFill>
              </w:rPr>
              <w:t>项目区位于</w:t>
            </w:r>
            <w:r>
              <w:rPr>
                <w:rFonts w:hint="eastAsia" w:cs="Times New Roman"/>
                <w:color w:val="000000" w:themeColor="text1"/>
                <w:lang w:val="en-US" w:eastAsia="zh-CN"/>
                <w14:textFill>
                  <w14:solidFill>
                    <w14:schemeClr w14:val="tx1"/>
                  </w14:solidFill>
                </w14:textFill>
              </w:rPr>
              <w:t>吉木萨尔县老台乡西地中沟村</w:t>
            </w:r>
            <w:r>
              <w:rPr>
                <w:rFonts w:hint="eastAsia" w:ascii="Times New Roman" w:hAnsi="Times New Roman" w:cs="Times New Roman"/>
                <w:color w:val="000000" w:themeColor="text1"/>
                <w:szCs w:val="24"/>
                <w:lang w:val="en-US" w:eastAsia="zh-CN"/>
                <w14:textFill>
                  <w14:solidFill>
                    <w14:schemeClr w14:val="tx1"/>
                  </w14:solidFill>
                </w14:textFill>
              </w:rPr>
              <w:t>，</w:t>
            </w:r>
            <w:r>
              <w:rPr>
                <w:rFonts w:hint="eastAsia"/>
                <w:lang w:val="en-US" w:eastAsia="zh-CN"/>
              </w:rPr>
              <w:t>用地性质为设施农用地，</w:t>
            </w:r>
            <w:r>
              <w:rPr>
                <w:rFonts w:hint="eastAsia" w:ascii="Times New Roman" w:hAnsi="Times New Roman" w:cs="Times New Roman"/>
                <w:color w:val="000000" w:themeColor="text1"/>
                <w:szCs w:val="24"/>
                <w:lang w:val="en-US" w:eastAsia="zh-CN"/>
                <w14:textFill>
                  <w14:solidFill>
                    <w14:schemeClr w14:val="tx1"/>
                  </w14:solidFill>
                </w14:textFill>
              </w:rPr>
              <w:t>项目区周边主要是</w:t>
            </w:r>
            <w:r>
              <w:rPr>
                <w:rFonts w:hint="eastAsia" w:cs="Times New Roman"/>
                <w:color w:val="000000" w:themeColor="text1"/>
                <w:szCs w:val="24"/>
                <w:lang w:val="en-US" w:eastAsia="zh-CN"/>
                <w14:textFill>
                  <w14:solidFill>
                    <w14:schemeClr w14:val="tx1"/>
                  </w14:solidFill>
                </w14:textFill>
              </w:rPr>
              <w:t>农田和农村居民区，</w:t>
            </w:r>
            <w:r>
              <w:rPr>
                <w:rFonts w:hint="eastAsia" w:ascii="Times New Roman" w:hAnsi="Times New Roman" w:cs="Times New Roman"/>
                <w:color w:val="000000" w:themeColor="text1"/>
                <w:szCs w:val="24"/>
                <w:lang w:val="en-US" w:eastAsia="zh-CN"/>
                <w14:textFill>
                  <w14:solidFill>
                    <w14:schemeClr w14:val="tx1"/>
                  </w14:solidFill>
                </w14:textFill>
              </w:rPr>
              <w:t>交通较为便利，项目区评价范围内无天然地表径流。项目区评价范围内无国家公园、自然保护区、风景名胜区、饮用水水源保护区等环境敏感区分布。</w:t>
            </w:r>
          </w:p>
          <w:p>
            <w:pPr>
              <w:ind w:firstLine="480" w:firstLineChars="200"/>
              <w:rPr>
                <w:rFonts w:hint="default" w:ascii="Times New Roman" w:hAnsi="Times New Roman" w:eastAsia="宋体" w:cs="Times New Roman"/>
                <w:color w:val="000000" w:themeColor="text1"/>
                <w:szCs w:val="24"/>
                <w:lang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卫星影像图</w:t>
            </w:r>
            <w:r>
              <w:rPr>
                <w:rFonts w:hint="default" w:ascii="Times New Roman" w:hAnsi="Times New Roman" w:cs="Times New Roman"/>
                <w:color w:val="000000" w:themeColor="text1"/>
                <w:kern w:val="0"/>
                <w14:textFill>
                  <w14:solidFill>
                    <w14:schemeClr w14:val="tx1"/>
                  </w14:solidFill>
                </w14:textFill>
              </w:rPr>
              <w:t>见附图</w:t>
            </w:r>
            <w:r>
              <w:rPr>
                <w:rFonts w:hint="eastAsia" w:cs="Times New Roman"/>
                <w:color w:val="000000" w:themeColor="text1"/>
                <w:kern w:val="0"/>
                <w:lang w:val="en-US" w:eastAsia="zh-CN"/>
                <w14:textFill>
                  <w14:solidFill>
                    <w14:schemeClr w14:val="tx1"/>
                  </w14:solidFill>
                </w14:textFill>
              </w:rPr>
              <w:t>2</w:t>
            </w:r>
            <w:r>
              <w:rPr>
                <w:rFonts w:hint="default" w:ascii="Times New Roman" w:hAnsi="Times New Roman" w:cs="Times New Roman"/>
                <w:color w:val="000000" w:themeColor="text1"/>
                <w:kern w:val="0"/>
                <w:lang w:eastAsia="zh-CN"/>
                <w14:textFill>
                  <w14:solidFill>
                    <w14:schemeClr w14:val="tx1"/>
                  </w14:solidFill>
                </w14:textFill>
              </w:rPr>
              <w:t>。</w:t>
            </w:r>
          </w:p>
          <w:p>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二</w:t>
            </w:r>
            <w:r>
              <w:rPr>
                <w:rFonts w:hint="default" w:ascii="Times New Roman" w:hAnsi="Times New Roman" w:cs="Times New Roman"/>
                <w:b/>
                <w:bCs/>
                <w:color w:val="000000" w:themeColor="text1"/>
                <w14:textFill>
                  <w14:solidFill>
                    <w14:schemeClr w14:val="tx1"/>
                  </w14:solidFill>
                </w14:textFill>
              </w:rPr>
              <w:t>、</w:t>
            </w:r>
            <w:r>
              <w:rPr>
                <w:rFonts w:hint="eastAsia" w:ascii="Times New Roman" w:hAnsi="Times New Roman" w:cs="Times New Roman"/>
                <w:b/>
                <w:bCs/>
                <w:color w:val="000000" w:themeColor="text1"/>
                <w:lang w:val="en-US" w:eastAsia="zh-CN"/>
                <w14:textFill>
                  <w14:solidFill>
                    <w14:schemeClr w14:val="tx1"/>
                  </w14:solidFill>
                </w14:textFill>
              </w:rPr>
              <w:t>项目</w:t>
            </w:r>
            <w:r>
              <w:rPr>
                <w:rFonts w:hint="default" w:ascii="Times New Roman" w:hAnsi="Times New Roman" w:cs="Times New Roman"/>
                <w:b/>
                <w:bCs/>
                <w:color w:val="000000" w:themeColor="text1"/>
                <w:lang w:val="en-US" w:eastAsia="zh-CN"/>
                <w14:textFill>
                  <w14:solidFill>
                    <w14:schemeClr w14:val="tx1"/>
                  </w14:solidFill>
                </w14:textFill>
              </w:rPr>
              <w:t>建设</w:t>
            </w:r>
            <w:r>
              <w:rPr>
                <w:rFonts w:hint="eastAsia" w:ascii="Times New Roman" w:hAnsi="Times New Roman" w:cs="Times New Roman"/>
                <w:b/>
                <w:bCs/>
                <w:color w:val="000000" w:themeColor="text1"/>
                <w:lang w:val="en-US" w:eastAsia="zh-CN"/>
                <w14:textFill>
                  <w14:solidFill>
                    <w14:schemeClr w14:val="tx1"/>
                  </w14:solidFill>
                </w14:textFill>
              </w:rPr>
              <w:t>内容</w:t>
            </w:r>
          </w:p>
          <w:p>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1、建设项目概况</w:t>
            </w:r>
          </w:p>
          <w:p>
            <w:pPr>
              <w:ind w:firstLine="480"/>
              <w:rPr>
                <w:rFonts w:hint="default" w:ascii="Times New Roman" w:hAnsi="Times New Roman" w:cs="Times New Roman"/>
                <w:bCs/>
                <w:color w:val="000000" w:themeColor="text1"/>
                <w:szCs w:val="24"/>
                <w14:textFill>
                  <w14:solidFill>
                    <w14:schemeClr w14:val="tx1"/>
                  </w14:solidFill>
                </w14:textFill>
              </w:rPr>
            </w:pPr>
            <w:r>
              <w:rPr>
                <w:rFonts w:hint="default" w:ascii="Times New Roman" w:hAnsi="Times New Roman" w:cs="Times New Roman"/>
                <w:bCs/>
                <w:color w:val="000000" w:themeColor="text1"/>
                <w:szCs w:val="24"/>
                <w14:textFill>
                  <w14:solidFill>
                    <w14:schemeClr w14:val="tx1"/>
                  </w14:solidFill>
                </w14:textFill>
              </w:rPr>
              <w:t>项目名称：</w:t>
            </w:r>
            <w:r>
              <w:rPr>
                <w:rFonts w:hint="eastAsia" w:cs="Times New Roman"/>
                <w:color w:val="000000" w:themeColor="text1"/>
                <w:szCs w:val="24"/>
                <w:lang w:eastAsia="zh-CN"/>
                <w14:textFill>
                  <w14:solidFill>
                    <w14:schemeClr w14:val="tx1"/>
                  </w14:solidFill>
                </w14:textFill>
              </w:rPr>
              <w:t>吉木萨尔县老台乡人民政府老台乡玉米烘干厂建设项目</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bCs/>
                <w:color w:val="000000" w:themeColor="text1"/>
                <w:szCs w:val="24"/>
                <w14:textFill>
                  <w14:solidFill>
                    <w14:schemeClr w14:val="tx1"/>
                  </w14:solidFill>
                </w14:textFill>
              </w:rPr>
              <w:t>建设单位：</w:t>
            </w:r>
            <w:r>
              <w:rPr>
                <w:rFonts w:hint="eastAsia" w:cs="Times New Roman"/>
                <w:color w:val="000000" w:themeColor="text1"/>
                <w:szCs w:val="24"/>
                <w:lang w:eastAsia="zh-CN"/>
                <w14:textFill>
                  <w14:solidFill>
                    <w14:schemeClr w14:val="tx1"/>
                  </w14:solidFill>
                </w14:textFill>
              </w:rPr>
              <w:t>吉木萨尔县老台乡人民政府</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建设性质：</w:t>
            </w:r>
            <w:r>
              <w:rPr>
                <w:rFonts w:hint="default" w:ascii="Times New Roman" w:hAnsi="Times New Roman" w:cs="Times New Roman"/>
                <w:color w:val="000000" w:themeColor="text1"/>
                <w:lang w:val="en-US" w:eastAsia="zh-CN"/>
                <w14:textFill>
                  <w14:solidFill>
                    <w14:schemeClr w14:val="tx1"/>
                  </w14:solidFill>
                </w14:textFill>
              </w:rPr>
              <w:t>新建</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总投资</w:t>
            </w:r>
            <w:r>
              <w:rPr>
                <w:rFonts w:hint="default" w:ascii="Times New Roman" w:hAnsi="Times New Roman" w:cs="Times New Roman"/>
                <w:color w:val="000000" w:themeColor="text1"/>
                <w:lang w:val="en-US" w:eastAsia="zh-CN"/>
                <w14:textFill>
                  <w14:solidFill>
                    <w14:schemeClr w14:val="tx1"/>
                  </w14:solidFill>
                </w14:textFill>
              </w:rPr>
              <w:t>及资金来源</w:t>
            </w:r>
            <w:r>
              <w:rPr>
                <w:rFonts w:hint="default" w:ascii="Times New Roman" w:hAnsi="Times New Roman" w:cs="Times New Roman"/>
                <w:color w:val="000000" w:themeColor="text1"/>
                <w14:textFill>
                  <w14:solidFill>
                    <w14:schemeClr w14:val="tx1"/>
                  </w14:solidFill>
                </w14:textFill>
              </w:rPr>
              <w:t>：总投资</w:t>
            </w:r>
            <w:r>
              <w:rPr>
                <w:rFonts w:hint="eastAsia" w:cs="Times New Roman"/>
                <w:color w:val="000000" w:themeColor="text1"/>
                <w:lang w:val="en-US" w:eastAsia="zh-CN"/>
                <w14:textFill>
                  <w14:solidFill>
                    <w14:schemeClr w14:val="tx1"/>
                  </w14:solidFill>
                </w14:textFill>
              </w:rPr>
              <w:t>600</w:t>
            </w:r>
            <w:r>
              <w:rPr>
                <w:rFonts w:hint="default" w:ascii="Times New Roman" w:hAnsi="Times New Roman" w:cs="Times New Roman"/>
                <w:color w:val="000000" w:themeColor="text1"/>
                <w14:textFill>
                  <w14:solidFill>
                    <w14:schemeClr w14:val="tx1"/>
                  </w14:solidFill>
                </w14:textFill>
              </w:rPr>
              <w:t>万元</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资金</w:t>
            </w:r>
            <w:r>
              <w:rPr>
                <w:rFonts w:hint="eastAsia" w:cs="Times New Roman"/>
                <w:color w:val="000000" w:themeColor="text1"/>
                <w:lang w:val="en-US" w:eastAsia="zh-CN"/>
                <w14:textFill>
                  <w14:solidFill>
                    <w14:schemeClr w14:val="tx1"/>
                  </w14:solidFill>
                </w14:textFill>
              </w:rPr>
              <w:t>来源为中央水库移民扶持基金</w:t>
            </w:r>
            <w:r>
              <w:rPr>
                <w:rFonts w:hint="default" w:ascii="Times New Roman" w:hAnsi="Times New Roman" w:cs="Times New Roman"/>
                <w:color w:val="000000" w:themeColor="text1"/>
                <w:lang w:val="en-US" w:eastAsia="zh-CN"/>
                <w14:textFill>
                  <w14:solidFill>
                    <w14:schemeClr w14:val="tx1"/>
                  </w14:solidFill>
                </w14:textFill>
              </w:rPr>
              <w:t>。</w:t>
            </w:r>
          </w:p>
          <w:p>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建设内容：</w:t>
            </w:r>
            <w:r>
              <w:rPr>
                <w:rFonts w:hint="eastAsia" w:ascii="Times New Roman" w:hAnsi="Times New Roman" w:cs="Times New Roman"/>
                <w:color w:val="000000" w:themeColor="text1"/>
                <w:lang w:val="en-US" w:eastAsia="zh-CN"/>
                <w14:textFill>
                  <w14:solidFill>
                    <w14:schemeClr w14:val="tx1"/>
                  </w14:solidFill>
                </w14:textFill>
              </w:rPr>
              <w:t>项目总用地面积</w:t>
            </w:r>
            <w:r>
              <w:rPr>
                <w:rFonts w:hint="eastAsia" w:cs="Times New Roman"/>
                <w:color w:val="000000" w:themeColor="text1"/>
                <w:lang w:val="en-US" w:eastAsia="zh-CN"/>
                <w14:textFill>
                  <w14:solidFill>
                    <w14:schemeClr w14:val="tx1"/>
                  </w14:solidFill>
                </w14:textFill>
              </w:rPr>
              <w:t>16000</w:t>
            </w:r>
            <w:r>
              <w:rPr>
                <w:rFonts w:hint="eastAsia" w:ascii="Times New Roman" w:hAnsi="Times New Roman" w:cs="Times New Roman"/>
                <w:color w:val="000000" w:themeColor="text1"/>
                <w:lang w:val="en-US" w:eastAsia="zh-CN"/>
                <w14:textFill>
                  <w14:solidFill>
                    <w14:schemeClr w14:val="tx1"/>
                  </w14:solidFill>
                </w14:textFill>
              </w:rPr>
              <w:t>m²。</w:t>
            </w:r>
          </w:p>
          <w:p>
            <w:pPr>
              <w:bidi w:val="0"/>
              <w:rPr>
                <w:rFonts w:hint="eastAsia" w:ascii="Times New Roman" w:hAnsi="Times New Roman" w:cs="Times New Roman"/>
                <w:color w:val="0000FF"/>
                <w:lang w:val="en-US" w:eastAsia="zh-CN"/>
              </w:rPr>
            </w:pPr>
            <w:r>
              <w:rPr>
                <w:rFonts w:hint="eastAsia" w:ascii="Times New Roman" w:hAnsi="Times New Roman" w:cs="Times New Roman"/>
                <w:color w:val="0000FF"/>
                <w:lang w:val="en-US" w:eastAsia="zh-CN"/>
              </w:rPr>
              <w:t>建设</w:t>
            </w:r>
            <w:r>
              <w:rPr>
                <w:rFonts w:hint="default" w:ascii="Times New Roman" w:hAnsi="Times New Roman" w:cs="Times New Roman"/>
                <w:color w:val="0000FF"/>
                <w:lang w:val="en-US" w:eastAsia="zh-CN"/>
              </w:rPr>
              <w:t>规模：</w:t>
            </w:r>
            <w:r>
              <w:rPr>
                <w:rFonts w:hint="eastAsia" w:ascii="Times New Roman" w:hAnsi="Times New Roman" w:cs="Times New Roman"/>
                <w:color w:val="0000FF"/>
                <w:lang w:val="en-US" w:eastAsia="zh-CN"/>
              </w:rPr>
              <w:t>建成后</w:t>
            </w:r>
            <w:r>
              <w:rPr>
                <w:rFonts w:hint="eastAsia" w:cs="Times New Roman"/>
                <w:color w:val="0000FF"/>
                <w:lang w:val="en-US" w:eastAsia="zh-CN"/>
              </w:rPr>
              <w:t>年烘干玉米1.3万吨（216.67t/d）</w:t>
            </w:r>
            <w:r>
              <w:rPr>
                <w:rFonts w:hint="eastAsia" w:ascii="Times New Roman" w:hAnsi="Times New Roman" w:cs="Times New Roman"/>
                <w:color w:val="0000FF"/>
                <w:lang w:val="en-US" w:eastAsia="zh-CN"/>
              </w:rPr>
              <w:t>。</w:t>
            </w:r>
          </w:p>
          <w:p>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2、建设内容</w:t>
            </w:r>
          </w:p>
          <w:p>
            <w:pPr>
              <w:bidi w:val="0"/>
              <w:rPr>
                <w:rFonts w:hint="default" w:ascii="Times New Roman" w:hAnsi="Times New Roman" w:cs="Times New Roman"/>
                <w:color w:val="0000FF"/>
                <w:lang w:val="en-US" w:eastAsia="zh-CN"/>
              </w:rPr>
            </w:pPr>
            <w:r>
              <w:rPr>
                <w:rFonts w:hint="eastAsia" w:cs="Times New Roman"/>
                <w:color w:val="0000FF"/>
                <w:lang w:val="en-US" w:eastAsia="zh-CN"/>
              </w:rPr>
              <w:t>项目占地面积为16000m²（约24亩），新建烘干塔1座，14.7MW（21t/h）</w:t>
            </w:r>
            <w:r>
              <w:rPr>
                <w:rFonts w:hint="eastAsia"/>
                <w:color w:val="0000FF"/>
                <w:lang w:val="en-US" w:eastAsia="zh-CN"/>
              </w:rPr>
              <w:t>生物质热风炉1台，</w:t>
            </w:r>
            <w:r>
              <w:rPr>
                <w:rFonts w:hint="eastAsia" w:cs="Times New Roman"/>
                <w:color w:val="0000FF"/>
                <w:lang w:val="en-US" w:eastAsia="zh-CN"/>
              </w:rPr>
              <w:t>湿料存放筒仓2个（3000t/个），干料筒仓1个（8000t/个）、平库1座及配套晾晒场一座等。</w:t>
            </w:r>
          </w:p>
          <w:p>
            <w:pPr>
              <w:bidi w:val="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项目建设内容具体见表2-1。</w:t>
            </w:r>
          </w:p>
          <w:p>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表2-1   项目主要建设内容</w:t>
            </w:r>
          </w:p>
          <w:tbl>
            <w:tblPr>
              <w:tblStyle w:val="10"/>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87"/>
              <w:gridCol w:w="1761"/>
              <w:gridCol w:w="2923"/>
              <w:gridCol w:w="888"/>
              <w:gridCol w:w="17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序号</w:t>
                  </w:r>
                </w:p>
              </w:tc>
              <w:tc>
                <w:tcPr>
                  <w:tcW w:w="1761"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建筑名称</w:t>
                  </w:r>
                </w:p>
              </w:tc>
              <w:tc>
                <w:tcPr>
                  <w:tcW w:w="2923"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建筑面积</w:t>
                  </w:r>
                  <w:r>
                    <w:rPr>
                      <w:rFonts w:hint="eastAsia"/>
                      <w:b/>
                      <w:bCs/>
                      <w:color w:val="000000" w:themeColor="text1"/>
                      <w:lang w:val="en-US" w:eastAsia="zh-CN"/>
                      <w14:textFill>
                        <w14:solidFill>
                          <w14:schemeClr w14:val="tx1"/>
                        </w14:solidFill>
                      </w14:textFill>
                    </w:rPr>
                    <w:t>（m²）</w:t>
                  </w:r>
                </w:p>
              </w:tc>
              <w:tc>
                <w:tcPr>
                  <w:tcW w:w="888"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层数</w:t>
                  </w:r>
                </w:p>
              </w:tc>
              <w:tc>
                <w:tcPr>
                  <w:tcW w:w="1761"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结构类型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1761"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消防水池</w:t>
                  </w:r>
                </w:p>
              </w:tc>
              <w:tc>
                <w:tcPr>
                  <w:tcW w:w="2923"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00</w:t>
                  </w:r>
                </w:p>
              </w:tc>
              <w:tc>
                <w:tcPr>
                  <w:tcW w:w="888" w:type="dxa"/>
                  <w:tcBorders>
                    <w:top w:val="single" w:color="000000" w:sz="12" w:space="0"/>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钢筋混凝土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1761" w:type="dxa"/>
                  <w:tcBorders>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平库</w:t>
                  </w:r>
                </w:p>
              </w:tc>
              <w:tc>
                <w:tcPr>
                  <w:tcW w:w="2923"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1300</w:t>
                  </w:r>
                </w:p>
              </w:tc>
              <w:tc>
                <w:tcPr>
                  <w:tcW w:w="888" w:type="dxa"/>
                  <w:tcBorders>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轻钢结构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14.7MW（21t/h）</w:t>
                  </w:r>
                  <w:r>
                    <w:rPr>
                      <w:rFonts w:hint="eastAsia"/>
                      <w:color w:val="000000" w:themeColor="text1"/>
                      <w:lang w:val="en-US" w:eastAsia="zh-CN"/>
                      <w14:textFill>
                        <w14:solidFill>
                          <w14:schemeClr w14:val="tx1"/>
                        </w14:solidFill>
                      </w14:textFill>
                    </w:rPr>
                    <w:t>生物质热风炉1台</w:t>
                  </w:r>
                </w:p>
              </w:tc>
              <w:tc>
                <w:tcPr>
                  <w:tcW w:w="292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00</w:t>
                  </w:r>
                </w:p>
              </w:tc>
              <w:tc>
                <w:tcPr>
                  <w:tcW w:w="888" w:type="dxa"/>
                  <w:tcBorders>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混合结构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w:t>
                  </w:r>
                </w:p>
              </w:tc>
              <w:tc>
                <w:tcPr>
                  <w:tcW w:w="1761" w:type="dxa"/>
                  <w:tcBorders>
                    <w:tl2br w:val="nil"/>
                    <w:tr2bl w:val="nil"/>
                  </w:tcBorders>
                  <w:noWrap/>
                  <w:vAlign w:val="center"/>
                </w:tcPr>
                <w:p>
                  <w:pPr>
                    <w:pStyle w:val="15"/>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干料筒仓</w:t>
                  </w:r>
                </w:p>
              </w:tc>
              <w:tc>
                <w:tcPr>
                  <w:tcW w:w="2923"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490</w:t>
                  </w:r>
                </w:p>
              </w:tc>
              <w:tc>
                <w:tcPr>
                  <w:tcW w:w="888" w:type="dxa"/>
                  <w:tcBorders>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混合结构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5</w:t>
                  </w:r>
                </w:p>
              </w:tc>
              <w:tc>
                <w:tcPr>
                  <w:tcW w:w="1761" w:type="dxa"/>
                  <w:tcBorders>
                    <w:tl2br w:val="nil"/>
                    <w:tr2bl w:val="nil"/>
                  </w:tcBorders>
                  <w:noWrap/>
                  <w:vAlign w:val="center"/>
                </w:tcPr>
                <w:p>
                  <w:pPr>
                    <w:pStyle w:val="15"/>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湿料筒仓</w:t>
                  </w:r>
                </w:p>
              </w:tc>
              <w:tc>
                <w:tcPr>
                  <w:tcW w:w="2923"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176×2</w:t>
                  </w:r>
                </w:p>
              </w:tc>
              <w:tc>
                <w:tcPr>
                  <w:tcW w:w="888" w:type="dxa"/>
                  <w:tcBorders>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混合结构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887"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门卫室</w:t>
                  </w:r>
                </w:p>
              </w:tc>
              <w:tc>
                <w:tcPr>
                  <w:tcW w:w="292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100</w:t>
                  </w:r>
                </w:p>
              </w:tc>
              <w:tc>
                <w:tcPr>
                  <w:tcW w:w="888" w:type="dxa"/>
                  <w:tcBorders>
                    <w:tl2br w:val="nil"/>
                    <w:tr2bl w:val="nil"/>
                  </w:tcBorders>
                  <w:noWrap/>
                  <w:vAlign w:val="center"/>
                </w:tcPr>
                <w:p>
                  <w:pPr>
                    <w:pStyle w:val="15"/>
                    <w:bidi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混合结构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761"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燃料棚</w:t>
                  </w:r>
                </w:p>
              </w:tc>
              <w:tc>
                <w:tcPr>
                  <w:tcW w:w="2923"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210</w:t>
                  </w:r>
                </w:p>
              </w:tc>
              <w:tc>
                <w:tcPr>
                  <w:tcW w:w="888"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混合结构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761"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危险废物暂存间</w:t>
                  </w:r>
                </w:p>
              </w:tc>
              <w:tc>
                <w:tcPr>
                  <w:tcW w:w="2923"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888"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1"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混合结构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1761"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绿化带</w:t>
                  </w:r>
                </w:p>
              </w:tc>
              <w:tc>
                <w:tcPr>
                  <w:tcW w:w="2923"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1200</w:t>
                  </w:r>
                </w:p>
              </w:tc>
              <w:tc>
                <w:tcPr>
                  <w:tcW w:w="888"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61"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87" w:type="dxa"/>
                  <w:tcBorders>
                    <w:tl2br w:val="nil"/>
                    <w:tr2bl w:val="nil"/>
                  </w:tcBorders>
                  <w:noWrap/>
                  <w:vAlign w:val="center"/>
                </w:tcPr>
                <w:p>
                  <w:pPr>
                    <w:pStyle w:val="15"/>
                    <w:bidi w:val="0"/>
                    <w:jc w:val="center"/>
                    <w:rPr>
                      <w:rFonts w:hint="default"/>
                      <w:color w:val="0000FF"/>
                      <w:lang w:val="en-US" w:eastAsia="zh-CN"/>
                    </w:rPr>
                  </w:pPr>
                  <w:r>
                    <w:rPr>
                      <w:rFonts w:hint="eastAsia"/>
                      <w:color w:val="0000FF"/>
                      <w:lang w:val="en-US" w:eastAsia="zh-CN"/>
                    </w:rPr>
                    <w:t>10</w:t>
                  </w:r>
                </w:p>
              </w:tc>
              <w:tc>
                <w:tcPr>
                  <w:tcW w:w="1761" w:type="dxa"/>
                  <w:tcBorders>
                    <w:tl2br w:val="nil"/>
                    <w:tr2bl w:val="nil"/>
                  </w:tcBorders>
                  <w:noWrap/>
                  <w:vAlign w:val="center"/>
                </w:tcPr>
                <w:p>
                  <w:pPr>
                    <w:pStyle w:val="15"/>
                    <w:bidi w:val="0"/>
                    <w:jc w:val="center"/>
                    <w:rPr>
                      <w:rFonts w:hint="default"/>
                      <w:color w:val="0000FF"/>
                      <w:lang w:val="en-US" w:eastAsia="zh-CN"/>
                    </w:rPr>
                  </w:pPr>
                  <w:r>
                    <w:rPr>
                      <w:rFonts w:hint="eastAsia"/>
                      <w:color w:val="0000FF"/>
                      <w:lang w:val="en-US" w:eastAsia="zh-CN"/>
                    </w:rPr>
                    <w:t>晾晒场</w:t>
                  </w:r>
                </w:p>
              </w:tc>
              <w:tc>
                <w:tcPr>
                  <w:tcW w:w="2923" w:type="dxa"/>
                  <w:tcBorders>
                    <w:tl2br w:val="nil"/>
                    <w:tr2bl w:val="nil"/>
                  </w:tcBorders>
                  <w:noWrap/>
                  <w:vAlign w:val="center"/>
                </w:tcPr>
                <w:p>
                  <w:pPr>
                    <w:pStyle w:val="15"/>
                    <w:bidi w:val="0"/>
                    <w:jc w:val="center"/>
                    <w:rPr>
                      <w:rFonts w:hint="default"/>
                      <w:color w:val="0000FF"/>
                      <w:lang w:val="en-US" w:eastAsia="zh-CN"/>
                    </w:rPr>
                  </w:pPr>
                  <w:r>
                    <w:rPr>
                      <w:rFonts w:hint="eastAsia"/>
                      <w:color w:val="0000FF"/>
                      <w:lang w:val="en-US" w:eastAsia="zh-CN"/>
                    </w:rPr>
                    <w:t>8890</w:t>
                  </w:r>
                </w:p>
              </w:tc>
              <w:tc>
                <w:tcPr>
                  <w:tcW w:w="888" w:type="dxa"/>
                  <w:tcBorders>
                    <w:tl2br w:val="nil"/>
                    <w:tr2bl w:val="nil"/>
                  </w:tcBorders>
                  <w:noWrap/>
                  <w:vAlign w:val="center"/>
                </w:tcPr>
                <w:p>
                  <w:pPr>
                    <w:pStyle w:val="15"/>
                    <w:bidi w:val="0"/>
                    <w:jc w:val="center"/>
                    <w:rPr>
                      <w:rFonts w:hint="default"/>
                      <w:color w:val="0000FF"/>
                      <w:lang w:val="en-US" w:eastAsia="zh-CN"/>
                    </w:rPr>
                  </w:pPr>
                  <w:r>
                    <w:rPr>
                      <w:rFonts w:hint="eastAsia"/>
                      <w:color w:val="0000FF"/>
                      <w:lang w:val="en-US" w:eastAsia="zh-CN"/>
                    </w:rPr>
                    <w:t>/</w:t>
                  </w:r>
                </w:p>
              </w:tc>
              <w:tc>
                <w:tcPr>
                  <w:tcW w:w="1761" w:type="dxa"/>
                  <w:tcBorders>
                    <w:tl2br w:val="nil"/>
                    <w:tr2bl w:val="nil"/>
                  </w:tcBorders>
                  <w:noWrap/>
                  <w:vAlign w:val="center"/>
                </w:tcPr>
                <w:p>
                  <w:pPr>
                    <w:pStyle w:val="15"/>
                    <w:bidi w:val="0"/>
                    <w:jc w:val="center"/>
                    <w:rPr>
                      <w:rFonts w:hint="default"/>
                      <w:color w:val="0000FF"/>
                      <w:lang w:val="en-US" w:eastAsia="zh-CN"/>
                    </w:rPr>
                  </w:pPr>
                  <w:r>
                    <w:rPr>
                      <w:rFonts w:hint="eastAsia"/>
                      <w:color w:val="0000FF"/>
                      <w:lang w:val="en-US" w:eastAsia="zh-CN"/>
                    </w:rPr>
                    <w:t>地面硬化防渗，四周设置围挡</w:t>
                  </w:r>
                </w:p>
              </w:tc>
            </w:tr>
          </w:tbl>
          <w:p>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2.1</w:t>
            </w:r>
            <w:r>
              <w:rPr>
                <w:rFonts w:hint="eastAsia"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总体平面布置</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厂房整体呈南北布置，北侧为入口，从南向北依次分布办公生活区，干料仓库，烘干区，湿料仓库和燃料仓库。厂区内均为水泥硬化地面，各生产单元之间划定有道路。</w:t>
            </w:r>
            <w:r>
              <w:rPr>
                <w:rFonts w:hint="default" w:ascii="Times New Roman" w:hAnsi="Times New Roman" w:eastAsia="宋体" w:cs="Times New Roman"/>
                <w:color w:val="000000" w:themeColor="text1"/>
                <w:sz w:val="24"/>
                <w:szCs w:val="24"/>
                <w14:textFill>
                  <w14:solidFill>
                    <w14:schemeClr w14:val="tx1"/>
                  </w14:solidFill>
                </w14:textFill>
              </w:rPr>
              <w:t>项目厂区平面布置在满足防火、安全卫生防护距离要求下，合理确定道路宽度，尽可能紧凑布置，减少占地，节约投资；工艺装置、辅助生产和公用工程装置联合、紧凑布置，使工艺及公用物流线路短捷；平面布置充分考虑风向、建筑朝向、地形，合理组织运输物流，力求装置布置经济、合理、协调、美观；合理组织人流物流，尽可能减少交叉运输，保证安全生产。</w:t>
            </w:r>
            <w:r>
              <w:rPr>
                <w:rFonts w:hint="eastAsia" w:cs="Times New Roman"/>
                <w:color w:val="000000" w:themeColor="text1"/>
                <w:sz w:val="24"/>
                <w:szCs w:val="24"/>
                <w:lang w:val="en-US" w:eastAsia="zh-CN"/>
                <w14:textFill>
                  <w14:solidFill>
                    <w14:schemeClr w14:val="tx1"/>
                  </w14:solidFill>
                </w14:textFill>
              </w:rPr>
              <w:t>生活区设置在侧风向</w:t>
            </w:r>
            <w:r>
              <w:rPr>
                <w:rFonts w:hint="default" w:ascii="Times New Roman" w:hAnsi="Times New Roman" w:eastAsia="宋体" w:cs="Times New Roman"/>
                <w:color w:val="000000" w:themeColor="text1"/>
                <w:sz w:val="24"/>
                <w:szCs w:val="24"/>
                <w14:textFill>
                  <w14:solidFill>
                    <w14:schemeClr w14:val="tx1"/>
                  </w14:solidFill>
                </w14:textFill>
              </w:rPr>
              <w:t>，项目平面布置功能分区明确、合理，生产装置独立设置。因此，从环保及功能分区角度分析，该项目厂区平面布置总体合理。</w:t>
            </w:r>
            <w:r>
              <w:rPr>
                <w:rFonts w:hint="eastAsia"/>
                <w:color w:val="000000" w:themeColor="text1"/>
                <w:lang w:val="en-US" w:eastAsia="zh-CN"/>
                <w14:textFill>
                  <w14:solidFill>
                    <w14:schemeClr w14:val="tx1"/>
                  </w14:solidFill>
                </w14:textFill>
              </w:rPr>
              <w:t>平面布置图见附图3。</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2.2 项目设备</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本项目主要生产设备详见表2-2。</w:t>
            </w:r>
          </w:p>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2-2 </w:t>
            </w:r>
            <w:r>
              <w:rPr>
                <w:b/>
                <w:bCs/>
                <w:color w:val="000000" w:themeColor="text1"/>
                <w14:textFill>
                  <w14:solidFill>
                    <w14:schemeClr w14:val="tx1"/>
                  </w14:solidFill>
                </w14:textFill>
              </w:rPr>
              <w:t xml:space="preserve">  生产设备一览表</w:t>
            </w:r>
          </w:p>
          <w:tbl>
            <w:tblPr>
              <w:tblStyle w:val="10"/>
              <w:tblW w:w="8173"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2001"/>
              <w:gridCol w:w="1228"/>
              <w:gridCol w:w="1059"/>
              <w:gridCol w:w="856"/>
              <w:gridCol w:w="696"/>
              <w:gridCol w:w="890"/>
              <w:gridCol w:w="8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vMerge w:val="restart"/>
                  <w:noWrap/>
                  <w:vAlign w:val="center"/>
                </w:tcPr>
                <w:p>
                  <w:pPr>
                    <w:pStyle w:val="15"/>
                    <w:bidi w:val="0"/>
                    <w:jc w:val="center"/>
                    <w:rPr>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序号</w:t>
                  </w:r>
                </w:p>
              </w:tc>
              <w:tc>
                <w:tcPr>
                  <w:tcW w:w="2001" w:type="dxa"/>
                  <w:vMerge w:val="restart"/>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设备名称</w:t>
                  </w:r>
                </w:p>
              </w:tc>
              <w:tc>
                <w:tcPr>
                  <w:tcW w:w="1228" w:type="dxa"/>
                  <w:vMerge w:val="restart"/>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规格型号</w:t>
                  </w:r>
                </w:p>
              </w:tc>
              <w:tc>
                <w:tcPr>
                  <w:tcW w:w="1059" w:type="dxa"/>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数量</w:t>
                  </w:r>
                </w:p>
              </w:tc>
              <w:tc>
                <w:tcPr>
                  <w:tcW w:w="856" w:type="dxa"/>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单机功率</w:t>
                  </w:r>
                </w:p>
              </w:tc>
              <w:tc>
                <w:tcPr>
                  <w:tcW w:w="696" w:type="dxa"/>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总功率</w:t>
                  </w:r>
                </w:p>
              </w:tc>
              <w:tc>
                <w:tcPr>
                  <w:tcW w:w="890" w:type="dxa"/>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单价</w:t>
                  </w:r>
                </w:p>
              </w:tc>
              <w:tc>
                <w:tcPr>
                  <w:tcW w:w="890" w:type="dxa"/>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总价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vMerge w:val="continue"/>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p>
              </w:tc>
              <w:tc>
                <w:tcPr>
                  <w:tcW w:w="2001" w:type="dxa"/>
                  <w:vMerge w:val="continue"/>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p>
              </w:tc>
              <w:tc>
                <w:tcPr>
                  <w:tcW w:w="1228" w:type="dxa"/>
                  <w:vMerge w:val="continue"/>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p>
              </w:tc>
              <w:tc>
                <w:tcPr>
                  <w:tcW w:w="1059"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（台</w:t>
                  </w:r>
                  <w:r>
                    <w:rPr>
                      <w:rFonts w:hint="eastAsia"/>
                      <w:b/>
                      <w:bCs/>
                      <w:color w:val="000000" w:themeColor="text1"/>
                      <w:lang w:val="en-US" w:eastAsia="zh-CN"/>
                      <w14:textFill>
                        <w14:solidFill>
                          <w14:schemeClr w14:val="tx1"/>
                        </w14:solidFill>
                      </w14:textFill>
                    </w:rPr>
                    <w:t>、</w:t>
                  </w:r>
                  <w:r>
                    <w:rPr>
                      <w:rFonts w:hint="default"/>
                      <w:b/>
                      <w:bCs/>
                      <w:color w:val="000000" w:themeColor="text1"/>
                      <w:lang w:val="en-US" w:eastAsia="zh-CN"/>
                      <w14:textFill>
                        <w14:solidFill>
                          <w14:schemeClr w14:val="tx1"/>
                        </w14:solidFill>
                      </w14:textFill>
                    </w:rPr>
                    <w:t>套）</w:t>
                  </w:r>
                </w:p>
              </w:tc>
              <w:tc>
                <w:tcPr>
                  <w:tcW w:w="856"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(k</w:t>
                  </w:r>
                  <w:r>
                    <w:rPr>
                      <w:rFonts w:hint="eastAsia"/>
                      <w:b/>
                      <w:bCs/>
                      <w:color w:val="000000" w:themeColor="text1"/>
                      <w:lang w:val="en-US" w:eastAsia="zh-CN"/>
                      <w14:textFill>
                        <w14:solidFill>
                          <w14:schemeClr w14:val="tx1"/>
                        </w14:solidFill>
                      </w14:textFill>
                    </w:rPr>
                    <w:t>W</w:t>
                  </w:r>
                  <w:r>
                    <w:rPr>
                      <w:rFonts w:hint="default"/>
                      <w:b/>
                      <w:bCs/>
                      <w:color w:val="000000" w:themeColor="text1"/>
                      <w:lang w:val="en-US" w:eastAsia="zh-CN"/>
                      <w14:textFill>
                        <w14:solidFill>
                          <w14:schemeClr w14:val="tx1"/>
                        </w14:solidFill>
                      </w14:textFill>
                    </w:rPr>
                    <w:t>)</w:t>
                  </w:r>
                </w:p>
              </w:tc>
              <w:tc>
                <w:tcPr>
                  <w:tcW w:w="696"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(k</w:t>
                  </w:r>
                  <w:r>
                    <w:rPr>
                      <w:rFonts w:hint="eastAsia"/>
                      <w:b/>
                      <w:bCs/>
                      <w:color w:val="000000" w:themeColor="text1"/>
                      <w:lang w:val="en-US" w:eastAsia="zh-CN"/>
                      <w14:textFill>
                        <w14:solidFill>
                          <w14:schemeClr w14:val="tx1"/>
                        </w14:solidFill>
                      </w14:textFill>
                    </w:rPr>
                    <w:t>W</w:t>
                  </w:r>
                  <w:r>
                    <w:rPr>
                      <w:rFonts w:hint="default"/>
                      <w:b/>
                      <w:bCs/>
                      <w:color w:val="000000" w:themeColor="text1"/>
                      <w:lang w:val="en-US" w:eastAsia="zh-CN"/>
                      <w14:textFill>
                        <w14:solidFill>
                          <w14:schemeClr w14:val="tx1"/>
                        </w14:solidFill>
                      </w14:textFill>
                    </w:rPr>
                    <w:t>)</w:t>
                  </w:r>
                </w:p>
              </w:tc>
              <w:tc>
                <w:tcPr>
                  <w:tcW w:w="890"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（万元）</w:t>
                  </w:r>
                </w:p>
              </w:tc>
              <w:tc>
                <w:tcPr>
                  <w:tcW w:w="890" w:type="dxa"/>
                  <w:tcBorders>
                    <w:bottom w:val="single" w:color="000000" w:sz="12" w:space="0"/>
                  </w:tcBorders>
                  <w:noWrap/>
                  <w:vAlign w:val="center"/>
                </w:tcPr>
                <w:p>
                  <w:pPr>
                    <w:pStyle w:val="15"/>
                    <w:bidi w:val="0"/>
                    <w:jc w:val="center"/>
                    <w:rPr>
                      <w:rFonts w:hint="default"/>
                      <w:b/>
                      <w:bCs/>
                      <w:color w:val="000000" w:themeColor="text1"/>
                      <w14:textFill>
                        <w14:solidFill>
                          <w14:schemeClr w14:val="tx1"/>
                        </w14:solidFill>
                      </w14:textFill>
                    </w:rPr>
                  </w:pPr>
                  <w:r>
                    <w:rPr>
                      <w:rFonts w:hint="default"/>
                      <w:b/>
                      <w:bCs/>
                      <w:color w:val="000000" w:themeColor="text1"/>
                      <w:lang w:val="en-US" w:eastAsia="zh-CN"/>
                      <w14:textFill>
                        <w14:solidFill>
                          <w14:schemeClr w14:val="tx1"/>
                        </w14:solidFill>
                      </w14:textFill>
                    </w:rPr>
                    <w:t>（万元）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2001"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湿粮格概及进粮斗</w:t>
                  </w:r>
                </w:p>
              </w:tc>
              <w:tc>
                <w:tcPr>
                  <w:tcW w:w="1228"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2.5X12</w:t>
                  </w:r>
                </w:p>
              </w:tc>
              <w:tc>
                <w:tcPr>
                  <w:tcW w:w="1059"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w:t>
                  </w:r>
                </w:p>
              </w:tc>
              <w:tc>
                <w:tcPr>
                  <w:tcW w:w="696"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8</w:t>
                  </w:r>
                </w:p>
              </w:tc>
              <w:tc>
                <w:tcPr>
                  <w:tcW w:w="890"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3.4</w:t>
                  </w:r>
                </w:p>
              </w:tc>
              <w:tc>
                <w:tcPr>
                  <w:tcW w:w="890" w:type="dxa"/>
                  <w:tcBorders>
                    <w:top w:val="single" w:color="000000" w:sz="12" w:space="0"/>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B1固定式皮带机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TDSG50X10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E1斗式提升机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TDTG50/26</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E1E2E3提升机组令钢架</w:t>
                  </w:r>
                </w:p>
              </w:tc>
              <w:tc>
                <w:tcPr>
                  <w:tcW w:w="1228" w:type="dxa"/>
                  <w:tcBorders>
                    <w:tl2br w:val="nil"/>
                    <w:tr2bl w:val="nil"/>
                  </w:tcBorders>
                  <w:noWrap/>
                  <w:vAlign w:val="center"/>
                </w:tcPr>
                <w:p>
                  <w:pPr>
                    <w:pStyle w:val="15"/>
                    <w:bidi w:val="0"/>
                    <w:jc w:val="center"/>
                    <w:rPr>
                      <w:rFonts w:hint="eastAsia"/>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4.48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5</w:t>
                  </w:r>
                </w:p>
              </w:tc>
              <w:tc>
                <w:tcPr>
                  <w:tcW w:w="2001"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default"/>
                      <w:color w:val="000000" w:themeColor="text1"/>
                      <w:lang w:val="en-US" w:eastAsia="zh-CN"/>
                      <w14:textFill>
                        <w14:solidFill>
                          <w14:schemeClr w14:val="tx1"/>
                        </w14:solidFill>
                      </w14:textFill>
                    </w:rPr>
                    <w:t>圆</w:t>
                  </w:r>
                  <w:r>
                    <w:rPr>
                      <w:rFonts w:hint="eastAsia"/>
                      <w:color w:val="000000" w:themeColor="text1"/>
                      <w:lang w:val="en-US" w:eastAsia="zh-CN"/>
                      <w14:textFill>
                        <w14:solidFill>
                          <w14:schemeClr w14:val="tx1"/>
                        </w14:solidFill>
                      </w14:textFill>
                    </w:rPr>
                    <w:t>通</w:t>
                  </w:r>
                  <w:r>
                    <w:rPr>
                      <w:rFonts w:hint="default"/>
                      <w:color w:val="000000" w:themeColor="text1"/>
                      <w:lang w:val="en-US" w:eastAsia="zh-CN"/>
                      <w14:textFill>
                        <w14:solidFill>
                          <w14:schemeClr w14:val="tx1"/>
                        </w14:solidFill>
                      </w14:textFill>
                    </w:rPr>
                    <w:t>淸理</w:t>
                  </w:r>
                  <w:r>
                    <w:rPr>
                      <w:rFonts w:hint="eastAsia"/>
                      <w:color w:val="000000" w:themeColor="text1"/>
                      <w:lang w:val="en-US" w:eastAsia="zh-CN"/>
                      <w14:textFill>
                        <w14:solidFill>
                          <w14:schemeClr w14:val="tx1"/>
                        </w14:solidFill>
                      </w14:textFill>
                    </w:rPr>
                    <w:t>筛</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TCQY100/420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2.2</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9.6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圆筒筛抠架</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H-2650CE</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0.64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E2斗式提升机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TDTG50/26</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10</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8</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湿粮仓</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JCBZ-500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9</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手电两用闸门</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300X300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0.2</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10</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B2固定式皮带机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TDSG50X6</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11</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E3斗式提升机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TDTG48/28</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12.5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25</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10</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12</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烘干机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WGS500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18.55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37.1</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32</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13</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B3固定式皮带机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TDSG50X6</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3.368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3.368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14</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E4斗式提升机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TDTG48/28</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12</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25</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9.2</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千粮仓</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JCBZ-500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20.24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20.24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16</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手动闸门</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TZMS300</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0.12</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17</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热风机1</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N=37kw</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37</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18</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热风机2</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N=55kw</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55</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110</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H'</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冷却风机</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N=22kw</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22</w:t>
                  </w: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44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2.08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20</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料位器</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阻旋式</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低温传感器</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XMT</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22</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高温传感器</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XMT</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0.08</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23</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生物质</w:t>
                  </w:r>
                  <w:r>
                    <w:rPr>
                      <w:rFonts w:hint="default"/>
                      <w:color w:val="000000" w:themeColor="text1"/>
                      <w:lang w:val="en-US" w:eastAsia="zh-CN"/>
                      <w14:textFill>
                        <w14:solidFill>
                          <w14:schemeClr w14:val="tx1"/>
                        </w14:solidFill>
                      </w14:textFill>
                    </w:rPr>
                    <w:t>热风炉</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14.7MW（21t/h）</w:t>
                  </w: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60</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24</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脱硫</w:t>
                  </w:r>
                  <w:r>
                    <w:rPr>
                      <w:rFonts w:hint="eastAsia"/>
                      <w:color w:val="000000" w:themeColor="text1"/>
                      <w:lang w:val="en-US" w:eastAsia="zh-CN"/>
                      <w14:textFill>
                        <w14:solidFill>
                          <w14:schemeClr w14:val="tx1"/>
                        </w14:solidFill>
                      </w14:textFill>
                    </w:rPr>
                    <w:t>脱硝</w:t>
                  </w:r>
                  <w:r>
                    <w:rPr>
                      <w:rFonts w:hint="default"/>
                      <w:color w:val="000000" w:themeColor="text1"/>
                      <w:lang w:val="en-US" w:eastAsia="zh-CN"/>
                      <w14:textFill>
                        <w14:solidFill>
                          <w14:schemeClr w14:val="tx1"/>
                        </w14:solidFill>
                      </w14:textFill>
                    </w:rPr>
                    <w:t>除尘</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44</w:t>
                  </w:r>
                </w:p>
              </w:tc>
              <w:tc>
                <w:tcPr>
                  <w:tcW w:w="890"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25</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溜管、平台等</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3.04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26</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电气系统</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17.6</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27</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电缆、电线、线管等</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6.4</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28</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安装调试</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物流车辆</w:t>
                  </w: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16</w:t>
                  </w:r>
                </w:p>
              </w:tc>
              <w:tc>
                <w:tcPr>
                  <w:tcW w:w="890" w:type="dxa"/>
                  <w:tcBorders>
                    <w:tl2br w:val="nil"/>
                    <w:tr2bl w:val="nil"/>
                  </w:tcBorders>
                  <w:noWrap/>
                  <w:vAlign w:val="center"/>
                </w:tcPr>
                <w:p>
                  <w:pPr>
                    <w:pStyle w:val="15"/>
                    <w:bidi w:val="0"/>
                    <w:jc w:val="cente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553"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合计</w:t>
                  </w:r>
                </w:p>
              </w:tc>
              <w:tc>
                <w:tcPr>
                  <w:tcW w:w="2001"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228"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1059"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70</w:t>
                  </w:r>
                </w:p>
              </w:tc>
              <w:tc>
                <w:tcPr>
                  <w:tcW w:w="85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696"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376.9</w:t>
                  </w:r>
                </w:p>
              </w:tc>
              <w:tc>
                <w:tcPr>
                  <w:tcW w:w="890" w:type="dxa"/>
                  <w:tcBorders>
                    <w:tl2br w:val="nil"/>
                    <w:tr2bl w:val="nil"/>
                  </w:tcBorders>
                  <w:noWrap/>
                  <w:vAlign w:val="center"/>
                </w:tcPr>
                <w:p>
                  <w:pPr>
                    <w:pStyle w:val="15"/>
                    <w:bidi w:val="0"/>
                    <w:jc w:val="center"/>
                    <w:rPr>
                      <w:rFonts w:hint="default"/>
                      <w:color w:val="000000" w:themeColor="text1"/>
                      <w14:textFill>
                        <w14:solidFill>
                          <w14:schemeClr w14:val="tx1"/>
                        </w14:solidFill>
                      </w14:textFill>
                    </w:rPr>
                  </w:pPr>
                </w:p>
              </w:tc>
              <w:tc>
                <w:tcPr>
                  <w:tcW w:w="890" w:type="dxa"/>
                  <w:tcBorders>
                    <w:tl2br w:val="nil"/>
                    <w:tr2bl w:val="nil"/>
                  </w:tcBorders>
                  <w:noWrap/>
                  <w:vAlign w:val="center"/>
                </w:tcPr>
                <w:p>
                  <w:pPr>
                    <w:pStyle w:val="15"/>
                    <w:bidi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315.208</w:t>
                  </w:r>
                </w:p>
              </w:tc>
            </w:tr>
          </w:tbl>
          <w:p>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、项目组成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kern w:val="0"/>
                <w:sz w:val="24"/>
                <w:szCs w:val="22"/>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bCs/>
                <w:color w:val="000000" w:themeColor="text1"/>
                <w:kern w:val="0"/>
                <w:sz w:val="24"/>
                <w:szCs w:val="22"/>
                <w14:textFill>
                  <w14:solidFill>
                    <w14:schemeClr w14:val="tx1"/>
                  </w14:solidFill>
                </w14:textFill>
              </w:rPr>
              <w:t>由主体工程</w:t>
            </w:r>
            <w:r>
              <w:rPr>
                <w:rFonts w:hint="eastAsia" w:cs="Times New Roman"/>
                <w:bCs/>
                <w:color w:val="000000" w:themeColor="text1"/>
                <w:kern w:val="0"/>
                <w:sz w:val="24"/>
                <w:szCs w:val="22"/>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14:textFill>
                  <w14:solidFill>
                    <w14:schemeClr w14:val="tx1"/>
                  </w14:solidFill>
                </w14:textFill>
              </w:rPr>
              <w:t>辅助工程</w:t>
            </w:r>
            <w:r>
              <w:rPr>
                <w:rFonts w:hint="eastAsia" w:cs="Times New Roman"/>
                <w:bCs/>
                <w:color w:val="000000" w:themeColor="text1"/>
                <w:kern w:val="0"/>
                <w:sz w:val="24"/>
                <w:szCs w:val="22"/>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14:textFill>
                  <w14:solidFill>
                    <w14:schemeClr w14:val="tx1"/>
                  </w14:solidFill>
                </w14:textFill>
              </w:rPr>
              <w:t>公用</w:t>
            </w:r>
            <w:r>
              <w:rPr>
                <w:rFonts w:hint="eastAsia" w:cs="Times New Roman"/>
                <w:bCs/>
                <w:color w:val="000000" w:themeColor="text1"/>
                <w:kern w:val="0"/>
                <w:sz w:val="24"/>
                <w:szCs w:val="22"/>
                <w:lang w:val="en-US" w:eastAsia="zh-CN"/>
                <w14:textFill>
                  <w14:solidFill>
                    <w14:schemeClr w14:val="tx1"/>
                  </w14:solidFill>
                </w14:textFill>
              </w:rPr>
              <w:t>工程</w:t>
            </w:r>
            <w:r>
              <w:rPr>
                <w:rFonts w:hint="eastAsia" w:cs="Times New Roman"/>
                <w:bCs/>
                <w:color w:val="000000" w:themeColor="text1"/>
                <w:kern w:val="0"/>
                <w:sz w:val="24"/>
                <w:szCs w:val="22"/>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2"/>
                <w14:textFill>
                  <w14:solidFill>
                    <w14:schemeClr w14:val="tx1"/>
                  </w14:solidFill>
                </w14:textFill>
              </w:rPr>
              <w:t>环保工程组成，工程组成内容见下表。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2-3</w:t>
            </w:r>
            <w:r>
              <w:rPr>
                <w:rFonts w:hint="default"/>
                <w:b/>
                <w:bCs/>
                <w:color w:val="000000" w:themeColor="text1"/>
                <w14:textFill>
                  <w14:solidFill>
                    <w14:schemeClr w14:val="tx1"/>
                  </w14:solidFill>
                </w14:textFill>
              </w:rPr>
              <w:t xml:space="preserve">   本项目工程组成表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354"/>
              <w:gridCol w:w="4258"/>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工程组成</w:t>
                  </w:r>
                </w:p>
              </w:tc>
              <w:tc>
                <w:tcPr>
                  <w:tcW w:w="1354"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工程内容</w:t>
                  </w:r>
                </w:p>
              </w:tc>
              <w:tc>
                <w:tcPr>
                  <w:tcW w:w="4258"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内容及规模</w:t>
                  </w:r>
                </w:p>
              </w:tc>
              <w:tc>
                <w:tcPr>
                  <w:tcW w:w="948"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主体工程</w:t>
                  </w:r>
                </w:p>
              </w:tc>
              <w:tc>
                <w:tcPr>
                  <w:tcW w:w="1354"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生产区</w:t>
                  </w:r>
                </w:p>
              </w:tc>
              <w:tc>
                <w:tcPr>
                  <w:tcW w:w="4258"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设置在厂区</w:t>
                  </w:r>
                  <w:r>
                    <w:rPr>
                      <w:rFonts w:hint="eastAsia"/>
                      <w:color w:val="000000" w:themeColor="text1"/>
                      <w:lang w:val="en-US" w:eastAsia="zh-CN"/>
                      <w14:textFill>
                        <w14:solidFill>
                          <w14:schemeClr w14:val="tx1"/>
                        </w14:solidFill>
                      </w14:textFill>
                    </w:rPr>
                    <w:t>中东</w:t>
                  </w:r>
                  <w:r>
                    <w:rPr>
                      <w:rFonts w:hint="eastAsia"/>
                      <w:color w:val="000000" w:themeColor="text1"/>
                      <w14:textFill>
                        <w14:solidFill>
                          <w14:schemeClr w14:val="tx1"/>
                        </w14:solidFill>
                      </w14:textFill>
                    </w:rPr>
                    <w:t>部，内设一套玉米湿料烘干生产线，包括烘干塔、热风炉及其配套设施等</w:t>
                  </w:r>
                </w:p>
              </w:tc>
              <w:tc>
                <w:tcPr>
                  <w:tcW w:w="948" w:type="dxa"/>
                  <w:tcBorders>
                    <w:top w:val="single" w:color="auto" w:sz="12" w:space="0"/>
                    <w:left w:val="single" w:color="auto" w:sz="4" w:space="0"/>
                    <w:bottom w:val="single" w:color="auto" w:sz="4" w:space="0"/>
                  </w:tcBorders>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38" w:hRule="atLeast"/>
                <w:jc w:val="center"/>
              </w:trPr>
              <w:tc>
                <w:tcPr>
                  <w:tcW w:w="1660" w:type="dxa"/>
                  <w:vMerge w:val="restart"/>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辅助工程</w:t>
                  </w: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储存区</w:t>
                  </w:r>
                </w:p>
              </w:tc>
              <w:tc>
                <w:tcPr>
                  <w:tcW w:w="4258" w:type="dxa"/>
                  <w:tcBorders>
                    <w:top w:val="single" w:color="auto" w:sz="4" w:space="0"/>
                    <w:left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主要包括全封闭室燃料仓库、灰渣临时储存区、湿料储存区、干料储存区、晾晒场</w:t>
                  </w:r>
                </w:p>
              </w:tc>
              <w:tc>
                <w:tcPr>
                  <w:tcW w:w="948" w:type="dxa"/>
                  <w:tcBorders>
                    <w:top w:val="single" w:color="auto" w:sz="4" w:space="0"/>
                    <w:left w:val="single" w:color="auto" w:sz="4" w:space="0"/>
                    <w:bottom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办公区</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占地</w:t>
                  </w:r>
                  <w:r>
                    <w:rPr>
                      <w:rFonts w:hint="eastAsia"/>
                      <w:color w:val="000000" w:themeColor="text1"/>
                      <w:lang w:val="en-US" w:eastAsia="zh-CN"/>
                      <w14:textFill>
                        <w14:solidFill>
                          <w14:schemeClr w14:val="tx1"/>
                        </w14:solidFill>
                      </w14:textFill>
                    </w:rPr>
                    <w:t>450</w:t>
                  </w:r>
                  <w:r>
                    <w:rPr>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²</w:t>
                  </w:r>
                  <w:r>
                    <w:rPr>
                      <w:rFonts w:hint="eastAsia"/>
                      <w:color w:val="000000" w:themeColor="text1"/>
                      <w14:textFill>
                        <w14:solidFill>
                          <w14:schemeClr w14:val="tx1"/>
                        </w14:solidFill>
                      </w14:textFill>
                    </w:rPr>
                    <w:t>，内设职工食堂、宿舍等生活设施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1层框架结构，门卫室占地50m²。</w:t>
                  </w:r>
                </w:p>
              </w:tc>
              <w:tc>
                <w:tcPr>
                  <w:tcW w:w="948" w:type="dxa"/>
                  <w:tcBorders>
                    <w:top w:val="single" w:color="auto" w:sz="4" w:space="0"/>
                    <w:left w:val="single" w:color="auto" w:sz="4" w:space="0"/>
                    <w:bottom w:val="single" w:color="auto" w:sz="4" w:space="0"/>
                  </w:tcBorders>
                  <w:vAlign w:val="center"/>
                </w:tcPr>
                <w:p>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restart"/>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供水工程</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依托市政供水管网</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排水工程</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化粪池暂存后</w:t>
                  </w:r>
                  <w:r>
                    <w:rPr>
                      <w:rFonts w:hint="eastAsia"/>
                      <w:lang w:val="en-US" w:eastAsia="zh-CN"/>
                    </w:rPr>
                    <w:t>至</w:t>
                  </w:r>
                  <w:r>
                    <w:rPr>
                      <w:rFonts w:hint="eastAsia"/>
                      <w:color w:val="000000" w:themeColor="text1"/>
                      <w14:textFill>
                        <w14:solidFill>
                          <w14:schemeClr w14:val="tx1"/>
                        </w14:solidFill>
                      </w14:textFill>
                    </w:rPr>
                    <w:t>吉木萨尔县北三台循环经济工业园区污水处理厂</w:t>
                  </w:r>
                  <w:r>
                    <w:rPr>
                      <w:rFonts w:hint="eastAsia"/>
                      <w:lang w:val="en-US" w:eastAsia="zh-CN"/>
                    </w:rPr>
                    <w:t>集中处理</w:t>
                  </w:r>
                </w:p>
              </w:tc>
              <w:tc>
                <w:tcPr>
                  <w:tcW w:w="948" w:type="dxa"/>
                  <w:tcBorders>
                    <w:top w:val="single" w:color="auto" w:sz="4" w:space="0"/>
                    <w:left w:val="single" w:color="auto" w:sz="4" w:space="0"/>
                    <w:bottom w:val="single" w:color="auto" w:sz="4" w:space="0"/>
                  </w:tcBorders>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供电工程</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依托项目区市政供电电网</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供暖工程</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冬季不生产，无供暖需求</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供热工程</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14.7MW（21t/h）</w:t>
                  </w:r>
                  <w:r>
                    <w:rPr>
                      <w:rFonts w:hint="eastAsia"/>
                      <w:lang w:val="en-US" w:eastAsia="zh-CN"/>
                    </w:rPr>
                    <w:t>热风炉为项目提供热空气进行烘干</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restart"/>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环保工程</w:t>
                  </w: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本项目无生产废水外排，生活污水通过化粪池收集后</w:t>
                  </w:r>
                  <w:r>
                    <w:rPr>
                      <w:rFonts w:hint="eastAsia"/>
                      <w:color w:val="000000" w:themeColor="text1"/>
                      <w:lang w:val="en-US" w:eastAsia="zh-CN"/>
                      <w14:textFill>
                        <w14:solidFill>
                          <w14:schemeClr w14:val="tx1"/>
                        </w14:solidFill>
                      </w14:textFill>
                    </w:rPr>
                    <w:t>抽运</w:t>
                  </w:r>
                  <w:r>
                    <w:rPr>
                      <w:rFonts w:hint="eastAsia"/>
                      <w:lang w:val="en-US" w:eastAsia="zh-CN"/>
                    </w:rPr>
                    <w:t>至</w:t>
                  </w:r>
                  <w:r>
                    <w:rPr>
                      <w:rFonts w:hint="eastAsia"/>
                      <w:color w:val="000000" w:themeColor="text1"/>
                      <w14:textFill>
                        <w14:solidFill>
                          <w14:schemeClr w14:val="tx1"/>
                        </w14:solidFill>
                      </w14:textFill>
                    </w:rPr>
                    <w:t>吉木萨尔县北三台循环经济工业园区污水处理厂</w:t>
                  </w:r>
                  <w:r>
                    <w:rPr>
                      <w:rFonts w:hint="eastAsia"/>
                      <w:lang w:val="en-US" w:eastAsia="zh-CN"/>
                    </w:rPr>
                    <w:t>集中处理</w:t>
                  </w:r>
                  <w:r>
                    <w:rPr>
                      <w:rFonts w:hint="eastAsia"/>
                      <w:color w:val="000000" w:themeColor="text1"/>
                      <w14:textFill>
                        <w14:solidFill>
                          <w14:schemeClr w14:val="tx1"/>
                        </w14:solidFill>
                      </w14:textFill>
                    </w:rPr>
                    <w:t>。</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FF"/>
                    </w:rPr>
                  </w:pPr>
                  <w:r>
                    <w:rPr>
                      <w:rFonts w:hint="eastAsia"/>
                      <w:color w:val="0000FF"/>
                    </w:rPr>
                    <w:t>废气处理</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FF"/>
                    </w:rPr>
                  </w:pPr>
                  <w:r>
                    <w:rPr>
                      <w:rFonts w:hint="eastAsia"/>
                      <w:color w:val="0000FF"/>
                    </w:rPr>
                    <w:t>本项目烘干塔</w:t>
                  </w:r>
                  <w:r>
                    <w:rPr>
                      <w:rFonts w:hint="eastAsia"/>
                      <w:color w:val="0000FF"/>
                      <w:lang w:val="en-US" w:eastAsia="zh-CN"/>
                    </w:rPr>
                    <w:t>四周封闭</w:t>
                  </w:r>
                  <w:r>
                    <w:rPr>
                      <w:rFonts w:hint="eastAsia"/>
                      <w:color w:val="0000FF"/>
                    </w:rPr>
                    <w:t>、顶部设置</w:t>
                  </w:r>
                  <w:r>
                    <w:rPr>
                      <w:rFonts w:hint="eastAsia"/>
                      <w:color w:val="0000FF"/>
                      <w:lang w:val="en-US" w:eastAsia="zh-CN"/>
                    </w:rPr>
                    <w:t>自吸式</w:t>
                  </w:r>
                  <w:r>
                    <w:rPr>
                      <w:rFonts w:hint="eastAsia"/>
                      <w:color w:val="0000FF"/>
                    </w:rPr>
                    <w:t>除尘器，热风炉配套设置脱硫</w:t>
                  </w:r>
                  <w:r>
                    <w:rPr>
                      <w:rFonts w:hint="eastAsia"/>
                      <w:color w:val="0000FF"/>
                      <w:lang w:eastAsia="zh-CN"/>
                    </w:rPr>
                    <w:t>（</w:t>
                  </w:r>
                  <w:r>
                    <w:rPr>
                      <w:rFonts w:hint="eastAsia"/>
                      <w:color w:val="0000FF"/>
                      <w:lang w:val="en-US" w:eastAsia="zh-CN"/>
                    </w:rPr>
                    <w:t>钙钠双碱法</w:t>
                  </w:r>
                  <w:r>
                    <w:rPr>
                      <w:rFonts w:hint="eastAsia"/>
                      <w:color w:val="0000FF"/>
                      <w:lang w:eastAsia="zh-CN"/>
                    </w:rPr>
                    <w:t>）</w:t>
                  </w:r>
                  <w:r>
                    <w:rPr>
                      <w:rFonts w:hint="eastAsia"/>
                      <w:color w:val="0000FF"/>
                    </w:rPr>
                    <w:t>、除尘</w:t>
                  </w:r>
                  <w:r>
                    <w:rPr>
                      <w:rFonts w:hint="eastAsia"/>
                      <w:color w:val="0000FF"/>
                      <w:lang w:eastAsia="zh-CN"/>
                    </w:rPr>
                    <w:t>（</w:t>
                  </w:r>
                  <w:r>
                    <w:rPr>
                      <w:rFonts w:hint="eastAsia"/>
                      <w:color w:val="0000FF"/>
                      <w:lang w:val="en-US" w:eastAsia="zh-CN"/>
                    </w:rPr>
                    <w:t>布袋除尘器</w:t>
                  </w:r>
                  <w:r>
                    <w:rPr>
                      <w:rFonts w:hint="eastAsia"/>
                      <w:color w:val="0000FF"/>
                      <w:lang w:eastAsia="zh-CN"/>
                    </w:rPr>
                    <w:t>）</w:t>
                  </w:r>
                  <w:r>
                    <w:rPr>
                      <w:rFonts w:hint="eastAsia"/>
                      <w:color w:val="0000FF"/>
                    </w:rPr>
                    <w:t>、脱硝</w:t>
                  </w:r>
                  <w:r>
                    <w:rPr>
                      <w:rFonts w:hint="eastAsia"/>
                      <w:color w:val="0000FF"/>
                      <w:lang w:eastAsia="zh-CN"/>
                    </w:rPr>
                    <w:t>（</w:t>
                  </w:r>
                  <w:r>
                    <w:rPr>
                      <w:rFonts w:hint="eastAsia"/>
                      <w:color w:val="0000FF"/>
                      <w:lang w:val="en-US" w:eastAsia="zh-CN"/>
                    </w:rPr>
                    <w:t>SNCR</w:t>
                  </w:r>
                  <w:r>
                    <w:rPr>
                      <w:rFonts w:hint="eastAsia"/>
                      <w:color w:val="0000FF"/>
                      <w:lang w:eastAsia="zh-CN"/>
                    </w:rPr>
                    <w:t>）</w:t>
                  </w:r>
                  <w:r>
                    <w:rPr>
                      <w:rFonts w:hint="eastAsia"/>
                      <w:color w:val="0000FF"/>
                    </w:rPr>
                    <w:t>净化尾气后通过</w:t>
                  </w:r>
                  <w:r>
                    <w:rPr>
                      <w:color w:val="0000FF"/>
                    </w:rPr>
                    <w:t>45m</w:t>
                  </w:r>
                  <w:r>
                    <w:rPr>
                      <w:rFonts w:hint="eastAsia"/>
                      <w:color w:val="0000FF"/>
                    </w:rPr>
                    <w:t>高排气筒外排</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固体废物处理</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生活垃圾分类收集，交由环卫部门处置，一般固体废物暂存后定期外售。</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防渗措施</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分区防渗，对危险废物暂存间、灰渣池、化粪池等区域设置为重点防渗区，生产区和仓储区设置为一般防渗区，其他非生产区域为简单防渗区。</w:t>
                  </w:r>
                </w:p>
              </w:tc>
              <w:tc>
                <w:tcPr>
                  <w:tcW w:w="948" w:type="dxa"/>
                  <w:tcBorders>
                    <w:top w:val="single" w:color="auto" w:sz="4" w:space="0"/>
                    <w:left w:val="single" w:color="auto" w:sz="4" w:space="0"/>
                    <w:bottom w:val="single" w:color="auto" w:sz="4" w:space="0"/>
                  </w:tcBorders>
                  <w:vAlign w:val="center"/>
                </w:tcPr>
                <w:p>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噪声处理</w:t>
                  </w:r>
                </w:p>
              </w:tc>
              <w:tc>
                <w:tcPr>
                  <w:tcW w:w="425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选用低噪声设备，设置减振基座，封闭厂房</w:t>
                  </w:r>
                </w:p>
              </w:tc>
              <w:tc>
                <w:tcPr>
                  <w:tcW w:w="94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0" w:type="dxa"/>
                  <w:vMerge w:val="continue"/>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p>
              </w:tc>
              <w:tc>
                <w:tcPr>
                  <w:tcW w:w="1354"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绿化</w:t>
                  </w:r>
                </w:p>
              </w:tc>
              <w:tc>
                <w:tcPr>
                  <w:tcW w:w="4258" w:type="dxa"/>
                  <w:tcBorders>
                    <w:top w:val="single" w:color="auto" w:sz="4"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绿化面积</w:t>
                  </w:r>
                  <w:r>
                    <w:rPr>
                      <w:rFonts w:hint="eastAsia"/>
                      <w:color w:val="000000" w:themeColor="text1"/>
                      <w:lang w:val="en-US" w:eastAsia="zh-CN"/>
                      <w14:textFill>
                        <w14:solidFill>
                          <w14:schemeClr w14:val="tx1"/>
                        </w14:solidFill>
                      </w14:textFill>
                    </w:rPr>
                    <w:t>1200m²</w:t>
                  </w:r>
                </w:p>
              </w:tc>
              <w:tc>
                <w:tcPr>
                  <w:tcW w:w="948"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bl>
          <w:p>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原辅材料</w:t>
            </w:r>
            <w:r>
              <w:rPr>
                <w:rFonts w:hint="eastAsia" w:eastAsia="宋体" w:cs="Times New Roman"/>
                <w:b/>
                <w:bCs/>
                <w:color w:val="000000" w:themeColor="text1"/>
                <w:kern w:val="0"/>
                <w:sz w:val="24"/>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能耗、产品</w:t>
            </w:r>
            <w:r>
              <w:rPr>
                <w:rFonts w:hint="eastAsia" w:eastAsia="宋体" w:cs="Times New Roman"/>
                <w:b/>
                <w:bCs/>
                <w:color w:val="000000" w:themeColor="text1"/>
                <w:kern w:val="0"/>
                <w:sz w:val="24"/>
                <w:lang w:val="en-US" w:eastAsia="zh-CN"/>
                <w14:textFill>
                  <w14:solidFill>
                    <w14:schemeClr w14:val="tx1"/>
                  </w14:solidFill>
                </w14:textFill>
              </w:rPr>
              <w:t>及</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物料平衡</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4.1 原辅材料及能耗</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项目主要产品为玉米干料等，其原辅材料及能耗情况如下表。</w:t>
            </w:r>
          </w:p>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4  原料、辅料用量和能耗一览表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4"/>
              <w:gridCol w:w="1585"/>
              <w:gridCol w:w="1585"/>
              <w:gridCol w:w="1254"/>
              <w:gridCol w:w="1434"/>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bottom w:val="single" w:color="auto" w:sz="12" w:space="0"/>
                  </w:tcBorders>
                  <w:tcMar>
                    <w:top w:w="15" w:type="dxa"/>
                    <w:left w:w="15" w:type="dxa"/>
                    <w:bottom w:w="0" w:type="dxa"/>
                    <w:right w:w="15" w:type="dxa"/>
                  </w:tcMar>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170" w:type="dxa"/>
                  <w:gridSpan w:val="2"/>
                  <w:tcBorders>
                    <w:bottom w:val="single" w:color="auto" w:sz="12" w:space="0"/>
                  </w:tcBorders>
                  <w:tcMar>
                    <w:top w:w="15" w:type="dxa"/>
                    <w:left w:w="15" w:type="dxa"/>
                    <w:bottom w:w="0" w:type="dxa"/>
                    <w:right w:w="15" w:type="dxa"/>
                  </w:tcMar>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254" w:type="dxa"/>
                  <w:tcBorders>
                    <w:bottom w:val="single" w:color="auto" w:sz="12" w:space="0"/>
                  </w:tcBorders>
                  <w:tcMar>
                    <w:top w:w="15" w:type="dxa"/>
                    <w:left w:w="15" w:type="dxa"/>
                    <w:bottom w:w="0" w:type="dxa"/>
                    <w:right w:w="15" w:type="dxa"/>
                  </w:tcMar>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1434" w:type="dxa"/>
                  <w:tcBorders>
                    <w:bottom w:val="single" w:color="auto" w:sz="12" w:space="0"/>
                  </w:tcBorders>
                  <w:tcMar>
                    <w:top w:w="15" w:type="dxa"/>
                    <w:left w:w="15" w:type="dxa"/>
                    <w:bottom w:w="0" w:type="dxa"/>
                    <w:right w:w="15" w:type="dxa"/>
                  </w:tcMar>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668" w:type="dxa"/>
                  <w:tcBorders>
                    <w:bottom w:val="single" w:color="auto" w:sz="12" w:space="0"/>
                  </w:tcBorders>
                  <w:tcMar>
                    <w:top w:w="15" w:type="dxa"/>
                    <w:left w:w="15" w:type="dxa"/>
                    <w:bottom w:w="0" w:type="dxa"/>
                    <w:right w:w="15" w:type="dxa"/>
                  </w:tcMar>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op w:val="single" w:color="auto" w:sz="12" w:space="0"/>
                    <w:tl2br w:val="nil"/>
                    <w:tr2bl w:val="nil"/>
                  </w:tcBorders>
                  <w:tcMar>
                    <w:top w:w="15" w:type="dxa"/>
                    <w:left w:w="15" w:type="dxa"/>
                    <w:bottom w:w="0" w:type="dxa"/>
                    <w:right w:w="15" w:type="dxa"/>
                  </w:tcMar>
                  <w:vAlign w:val="center"/>
                </w:tcPr>
                <w:p>
                  <w:pPr>
                    <w:pStyle w:val="15"/>
                    <w:bidi w:val="0"/>
                    <w:rPr>
                      <w:color w:val="0000FF"/>
                    </w:rPr>
                  </w:pPr>
                  <w:r>
                    <w:rPr>
                      <w:color w:val="0000FF"/>
                    </w:rPr>
                    <w:t>1</w:t>
                  </w:r>
                </w:p>
              </w:tc>
              <w:tc>
                <w:tcPr>
                  <w:tcW w:w="1585" w:type="dxa"/>
                  <w:tcBorders>
                    <w:top w:val="single" w:color="auto" w:sz="12" w:space="0"/>
                    <w:tl2br w:val="nil"/>
                    <w:tr2bl w:val="nil"/>
                  </w:tcBorders>
                  <w:tcMar>
                    <w:top w:w="15" w:type="dxa"/>
                    <w:left w:w="15" w:type="dxa"/>
                    <w:bottom w:w="0" w:type="dxa"/>
                    <w:right w:w="15" w:type="dxa"/>
                  </w:tcMar>
                  <w:vAlign w:val="center"/>
                </w:tcPr>
                <w:p>
                  <w:pPr>
                    <w:pStyle w:val="15"/>
                    <w:bidi w:val="0"/>
                    <w:rPr>
                      <w:color w:val="0000FF"/>
                    </w:rPr>
                  </w:pPr>
                  <w:r>
                    <w:rPr>
                      <w:rFonts w:hint="eastAsia"/>
                      <w:color w:val="0000FF"/>
                    </w:rPr>
                    <w:t>原料</w:t>
                  </w:r>
                </w:p>
              </w:tc>
              <w:tc>
                <w:tcPr>
                  <w:tcW w:w="1585" w:type="dxa"/>
                  <w:tcBorders>
                    <w:top w:val="single" w:color="auto" w:sz="12" w:space="0"/>
                    <w:tl2br w:val="nil"/>
                    <w:tr2bl w:val="nil"/>
                  </w:tcBorders>
                  <w:tcMar>
                    <w:top w:w="15" w:type="dxa"/>
                    <w:left w:w="15" w:type="dxa"/>
                    <w:bottom w:w="0" w:type="dxa"/>
                    <w:right w:w="15" w:type="dxa"/>
                  </w:tcMar>
                  <w:vAlign w:val="center"/>
                </w:tcPr>
                <w:p>
                  <w:pPr>
                    <w:pStyle w:val="15"/>
                    <w:bidi w:val="0"/>
                    <w:rPr>
                      <w:rFonts w:hint="eastAsia" w:eastAsia="宋体"/>
                      <w:color w:val="0000FF"/>
                      <w:lang w:eastAsia="zh-CN"/>
                    </w:rPr>
                  </w:pPr>
                  <w:r>
                    <w:rPr>
                      <w:rFonts w:hint="eastAsia"/>
                      <w:color w:val="0000FF"/>
                    </w:rPr>
                    <w:t>玉米湿料</w:t>
                  </w:r>
                  <w:r>
                    <w:rPr>
                      <w:rFonts w:hint="eastAsia"/>
                      <w:color w:val="0000FF"/>
                      <w:lang w:eastAsia="zh-CN"/>
                    </w:rPr>
                    <w:t>（</w:t>
                  </w:r>
                  <w:r>
                    <w:rPr>
                      <w:rFonts w:hint="eastAsia"/>
                      <w:color w:val="0000FF"/>
                      <w:lang w:val="en-US" w:eastAsia="zh-CN"/>
                    </w:rPr>
                    <w:t>含水率约为30%，杂质0.1%</w:t>
                  </w:r>
                  <w:r>
                    <w:rPr>
                      <w:rFonts w:hint="eastAsia"/>
                      <w:color w:val="0000FF"/>
                      <w:lang w:eastAsia="zh-CN"/>
                    </w:rPr>
                    <w:t>）</w:t>
                  </w:r>
                </w:p>
              </w:tc>
              <w:tc>
                <w:tcPr>
                  <w:tcW w:w="1254" w:type="dxa"/>
                  <w:tcBorders>
                    <w:top w:val="single" w:color="auto" w:sz="12" w:space="0"/>
                    <w:tl2br w:val="nil"/>
                    <w:tr2bl w:val="nil"/>
                  </w:tcBorders>
                  <w:tcMar>
                    <w:top w:w="15" w:type="dxa"/>
                    <w:left w:w="15" w:type="dxa"/>
                    <w:bottom w:w="0" w:type="dxa"/>
                    <w:right w:w="15" w:type="dxa"/>
                  </w:tcMar>
                  <w:vAlign w:val="center"/>
                </w:tcPr>
                <w:p>
                  <w:pPr>
                    <w:pStyle w:val="15"/>
                    <w:bidi w:val="0"/>
                    <w:rPr>
                      <w:rFonts w:hint="default" w:eastAsia="宋体"/>
                      <w:color w:val="0000FF"/>
                      <w:lang w:val="en-US" w:eastAsia="zh-CN"/>
                    </w:rPr>
                  </w:pPr>
                  <w:r>
                    <w:rPr>
                      <w:rFonts w:hint="eastAsia"/>
                      <w:color w:val="0000FF"/>
                      <w:lang w:val="en-US" w:eastAsia="zh-CN"/>
                    </w:rPr>
                    <w:t>13000</w:t>
                  </w:r>
                </w:p>
              </w:tc>
              <w:tc>
                <w:tcPr>
                  <w:tcW w:w="1434" w:type="dxa"/>
                  <w:tcBorders>
                    <w:top w:val="single" w:color="auto" w:sz="12" w:space="0"/>
                    <w:tl2br w:val="nil"/>
                    <w:tr2bl w:val="nil"/>
                  </w:tcBorders>
                  <w:tcMar>
                    <w:top w:w="15" w:type="dxa"/>
                    <w:left w:w="15" w:type="dxa"/>
                    <w:bottom w:w="0" w:type="dxa"/>
                    <w:right w:w="15" w:type="dxa"/>
                  </w:tcMar>
                  <w:vAlign w:val="center"/>
                </w:tcPr>
                <w:p>
                  <w:pPr>
                    <w:pStyle w:val="15"/>
                    <w:bidi w:val="0"/>
                    <w:rPr>
                      <w:color w:val="0000FF"/>
                    </w:rPr>
                  </w:pPr>
                  <w:r>
                    <w:rPr>
                      <w:color w:val="0000FF"/>
                    </w:rPr>
                    <w:t>t/a</w:t>
                  </w:r>
                </w:p>
              </w:tc>
              <w:tc>
                <w:tcPr>
                  <w:tcW w:w="1668" w:type="dxa"/>
                  <w:tcBorders>
                    <w:top w:val="single" w:color="auto" w:sz="12" w:space="0"/>
                    <w:tl2br w:val="nil"/>
                    <w:tr2bl w:val="nil"/>
                  </w:tcBorders>
                  <w:tcMar>
                    <w:top w:w="15" w:type="dxa"/>
                    <w:left w:w="15" w:type="dxa"/>
                    <w:bottom w:w="0" w:type="dxa"/>
                    <w:right w:w="15" w:type="dxa"/>
                  </w:tcMar>
                  <w:vAlign w:val="center"/>
                </w:tcPr>
                <w:p>
                  <w:pPr>
                    <w:pStyle w:val="15"/>
                    <w:bidi w:val="0"/>
                    <w:rPr>
                      <w:color w:val="0000FF"/>
                    </w:rPr>
                  </w:pPr>
                  <w:r>
                    <w:rPr>
                      <w:rFonts w:hint="eastAsia"/>
                      <w:color w:val="0000FF"/>
                    </w:rPr>
                    <w:t>当地收购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bookmarkStart w:id="2" w:name="OLE_LINK3" w:colFirst="2" w:colLast="2"/>
                  <w:r>
                    <w:rPr>
                      <w:color w:val="000000" w:themeColor="text1"/>
                      <w14:textFill>
                        <w14:solidFill>
                          <w14:schemeClr w14:val="tx1"/>
                        </w14:solidFill>
                      </w14:textFill>
                    </w:rPr>
                    <w:t>2</w:t>
                  </w:r>
                </w:p>
              </w:tc>
              <w:tc>
                <w:tcPr>
                  <w:tcW w:w="1585" w:type="dxa"/>
                  <w:vMerge w:val="restart"/>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辅料</w:t>
                  </w:r>
                </w:p>
              </w:tc>
              <w:tc>
                <w:tcPr>
                  <w:tcW w:w="1585" w:type="dxa"/>
                  <w:tcBorders>
                    <w:tl2br w:val="nil"/>
                    <w:tr2bl w:val="nil"/>
                  </w:tcBorders>
                  <w:tcMar>
                    <w:top w:w="15" w:type="dxa"/>
                    <w:left w:w="15" w:type="dxa"/>
                    <w:bottom w:w="0" w:type="dxa"/>
                    <w:right w:w="15" w:type="dxa"/>
                  </w:tcMar>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w:t>
                  </w:r>
                </w:p>
              </w:tc>
              <w:tc>
                <w:tcPr>
                  <w:tcW w:w="1254"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2500</w:t>
                  </w:r>
                </w:p>
              </w:tc>
              <w:tc>
                <w:tcPr>
                  <w:tcW w:w="143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668"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呼图壁县新福源生科技有限责任公司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9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585" w:type="dxa"/>
                  <w:vMerge w:val="continue"/>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p>
              </w:tc>
              <w:tc>
                <w:tcPr>
                  <w:tcW w:w="1585"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生石灰</w:t>
                  </w:r>
                </w:p>
              </w:tc>
              <w:tc>
                <w:tcPr>
                  <w:tcW w:w="125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43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668"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吉木萨尔县</w:t>
                  </w:r>
                  <w:r>
                    <w:rPr>
                      <w:rFonts w:hint="eastAsia"/>
                      <w:color w:val="000000" w:themeColor="text1"/>
                      <w14:textFill>
                        <w14:solidFill>
                          <w14:schemeClr w14:val="tx1"/>
                        </w14:solidFill>
                      </w14:textFill>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94" w:type="dxa"/>
                  <w:tcBorders>
                    <w:tl2br w:val="nil"/>
                    <w:tr2bl w:val="nil"/>
                  </w:tcBorders>
                  <w:tcMar>
                    <w:top w:w="15" w:type="dxa"/>
                    <w:left w:w="15" w:type="dxa"/>
                    <w:bottom w:w="0" w:type="dxa"/>
                    <w:right w:w="15" w:type="dxa"/>
                  </w:tcMar>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585" w:type="dxa"/>
                  <w:vMerge w:val="continue"/>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p>
              </w:tc>
              <w:tc>
                <w:tcPr>
                  <w:tcW w:w="1585" w:type="dxa"/>
                  <w:tcBorders>
                    <w:tl2br w:val="nil"/>
                    <w:tr2bl w:val="nil"/>
                  </w:tcBorders>
                  <w:tcMar>
                    <w:top w:w="15" w:type="dxa"/>
                    <w:left w:w="15" w:type="dxa"/>
                    <w:bottom w:w="0" w:type="dxa"/>
                    <w:right w:w="15" w:type="dxa"/>
                  </w:tcMar>
                  <w:vAlign w:val="center"/>
                </w:tcPr>
                <w:p>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氢氧化钠</w:t>
                  </w:r>
                </w:p>
              </w:tc>
              <w:tc>
                <w:tcPr>
                  <w:tcW w:w="1254"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143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t/a</w:t>
                  </w:r>
                </w:p>
              </w:tc>
              <w:tc>
                <w:tcPr>
                  <w:tcW w:w="1668"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吉木萨尔县采购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l2br w:val="nil"/>
                    <w:tr2bl w:val="nil"/>
                  </w:tcBorders>
                  <w:tcMar>
                    <w:top w:w="15" w:type="dxa"/>
                    <w:left w:w="15" w:type="dxa"/>
                    <w:bottom w:w="0" w:type="dxa"/>
                    <w:right w:w="15" w:type="dxa"/>
                  </w:tcMar>
                  <w:vAlign w:val="center"/>
                </w:tcPr>
                <w:p>
                  <w:pPr>
                    <w:pStyle w:val="15"/>
                    <w:bidi w:val="0"/>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585" w:type="dxa"/>
                  <w:vMerge w:val="continue"/>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p>
              </w:tc>
              <w:tc>
                <w:tcPr>
                  <w:tcW w:w="1585"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尿素</w:t>
                  </w:r>
                </w:p>
              </w:tc>
              <w:tc>
                <w:tcPr>
                  <w:tcW w:w="125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3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668"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吉木萨尔县</w:t>
                  </w:r>
                  <w:r>
                    <w:rPr>
                      <w:rFonts w:hint="eastAsia"/>
                      <w:color w:val="000000" w:themeColor="text1"/>
                      <w14:textFill>
                        <w14:solidFill>
                          <w14:schemeClr w14:val="tx1"/>
                        </w14:solidFill>
                      </w14:textFill>
                    </w:rPr>
                    <w:t>采购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39" w:hRule="atLeast"/>
                <w:jc w:val="center"/>
              </w:trPr>
              <w:tc>
                <w:tcPr>
                  <w:tcW w:w="694" w:type="dxa"/>
                  <w:tcBorders>
                    <w:tl2br w:val="nil"/>
                    <w:tr2bl w:val="nil"/>
                  </w:tcBorders>
                  <w:tcMar>
                    <w:top w:w="15" w:type="dxa"/>
                    <w:left w:w="15" w:type="dxa"/>
                    <w:bottom w:w="0" w:type="dxa"/>
                    <w:right w:w="15" w:type="dxa"/>
                  </w:tcMar>
                  <w:vAlign w:val="center"/>
                </w:tcPr>
                <w:p>
                  <w:pPr>
                    <w:pStyle w:val="15"/>
                    <w:bidi w:val="0"/>
                    <w:ind w:left="0" w:leftChars="0"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3170" w:type="dxa"/>
                  <w:gridSpan w:val="2"/>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生产用电</w:t>
                  </w:r>
                </w:p>
              </w:tc>
              <w:tc>
                <w:tcPr>
                  <w:tcW w:w="125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7万</w:t>
                  </w:r>
                </w:p>
              </w:tc>
              <w:tc>
                <w:tcPr>
                  <w:tcW w:w="1434"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kW·h</w:t>
                  </w:r>
                </w:p>
              </w:tc>
              <w:tc>
                <w:tcPr>
                  <w:tcW w:w="1668"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接入国家电网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l2br w:val="nil"/>
                    <w:tr2bl w:val="nil"/>
                  </w:tcBorders>
                  <w:tcMar>
                    <w:top w:w="15" w:type="dxa"/>
                    <w:left w:w="15" w:type="dxa"/>
                    <w:bottom w:w="0" w:type="dxa"/>
                    <w:right w:w="15" w:type="dxa"/>
                  </w:tcMar>
                  <w:vAlign w:val="center"/>
                </w:tcPr>
                <w:p>
                  <w:pPr>
                    <w:pStyle w:val="15"/>
                    <w:bidi w:val="0"/>
                    <w:ind w:left="0" w:leftChars="0"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3170" w:type="dxa"/>
                  <w:gridSpan w:val="2"/>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生活用电</w:t>
                  </w:r>
                </w:p>
              </w:tc>
              <w:tc>
                <w:tcPr>
                  <w:tcW w:w="125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143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kW·h</w:t>
                  </w:r>
                </w:p>
              </w:tc>
              <w:tc>
                <w:tcPr>
                  <w:tcW w:w="1668" w:type="dxa"/>
                  <w:tcBorders>
                    <w:tl2br w:val="nil"/>
                    <w:tr2bl w:val="nil"/>
                  </w:tcBorders>
                  <w:tcMar>
                    <w:top w:w="15" w:type="dxa"/>
                    <w:left w:w="15" w:type="dxa"/>
                    <w:bottom w:w="0" w:type="dxa"/>
                    <w:right w:w="15" w:type="dxa"/>
                  </w:tcMar>
                  <w:vAlign w:val="center"/>
                </w:tcPr>
                <w:p>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接入国家电网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l2br w:val="nil"/>
                    <w:tr2bl w:val="nil"/>
                  </w:tcBorders>
                  <w:tcMar>
                    <w:top w:w="15" w:type="dxa"/>
                    <w:left w:w="15" w:type="dxa"/>
                    <w:bottom w:w="0" w:type="dxa"/>
                    <w:right w:w="15" w:type="dxa"/>
                  </w:tcMar>
                  <w:vAlign w:val="center"/>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3170" w:type="dxa"/>
                  <w:gridSpan w:val="2"/>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生产用水</w:t>
                  </w:r>
                </w:p>
              </w:tc>
              <w:tc>
                <w:tcPr>
                  <w:tcW w:w="125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300</w:t>
                  </w:r>
                </w:p>
              </w:tc>
              <w:tc>
                <w:tcPr>
                  <w:tcW w:w="143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m³/a</w:t>
                  </w:r>
                </w:p>
              </w:tc>
              <w:tc>
                <w:tcPr>
                  <w:tcW w:w="1668"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市政管网供水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l2br w:val="nil"/>
                    <w:tr2bl w:val="nil"/>
                  </w:tcBorders>
                  <w:tcMar>
                    <w:top w:w="15" w:type="dxa"/>
                    <w:left w:w="15" w:type="dxa"/>
                    <w:bottom w:w="0" w:type="dxa"/>
                    <w:right w:w="15" w:type="dxa"/>
                  </w:tcMar>
                  <w:vAlign w:val="center"/>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3170" w:type="dxa"/>
                  <w:gridSpan w:val="2"/>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生活用水</w:t>
                  </w:r>
                </w:p>
              </w:tc>
              <w:tc>
                <w:tcPr>
                  <w:tcW w:w="125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w:t>
                  </w:r>
                </w:p>
              </w:tc>
              <w:tc>
                <w:tcPr>
                  <w:tcW w:w="1434" w:type="dxa"/>
                  <w:tcBorders>
                    <w:tl2br w:val="nil"/>
                    <w:tr2bl w:val="nil"/>
                  </w:tcBorders>
                  <w:tcMar>
                    <w:top w:w="15" w:type="dxa"/>
                    <w:left w:w="15" w:type="dxa"/>
                    <w:bottom w:w="0" w:type="dxa"/>
                    <w:right w:w="15" w:type="dxa"/>
                  </w:tcMar>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m³/a</w:t>
                  </w:r>
                </w:p>
              </w:tc>
              <w:tc>
                <w:tcPr>
                  <w:tcW w:w="1668" w:type="dxa"/>
                  <w:tcBorders>
                    <w:tl2br w:val="nil"/>
                    <w:tr2bl w:val="nil"/>
                  </w:tcBorders>
                  <w:tcMar>
                    <w:top w:w="15" w:type="dxa"/>
                    <w:left w:w="15" w:type="dxa"/>
                    <w:bottom w:w="0" w:type="dxa"/>
                    <w:right w:w="15" w:type="dxa"/>
                  </w:tcMar>
                  <w:vAlign w:val="center"/>
                </w:tcPr>
                <w:p>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市政管网供水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0" w:hRule="atLeast"/>
                <w:jc w:val="center"/>
              </w:trPr>
              <w:tc>
                <w:tcPr>
                  <w:tcW w:w="694" w:type="dxa"/>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3170" w:type="dxa"/>
                  <w:gridSpan w:val="2"/>
                  <w:tcBorders>
                    <w:tl2br w:val="nil"/>
                    <w:tr2bl w:val="nil"/>
                  </w:tcBorders>
                  <w:tcMar>
                    <w:top w:w="15" w:type="dxa"/>
                    <w:left w:w="15" w:type="dxa"/>
                    <w:bottom w:w="0" w:type="dxa"/>
                    <w:right w:w="15" w:type="dxa"/>
                  </w:tcMar>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绿化用水</w:t>
                  </w:r>
                </w:p>
              </w:tc>
              <w:tc>
                <w:tcPr>
                  <w:tcW w:w="125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360</w:t>
                  </w:r>
                </w:p>
              </w:tc>
              <w:tc>
                <w:tcPr>
                  <w:tcW w:w="1434" w:type="dxa"/>
                  <w:tcBorders>
                    <w:tl2br w:val="nil"/>
                    <w:tr2bl w:val="nil"/>
                  </w:tcBorders>
                  <w:tcMar>
                    <w:top w:w="15" w:type="dxa"/>
                    <w:left w:w="15" w:type="dxa"/>
                    <w:bottom w:w="0" w:type="dxa"/>
                    <w:right w:w="15" w:type="dxa"/>
                  </w:tcMar>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m³/a</w:t>
                  </w:r>
                </w:p>
              </w:tc>
              <w:tc>
                <w:tcPr>
                  <w:tcW w:w="1668" w:type="dxa"/>
                  <w:tcBorders>
                    <w:tl2br w:val="nil"/>
                    <w:tr2bl w:val="nil"/>
                  </w:tcBorders>
                  <w:tcMar>
                    <w:top w:w="15" w:type="dxa"/>
                    <w:left w:w="15" w:type="dxa"/>
                    <w:bottom w:w="0" w:type="dxa"/>
                    <w:right w:w="15" w:type="dxa"/>
                  </w:tcMar>
                  <w:vAlign w:val="center"/>
                </w:tcPr>
                <w:p>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市政管网供水</w:t>
                  </w:r>
                </w:p>
              </w:tc>
            </w:tr>
            <w:bookmarkEnd w:id="2"/>
          </w:tbl>
          <w:p>
            <w:pPr>
              <w:spacing w:line="360" w:lineRule="auto"/>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生物质</w:t>
            </w:r>
          </w:p>
          <w:p>
            <w:pPr>
              <w:spacing w:line="360" w:lineRule="auto"/>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根据建设单位提供资料，</w:t>
            </w:r>
            <w:r>
              <w:rPr>
                <w:rFonts w:hint="eastAsia"/>
                <w:color w:val="000000" w:themeColor="text1"/>
                <w:lang w:val="en-US" w:eastAsia="zh-CN"/>
                <w14:textFill>
                  <w14:solidFill>
                    <w14:schemeClr w14:val="tx1"/>
                  </w14:solidFill>
                </w14:textFill>
              </w:rPr>
              <w:t>项目用呼图壁县新福源生科技有限责任公司生产的生物质燃料，生物质燃料组分</w:t>
            </w:r>
            <w:r>
              <w:rPr>
                <w:rFonts w:hint="eastAsia"/>
                <w:color w:val="000000" w:themeColor="text1"/>
                <w:lang w:val="zh-CN"/>
                <w14:textFill>
                  <w14:solidFill>
                    <w14:schemeClr w14:val="tx1"/>
                  </w14:solidFill>
                </w14:textFill>
              </w:rPr>
              <w:t>见下表</w:t>
            </w:r>
            <w:r>
              <w:rPr>
                <w:rFonts w:hint="eastAsia"/>
                <w:color w:val="000000" w:themeColor="text1"/>
                <w:lang w:val="en-US" w:eastAsia="zh-CN"/>
                <w14:textFill>
                  <w14:solidFill>
                    <w14:schemeClr w14:val="tx1"/>
                  </w14:solidFill>
                </w14:textFill>
              </w:rPr>
              <w:t>2-5，燃料检验报告详见附件4。</w:t>
            </w:r>
          </w:p>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表2-5   燃料分析表</w:t>
            </w:r>
          </w:p>
          <w:tbl>
            <w:tblPr>
              <w:tblStyle w:val="1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204"/>
              <w:gridCol w:w="2587"/>
              <w:gridCol w:w="1153"/>
              <w:gridCol w:w="23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序号</w:t>
                  </w:r>
                </w:p>
              </w:tc>
              <w:tc>
                <w:tcPr>
                  <w:tcW w:w="3791" w:type="dxa"/>
                  <w:gridSpan w:val="2"/>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检验</w:t>
                  </w:r>
                  <w:r>
                    <w:rPr>
                      <w:rFonts w:hint="eastAsia"/>
                      <w:b/>
                      <w:bCs/>
                      <w:color w:val="000000" w:themeColor="text1"/>
                      <w:lang w:eastAsia="zh-CN"/>
                      <w14:textFill>
                        <w14:solidFill>
                          <w14:schemeClr w14:val="tx1"/>
                        </w14:solidFill>
                      </w14:textFill>
                    </w:rPr>
                    <w:t>检测</w:t>
                  </w:r>
                  <w:r>
                    <w:rPr>
                      <w:rFonts w:hint="default"/>
                      <w:b/>
                      <w:bCs/>
                      <w:color w:val="000000" w:themeColor="text1"/>
                      <w:lang w:eastAsia="zh-CN"/>
                      <w14:textFill>
                        <w14:solidFill>
                          <w14:schemeClr w14:val="tx1"/>
                        </w14:solidFill>
                      </w14:textFill>
                    </w:rPr>
                    <w:t>项目</w:t>
                  </w:r>
                </w:p>
              </w:tc>
              <w:tc>
                <w:tcPr>
                  <w:tcW w:w="1153"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单位</w:t>
                  </w:r>
                </w:p>
              </w:tc>
              <w:tc>
                <w:tcPr>
                  <w:tcW w:w="2341"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检验结果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3791" w:type="dxa"/>
                  <w:gridSpan w:val="2"/>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Mt</w:t>
                  </w:r>
                  <w:r>
                    <w:rPr>
                      <w:rFonts w:hint="eastAsia"/>
                      <w:color w:val="000000" w:themeColor="text1"/>
                      <w:lang w:eastAsia="zh-CN"/>
                      <w14:textFill>
                        <w14:solidFill>
                          <w14:schemeClr w14:val="tx1"/>
                        </w14:solidFill>
                      </w14:textFill>
                    </w:rPr>
                    <w:t>）</w:t>
                  </w:r>
                </w:p>
              </w:tc>
              <w:tc>
                <w:tcPr>
                  <w:tcW w:w="1153"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341"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3791" w:type="dxa"/>
                  <w:gridSpan w:val="2"/>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w:t>
                  </w:r>
                  <w:r>
                    <w:rPr>
                      <w:rFonts w:hint="default"/>
                      <w:color w:val="000000" w:themeColor="text1"/>
                      <w:lang w:val="en-US" w:eastAsia="zh-CN"/>
                      <w14:textFill>
                        <w14:solidFill>
                          <w14:schemeClr w14:val="tx1"/>
                        </w14:solidFill>
                      </w14:textFill>
                    </w:rPr>
                    <w:t>硫</w:t>
                  </w:r>
                  <w:r>
                    <w:rPr>
                      <w:rFonts w:hint="eastAsia"/>
                      <w:color w:val="000000" w:themeColor="text1"/>
                      <w:lang w:val="en-US" w:eastAsia="zh-CN"/>
                      <w14:textFill>
                        <w14:solidFill>
                          <w14:schemeClr w14:val="tx1"/>
                        </w14:solidFill>
                      </w14:textFill>
                    </w:rPr>
                    <w:t>（St，ar）</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vMerge w:val="restart"/>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204" w:type="dxa"/>
                  <w:vMerge w:val="restart"/>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工业分析</w:t>
                  </w: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水</w:t>
                  </w:r>
                  <w:r>
                    <w:rPr>
                      <w:rFonts w:hint="eastAsia"/>
                      <w:color w:val="000000" w:themeColor="text1"/>
                      <w:lang w:eastAsia="zh-CN"/>
                      <w14:textFill>
                        <w14:solidFill>
                          <w14:schemeClr w14:val="tx1"/>
                        </w14:solidFill>
                      </w14:textFill>
                    </w:rPr>
                    <w:t>分（</w:t>
                  </w:r>
                  <w:r>
                    <w:rPr>
                      <w:rFonts w:hint="eastAsia"/>
                      <w:color w:val="000000" w:themeColor="text1"/>
                      <w:lang w:val="en-US" w:eastAsia="zh-CN"/>
                      <w14:textFill>
                        <w14:solidFill>
                          <w14:schemeClr w14:val="tx1"/>
                        </w14:solidFill>
                      </w14:textFill>
                    </w:rPr>
                    <w:t>Mt</w:t>
                  </w:r>
                  <w:r>
                    <w:rPr>
                      <w:rFonts w:hint="eastAsia"/>
                      <w:color w:val="000000" w:themeColor="text1"/>
                      <w:lang w:eastAsia="zh-CN"/>
                      <w14:textFill>
                        <w14:solidFill>
                          <w14:schemeClr w14:val="tx1"/>
                        </w14:solidFill>
                      </w14:textFill>
                    </w:rPr>
                    <w:t>）</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p>
              </w:tc>
              <w:tc>
                <w:tcPr>
                  <w:tcW w:w="1204"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灰分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Aar</w:t>
                  </w:r>
                  <w:r>
                    <w:rPr>
                      <w:rFonts w:hint="eastAsia"/>
                      <w:color w:val="000000" w:themeColor="text1"/>
                      <w:lang w:eastAsia="zh-CN"/>
                      <w14:textFill>
                        <w14:solidFill>
                          <w14:schemeClr w14:val="tx1"/>
                        </w14:solidFill>
                      </w14:textFill>
                    </w:rPr>
                    <w:t>）</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p>
              </w:tc>
              <w:tc>
                <w:tcPr>
                  <w:tcW w:w="1204"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挥发分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Vdaf</w:t>
                  </w:r>
                  <w:r>
                    <w:rPr>
                      <w:rFonts w:hint="eastAsia"/>
                      <w:color w:val="000000" w:themeColor="text1"/>
                      <w:lang w:eastAsia="zh-CN"/>
                      <w14:textFill>
                        <w14:solidFill>
                          <w14:schemeClr w14:val="tx1"/>
                        </w14:solidFill>
                      </w14:textFill>
                    </w:rPr>
                    <w:t>）</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79.24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p>
              </w:tc>
              <w:tc>
                <w:tcPr>
                  <w:tcW w:w="1204"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固定碳</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FCar</w:t>
                  </w:r>
                  <w:r>
                    <w:rPr>
                      <w:rFonts w:hint="eastAsia"/>
                      <w:color w:val="000000" w:themeColor="text1"/>
                      <w:lang w:eastAsia="zh-CN"/>
                      <w14:textFill>
                        <w14:solidFill>
                          <w14:schemeClr w14:val="tx1"/>
                        </w14:solidFill>
                      </w14:textFill>
                    </w:rPr>
                    <w:t>）</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p>
              </w:tc>
              <w:tc>
                <w:tcPr>
                  <w:tcW w:w="1204"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焦渣特征</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204" w:type="dxa"/>
                  <w:vMerge w:val="restart"/>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发热量</w:t>
                  </w: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高位发热量（Qgr，ar）</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MJ</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k</w:t>
                  </w:r>
                  <w:r>
                    <w:rPr>
                      <w:rFonts w:hint="default"/>
                      <w:color w:val="000000" w:themeColor="text1"/>
                      <w:lang w:val="en-US" w:eastAsia="zh-CN"/>
                      <w14:textFill>
                        <w14:solidFill>
                          <w14:schemeClr w14:val="tx1"/>
                        </w14:solidFill>
                      </w14:textFill>
                    </w:rPr>
                    <w:t>g</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93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204" w:type="dxa"/>
                  <w:vMerge w:val="continue"/>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p>
              </w:tc>
              <w:tc>
                <w:tcPr>
                  <w:tcW w:w="2587"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低</w:t>
                  </w:r>
                  <w:r>
                    <w:rPr>
                      <w:rFonts w:hint="default"/>
                      <w:color w:val="000000" w:themeColor="text1"/>
                      <w:lang w:eastAsia="zh-CN"/>
                      <w14:textFill>
                        <w14:solidFill>
                          <w14:schemeClr w14:val="tx1"/>
                        </w14:solidFill>
                      </w14:textFill>
                    </w:rPr>
                    <w:t>位发热量</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Qnet，ar</w:t>
                  </w:r>
                  <w:r>
                    <w:rPr>
                      <w:rFonts w:hint="eastAsia"/>
                      <w:color w:val="000000" w:themeColor="text1"/>
                      <w:lang w:eastAsia="zh-CN"/>
                      <w14:textFill>
                        <w14:solidFill>
                          <w14:schemeClr w14:val="tx1"/>
                        </w14:solidFill>
                      </w14:textFill>
                    </w:rPr>
                    <w:t>）</w:t>
                  </w:r>
                </w:p>
              </w:tc>
              <w:tc>
                <w:tcPr>
                  <w:tcW w:w="115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MJ</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k</w:t>
                  </w:r>
                  <w:r>
                    <w:rPr>
                      <w:rFonts w:hint="default"/>
                      <w:color w:val="000000" w:themeColor="text1"/>
                      <w:lang w:val="en-US" w:eastAsia="zh-CN"/>
                      <w14:textFill>
                        <w14:solidFill>
                          <w14:schemeClr w14:val="tx1"/>
                        </w14:solidFill>
                      </w14:textFill>
                    </w:rPr>
                    <w:t>g</w:t>
                  </w:r>
                </w:p>
              </w:tc>
              <w:tc>
                <w:tcPr>
                  <w:tcW w:w="2341"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18.59</w:t>
                  </w:r>
                </w:p>
              </w:tc>
            </w:tr>
          </w:tbl>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（2）生石灰</w:t>
            </w:r>
          </w:p>
          <w:p>
            <w:pPr>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是一种无机化合物，它的</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HYPERLINK "https://baike.baidu.com/item/%E5%8C%96%E5%AD%A6%E5%BC%8F/2609855" \t "_blank"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化学式</w:t>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是CaO，俗名</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HYPERLINK "https://baike.baidu.com/item/%E7%94%9F%E7%9F%B3%E7%81%B0/8390388" \t "_blank"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生石灰</w:t>
            </w:r>
            <w:r>
              <w:rPr>
                <w:rFonts w:hint="default"/>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。物理性质是表面白色粉末，不纯者为灰白色，含有杂质时呈淡黄色或灰色，具有吸湿性，其性状表见下表</w:t>
            </w:r>
            <w:r>
              <w:rPr>
                <w:rFonts w:hint="eastAsia"/>
                <w:color w:val="000000" w:themeColor="text1"/>
                <w:lang w:val="en-US" w:eastAsia="zh-CN"/>
                <w14:textFill>
                  <w14:solidFill>
                    <w14:schemeClr w14:val="tx1"/>
                  </w14:solidFill>
                </w14:textFill>
              </w:rPr>
              <w:t>2-6</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制备脱硫剂时，消化水量与石灰质量之比为5:1，浓度为20%左右的石灰浆液。</w:t>
            </w:r>
          </w:p>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表2-6</w:t>
            </w:r>
            <w:r>
              <w:rPr>
                <w:rFonts w:hint="default"/>
                <w:b/>
                <w:bCs/>
                <w:color w:val="000000" w:themeColor="text1"/>
                <w14:textFill>
                  <w14:solidFill>
                    <w14:schemeClr w14:val="tx1"/>
                  </w14:solidFill>
                </w14:textFill>
              </w:rPr>
              <w:t xml:space="preserve">   石灰粉性状表</w:t>
            </w:r>
          </w:p>
          <w:tbl>
            <w:tblPr>
              <w:tblStyle w:val="1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88"/>
              <w:gridCol w:w="1685"/>
              <w:gridCol w:w="2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中文名</w:t>
                  </w:r>
                </w:p>
              </w:tc>
              <w:tc>
                <w:tcPr>
                  <w:tcW w:w="2088"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氧化钙</w:t>
                  </w:r>
                </w:p>
              </w:tc>
              <w:tc>
                <w:tcPr>
                  <w:tcW w:w="168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沸点</w:t>
                  </w:r>
                </w:p>
              </w:tc>
              <w:tc>
                <w:tcPr>
                  <w:tcW w:w="241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2850℃（3123K）</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英文名</w:t>
                  </w:r>
                </w:p>
              </w:tc>
              <w:tc>
                <w:tcPr>
                  <w:tcW w:w="2088"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calcium oxide</w:t>
                  </w:r>
                </w:p>
              </w:tc>
              <w:tc>
                <w:tcPr>
                  <w:tcW w:w="168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水溶性</w:t>
                  </w:r>
                </w:p>
              </w:tc>
              <w:tc>
                <w:tcPr>
                  <w:tcW w:w="241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溶</w:t>
                  </w:r>
                  <w:r>
                    <w:rPr>
                      <w:rFonts w:hint="eastAsia"/>
                      <w:color w:val="000000" w:themeColor="text1"/>
                      <w:lang w:val="en-US" w:eastAsia="zh-CN"/>
                      <w14:textFill>
                        <w14:solidFill>
                          <w14:schemeClr w14:val="tx1"/>
                        </w14:solidFill>
                      </w14:textFill>
                    </w:rPr>
                    <w:t>于水生成</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HYPERLINK "https://baike.baidu.com/item/%E6%B0%A2%E6%B0%A7%E5%8C%96%E9%92%99" \t "_blank"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氢氧化钙</w:t>
                  </w:r>
                  <w:r>
                    <w:rPr>
                      <w:rFonts w:hint="default"/>
                      <w:color w:val="000000" w:themeColor="text1"/>
                      <w14:textFill>
                        <w14:solidFill>
                          <w14:schemeClr w14:val="tx1"/>
                        </w14:solidFill>
                      </w14:textFill>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别称</w:t>
                  </w:r>
                </w:p>
              </w:tc>
              <w:tc>
                <w:tcPr>
                  <w:tcW w:w="2088"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生石灰</w:t>
                  </w:r>
                </w:p>
              </w:tc>
              <w:tc>
                <w:tcPr>
                  <w:tcW w:w="168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密度</w:t>
                  </w:r>
                </w:p>
              </w:tc>
              <w:tc>
                <w:tcPr>
                  <w:tcW w:w="2415"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3.350g/c</w:t>
                  </w:r>
                  <w:r>
                    <w:rPr>
                      <w:rFonts w:hint="eastAsia"/>
                      <w:color w:val="000000" w:themeColor="text1"/>
                      <w:lang w:eastAsia="zh-CN"/>
                      <w14:textFill>
                        <w14:solidFill>
                          <w14:schemeClr w14:val="tx1"/>
                        </w14:solidFill>
                      </w14:textFill>
                    </w:rPr>
                    <w:t>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化学式</w:t>
                  </w:r>
                </w:p>
              </w:tc>
              <w:tc>
                <w:tcPr>
                  <w:tcW w:w="2088"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CaO</w:t>
                  </w:r>
                </w:p>
              </w:tc>
              <w:tc>
                <w:tcPr>
                  <w:tcW w:w="168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外观</w:t>
                  </w:r>
                </w:p>
              </w:tc>
              <w:tc>
                <w:tcPr>
                  <w:tcW w:w="241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白色固体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分子量</w:t>
                  </w:r>
                </w:p>
              </w:tc>
              <w:tc>
                <w:tcPr>
                  <w:tcW w:w="2088"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56.077</w:t>
                  </w:r>
                </w:p>
              </w:tc>
              <w:tc>
                <w:tcPr>
                  <w:tcW w:w="168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闪点</w:t>
                  </w:r>
                </w:p>
              </w:tc>
              <w:tc>
                <w:tcPr>
                  <w:tcW w:w="241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不可燃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CAS登录号</w:t>
                  </w:r>
                </w:p>
              </w:tc>
              <w:tc>
                <w:tcPr>
                  <w:tcW w:w="2088"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1305-78-8</w:t>
                  </w:r>
                </w:p>
              </w:tc>
              <w:tc>
                <w:tcPr>
                  <w:tcW w:w="168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应用</w:t>
                  </w:r>
                </w:p>
              </w:tc>
              <w:tc>
                <w:tcPr>
                  <w:tcW w:w="241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干燥剂等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EINECS登录号</w:t>
                  </w:r>
                </w:p>
              </w:tc>
              <w:tc>
                <w:tcPr>
                  <w:tcW w:w="2088"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215-138-9</w:t>
                  </w:r>
                </w:p>
              </w:tc>
              <w:tc>
                <w:tcPr>
                  <w:tcW w:w="168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安全性描述</w:t>
                  </w:r>
                </w:p>
              </w:tc>
              <w:tc>
                <w:tcPr>
                  <w:tcW w:w="241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较为安全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03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熔点</w:t>
                  </w:r>
                </w:p>
              </w:tc>
              <w:tc>
                <w:tcPr>
                  <w:tcW w:w="2088"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2572℃（2845K）</w:t>
                  </w:r>
                </w:p>
              </w:tc>
              <w:tc>
                <w:tcPr>
                  <w:tcW w:w="168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管制信息</w:t>
                  </w:r>
                </w:p>
              </w:tc>
              <w:tc>
                <w:tcPr>
                  <w:tcW w:w="241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不受管制</w:t>
                  </w:r>
                </w:p>
              </w:tc>
            </w:tr>
          </w:tbl>
          <w:p>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lang w:val="en-US" w:eastAsia="zh-CN"/>
              </w:rPr>
              <w:t>3</w:t>
            </w:r>
            <w:r>
              <w:rPr>
                <w:rFonts w:hint="eastAsia"/>
                <w:lang w:eastAsia="zh-CN"/>
              </w:rPr>
              <w:t>）</w:t>
            </w:r>
            <w:r>
              <w:rPr>
                <w:rFonts w:hint="eastAsia"/>
              </w:rPr>
              <w:t>氢氧化钠</w:t>
            </w:r>
          </w:p>
          <w:p>
            <w:pPr>
              <w:keepNext w:val="0"/>
              <w:keepLines w:val="0"/>
              <w:suppressLineNumbers w:val="0"/>
              <w:bidi w:val="0"/>
              <w:spacing w:before="0" w:beforeAutospacing="0" w:after="0" w:afterAutospacing="0"/>
              <w:ind w:left="0" w:right="0"/>
              <w:rPr>
                <w:rFonts w:hint="default"/>
                <w:lang w:val="en-US" w:eastAsia="zh-CN"/>
              </w:rPr>
            </w:pPr>
            <w:r>
              <w:rPr>
                <w:rFonts w:hint="default"/>
              </w:rPr>
              <w:t>分子式</w:t>
            </w:r>
            <w:r>
              <w:rPr>
                <w:rFonts w:hint="eastAsia"/>
              </w:rPr>
              <w:t>NaOH</w:t>
            </w:r>
            <w:r>
              <w:rPr>
                <w:rFonts w:hint="default"/>
              </w:rPr>
              <w:t>，</w:t>
            </w:r>
            <w:r>
              <w:rPr>
                <w:rFonts w:hint="eastAsia"/>
              </w:rPr>
              <w:t>氢氧化钠（Sodium</w:t>
            </w:r>
            <w:r>
              <w:rPr>
                <w:rFonts w:hint="eastAsia"/>
                <w:lang w:val="en-US" w:eastAsia="zh-CN"/>
              </w:rPr>
              <w:t xml:space="preserve"> </w:t>
            </w:r>
            <w:r>
              <w:rPr>
                <w:rFonts w:hint="eastAsia"/>
              </w:rPr>
              <w:t>hydroxide），也称苛性钠、烧碱、火碱，是一种无机化合物，化学式NaOH，氢氧化钠具有强碱性，腐蚀性极强，可作酸中和剂、配合掩蔽剂、沉淀剂、沉淀掩蔽剂、显色剂、皂化剂、去皮剂、洗涤剂等，用途非常广泛。</w:t>
            </w:r>
            <w:r>
              <w:rPr>
                <w:rFonts w:hint="default"/>
              </w:rPr>
              <w:t>。</w:t>
            </w:r>
            <w:r>
              <w:rPr>
                <w:rFonts w:hint="eastAsia"/>
                <w:lang w:val="en-US" w:eastAsia="zh-CN"/>
              </w:rPr>
              <w:t>在制备脱硫剂再生过程配比1:4。</w:t>
            </w:r>
            <w:r>
              <w:rPr>
                <w:rFonts w:hint="default"/>
              </w:rPr>
              <w:t>其性状表见下表</w:t>
            </w:r>
            <w:r>
              <w:rPr>
                <w:rFonts w:hint="eastAsia"/>
                <w:lang w:val="en-US" w:eastAsia="zh-CN"/>
              </w:rPr>
              <w:t>2-7</w:t>
            </w:r>
            <w:r>
              <w:rPr>
                <w:rFonts w:hint="default"/>
              </w:rPr>
              <w:t>。</w:t>
            </w:r>
          </w:p>
          <w:p>
            <w:pPr>
              <w:pStyle w:val="15"/>
              <w:keepNext w:val="0"/>
              <w:keepLines w:val="0"/>
              <w:suppressLineNumbers w:val="0"/>
              <w:bidi w:val="0"/>
              <w:spacing w:before="0" w:beforeAutospacing="0" w:after="0" w:afterAutospacing="0"/>
              <w:ind w:right="0"/>
              <w:rPr>
                <w:rFonts w:hint="default"/>
                <w:b/>
                <w:bCs/>
              </w:rPr>
            </w:pPr>
            <w:r>
              <w:rPr>
                <w:rFonts w:hint="default"/>
                <w:b/>
                <w:bCs/>
              </w:rPr>
              <w:t>表</w:t>
            </w:r>
            <w:r>
              <w:rPr>
                <w:rFonts w:hint="eastAsia"/>
                <w:b/>
                <w:bCs/>
                <w:lang w:val="en-US" w:eastAsia="zh-CN"/>
              </w:rPr>
              <w:t>2-7</w:t>
            </w:r>
            <w:r>
              <w:rPr>
                <w:rFonts w:hint="default"/>
                <w:b/>
                <w:bCs/>
              </w:rPr>
              <w:t xml:space="preserve">    </w:t>
            </w:r>
            <w:r>
              <w:rPr>
                <w:rFonts w:hint="eastAsia"/>
                <w:b/>
                <w:bCs/>
                <w:lang w:val="en-US" w:eastAsia="zh-CN"/>
              </w:rPr>
              <w:t>氢氧化钠</w:t>
            </w:r>
            <w:r>
              <w:rPr>
                <w:rFonts w:hint="default"/>
                <w:b/>
                <w:bCs/>
              </w:rPr>
              <w:t>性状表</w:t>
            </w:r>
          </w:p>
          <w:tbl>
            <w:tblPr>
              <w:tblStyle w:val="1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2276"/>
              <w:gridCol w:w="2006"/>
              <w:gridCol w:w="2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85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中文名</w:t>
                  </w:r>
                </w:p>
              </w:tc>
              <w:tc>
                <w:tcPr>
                  <w:tcW w:w="2276"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碳酸钠</w:t>
                  </w:r>
                </w:p>
              </w:tc>
              <w:tc>
                <w:tcPr>
                  <w:tcW w:w="2006"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熔点</w:t>
                  </w:r>
                </w:p>
              </w:tc>
              <w:tc>
                <w:tcPr>
                  <w:tcW w:w="2083"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851℃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85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英文名</w:t>
                  </w:r>
                </w:p>
              </w:tc>
              <w:tc>
                <w:tcPr>
                  <w:tcW w:w="2276"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eastAsia"/>
                      <w:lang w:eastAsia="zh-CN"/>
                    </w:rPr>
                  </w:pPr>
                  <w:r>
                    <w:rPr>
                      <w:rFonts w:hint="eastAsia"/>
                    </w:rPr>
                    <w:t>Sodium</w:t>
                  </w:r>
                  <w:r>
                    <w:rPr>
                      <w:rFonts w:hint="eastAsia"/>
                      <w:lang w:val="en-US" w:eastAsia="zh-CN"/>
                    </w:rPr>
                    <w:t xml:space="preserve"> </w:t>
                  </w:r>
                  <w:r>
                    <w:rPr>
                      <w:rFonts w:hint="eastAsia"/>
                    </w:rPr>
                    <w:t>hydroxide</w:t>
                  </w:r>
                </w:p>
              </w:tc>
              <w:tc>
                <w:tcPr>
                  <w:tcW w:w="2006"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水溶性</w:t>
                  </w:r>
                </w:p>
              </w:tc>
              <w:tc>
                <w:tcPr>
                  <w:tcW w:w="2083"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易溶于水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85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别称</w:t>
                  </w:r>
                </w:p>
              </w:tc>
              <w:tc>
                <w:tcPr>
                  <w:tcW w:w="227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苏打、纯碱、洗涤碱</w:t>
                  </w:r>
                </w:p>
              </w:tc>
              <w:tc>
                <w:tcPr>
                  <w:tcW w:w="2006"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lang w:eastAsia="zh-CN"/>
                    </w:rPr>
                  </w:pPr>
                  <w:r>
                    <w:rPr>
                      <w:rFonts w:hint="eastAsia"/>
                      <w:lang w:val="en-US" w:eastAsia="zh-CN"/>
                    </w:rPr>
                    <w:t>外观</w:t>
                  </w:r>
                </w:p>
              </w:tc>
              <w:tc>
                <w:tcPr>
                  <w:tcW w:w="208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eastAsia"/>
                      <w:lang w:val="en-US" w:eastAsia="zh-CN"/>
                    </w:rPr>
                    <w:t>白色结晶性粉末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85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化学式</w:t>
                  </w:r>
                </w:p>
              </w:tc>
              <w:tc>
                <w:tcPr>
                  <w:tcW w:w="227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eastAsia"/>
                    </w:rPr>
                    <w:t>NaOH</w:t>
                  </w:r>
                </w:p>
              </w:tc>
              <w:tc>
                <w:tcPr>
                  <w:tcW w:w="200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密度</w:t>
                  </w:r>
                </w:p>
              </w:tc>
              <w:tc>
                <w:tcPr>
                  <w:tcW w:w="2083"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lang w:eastAsia="zh-CN"/>
                    </w:rPr>
                  </w:pPr>
                  <w:r>
                    <w:rPr>
                      <w:rFonts w:hint="eastAsia"/>
                      <w:lang w:val="en-US" w:eastAsia="zh-CN"/>
                    </w:rPr>
                    <w:t>2.13</w:t>
                  </w:r>
                  <w:r>
                    <w:rPr>
                      <w:rFonts w:hint="default"/>
                    </w:rPr>
                    <w:t>g/c</w:t>
                  </w:r>
                  <w:r>
                    <w:rPr>
                      <w:rFonts w:hint="eastAsia"/>
                      <w:lang w:eastAsia="zh-CN"/>
                    </w:rPr>
                    <w:t>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85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分子量</w:t>
                  </w:r>
                </w:p>
              </w:tc>
              <w:tc>
                <w:tcPr>
                  <w:tcW w:w="227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eastAsia"/>
                    </w:rPr>
                    <w:t>40.00</w:t>
                  </w:r>
                </w:p>
              </w:tc>
              <w:tc>
                <w:tcPr>
                  <w:tcW w:w="200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沸点</w:t>
                  </w:r>
                </w:p>
              </w:tc>
              <w:tc>
                <w:tcPr>
                  <w:tcW w:w="208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eastAsia"/>
                      <w:lang w:val="en-US" w:eastAsia="zh-CN"/>
                    </w:rPr>
                    <w:t>1388</w:t>
                  </w:r>
                  <w:r>
                    <w:rPr>
                      <w:rFonts w:hint="default"/>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85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CAS登录号</w:t>
                  </w:r>
                </w:p>
              </w:tc>
              <w:tc>
                <w:tcPr>
                  <w:tcW w:w="227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eastAsia"/>
                    </w:rPr>
                    <w:t>1310-73-2</w:t>
                  </w:r>
                </w:p>
              </w:tc>
              <w:tc>
                <w:tcPr>
                  <w:tcW w:w="200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熔点</w:t>
                  </w:r>
                </w:p>
              </w:tc>
              <w:tc>
                <w:tcPr>
                  <w:tcW w:w="2083"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eastAsia"/>
                      <w:lang w:val="en-US" w:eastAsia="zh-CN"/>
                    </w:rPr>
                    <w:t>318</w:t>
                  </w:r>
                  <w:r>
                    <w:rPr>
                      <w:rFonts w:hint="default"/>
                    </w:rPr>
                    <w:t>℃（2845K）</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85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default"/>
                    </w:rPr>
                    <w:t>EINECS登录号</w:t>
                  </w:r>
                </w:p>
              </w:tc>
              <w:tc>
                <w:tcPr>
                  <w:tcW w:w="227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rPr>
                  </w:pPr>
                  <w:r>
                    <w:rPr>
                      <w:rFonts w:hint="eastAsia"/>
                    </w:rPr>
                    <w:t>215-185-5</w:t>
                  </w:r>
                </w:p>
              </w:tc>
              <w:tc>
                <w:tcPr>
                  <w:tcW w:w="2006"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eastAsia"/>
                      <w:lang w:val="en-US" w:eastAsia="zh-CN"/>
                    </w:rPr>
                    <w:t>防护措施</w:t>
                  </w:r>
                </w:p>
              </w:tc>
              <w:tc>
                <w:tcPr>
                  <w:tcW w:w="2083" w:type="dxa"/>
                  <w:tcBorders>
                    <w:tl2br w:val="nil"/>
                    <w:tr2bl w:val="nil"/>
                  </w:tcBorders>
                  <w:vAlign w:val="center"/>
                </w:tcPr>
                <w:p>
                  <w:pPr>
                    <w:pStyle w:val="15"/>
                    <w:keepNext w:val="0"/>
                    <w:keepLines w:val="0"/>
                    <w:suppressLineNumbers w:val="0"/>
                    <w:bidi w:val="0"/>
                    <w:spacing w:before="0" w:beforeAutospacing="0" w:after="0" w:afterAutospacing="0"/>
                    <w:ind w:right="0"/>
                    <w:rPr>
                      <w:rFonts w:hint="eastAsia"/>
                    </w:rPr>
                  </w:pPr>
                  <w:r>
                    <w:rPr>
                      <w:rFonts w:hint="default"/>
                      <w:lang w:val="en-US" w:eastAsia="zh-CN"/>
                    </w:rPr>
                    <w:t>工程控制：密闭操作，注意通风</w:t>
                  </w:r>
                </w:p>
                <w:p>
                  <w:pPr>
                    <w:pStyle w:val="15"/>
                    <w:keepNext w:val="0"/>
                    <w:keepLines w:val="0"/>
                    <w:suppressLineNumbers w:val="0"/>
                    <w:bidi w:val="0"/>
                    <w:spacing w:before="0" w:beforeAutospacing="0" w:after="0" w:afterAutospacing="0"/>
                    <w:ind w:right="0"/>
                    <w:rPr>
                      <w:rFonts w:hint="default"/>
                    </w:rPr>
                  </w:pPr>
                  <w:r>
                    <w:rPr>
                      <w:rFonts w:hint="default"/>
                      <w:lang w:val="en-US" w:eastAsia="zh-CN"/>
                    </w:rPr>
                    <w:t>呼吸系统防护：必要时佩戴防毒口罩。</w:t>
                  </w:r>
                </w:p>
                <w:p>
                  <w:pPr>
                    <w:pStyle w:val="15"/>
                    <w:keepNext w:val="0"/>
                    <w:keepLines w:val="0"/>
                    <w:suppressLineNumbers w:val="0"/>
                    <w:bidi w:val="0"/>
                    <w:spacing w:before="0" w:beforeAutospacing="0" w:after="0" w:afterAutospacing="0"/>
                    <w:ind w:right="0"/>
                    <w:rPr>
                      <w:rFonts w:hint="default"/>
                    </w:rPr>
                  </w:pPr>
                  <w:r>
                    <w:rPr>
                      <w:rFonts w:hint="default"/>
                      <w:lang w:val="en-US" w:eastAsia="zh-CN"/>
                    </w:rPr>
                    <w:t>眼睛防护：戴化学安全防护眼镜。</w:t>
                  </w:r>
                </w:p>
                <w:p>
                  <w:pPr>
                    <w:pStyle w:val="15"/>
                    <w:keepNext w:val="0"/>
                    <w:keepLines w:val="0"/>
                    <w:suppressLineNumbers w:val="0"/>
                    <w:bidi w:val="0"/>
                    <w:spacing w:before="0" w:beforeAutospacing="0" w:after="0" w:afterAutospacing="0"/>
                    <w:ind w:right="0"/>
                    <w:rPr>
                      <w:rFonts w:hint="default"/>
                    </w:rPr>
                  </w:pPr>
                  <w:r>
                    <w:rPr>
                      <w:rFonts w:hint="default"/>
                      <w:lang w:val="en-US" w:eastAsia="zh-CN"/>
                    </w:rPr>
                    <w:t>身体防护：穿工作服（防腐材料制作）。</w:t>
                  </w:r>
                </w:p>
                <w:p>
                  <w:pPr>
                    <w:pStyle w:val="15"/>
                    <w:keepNext w:val="0"/>
                    <w:keepLines w:val="0"/>
                    <w:suppressLineNumbers w:val="0"/>
                    <w:bidi w:val="0"/>
                    <w:spacing w:before="0" w:beforeAutospacing="0" w:after="0" w:afterAutospacing="0"/>
                    <w:ind w:right="0"/>
                    <w:rPr>
                      <w:rFonts w:hint="default"/>
                    </w:rPr>
                  </w:pPr>
                  <w:r>
                    <w:rPr>
                      <w:rFonts w:hint="default"/>
                      <w:lang w:val="en-US" w:eastAsia="zh-CN"/>
                    </w:rPr>
                    <w:t>手防护：戴橡胶手套。</w:t>
                  </w:r>
                </w:p>
                <w:p>
                  <w:pPr>
                    <w:pStyle w:val="15"/>
                    <w:keepNext w:val="0"/>
                    <w:keepLines w:val="0"/>
                    <w:suppressLineNumbers w:val="0"/>
                    <w:bidi w:val="0"/>
                    <w:spacing w:before="0" w:beforeAutospacing="0" w:after="0" w:afterAutospacing="0"/>
                    <w:ind w:right="0"/>
                    <w:rPr>
                      <w:rFonts w:hint="default"/>
                    </w:rPr>
                  </w:pPr>
                  <w:r>
                    <w:rPr>
                      <w:rFonts w:hint="default"/>
                      <w:lang w:val="en-US" w:eastAsia="zh-CN"/>
                    </w:rPr>
                    <w:t>其他：工作后，沐浴更衣。注意个人清洁卫生。</w:t>
                  </w:r>
                </w:p>
              </w:tc>
            </w:tr>
          </w:tbl>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（4）尿素</w:t>
            </w:r>
          </w:p>
          <w:p>
            <w:pPr>
              <w:keepNext w:val="0"/>
              <w:keepLines w:val="0"/>
              <w:widowControl/>
              <w:suppressLineNumbers w:val="0"/>
              <w:spacing w:before="0" w:beforeAutospacing="0" w:after="0" w:afterAutospacing="0" w:line="360" w:lineRule="auto"/>
              <w:ind w:left="0" w:right="0" w:firstLine="496" w:firstLineChars="207"/>
              <w:jc w:val="left"/>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脱硝剂尿素：</w:t>
            </w:r>
            <w:r>
              <w:rPr>
                <w:rFonts w:hint="default"/>
                <w:color w:val="000000" w:themeColor="text1"/>
                <w14:textFill>
                  <w14:solidFill>
                    <w14:schemeClr w14:val="tx1"/>
                  </w14:solidFill>
                </w14:textFill>
              </w:rPr>
              <w:t>原料尿素全部外购，年耗量</w:t>
            </w:r>
            <w:r>
              <w:rPr>
                <w:rFonts w:hint="eastAsia"/>
                <w:color w:val="000000" w:themeColor="text1"/>
                <w:lang w:val="en-US" w:eastAsia="zh-CN"/>
                <w14:textFill>
                  <w14:solidFill>
                    <w14:schemeClr w14:val="tx1"/>
                  </w14:solidFill>
                </w14:textFill>
              </w:rPr>
              <w:t>3</w:t>
            </w:r>
            <w:r>
              <w:rPr>
                <w:rFonts w:hint="default"/>
                <w:color w:val="000000" w:themeColor="text1"/>
                <w14:textFill>
                  <w14:solidFill>
                    <w14:schemeClr w14:val="tx1"/>
                  </w14:solidFill>
                </w14:textFill>
              </w:rPr>
              <w:t>t，袋装堆存于</w:t>
            </w:r>
            <w:r>
              <w:rPr>
                <w:rFonts w:hint="eastAsia"/>
                <w:color w:val="000000" w:themeColor="text1"/>
                <w:lang w:val="en-US" w:eastAsia="zh-CN"/>
                <w14:textFill>
                  <w14:solidFill>
                    <w14:schemeClr w14:val="tx1"/>
                  </w14:solidFill>
                </w14:textFill>
              </w:rPr>
              <w:t>烘干车间</w:t>
            </w:r>
            <w:r>
              <w:rPr>
                <w:rFonts w:hint="default"/>
                <w:color w:val="000000" w:themeColor="text1"/>
                <w14:textFill>
                  <w14:solidFill>
                    <w14:schemeClr w14:val="tx1"/>
                  </w14:solidFill>
                </w14:textFill>
              </w:rPr>
              <w:t>尿素储存区，使用时先配置为浓度为</w:t>
            </w:r>
            <w:r>
              <w:rPr>
                <w:rFonts w:hint="eastAsia"/>
                <w:color w:val="000000" w:themeColor="text1"/>
                <w:lang w:val="en-US" w:eastAsia="zh-CN"/>
                <w14:textFill>
                  <w14:solidFill>
                    <w14:schemeClr w14:val="tx1"/>
                  </w14:solidFill>
                </w14:textFill>
              </w:rPr>
              <w:t>20</w:t>
            </w:r>
            <w:r>
              <w:rPr>
                <w:rFonts w:hint="default"/>
                <w:color w:val="000000" w:themeColor="text1"/>
                <w14:textFill>
                  <w14:solidFill>
                    <w14:schemeClr w14:val="tx1"/>
                  </w14:solidFill>
                </w14:textFill>
              </w:rPr>
              <w:t>%的尿素溶液。尿素其性状见下表</w:t>
            </w:r>
            <w:r>
              <w:rPr>
                <w:rFonts w:hint="eastAsia"/>
                <w:color w:val="000000" w:themeColor="text1"/>
                <w:lang w:val="en-US" w:eastAsia="zh-CN"/>
                <w14:textFill>
                  <w14:solidFill>
                    <w14:schemeClr w14:val="tx1"/>
                  </w14:solidFill>
                </w14:textFill>
              </w:rPr>
              <w:t>2-8</w:t>
            </w:r>
            <w:r>
              <w:rPr>
                <w:rFonts w:hint="default"/>
                <w:color w:val="000000" w:themeColor="text1"/>
                <w14:textFill>
                  <w14:solidFill>
                    <w14:schemeClr w14:val="tx1"/>
                  </w14:solidFill>
                </w14:textFill>
              </w:rPr>
              <w:t>。</w:t>
            </w:r>
          </w:p>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2-8</w:t>
            </w:r>
            <w:r>
              <w:rPr>
                <w:rFonts w:hint="default"/>
                <w:b/>
                <w:bCs/>
                <w:color w:val="000000" w:themeColor="text1"/>
                <w14:textFill>
                  <w14:solidFill>
                    <w14:schemeClr w14:val="tx1"/>
                  </w14:solidFill>
                </w14:textFill>
              </w:rPr>
              <w:t xml:space="preserve">   尿素性状表</w:t>
            </w:r>
          </w:p>
          <w:tbl>
            <w:tblPr>
              <w:tblStyle w:val="1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2189"/>
              <w:gridCol w:w="1497"/>
              <w:gridCol w:w="2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922"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中文名</w:t>
                  </w:r>
                </w:p>
              </w:tc>
              <w:tc>
                <w:tcPr>
                  <w:tcW w:w="2189"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eastAsia" w:eastAsia="宋体"/>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尿素</w:t>
                  </w:r>
                </w:p>
              </w:tc>
              <w:tc>
                <w:tcPr>
                  <w:tcW w:w="1497"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熔点</w:t>
                  </w:r>
                </w:p>
              </w:tc>
              <w:tc>
                <w:tcPr>
                  <w:tcW w:w="2612"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132.7℃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922"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英文名</w:t>
                  </w:r>
                </w:p>
              </w:tc>
              <w:tc>
                <w:tcPr>
                  <w:tcW w:w="2189"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Urea</w:t>
                  </w:r>
                </w:p>
              </w:tc>
              <w:tc>
                <w:tcPr>
                  <w:tcW w:w="1497"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沸点</w:t>
                  </w:r>
                </w:p>
              </w:tc>
              <w:tc>
                <w:tcPr>
                  <w:tcW w:w="2612"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196.6°C /标准大气压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92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别称</w:t>
                  </w:r>
                </w:p>
              </w:tc>
              <w:tc>
                <w:tcPr>
                  <w:tcW w:w="218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碳酰胺</w:t>
                  </w:r>
                </w:p>
              </w:tc>
              <w:tc>
                <w:tcPr>
                  <w:tcW w:w="149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水溶性</w:t>
                  </w:r>
                </w:p>
              </w:tc>
              <w:tc>
                <w:tcPr>
                  <w:tcW w:w="261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92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化学式</w:t>
                  </w:r>
                </w:p>
              </w:tc>
              <w:tc>
                <w:tcPr>
                  <w:tcW w:w="218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CH</w:t>
                  </w:r>
                  <w:r>
                    <w:rPr>
                      <w:rFonts w:hint="default"/>
                      <w:color w:val="000000" w:themeColor="text1"/>
                      <w:vertAlign w:val="subscript"/>
                      <w14:textFill>
                        <w14:solidFill>
                          <w14:schemeClr w14:val="tx1"/>
                        </w14:solidFill>
                      </w14:textFill>
                    </w:rPr>
                    <w:t>4</w:t>
                  </w:r>
                  <w:r>
                    <w:rPr>
                      <w:rFonts w:hint="default"/>
                      <w:color w:val="000000" w:themeColor="text1"/>
                      <w14:textFill>
                        <w14:solidFill>
                          <w14:schemeClr w14:val="tx1"/>
                        </w14:solidFill>
                      </w14:textFill>
                    </w:rPr>
                    <w:t>N</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O</w:t>
                  </w:r>
                </w:p>
              </w:tc>
              <w:tc>
                <w:tcPr>
                  <w:tcW w:w="149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密度</w:t>
                  </w:r>
                </w:p>
              </w:tc>
              <w:tc>
                <w:tcPr>
                  <w:tcW w:w="261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1.335g/c</w:t>
                  </w:r>
                  <w:r>
                    <w:rPr>
                      <w:rFonts w:hint="eastAsia"/>
                      <w:color w:val="000000" w:themeColor="text1"/>
                      <w:lang w:eastAsia="zh-CN"/>
                      <w14:textFill>
                        <w14:solidFill>
                          <w14:schemeClr w14:val="tx1"/>
                        </w14:solidFill>
                      </w14:textFill>
                    </w:rPr>
                    <w:t>m³</w:t>
                  </w:r>
                  <w:r>
                    <w:rPr>
                      <w:rFonts w:hint="default"/>
                      <w:color w:val="000000" w:themeColor="text1"/>
                      <w14:textFill>
                        <w14:solidFill>
                          <w14:schemeClr w14:val="tx1"/>
                        </w14:solidFill>
                      </w14:textFill>
                    </w:rPr>
                    <w:t>白色固体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92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分子量</w:t>
                  </w:r>
                </w:p>
              </w:tc>
              <w:tc>
                <w:tcPr>
                  <w:tcW w:w="218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60.06</w:t>
                  </w:r>
                </w:p>
              </w:tc>
              <w:tc>
                <w:tcPr>
                  <w:tcW w:w="149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外观</w:t>
                  </w:r>
                </w:p>
              </w:tc>
              <w:tc>
                <w:tcPr>
                  <w:tcW w:w="261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白色晶体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92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CAS登录号</w:t>
                  </w:r>
                </w:p>
              </w:tc>
              <w:tc>
                <w:tcPr>
                  <w:tcW w:w="218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57-13-6</w:t>
                  </w:r>
                </w:p>
              </w:tc>
              <w:tc>
                <w:tcPr>
                  <w:tcW w:w="149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应用</w:t>
                  </w:r>
                </w:p>
              </w:tc>
              <w:tc>
                <w:tcPr>
                  <w:tcW w:w="261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化肥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92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EINECS登录号</w:t>
                  </w:r>
                </w:p>
              </w:tc>
              <w:tc>
                <w:tcPr>
                  <w:tcW w:w="218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200-315-5</w:t>
                  </w:r>
                </w:p>
              </w:tc>
              <w:tc>
                <w:tcPr>
                  <w:tcW w:w="1497"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安全性描述</w:t>
                  </w:r>
                </w:p>
              </w:tc>
              <w:tc>
                <w:tcPr>
                  <w:tcW w:w="2612"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避免与皮肤和眼睛接触。</w:t>
                  </w:r>
                </w:p>
              </w:tc>
            </w:tr>
          </w:tbl>
          <w:p>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根据项目使用生物质，其含硫量为0.054%，则燃料中S元素含量1.35t。</w:t>
            </w:r>
          </w:p>
          <w:p>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考虑</w:t>
            </w:r>
            <w:r>
              <w:rPr>
                <w:rFonts w:hint="default"/>
                <w:color w:val="000000" w:themeColor="text1"/>
                <w:lang w:val="en-US" w:eastAsia="zh-CN"/>
                <w14:textFill>
                  <w14:solidFill>
                    <w14:schemeClr w14:val="tx1"/>
                  </w14:solidFill>
                </w14:textFill>
              </w:rPr>
              <w:t>锅炉机械不完全燃烧损失</w:t>
            </w:r>
            <w:r>
              <w:rPr>
                <w:rFonts w:hint="eastAsia"/>
                <w:color w:val="000000" w:themeColor="text1"/>
                <w:lang w:val="en-US" w:eastAsia="zh-CN"/>
                <w14:textFill>
                  <w14:solidFill>
                    <w14:schemeClr w14:val="tx1"/>
                  </w14:solidFill>
                </w14:textFill>
              </w:rPr>
              <w:t>及</w:t>
            </w:r>
            <w:r>
              <w:rPr>
                <w:rFonts w:hint="default"/>
                <w:color w:val="000000" w:themeColor="text1"/>
                <w:lang w:val="en-US" w:eastAsia="zh-CN"/>
                <w14:textFill>
                  <w14:solidFill>
                    <w14:schemeClr w14:val="tx1"/>
                  </w14:solidFill>
                </w14:textFill>
              </w:rPr>
              <w:t>燃料中的硫燃烧后氧化成二氧化硫的份额，</w:t>
            </w:r>
            <w:r>
              <w:rPr>
                <w:rFonts w:hint="eastAsia"/>
                <w:color w:val="000000" w:themeColor="text1"/>
                <w:lang w:val="en-US" w:eastAsia="zh-CN"/>
                <w14:textFill>
                  <w14:solidFill>
                    <w14:schemeClr w14:val="tx1"/>
                  </w14:solidFill>
                </w14:textFill>
              </w:rPr>
              <w:t>生成的SO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量约为2.21t，项目SO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经治理后排放量约0.166t，其中S元素含量0.083t。</w:t>
            </w:r>
          </w:p>
          <w:p>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经脱硫系统去除SO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量为2.044t，进入脱硫石膏的S元素含量为1.022t。</w:t>
            </w:r>
          </w:p>
          <w:p>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其余未燃烧部分及未转化S元素进入灰渣中，总计含量为0.245t。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项目S元素平衡见下图2-1。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color w:val="000000" w:themeColor="text1"/>
                <w:lang w:val="en-US" w:eastAsia="zh-CN"/>
                <w14:textFill>
                  <w14:solidFill>
                    <w14:schemeClr w14:val="tx1"/>
                  </w14:solidFill>
                </w14:textFill>
              </w:rPr>
            </w:pPr>
            <w:r>
              <w:drawing>
                <wp:inline distT="0" distB="0" distL="114300" distR="114300">
                  <wp:extent cx="5048250" cy="2543175"/>
                  <wp:effectExtent l="9525" t="9525" r="9525" b="1905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9"/>
                          <a:stretch>
                            <a:fillRect/>
                          </a:stretch>
                        </pic:blipFill>
                        <pic:spPr>
                          <a:xfrm>
                            <a:off x="0" y="0"/>
                            <a:ext cx="5048250" cy="2543175"/>
                          </a:xfrm>
                          <a:prstGeom prst="rect">
                            <a:avLst/>
                          </a:prstGeom>
                          <a:noFill/>
                          <a:ln>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图2-1   S元素平衡图（单位t）</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4.2 产品</w:t>
            </w:r>
          </w:p>
          <w:p>
            <w:pPr>
              <w:bidi w:val="0"/>
              <w:rPr>
                <w:rFonts w:hint="default"/>
                <w:color w:val="000000" w:themeColor="text1"/>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本项目建成后，年产</w:t>
            </w:r>
            <w:r>
              <w:rPr>
                <w:rFonts w:hint="eastAsia"/>
                <w:color w:val="000000" w:themeColor="text1"/>
                <w:kern w:val="0"/>
                <w:sz w:val="24"/>
                <w:lang w:val="en-US" w:eastAsia="zh-CN"/>
                <w14:textFill>
                  <w14:solidFill>
                    <w14:schemeClr w14:val="tx1"/>
                  </w14:solidFill>
                </w14:textFill>
              </w:rPr>
              <w:t>0.975</w:t>
            </w:r>
            <w:r>
              <w:rPr>
                <w:rFonts w:hint="eastAsia"/>
                <w:color w:val="000000" w:themeColor="text1"/>
                <w:kern w:val="0"/>
                <w:sz w:val="24"/>
                <w14:textFill>
                  <w14:solidFill>
                    <w14:schemeClr w14:val="tx1"/>
                  </w14:solidFill>
                </w14:textFill>
              </w:rPr>
              <w:t>万吨</w:t>
            </w:r>
            <w:r>
              <w:rPr>
                <w:rFonts w:hint="eastAsia"/>
                <w:color w:val="000000" w:themeColor="text1"/>
                <w:kern w:val="0"/>
                <w:sz w:val="24"/>
                <w:lang w:val="en-US" w:eastAsia="zh-CN"/>
                <w14:textFill>
                  <w14:solidFill>
                    <w14:schemeClr w14:val="tx1"/>
                  </w14:solidFill>
                </w14:textFill>
              </w:rPr>
              <w:t>干玉米</w:t>
            </w:r>
            <w:r>
              <w:rPr>
                <w:rFonts w:hint="eastAsia"/>
                <w:color w:val="000000" w:themeColor="text1"/>
                <w:kern w:val="0"/>
                <w:sz w:val="24"/>
                <w14:textFill>
                  <w14:solidFill>
                    <w14:schemeClr w14:val="tx1"/>
                  </w14:solidFill>
                </w14:textFill>
              </w:rPr>
              <w:t>、贮存在干料仓内待售</w:t>
            </w:r>
            <w:r>
              <w:rPr>
                <w:rFonts w:hint="eastAsia"/>
                <w:color w:val="000000" w:themeColor="text1"/>
                <w:lang w:val="en-US" w:eastAsia="zh-CN"/>
                <w14:textFill>
                  <w14:solidFill>
                    <w14:schemeClr w14:val="tx1"/>
                  </w14:solidFill>
                </w14:textFill>
              </w:rPr>
              <w:t>。</w:t>
            </w:r>
          </w:p>
          <w:p>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4.3 物料平衡</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本项目物料平衡如下表2-9。</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2-9 </w:t>
            </w:r>
            <w:r>
              <w:rPr>
                <w:rFonts w:hint="default"/>
                <w:b/>
                <w:bCs/>
                <w:color w:val="000000" w:themeColor="text1"/>
                <w14:textFill>
                  <w14:solidFill>
                    <w14:schemeClr w14:val="tx1"/>
                  </w14:solidFill>
                </w14:textFill>
              </w:rPr>
              <w:t xml:space="preserve">  物料平衡情况一览表</w:t>
            </w:r>
          </w:p>
          <w:tbl>
            <w:tblPr>
              <w:tblStyle w:val="10"/>
              <w:tblW w:w="822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623"/>
              <w:gridCol w:w="1854"/>
              <w:gridCol w:w="2125"/>
              <w:gridCol w:w="1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2" w:type="dxa"/>
                  <w:vMerge w:val="restart"/>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477" w:type="dxa"/>
                  <w:gridSpan w:val="2"/>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投入</w:t>
                  </w:r>
                </w:p>
              </w:tc>
              <w:tc>
                <w:tcPr>
                  <w:tcW w:w="3771" w:type="dxa"/>
                  <w:gridSpan w:val="2"/>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2" w:type="dxa"/>
                  <w:vMerge w:val="continue"/>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bookmarkStart w:id="3" w:name="OLE_LINK4" w:colFirst="1" w:colLast="2"/>
                </w:p>
              </w:tc>
              <w:tc>
                <w:tcPr>
                  <w:tcW w:w="1623"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854"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用量</w:t>
                  </w:r>
                </w:p>
              </w:tc>
              <w:tc>
                <w:tcPr>
                  <w:tcW w:w="2125"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646"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产量</w:t>
                  </w:r>
                </w:p>
              </w:tc>
            </w:tr>
            <w:bookmarkEnd w:id="3"/>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2"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623"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玉米湿料</w:t>
                  </w:r>
                </w:p>
              </w:tc>
              <w:tc>
                <w:tcPr>
                  <w:tcW w:w="1854"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13000</w:t>
                  </w:r>
                  <w:r>
                    <w:rPr>
                      <w:color w:val="000000" w:themeColor="text1"/>
                      <w14:textFill>
                        <w14:solidFill>
                          <w14:schemeClr w14:val="tx1"/>
                        </w14:solidFill>
                      </w14:textFill>
                    </w:rPr>
                    <w:t>t/a</w:t>
                  </w:r>
                </w:p>
              </w:tc>
              <w:tc>
                <w:tcPr>
                  <w:tcW w:w="2125"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玉米干料</w:t>
                  </w:r>
                </w:p>
              </w:tc>
              <w:tc>
                <w:tcPr>
                  <w:tcW w:w="1646"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9750</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2"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62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2125"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废弃杂质及红衣</w:t>
                  </w:r>
                </w:p>
              </w:tc>
              <w:tc>
                <w:tcPr>
                  <w:tcW w:w="1646"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250</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72"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62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54"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2125"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蒸发水蒸气</w:t>
                  </w:r>
                </w:p>
              </w:tc>
              <w:tc>
                <w:tcPr>
                  <w:tcW w:w="1646"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3000</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595" w:type="dxa"/>
                  <w:gridSpan w:val="2"/>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54"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13000</w:t>
                  </w:r>
                  <w:r>
                    <w:rPr>
                      <w:color w:val="000000" w:themeColor="text1"/>
                      <w14:textFill>
                        <w14:solidFill>
                          <w14:schemeClr w14:val="tx1"/>
                        </w14:solidFill>
                      </w14:textFill>
                    </w:rPr>
                    <w:t>t/a</w:t>
                  </w:r>
                </w:p>
              </w:tc>
              <w:tc>
                <w:tcPr>
                  <w:tcW w:w="2125"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p>
              </w:tc>
              <w:tc>
                <w:tcPr>
                  <w:tcW w:w="1646"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13000</w:t>
                  </w:r>
                  <w:r>
                    <w:rPr>
                      <w:color w:val="000000" w:themeColor="text1"/>
                      <w14:textFill>
                        <w14:solidFill>
                          <w14:schemeClr w14:val="tx1"/>
                        </w14:solidFill>
                      </w14:textFill>
                    </w:rPr>
                    <w:t>t/a</w:t>
                  </w:r>
                </w:p>
              </w:tc>
            </w:tr>
          </w:tbl>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5、劳动定远及工作制度</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default"/>
                <w:b/>
                <w:bCs/>
                <w:color w:val="000000" w:themeColor="text1"/>
                <w:lang w:val="en-US" w:eastAsia="zh-CN"/>
                <w14:textFill>
                  <w14:solidFill>
                    <w14:schemeClr w14:val="tx1"/>
                  </w14:solidFill>
                </w14:textFill>
              </w:rPr>
              <w:t>.1</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lang w:val="en-US" w:eastAsia="zh-CN"/>
                <w14:textFill>
                  <w14:solidFill>
                    <w14:schemeClr w14:val="tx1"/>
                  </w14:solidFill>
                </w14:textFill>
              </w:rPr>
              <w:t>劳动定员</w:t>
            </w:r>
          </w:p>
          <w:p>
            <w:pPr>
              <w:widowControl/>
              <w:spacing w:line="440" w:lineRule="exact"/>
              <w:ind w:firstLine="480" w:firstLineChars="200"/>
              <w:jc w:val="left"/>
              <w:rPr>
                <w:rFonts w:hint="default"/>
                <w:color w:val="000000" w:themeColor="text1"/>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本项目建成后，劳动定员</w:t>
            </w:r>
            <w:r>
              <w:rPr>
                <w:rFonts w:hint="eastAsia"/>
                <w:color w:val="000000" w:themeColor="text1"/>
                <w:kern w:val="0"/>
                <w:sz w:val="24"/>
                <w:lang w:val="en-US" w:eastAsia="zh-CN"/>
                <w14:textFill>
                  <w14:solidFill>
                    <w14:schemeClr w14:val="tx1"/>
                  </w14:solidFill>
                </w14:textFill>
              </w:rPr>
              <w:t>15</w:t>
            </w:r>
            <w:r>
              <w:rPr>
                <w:rFonts w:hint="eastAsia"/>
                <w:color w:val="000000" w:themeColor="text1"/>
                <w:kern w:val="0"/>
                <w:sz w:val="24"/>
                <w14:textFill>
                  <w14:solidFill>
                    <w14:schemeClr w14:val="tx1"/>
                  </w14:solidFill>
                </w14:textFill>
              </w:rPr>
              <w:t>人</w:t>
            </w:r>
            <w:r>
              <w:rPr>
                <w:rFonts w:hint="default"/>
                <w:color w:val="000000" w:themeColor="text1"/>
                <w:lang w:val="en-US" w:eastAsia="zh-CN"/>
                <w14:textFill>
                  <w14:solidFill>
                    <w14:schemeClr w14:val="tx1"/>
                  </w14:solidFill>
                </w14:textFill>
              </w:rPr>
              <w:t>。</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default"/>
                <w:b/>
                <w:bCs/>
                <w:color w:val="000000" w:themeColor="text1"/>
                <w:lang w:val="en-US" w:eastAsia="zh-CN"/>
                <w14:textFill>
                  <w14:solidFill>
                    <w14:schemeClr w14:val="tx1"/>
                  </w14:solidFill>
                </w14:textFill>
              </w:rPr>
              <w:t>.2</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lang w:val="en-US" w:eastAsia="zh-CN"/>
                <w14:textFill>
                  <w14:solidFill>
                    <w14:schemeClr w14:val="tx1"/>
                  </w14:solidFill>
                </w14:textFill>
              </w:rPr>
              <w:t>工作制度</w:t>
            </w:r>
          </w:p>
          <w:p>
            <w:pPr>
              <w:bidi w:val="0"/>
              <w:rPr>
                <w:rFonts w:hint="default"/>
                <w:color w:val="000000" w:themeColor="text1"/>
                <w:lang w:val="en-US" w:eastAsia="zh-CN"/>
                <w14:textFill>
                  <w14:solidFill>
                    <w14:schemeClr w14:val="tx1"/>
                  </w14:solidFill>
                </w14:textFill>
              </w:rPr>
            </w:pPr>
            <w:r>
              <w:rPr>
                <w:rFonts w:hint="eastAsia"/>
                <w:color w:val="000000" w:themeColor="text1"/>
                <w:kern w:val="0"/>
                <w:sz w:val="24"/>
                <w14:textFill>
                  <w14:solidFill>
                    <w14:schemeClr w14:val="tx1"/>
                  </w14:solidFill>
                </w14:textFill>
              </w:rPr>
              <w:t>本项目建成后，年工作时段为</w:t>
            </w:r>
            <w:r>
              <w:rPr>
                <w:color w:val="000000" w:themeColor="text1"/>
                <w:kern w:val="0"/>
                <w:sz w:val="24"/>
                <w14:textFill>
                  <w14:solidFill>
                    <w14:schemeClr w14:val="tx1"/>
                  </w14:solidFill>
                </w14:textFill>
              </w:rPr>
              <w:t>9</w:t>
            </w:r>
            <w:r>
              <w:rPr>
                <w:rFonts w:hint="eastAsia"/>
                <w:color w:val="000000" w:themeColor="text1"/>
                <w:kern w:val="0"/>
                <w:sz w:val="24"/>
                <w14:textFill>
                  <w14:solidFill>
                    <w14:schemeClr w14:val="tx1"/>
                  </w14:solidFill>
                </w14:textFill>
              </w:rPr>
              <w:t>月</w:t>
            </w:r>
            <w:r>
              <w:rPr>
                <w:rFonts w:hint="eastAsia"/>
                <w:color w:val="000000" w:themeColor="text1"/>
                <w:kern w:val="0"/>
                <w:sz w:val="24"/>
                <w:lang w:val="en-US" w:eastAsia="zh-CN"/>
                <w14:textFill>
                  <w14:solidFill>
                    <w14:schemeClr w14:val="tx1"/>
                  </w14:solidFill>
                </w14:textFill>
              </w:rPr>
              <w:t>10</w:t>
            </w:r>
            <w:r>
              <w:rPr>
                <w:rFonts w:hint="eastAsia"/>
                <w:color w:val="000000" w:themeColor="text1"/>
                <w:kern w:val="0"/>
                <w:sz w:val="24"/>
                <w14:textFill>
                  <w14:solidFill>
                    <w14:schemeClr w14:val="tx1"/>
                  </w14:solidFill>
                </w14:textFill>
              </w:rPr>
              <w:t>日至</w:t>
            </w:r>
            <w:r>
              <w:rPr>
                <w:rFonts w:hint="eastAsia"/>
                <w:color w:val="000000" w:themeColor="text1"/>
                <w:kern w:val="0"/>
                <w:sz w:val="24"/>
                <w:lang w:val="en-US" w:eastAsia="zh-CN"/>
                <w14:textFill>
                  <w14:solidFill>
                    <w14:schemeClr w14:val="tx1"/>
                  </w14:solidFill>
                </w14:textFill>
              </w:rPr>
              <w:t>11</w:t>
            </w:r>
            <w:r>
              <w:rPr>
                <w:rFonts w:hint="eastAsia"/>
                <w:color w:val="000000" w:themeColor="text1"/>
                <w:kern w:val="0"/>
                <w:sz w:val="24"/>
                <w14:textFill>
                  <w14:solidFill>
                    <w14:schemeClr w14:val="tx1"/>
                  </w14:solidFill>
                </w14:textFill>
              </w:rPr>
              <w:t>月</w:t>
            </w:r>
            <w:r>
              <w:rPr>
                <w:color w:val="000000" w:themeColor="text1"/>
                <w:kern w:val="0"/>
                <w:sz w:val="24"/>
                <w14:textFill>
                  <w14:solidFill>
                    <w14:schemeClr w14:val="tx1"/>
                  </w14:solidFill>
                </w14:textFill>
              </w:rPr>
              <w:t>10</w:t>
            </w:r>
            <w:r>
              <w:rPr>
                <w:rFonts w:hint="eastAsia"/>
                <w:color w:val="000000" w:themeColor="text1"/>
                <w:kern w:val="0"/>
                <w:sz w:val="24"/>
                <w14:textFill>
                  <w14:solidFill>
                    <w14:schemeClr w14:val="tx1"/>
                  </w14:solidFill>
                </w14:textFill>
              </w:rPr>
              <w:t>日，年工作</w:t>
            </w:r>
            <w:r>
              <w:rPr>
                <w:rFonts w:hint="eastAsia"/>
                <w:color w:val="000000" w:themeColor="text1"/>
                <w:kern w:val="0"/>
                <w:sz w:val="24"/>
                <w:lang w:val="en-US" w:eastAsia="zh-CN"/>
                <w14:textFill>
                  <w14:solidFill>
                    <w14:schemeClr w14:val="tx1"/>
                  </w14:solidFill>
                </w14:textFill>
              </w:rPr>
              <w:t>60</w:t>
            </w:r>
            <w:r>
              <w:rPr>
                <w:color w:val="000000" w:themeColor="text1"/>
                <w:kern w:val="0"/>
                <w:sz w:val="24"/>
                <w14:textFill>
                  <w14:solidFill>
                    <w14:schemeClr w14:val="tx1"/>
                  </w14:solidFill>
                </w14:textFill>
              </w:rPr>
              <w:t>d</w:t>
            </w:r>
            <w:r>
              <w:rPr>
                <w:rFonts w:hint="eastAsia"/>
                <w:color w:val="000000" w:themeColor="text1"/>
                <w:kern w:val="0"/>
                <w:sz w:val="24"/>
                <w14:textFill>
                  <w14:solidFill>
                    <w14:schemeClr w14:val="tx1"/>
                  </w14:solidFill>
                </w14:textFill>
              </w:rPr>
              <w:t>，采用</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班</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倒工作班制。</w:t>
            </w:r>
          </w:p>
          <w:p>
            <w:pPr>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6、公用及辅助设施</w:t>
            </w:r>
          </w:p>
          <w:p>
            <w:pPr>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6.1 项目用水</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本项目运营期用水主要为生活用水、生产用水、绿化用水。用水由市政供水管网提供，水质及水量可满足项目需求。</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）生活用水</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根据建设方提供资料，项目建成后，需职工</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名，职工在厂区内食宿，故生活用水以</w:t>
            </w:r>
            <w:r>
              <w:rPr>
                <w:color w:val="000000" w:themeColor="text1"/>
                <w14:textFill>
                  <w14:solidFill>
                    <w14:schemeClr w14:val="tx1"/>
                  </w14:solidFill>
                </w14:textFill>
              </w:rPr>
              <w:t>100L/d·</w:t>
            </w:r>
            <w:r>
              <w:rPr>
                <w:rFonts w:hint="eastAsia"/>
                <w:color w:val="000000" w:themeColor="text1"/>
                <w14:textFill>
                  <w14:solidFill>
                    <w14:schemeClr w14:val="tx1"/>
                  </w14:solidFill>
                </w14:textFill>
              </w:rPr>
              <w:t>人计，则生活用水量为</w:t>
            </w:r>
            <w:r>
              <w:rPr>
                <w:rFonts w:hint="eastAsia"/>
                <w:color w:val="000000" w:themeColor="text1"/>
                <w:lang w:val="en-US" w:eastAsia="zh-CN"/>
                <w14:textFill>
                  <w14:solidFill>
                    <w14:schemeClr w14:val="tx1"/>
                  </w14:solidFill>
                </w14:textFill>
              </w:rPr>
              <w:t>1.5</w:t>
            </w:r>
            <w:r>
              <w:rPr>
                <w:color w:val="000000" w:themeColor="text1"/>
                <w14:textFill>
                  <w14:solidFill>
                    <w14:schemeClr w14:val="tx1"/>
                  </w14:solidFill>
                </w14:textFill>
              </w:rPr>
              <w:t>m³/d</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90</w:t>
            </w:r>
            <w:r>
              <w:rPr>
                <w:color w:val="000000" w:themeColor="text1"/>
                <w14:textFill>
                  <w14:solidFill>
                    <w14:schemeClr w14:val="tx1"/>
                  </w14:solidFill>
                </w14:textFill>
              </w:rPr>
              <w:t>m³/a</w:t>
            </w:r>
            <w:r>
              <w:rPr>
                <w:rFonts w:hint="eastAsia"/>
                <w:color w:val="000000" w:themeColor="text1"/>
                <w14:textFill>
                  <w14:solidFill>
                    <w14:schemeClr w14:val="tx1"/>
                  </w14:solidFill>
                </w14:textFill>
              </w:rPr>
              <w:t>）。</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）生产用水</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本项目生产用水为锅炉炉渣降温水、脱硫塔、</w:t>
            </w:r>
            <w:r>
              <w:rPr>
                <w:color w:val="000000" w:themeColor="text1"/>
                <w14:textFill>
                  <w14:solidFill>
                    <w14:schemeClr w14:val="tx1"/>
                  </w14:solidFill>
                </w14:textFill>
              </w:rPr>
              <w:t>SNCR</w:t>
            </w:r>
            <w:r>
              <w:rPr>
                <w:rFonts w:hint="eastAsia"/>
                <w:color w:val="000000" w:themeColor="text1"/>
                <w14:textFill>
                  <w14:solidFill>
                    <w14:schemeClr w14:val="tx1"/>
                  </w14:solidFill>
                </w14:textFill>
              </w:rPr>
              <w:t>用水，根据建设单位提供资料，这部分用水量为</w:t>
            </w:r>
            <w:r>
              <w:rPr>
                <w:color w:val="000000" w:themeColor="text1"/>
                <w14:textFill>
                  <w14:solidFill>
                    <w14:schemeClr w14:val="tx1"/>
                  </w14:solidFill>
                </w14:textFill>
              </w:rPr>
              <w:t>5m³/d</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300</w:t>
            </w:r>
            <w:r>
              <w:rPr>
                <w:color w:val="000000" w:themeColor="text1"/>
                <w14:textFill>
                  <w14:solidFill>
                    <w14:schemeClr w14:val="tx1"/>
                  </w14:solidFill>
                </w14:textFill>
              </w:rPr>
              <w:t>m³/a</w:t>
            </w:r>
            <w:r>
              <w:rPr>
                <w:rFonts w:hint="eastAsia"/>
                <w:color w:val="000000" w:themeColor="text1"/>
                <w14:textFill>
                  <w14:solidFill>
                    <w14:schemeClr w14:val="tx1"/>
                  </w14:solidFill>
                </w14:textFill>
              </w:rPr>
              <w:t>）。</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）绿化用水</w:t>
            </w:r>
          </w:p>
          <w:p>
            <w:p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本项目绿化面积为</w:t>
            </w:r>
            <w:r>
              <w:rPr>
                <w:color w:val="000000" w:themeColor="text1"/>
                <w14:textFill>
                  <w14:solidFill>
                    <w14:schemeClr w14:val="tx1"/>
                  </w14:solidFill>
                </w14:textFill>
              </w:rPr>
              <w:t>1200m</w:t>
            </w:r>
            <w:r>
              <w:rPr>
                <w:rFonts w:hint="eastAsia"/>
                <w:color w:val="000000" w:themeColor="text1"/>
                <w:lang w:val="en-US" w:eastAsia="zh-CN"/>
                <w14:textFill>
                  <w14:solidFill>
                    <w14:schemeClr w14:val="tx1"/>
                  </w14:solidFill>
                </w14:textFill>
              </w:rPr>
              <w:t>²</w:t>
            </w:r>
            <w:r>
              <w:rPr>
                <w:rFonts w:hint="eastAsia"/>
                <w:color w:val="000000" w:themeColor="text1"/>
                <w14:textFill>
                  <w14:solidFill>
                    <w14:schemeClr w14:val="tx1"/>
                  </w14:solidFill>
                </w14:textFill>
              </w:rPr>
              <w:t>，绿化用水量以</w:t>
            </w:r>
            <w:r>
              <w:rPr>
                <w:color w:val="000000" w:themeColor="text1"/>
                <w14:textFill>
                  <w14:solidFill>
                    <w14:schemeClr w14:val="tx1"/>
                  </w14:solidFill>
                </w14:textFill>
              </w:rPr>
              <w:t>0.3m³/m</w:t>
            </w:r>
            <w:r>
              <w:rPr>
                <w:rFonts w:hint="eastAsia"/>
                <w:color w:val="000000" w:themeColor="text1"/>
                <w:lang w:val="en-US" w:eastAsia="zh-CN"/>
                <w14:textFill>
                  <w14:solidFill>
                    <w14:schemeClr w14:val="tx1"/>
                  </w14:solidFill>
                </w14:textFill>
              </w:rPr>
              <w:t>²</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计，则绿化用水为</w:t>
            </w:r>
            <w:r>
              <w:rPr>
                <w:color w:val="000000" w:themeColor="text1"/>
                <w14:textFill>
                  <w14:solidFill>
                    <w14:schemeClr w14:val="tx1"/>
                  </w14:solidFill>
                </w14:textFill>
              </w:rPr>
              <w:t>360m³/a</w:t>
            </w:r>
            <w:r>
              <w:rPr>
                <w:rFonts w:hint="eastAsia"/>
                <w:color w:val="000000" w:themeColor="text1"/>
                <w14:textFill>
                  <w14:solidFill>
                    <w14:schemeClr w14:val="tx1"/>
                  </w14:solidFill>
                </w14:textFill>
              </w:rPr>
              <w:t>。</w:t>
            </w:r>
          </w:p>
          <w:p>
            <w:pPr>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6.2 项目排水</w:t>
            </w:r>
          </w:p>
          <w:p>
            <w:pPr>
              <w:spacing w:line="360" w:lineRule="auto"/>
              <w:ind w:firstLine="480" w:firstLineChars="200"/>
              <w:outlineLvl w:val="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本项目排放的废水主要是职工生活污水。</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职工生活污水产生量为生活用水量的</w:t>
            </w:r>
            <w:r>
              <w:rPr>
                <w:color w:val="000000" w:themeColor="text1"/>
                <w:sz w:val="24"/>
                <w14:textFill>
                  <w14:solidFill>
                    <w14:schemeClr w14:val="tx1"/>
                  </w14:solidFill>
                </w14:textFill>
              </w:rPr>
              <w:t>80%</w:t>
            </w:r>
            <w:r>
              <w:rPr>
                <w:rFonts w:hint="eastAsia"/>
                <w:color w:val="000000" w:themeColor="text1"/>
                <w:sz w:val="24"/>
                <w14:textFill>
                  <w14:solidFill>
                    <w14:schemeClr w14:val="tx1"/>
                  </w14:solidFill>
                </w14:textFill>
              </w:rPr>
              <w:t>，则可知生产期职工生活排水量为</w:t>
            </w:r>
            <w:r>
              <w:rPr>
                <w:rFonts w:hint="eastAsia"/>
                <w:color w:val="000000" w:themeColor="text1"/>
                <w:sz w:val="24"/>
                <w:lang w:val="en-US" w:eastAsia="zh-CN"/>
                <w14:textFill>
                  <w14:solidFill>
                    <w14:schemeClr w14:val="tx1"/>
                  </w14:solidFill>
                </w14:textFill>
              </w:rPr>
              <w:t>72</w:t>
            </w:r>
            <w:r>
              <w:rPr>
                <w:color w:val="000000" w:themeColor="text1"/>
                <w:sz w:val="24"/>
                <w14:textFill>
                  <w14:solidFill>
                    <w14:schemeClr w14:val="tx1"/>
                  </w14:solidFill>
                </w14:textFill>
              </w:rPr>
              <w:t>m³/a</w:t>
            </w:r>
            <w:r>
              <w:rPr>
                <w:rFonts w:hint="eastAsia"/>
                <w:color w:val="000000" w:themeColor="text1"/>
                <w:sz w:val="24"/>
                <w14:textFill>
                  <w14:solidFill>
                    <w14:schemeClr w14:val="tx1"/>
                  </w14:solidFill>
                </w14:textFill>
              </w:rPr>
              <w:t>。职工食堂废水经隔油池隔油混入职工生活污水排入厂区化粪池、化粪池容积为</w:t>
            </w:r>
            <w:r>
              <w:rPr>
                <w:rFonts w:hint="eastAsia"/>
                <w:color w:val="000000" w:themeColor="text1"/>
                <w:sz w:val="24"/>
                <w:lang w:val="en-US" w:eastAsia="zh-CN"/>
                <w14:textFill>
                  <w14:solidFill>
                    <w14:schemeClr w14:val="tx1"/>
                  </w14:solidFill>
                </w14:textFill>
              </w:rPr>
              <w:t>30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定期</w:t>
            </w:r>
            <w:r>
              <w:rPr>
                <w:rFonts w:hint="eastAsia"/>
                <w:color w:val="000000" w:themeColor="text1"/>
                <w:sz w:val="24"/>
                <w14:textFill>
                  <w14:solidFill>
                    <w14:schemeClr w14:val="tx1"/>
                  </w14:solidFill>
                </w14:textFill>
              </w:rPr>
              <w:t>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进行后续处理</w:t>
            </w:r>
            <w:r>
              <w:rPr>
                <w:rFonts w:hint="eastAsia"/>
                <w:color w:val="000000" w:themeColor="text1"/>
                <w:sz w:val="24"/>
                <w14:textFill>
                  <w14:solidFill>
                    <w14:schemeClr w14:val="tx1"/>
                  </w14:solidFill>
                </w14:textFill>
              </w:rPr>
              <w:t>。</w:t>
            </w:r>
          </w:p>
          <w:p>
            <w:pPr>
              <w:spacing w:line="360" w:lineRule="auto"/>
              <w:ind w:firstLine="480" w:firstLineChars="200"/>
              <w:outlineLvl w:val="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本项目脱硫废水经沉淀池沉淀后全部回用，实际生产过程中</w:t>
            </w:r>
            <w:r>
              <w:rPr>
                <w:rFonts w:hint="eastAsia"/>
                <w:color w:val="000000" w:themeColor="text1"/>
                <w:sz w:val="24"/>
                <w:lang w:val="en-US" w:eastAsia="zh-CN"/>
                <w14:textFill>
                  <w14:solidFill>
                    <w14:schemeClr w14:val="tx1"/>
                  </w14:solidFill>
                </w14:textFill>
              </w:rPr>
              <w:t>不排放生产废水</w:t>
            </w:r>
            <w:r>
              <w:rPr>
                <w:rFonts w:hint="eastAsia"/>
                <w:color w:val="000000" w:themeColor="text1"/>
                <w:sz w:val="24"/>
                <w14:textFill>
                  <w14:solidFill>
                    <w14:schemeClr w14:val="tx1"/>
                  </w14:solidFill>
                </w14:textFill>
              </w:rPr>
              <w:t>。</w:t>
            </w:r>
          </w:p>
          <w:p>
            <w:pPr>
              <w:spacing w:line="360" w:lineRule="auto"/>
              <w:ind w:firstLine="480" w:firstLineChars="200"/>
              <w:outlineLvl w:val="1"/>
              <w:rPr>
                <w:rFonts w:hint="eastAsia"/>
                <w:color w:val="000000" w:themeColor="text1"/>
                <w:lang w:val="en-US" w:eastAsia="zh-CN"/>
                <w14:textFill>
                  <w14:solidFill>
                    <w14:schemeClr w14:val="tx1"/>
                  </w14:solidFill>
                </w14:textFill>
              </w:rPr>
            </w:pPr>
            <w:r>
              <w:rPr>
                <w:rFonts w:hint="eastAsia"/>
                <w:color w:val="000000" w:themeColor="text1"/>
                <w:sz w:val="24"/>
                <w14:textFill>
                  <w14:solidFill>
                    <w14:schemeClr w14:val="tx1"/>
                  </w14:solidFill>
                </w14:textFill>
              </w:rPr>
              <w:t>项目水平衡如下图。</w:t>
            </w:r>
          </w:p>
          <w:p>
            <w:pPr>
              <w:bidi w:val="0"/>
              <w:ind w:left="0" w:leftChars="0" w:firstLine="0" w:firstLineChars="0"/>
              <w:jc w:val="cente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52720" cy="1554480"/>
                  <wp:effectExtent l="9525" t="9525" r="14605" b="1714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0"/>
                          <a:stretch>
                            <a:fillRect/>
                          </a:stretch>
                        </pic:blipFill>
                        <pic:spPr>
                          <a:xfrm>
                            <a:off x="0" y="0"/>
                            <a:ext cx="5252720" cy="1554480"/>
                          </a:xfrm>
                          <a:prstGeom prst="rect">
                            <a:avLst/>
                          </a:prstGeom>
                          <a:noFill/>
                          <a:ln>
                            <a:solidFill>
                              <a:schemeClr val="tx1"/>
                            </a:solidFill>
                          </a:ln>
                        </pic:spPr>
                      </pic:pic>
                    </a:graphicData>
                  </a:graphic>
                </wp:inline>
              </w:drawing>
            </w:r>
          </w:p>
          <w:p>
            <w:pPr>
              <w:pStyle w:val="14"/>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图2-2   水平衡图   单位：m³/a</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6.3 供暖</w:t>
            </w:r>
          </w:p>
          <w:p>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根据建设单位提供资料，项目区采用电采暖临时供暖。</w:t>
            </w:r>
          </w:p>
          <w:p>
            <w:pPr>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6.4 供电</w:t>
            </w:r>
          </w:p>
          <w:p>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项目用电接入国家电网。</w:t>
            </w:r>
          </w:p>
          <w:p>
            <w:pPr>
              <w:bidi w:val="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7、项目施工期施工布置</w:t>
            </w:r>
          </w:p>
          <w:p>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项目施工期间</w:t>
            </w:r>
            <w:r>
              <w:rPr>
                <w:rFonts w:hint="eastAsia" w:cs="Times New Roman"/>
                <w:color w:val="000000" w:themeColor="text1"/>
                <w:sz w:val="24"/>
                <w:szCs w:val="24"/>
                <w:lang w:val="en-US" w:eastAsia="zh-CN"/>
                <w14:textFill>
                  <w14:solidFill>
                    <w14:schemeClr w14:val="tx1"/>
                  </w14:solidFill>
                </w14:textFill>
              </w:rPr>
              <w:t>仅在项目区内进行施工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。项目临时堆土场设置</w:t>
            </w:r>
            <w:r>
              <w:rPr>
                <w:rFonts w:hint="eastAsia" w:ascii="Times New Roman" w:hAnsi="Times New Roman" w:cs="Times New Roman"/>
                <w:color w:val="000000" w:themeColor="text1"/>
                <w:sz w:val="24"/>
                <w:szCs w:val="24"/>
                <w:lang w:val="en-US" w:eastAsia="zh-CN"/>
                <w14:textFill>
                  <w14:solidFill>
                    <w14:schemeClr w14:val="tx1"/>
                  </w14:solidFill>
                </w14:textFill>
              </w:rPr>
              <w:t>本项目场地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范围内，临时建筑材料堆存场亦设置在</w:t>
            </w:r>
            <w:r>
              <w:rPr>
                <w:rFonts w:hint="eastAsia" w:ascii="Times New Roman" w:hAnsi="Times New Roman" w:cs="Times New Roman"/>
                <w:color w:val="000000" w:themeColor="text1"/>
                <w:sz w:val="24"/>
                <w:szCs w:val="24"/>
                <w:lang w:val="en-US" w:eastAsia="zh-CN"/>
                <w14:textFill>
                  <w14:solidFill>
                    <w14:schemeClr w14:val="tx1"/>
                  </w14:solidFill>
                </w14:textFill>
              </w:rPr>
              <w:t>本项目场地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范围内，项目区有现有的道路可以直接到达施工场地，故本项目施工过程，不需额外申请临时施工用地。施工场地内部布置过程中，需要充分考虑施工安全，建筑材料临时堆存处需要按施工要求设置消防措施，施工布置应同时满足施工安全和环境保护的要求。</w:t>
            </w:r>
          </w:p>
          <w:p>
            <w:pPr>
              <w:bidi w:val="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8、项目建设进度</w:t>
            </w:r>
          </w:p>
          <w:p>
            <w:pPr>
              <w:bidi w:val="0"/>
              <w:rPr>
                <w:rFonts w:hint="eastAsia"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项目拟于202</w:t>
            </w:r>
            <w:r>
              <w:rPr>
                <w:rFonts w:hint="eastAsia" w:cs="Times New Roman"/>
                <w:b w:val="0"/>
                <w:bCs w:val="0"/>
                <w:color w:val="000000" w:themeColor="text1"/>
                <w:lang w:val="en-US" w:eastAsia="zh-CN"/>
                <w14:textFill>
                  <w14:solidFill>
                    <w14:schemeClr w14:val="tx1"/>
                  </w14:solidFill>
                </w14:textFill>
              </w:rPr>
              <w:t>3</w:t>
            </w:r>
            <w:r>
              <w:rPr>
                <w:rFonts w:hint="eastAsia" w:ascii="Times New Roman" w:hAnsi="Times New Roman" w:cs="Times New Roman"/>
                <w:b w:val="0"/>
                <w:bCs w:val="0"/>
                <w:color w:val="000000" w:themeColor="text1"/>
                <w:lang w:val="en-US" w:eastAsia="zh-CN"/>
                <w14:textFill>
                  <w14:solidFill>
                    <w14:schemeClr w14:val="tx1"/>
                  </w14:solidFill>
                </w14:textFill>
              </w:rPr>
              <w:t>年</w:t>
            </w:r>
            <w:r>
              <w:rPr>
                <w:rFonts w:hint="eastAsia" w:cs="Times New Roman"/>
                <w:b w:val="0"/>
                <w:bCs w:val="0"/>
                <w:color w:val="000000" w:themeColor="text1"/>
                <w:lang w:val="en-US" w:eastAsia="zh-CN"/>
                <w14:textFill>
                  <w14:solidFill>
                    <w14:schemeClr w14:val="tx1"/>
                  </w14:solidFill>
                </w14:textFill>
              </w:rPr>
              <w:t>9</w:t>
            </w:r>
            <w:r>
              <w:rPr>
                <w:rFonts w:hint="eastAsia" w:ascii="Times New Roman" w:hAnsi="Times New Roman" w:cs="Times New Roman"/>
                <w:b w:val="0"/>
                <w:bCs w:val="0"/>
                <w:color w:val="000000" w:themeColor="text1"/>
                <w:lang w:val="en-US" w:eastAsia="zh-CN"/>
                <w14:textFill>
                  <w14:solidFill>
                    <w14:schemeClr w14:val="tx1"/>
                  </w14:solidFill>
                </w14:textFill>
              </w:rPr>
              <w:t>月开始施工，202</w:t>
            </w:r>
            <w:r>
              <w:rPr>
                <w:rFonts w:hint="eastAsia" w:cs="Times New Roman"/>
                <w:b w:val="0"/>
                <w:bCs w:val="0"/>
                <w:color w:val="000000" w:themeColor="text1"/>
                <w:lang w:val="en-US" w:eastAsia="zh-CN"/>
                <w14:textFill>
                  <w14:solidFill>
                    <w14:schemeClr w14:val="tx1"/>
                  </w14:solidFill>
                </w14:textFill>
              </w:rPr>
              <w:t>3</w:t>
            </w:r>
            <w:r>
              <w:rPr>
                <w:rFonts w:hint="eastAsia" w:ascii="Times New Roman" w:hAnsi="Times New Roman" w:cs="Times New Roman"/>
                <w:b w:val="0"/>
                <w:bCs w:val="0"/>
                <w:color w:val="000000" w:themeColor="text1"/>
                <w:lang w:val="en-US" w:eastAsia="zh-CN"/>
                <w14:textFill>
                  <w14:solidFill>
                    <w14:schemeClr w14:val="tx1"/>
                  </w14:solidFill>
                </w14:textFill>
              </w:rPr>
              <w:t>年</w:t>
            </w:r>
            <w:r>
              <w:rPr>
                <w:rFonts w:hint="eastAsia" w:cs="Times New Roman"/>
                <w:b w:val="0"/>
                <w:bCs w:val="0"/>
                <w:color w:val="000000" w:themeColor="text1"/>
                <w:lang w:val="en-US" w:eastAsia="zh-CN"/>
                <w14:textFill>
                  <w14:solidFill>
                    <w14:schemeClr w14:val="tx1"/>
                  </w14:solidFill>
                </w14:textFill>
              </w:rPr>
              <w:t>10</w:t>
            </w:r>
            <w:r>
              <w:rPr>
                <w:rFonts w:hint="eastAsia" w:ascii="Times New Roman" w:hAnsi="Times New Roman" w:cs="Times New Roman"/>
                <w:b w:val="0"/>
                <w:bCs w:val="0"/>
                <w:color w:val="000000" w:themeColor="text1"/>
                <w:lang w:val="en-US" w:eastAsia="zh-CN"/>
                <w14:textFill>
                  <w14:solidFill>
                    <w14:schemeClr w14:val="tx1"/>
                  </w14:solidFill>
                </w14:textFill>
              </w:rPr>
              <w:t>月完成全部施工作业并投入试运营，实际建设期为</w:t>
            </w:r>
            <w:r>
              <w:rPr>
                <w:rFonts w:hint="eastAsia" w:cs="Times New Roman"/>
                <w:b w:val="0"/>
                <w:bCs w:val="0"/>
                <w:color w:val="000000" w:themeColor="text1"/>
                <w:lang w:val="en-US" w:eastAsia="zh-CN"/>
                <w14:textFill>
                  <w14:solidFill>
                    <w14:schemeClr w14:val="tx1"/>
                  </w14:solidFill>
                </w14:textFill>
              </w:rPr>
              <w:t>2</w:t>
            </w:r>
            <w:r>
              <w:rPr>
                <w:rFonts w:hint="eastAsia" w:ascii="Times New Roman" w:hAnsi="Times New Roman" w:cs="Times New Roman"/>
                <w:b w:val="0"/>
                <w:bCs w:val="0"/>
                <w:color w:val="000000" w:themeColor="text1"/>
                <w:lang w:val="en-US" w:eastAsia="zh-CN"/>
                <w14:textFill>
                  <w14:solidFill>
                    <w14:schemeClr w14:val="tx1"/>
                  </w14:solidFill>
                </w14:textFill>
              </w:rPr>
              <w:t>个月。</w:t>
            </w:r>
          </w:p>
          <w:p>
            <w:pPr>
              <w:bidi w:val="0"/>
              <w:rPr>
                <w:rFonts w:hint="eastAsia"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9、供热锅炉规模合理性分析</w:t>
            </w:r>
          </w:p>
          <w:p>
            <w:pPr>
              <w:bidi w:val="0"/>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根据建设单位提供资料，项目年生产60t。需烘干玉米1.3万t，采用生物质锅炉为烘干塔提供热空气进行烘干，考虑项目热损失、烘干量、含水率等设置锅炉规模为21t/h。</w:t>
            </w:r>
          </w:p>
          <w:p>
            <w:pPr>
              <w:ind w:firstLine="600"/>
              <w:rPr>
                <w:rFonts w:hint="default"/>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26" w:hRule="atLeast"/>
          <w:jc w:val="center"/>
        </w:trPr>
        <w:tc>
          <w:tcPr>
            <w:tcW w:w="857"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工艺流程和产排污环节</w:t>
            </w:r>
          </w:p>
        </w:tc>
        <w:tc>
          <w:tcPr>
            <w:tcW w:w="8497" w:type="dxa"/>
            <w:tcBorders>
              <w:tl2br w:val="nil"/>
              <w:tr2bl w:val="nil"/>
            </w:tcBorders>
            <w:noWrap w:val="0"/>
            <w:vAlign w:val="top"/>
          </w:tcPr>
          <w:p>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一</w:t>
            </w:r>
            <w:r>
              <w:rPr>
                <w:rFonts w:hint="eastAsia"/>
                <w:b/>
                <w:bCs/>
                <w:color w:val="000000" w:themeColor="text1"/>
                <w14:textFill>
                  <w14:solidFill>
                    <w14:schemeClr w14:val="tx1"/>
                  </w14:solidFill>
                </w14:textFill>
              </w:rPr>
              <w:t>、施工期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pacing w:val="8"/>
                <w:kern w:val="24"/>
                <w:sz w:val="24"/>
                <w:szCs w:val="20"/>
                <w:lang w:val="en-US" w:eastAsia="zh-CN"/>
                <w14:textFill>
                  <w14:solidFill>
                    <w14:schemeClr w14:val="tx1"/>
                  </w14:solidFill>
                </w14:textFill>
              </w:rPr>
            </w:pPr>
            <w:r>
              <w:rPr>
                <w:rFonts w:hint="eastAsia"/>
                <w:color w:val="000000" w:themeColor="text1"/>
                <w14:textFill>
                  <w14:solidFill>
                    <w14:schemeClr w14:val="tx1"/>
                  </w14:solidFill>
                </w14:textFill>
              </w:rPr>
              <w:t>项目施工期建设主要包括</w:t>
            </w:r>
            <w:r>
              <w:rPr>
                <w:rFonts w:hint="eastAsia"/>
                <w:color w:val="000000" w:themeColor="text1"/>
                <w:lang w:val="en-US" w:eastAsia="zh-CN"/>
                <w14:textFill>
                  <w14:solidFill>
                    <w14:schemeClr w14:val="tx1"/>
                  </w14:solidFill>
                </w14:textFill>
              </w:rPr>
              <w:t>主体工程的建设</w:t>
            </w:r>
            <w:r>
              <w:rPr>
                <w:rFonts w:hint="eastAsia"/>
                <w:color w:val="000000" w:themeColor="text1"/>
                <w14:textFill>
                  <w14:solidFill>
                    <w14:schemeClr w14:val="tx1"/>
                  </w14:solidFill>
                </w14:textFill>
              </w:rPr>
              <w:t>及相关配套设备</w:t>
            </w:r>
            <w:r>
              <w:rPr>
                <w:rFonts w:hint="eastAsia"/>
                <w:color w:val="000000" w:themeColor="text1"/>
                <w:lang w:val="en-US" w:eastAsia="zh-CN"/>
                <w14:textFill>
                  <w14:solidFill>
                    <w14:schemeClr w14:val="tx1"/>
                  </w14:solidFill>
                </w14:textFill>
              </w:rPr>
              <w:t>安装</w:t>
            </w:r>
            <w:r>
              <w:rPr>
                <w:rFonts w:hint="eastAsia"/>
                <w:color w:val="000000" w:themeColor="text1"/>
                <w14:textFill>
                  <w14:solidFill>
                    <w14:schemeClr w14:val="tx1"/>
                  </w14:solidFill>
                </w14:textFill>
              </w:rPr>
              <w:t>等。施工过程分为土方阶段（包括场地平整、开挖土石方）、基础施工阶段（包括打桩，构筑基础等）、主体工程阶段（包括钢筋、砖混结构施工、管线施工等）及装修阶段、场地清理（包括回填土石方、修路、清理场地等）。</w:t>
            </w:r>
            <w:r>
              <w:rPr>
                <w:rFonts w:hint="eastAsia" w:cs="Times New Roman"/>
                <w:bCs/>
                <w:color w:val="000000" w:themeColor="text1"/>
                <w:spacing w:val="8"/>
                <w:kern w:val="24"/>
                <w:sz w:val="24"/>
                <w:szCs w:val="20"/>
                <w:lang w:val="en-US" w:eastAsia="zh-CN"/>
                <w14:textFill>
                  <w14:solidFill>
                    <w14:schemeClr w14:val="tx1"/>
                  </w14:solidFill>
                </w14:textFill>
              </w:rPr>
              <w:t>下图2-3。</w:t>
            </w:r>
          </w:p>
          <w:p>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256530" cy="1975485"/>
                  <wp:effectExtent l="9525" t="9525" r="10795" b="1524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1"/>
                          <a:stretch>
                            <a:fillRect/>
                          </a:stretch>
                        </pic:blipFill>
                        <pic:spPr>
                          <a:xfrm>
                            <a:off x="0" y="0"/>
                            <a:ext cx="5256530" cy="1975485"/>
                          </a:xfrm>
                          <a:prstGeom prst="rect">
                            <a:avLst/>
                          </a:prstGeom>
                          <a:noFill/>
                          <a:ln>
                            <a:solidFill>
                              <a:schemeClr val="tx1"/>
                            </a:solidFill>
                          </a:ln>
                        </pic:spPr>
                      </pic:pic>
                    </a:graphicData>
                  </a:graphic>
                </wp:inline>
              </w:drawing>
            </w:r>
          </w:p>
          <w:p>
            <w:pPr>
              <w:pStyle w:val="14"/>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 xml:space="preserve">2-3 </w:t>
            </w:r>
            <w:r>
              <w:rPr>
                <w:rFonts w:hint="default"/>
                <w:b/>
                <w:bCs/>
                <w:color w:val="000000" w:themeColor="text1"/>
                <w14:textFill>
                  <w14:solidFill>
                    <w14:schemeClr w14:val="tx1"/>
                  </w14:solidFill>
                </w14:textFill>
              </w:rPr>
              <w:t xml:space="preserve">  施工期工艺流程及产污节点示意图</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1、场地平整</w:t>
            </w:r>
          </w:p>
          <w:p>
            <w:pPr>
              <w:keepNext w:val="0"/>
              <w:keepLines w:val="0"/>
              <w:suppressLineNumbers w:val="0"/>
              <w:spacing w:before="0" w:beforeAutospacing="0" w:after="0" w:afterAutospacing="0"/>
              <w:ind w:left="0" w:right="0" w:firstLine="48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项目区内现状为空地，项目的新建需要对场地进行平整，施工过程中使用推土机、卡车等机械设备，施工阶段会产生扬尘、噪声。</w:t>
            </w:r>
          </w:p>
          <w:p>
            <w:pPr>
              <w:keepNext w:val="0"/>
              <w:keepLines w:val="0"/>
              <w:suppressLineNumbers w:val="0"/>
              <w:tabs>
                <w:tab w:val="left" w:pos="3265"/>
              </w:tabs>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2、基础工程施工</w:t>
            </w:r>
          </w:p>
          <w:p>
            <w:pPr>
              <w:keepNext w:val="0"/>
              <w:keepLines w:val="0"/>
              <w:suppressLineNumbers w:val="0"/>
              <w:spacing w:before="0" w:beforeAutospacing="0" w:after="0" w:afterAutospacing="0"/>
              <w:ind w:left="0" w:right="0" w:firstLine="48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包括土方（挖方、填方）、地基处理与基础施工。基础工程挖土方量会大于回填方量，在施工阶段会有弃土产生；推土机、挖掘机、装载机等运行时将产生噪声，同时产生扬尘。</w:t>
            </w:r>
          </w:p>
          <w:p>
            <w:pPr>
              <w:keepNext w:val="0"/>
              <w:keepLines w:val="0"/>
              <w:suppressLineNumbers w:val="0"/>
              <w:tabs>
                <w:tab w:val="left" w:pos="3265"/>
              </w:tabs>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3、主体工程及附属工程施工</w:t>
            </w:r>
          </w:p>
          <w:p>
            <w:pPr>
              <w:keepNext w:val="0"/>
              <w:keepLines w:val="0"/>
              <w:suppressLineNumbers w:val="0"/>
              <w:spacing w:before="0" w:beforeAutospacing="0" w:after="0" w:afterAutospacing="0"/>
              <w:ind w:left="0" w:right="0" w:firstLine="48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将产生混凝土振捣棒、卷扬机等施工机械的运行噪声，在挖土、堆场和运输过程中的扬尘等环境问题。</w:t>
            </w:r>
          </w:p>
          <w:p>
            <w:pPr>
              <w:keepNext w:val="0"/>
              <w:keepLines w:val="0"/>
              <w:suppressLineNumbers w:val="0"/>
              <w:spacing w:before="0" w:beforeAutospacing="0" w:after="0" w:afterAutospacing="0"/>
              <w:ind w:left="0" w:right="0" w:firstLine="482"/>
              <w:rPr>
                <w:rFonts w:hint="eastAsia"/>
                <w:b/>
                <w:bCs/>
                <w:snapToGrid w:val="0"/>
                <w:color w:val="000000" w:themeColor="text1"/>
                <w:szCs w:val="20"/>
                <w14:textFill>
                  <w14:solidFill>
                    <w14:schemeClr w14:val="tx1"/>
                  </w14:solidFill>
                </w14:textFill>
              </w:rPr>
            </w:pPr>
            <w:r>
              <w:rPr>
                <w:rFonts w:hint="eastAsia"/>
                <w:b/>
                <w:bCs/>
                <w:snapToGrid w:val="0"/>
                <w:color w:val="000000" w:themeColor="text1"/>
                <w:szCs w:val="20"/>
                <w14:textFill>
                  <w14:solidFill>
                    <w14:schemeClr w14:val="tx1"/>
                  </w14:solidFill>
                </w14:textFill>
              </w:rPr>
              <w:t>4、装饰工程施工</w:t>
            </w:r>
          </w:p>
          <w:p>
            <w:pPr>
              <w:keepNext w:val="0"/>
              <w:keepLines w:val="0"/>
              <w:suppressLineNumbers w:val="0"/>
              <w:spacing w:before="0" w:beforeAutospacing="0" w:after="0" w:afterAutospacing="0"/>
              <w:ind w:left="0" w:right="0" w:firstLine="480"/>
              <w:rPr>
                <w:rFonts w:hint="eastAsia"/>
                <w:snapToGrid w:val="0"/>
                <w:color w:val="000000" w:themeColor="text1"/>
                <w:szCs w:val="20"/>
                <w14:textFill>
                  <w14:solidFill>
                    <w14:schemeClr w14:val="tx1"/>
                  </w14:solidFill>
                </w14:textFill>
              </w:rPr>
            </w:pPr>
            <w:r>
              <w:rPr>
                <w:rFonts w:hint="eastAsia"/>
                <w:snapToGrid w:val="0"/>
                <w:color w:val="000000" w:themeColor="text1"/>
                <w:szCs w:val="20"/>
                <w14:textFill>
                  <w14:solidFill>
                    <w14:schemeClr w14:val="tx1"/>
                  </w14:solidFill>
                </w14:textFill>
              </w:rPr>
              <w:t>对构筑物的室内外进行装修时（如表面粉刷、油漆、喷涂、裱糊、镶贴装饰等），钻机、电锤、切割机等产生噪声，油漆和喷涂产生废气，废弃物料及污水。</w:t>
            </w:r>
          </w:p>
          <w:p>
            <w:pPr>
              <w:keepNext w:val="0"/>
              <w:keepLines w:val="0"/>
              <w:suppressLineNumbers w:val="0"/>
              <w:spacing w:before="0" w:beforeAutospacing="0" w:after="0" w:afterAutospacing="0"/>
              <w:ind w:left="0" w:right="0" w:firstLine="480"/>
              <w:rPr>
                <w:rFonts w:hint="default" w:ascii="Times New Roman" w:hAnsi="Times New Roman" w:eastAsia="宋体" w:cs="Times New Roman"/>
                <w:snapToGrid w:val="0"/>
                <w:color w:val="000000" w:themeColor="text1"/>
                <w:sz w:val="24"/>
                <w:szCs w:val="20"/>
                <w14:textFill>
                  <w14:solidFill>
                    <w14:schemeClr w14:val="tx1"/>
                  </w14:solidFill>
                </w14:textFill>
              </w:rPr>
            </w:pPr>
            <w:r>
              <w:rPr>
                <w:rFonts w:hint="eastAsia"/>
                <w:snapToGrid w:val="0"/>
                <w:color w:val="000000" w:themeColor="text1"/>
                <w:szCs w:val="20"/>
                <w14:textFill>
                  <w14:solidFill>
                    <w14:schemeClr w14:val="tx1"/>
                  </w14:solidFill>
                </w14:textFill>
              </w:rPr>
              <w:t>从上述污染工序说明可知，施工期环境污染问题主要是：建筑扬尘、施工弃土、施工噪声、施工人员生活污水和混凝土搅拌废水、施工生活垃圾。这些污染几乎发生于整个施工过程，但不同污染因子在不同施工阶段污染强度不同</w:t>
            </w:r>
            <w:r>
              <w:rPr>
                <w:rFonts w:hint="default" w:ascii="Times New Roman" w:hAnsi="Times New Roman" w:eastAsia="宋体" w:cs="Times New Roman"/>
                <w:snapToGrid w:val="0"/>
                <w:color w:val="000000" w:themeColor="text1"/>
                <w:sz w:val="24"/>
                <w:szCs w:val="20"/>
                <w14:textFill>
                  <w14:solidFill>
                    <w14:schemeClr w14:val="tx1"/>
                  </w14:solidFill>
                </w14:textFill>
              </w:rPr>
              <w:t>。</w:t>
            </w:r>
          </w:p>
          <w:p>
            <w:pPr>
              <w:spacing w:line="360" w:lineRule="auto"/>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二、运营期</w:t>
            </w:r>
          </w:p>
          <w:p>
            <w:pPr>
              <w:spacing w:line="360" w:lineRule="auto"/>
              <w:ind w:firstLine="482" w:firstLineChars="200"/>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1、玉米烘干</w:t>
            </w:r>
          </w:p>
          <w:p>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为玉米烘干项目</w:t>
            </w:r>
            <w:r>
              <w:rPr>
                <w:rFonts w:ascii="Times New Roman" w:hAnsi="Times New Roman"/>
                <w:color w:val="000000" w:themeColor="text1"/>
                <w:sz w:val="24"/>
                <w:szCs w:val="24"/>
                <w14:textFill>
                  <w14:solidFill>
                    <w14:schemeClr w14:val="tx1"/>
                  </w14:solidFill>
                </w14:textFill>
              </w:rPr>
              <w:t>。工艺流程及产污节点图见图</w:t>
            </w:r>
            <w:r>
              <w:rPr>
                <w:rFonts w:hint="eastAsia" w:ascii="Times New Roman" w:hAnsi="Times New Roman"/>
                <w:color w:val="000000" w:themeColor="text1"/>
                <w:sz w:val="24"/>
                <w:szCs w:val="24"/>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w:t>
            </w:r>
          </w:p>
          <w:p>
            <w:pPr>
              <w:widowControl/>
              <w:spacing w:line="360" w:lineRule="auto"/>
              <w:ind w:left="0" w:leftChars="0" w:firstLine="0" w:firstLineChars="0"/>
              <w:jc w:val="both"/>
              <w:rPr>
                <w:rFonts w:ascii="Times New Roman" w:hAnsi="Times New Roman"/>
                <w:b/>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219700" cy="2000885"/>
                  <wp:effectExtent l="9525" t="9525" r="9525" b="27940"/>
                  <wp:docPr id="11" name="图片 13"/>
                  <wp:cNvGraphicFramePr/>
                  <a:graphic xmlns:a="http://schemas.openxmlformats.org/drawingml/2006/main">
                    <a:graphicData uri="http://schemas.openxmlformats.org/drawingml/2006/picture">
                      <pic:pic xmlns:pic="http://schemas.openxmlformats.org/drawingml/2006/picture">
                        <pic:nvPicPr>
                          <pic:cNvPr id="11" name="图片 13"/>
                          <pic:cNvPicPr/>
                        </pic:nvPicPr>
                        <pic:blipFill>
                          <a:blip r:embed="rId12"/>
                          <a:stretch>
                            <a:fillRect/>
                          </a:stretch>
                        </pic:blipFill>
                        <pic:spPr>
                          <a:xfrm>
                            <a:off x="0" y="0"/>
                            <a:ext cx="5219700" cy="2000885"/>
                          </a:xfrm>
                          <a:prstGeom prst="rect">
                            <a:avLst/>
                          </a:prstGeom>
                          <a:noFill/>
                          <a:ln>
                            <a:solidFill>
                              <a:schemeClr val="tx1"/>
                            </a:solidFill>
                          </a:ln>
                        </pic:spPr>
                      </pic:pic>
                    </a:graphicData>
                  </a:graphic>
                </wp:inline>
              </w:drawing>
            </w:r>
          </w:p>
          <w:p>
            <w:pPr>
              <w:pStyle w:val="14"/>
              <w:bidi w:val="0"/>
              <w:rPr>
                <w:b/>
                <w:bCs/>
                <w:color w:val="000000" w:themeColor="text1"/>
                <w14:textFill>
                  <w14:solidFill>
                    <w14:schemeClr w14:val="tx1"/>
                  </w14:solidFill>
                </w14:textFill>
              </w:rPr>
            </w:pPr>
            <w:r>
              <w:rPr>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2-4</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玉米烘干</w:t>
            </w:r>
            <w:r>
              <w:rPr>
                <w:b/>
                <w:bCs/>
                <w:color w:val="000000" w:themeColor="text1"/>
                <w14:textFill>
                  <w14:solidFill>
                    <w14:schemeClr w14:val="tx1"/>
                  </w14:solidFill>
                </w14:textFill>
              </w:rPr>
              <w:t>工艺流程及产污节点图</w:t>
            </w:r>
          </w:p>
          <w:p>
            <w:pPr>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工艺流程简述：</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集运</w:t>
            </w:r>
            <w:r>
              <w:rPr>
                <w:rFonts w:hint="eastAsia"/>
                <w:color w:val="000000" w:themeColor="text1"/>
                <w:lang w:val="en-US" w:eastAsia="zh-CN"/>
                <w14:textFill>
                  <w14:solidFill>
                    <w14:schemeClr w14:val="tx1"/>
                  </w14:solidFill>
                </w14:textFill>
              </w:rPr>
              <w:t>送来的</w:t>
            </w:r>
            <w:r>
              <w:rPr>
                <w:rFonts w:hint="eastAsia"/>
                <w:color w:val="000000" w:themeColor="text1"/>
                <w14:textFill>
                  <w14:solidFill>
                    <w14:schemeClr w14:val="tx1"/>
                  </w14:solidFill>
                </w14:textFill>
              </w:rPr>
              <w:t>或农户拉运的玉米粒经计量直接进入场区卸粮口，湿玉米经过提升机送到滚筒筛（湿式），经筛选后合格原料由提升机送至烘前仓，玉米再经烘前仓由提升机进入烘干塔烘干；热风炉炉内温度上升至</w:t>
            </w:r>
            <w:r>
              <w:rPr>
                <w:color w:val="000000" w:themeColor="text1"/>
                <w14:textFill>
                  <w14:solidFill>
                    <w14:schemeClr w14:val="tx1"/>
                  </w14:solidFill>
                </w14:textFill>
              </w:rPr>
              <w:t>500</w:t>
            </w:r>
            <w:r>
              <w:rPr>
                <w:rFonts w:hint="eastAsia"/>
                <w:color w:val="000000" w:themeColor="text1"/>
                <w14:textFill>
                  <w14:solidFill>
                    <w14:schemeClr w14:val="tx1"/>
                  </w14:solidFill>
                </w14:textFill>
              </w:rPr>
              <w:t>℃左右时，炉中热风管中空气被加热出口温度将达到</w:t>
            </w:r>
            <w:r>
              <w:rPr>
                <w:color w:val="000000" w:themeColor="text1"/>
                <w14:textFill>
                  <w14:solidFill>
                    <w14:schemeClr w14:val="tx1"/>
                  </w14:solidFill>
                </w14:textFill>
              </w:rPr>
              <w:t>120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-130</w:t>
            </w:r>
            <w:r>
              <w:rPr>
                <w:rFonts w:hint="eastAsia"/>
                <w:color w:val="000000" w:themeColor="text1"/>
                <w14:textFill>
                  <w14:solidFill>
                    <w14:schemeClr w14:val="tx1"/>
                  </w14:solidFill>
                </w14:textFill>
              </w:rPr>
              <w:t>℃形成高温热风，高温热风在电动机的作用下被吸入热风机，将热风提供给烘干塔内的烘前仓进行一次烘干，在顺、逆流烘干段中，高温热风与高水分、低温的玉米进行热交换，使玉米籽粒快速升温继而水分蒸发，烘干后的粮食经过一段时间的缓苏，使其内部的水分向外部转移，再进行二次烘干，去除剩余水分，当玉米经过多次干燥、缓苏达到安全储藏水分后，进入顺逆流冷却段冷却，经冷却后，由排粮段排出机外，由提升机送入滚筒筛（干式），玉米经滚筒筛清选后将合格产品由提升机送至成品库。</w:t>
            </w:r>
          </w:p>
          <w:p>
            <w:pPr>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产污环节汇总：</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）废气：废气主要环节为筛选过程产生的颗粒物废气，烘干塔烘干过程产生的颗粒物废气，热风炉燃烧过程产生的</w:t>
            </w:r>
            <w:r>
              <w:rPr>
                <w:rFonts w:hint="eastAsia"/>
                <w:color w:val="000000" w:themeColor="text1"/>
                <w:lang w:val="en-US" w:eastAsia="zh-CN"/>
                <w14:textFill>
                  <w14:solidFill>
                    <w14:schemeClr w14:val="tx1"/>
                  </w14:solidFill>
                </w14:textFill>
              </w:rPr>
              <w:t>燃烧</w:t>
            </w:r>
            <w:r>
              <w:rPr>
                <w:rFonts w:hint="eastAsia"/>
                <w:color w:val="000000" w:themeColor="text1"/>
                <w14:textFill>
                  <w14:solidFill>
                    <w14:schemeClr w14:val="tx1"/>
                  </w14:solidFill>
                </w14:textFill>
              </w:rPr>
              <w:t>废气。</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）废水：本项目生产过程不产生外排废水，</w:t>
            </w:r>
            <w:r>
              <w:rPr>
                <w:rFonts w:hint="eastAsia"/>
                <w:color w:val="000000" w:themeColor="text1"/>
                <w:lang w:eastAsia="zh-CN"/>
                <w14:textFill>
                  <w14:solidFill>
                    <w14:schemeClr w14:val="tx1"/>
                  </w14:solidFill>
                </w14:textFill>
              </w:rPr>
              <w:t>生物质热风炉</w:t>
            </w:r>
            <w:r>
              <w:rPr>
                <w:rFonts w:hint="eastAsia"/>
                <w:color w:val="000000" w:themeColor="text1"/>
                <w14:textFill>
                  <w14:solidFill>
                    <w14:schemeClr w14:val="tx1"/>
                  </w14:solidFill>
                </w14:textFill>
              </w:rPr>
              <w:t>脱硫、降温废水经沉淀池沉淀后全部回用不外排。</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）噪声：主要是筛选过程、烘干塔、提升机、热风炉风机产生的机械噪声。</w:t>
            </w:r>
          </w:p>
          <w:p>
            <w:pPr>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）固体废物：主要是筛选产生的固体废物，炉渣，布袋除尘器收集的炉灰。</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、热风炉</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本项目采用的是</w:t>
            </w:r>
            <w:r>
              <w:rPr>
                <w:rFonts w:hint="eastAsia" w:cs="Times New Roman"/>
                <w:color w:val="000000" w:themeColor="text1"/>
                <w:lang w:val="en-US" w:eastAsia="zh-CN"/>
                <w14:textFill>
                  <w14:solidFill>
                    <w14:schemeClr w14:val="tx1"/>
                  </w14:solidFill>
                </w14:textFill>
              </w:rPr>
              <w:t>14.7MW（21t/h）</w:t>
            </w:r>
            <w:r>
              <w:rPr>
                <w:rFonts w:hint="eastAsia"/>
                <w:bCs/>
                <w:color w:val="000000" w:themeColor="text1"/>
                <w:sz w:val="24"/>
                <w14:textFill>
                  <w14:solidFill>
                    <w14:schemeClr w14:val="tx1"/>
                  </w14:solidFill>
                </w14:textFill>
              </w:rPr>
              <w:t>的</w:t>
            </w:r>
            <w:r>
              <w:rPr>
                <w:rFonts w:hint="eastAsia"/>
                <w:bCs/>
                <w:color w:val="000000" w:themeColor="text1"/>
                <w:sz w:val="24"/>
                <w:lang w:val="en-US" w:eastAsia="zh-CN"/>
                <w14:textFill>
                  <w14:solidFill>
                    <w14:schemeClr w14:val="tx1"/>
                  </w14:solidFill>
                </w14:textFill>
              </w:rPr>
              <w:t>生物质</w:t>
            </w:r>
            <w:r>
              <w:rPr>
                <w:rFonts w:hint="eastAsia"/>
                <w:bCs/>
                <w:color w:val="000000" w:themeColor="text1"/>
                <w:sz w:val="24"/>
                <w14:textFill>
                  <w14:solidFill>
                    <w14:schemeClr w14:val="tx1"/>
                  </w14:solidFill>
                </w14:textFill>
              </w:rPr>
              <w:t>热风炉，热风炉工艺流程如下图。</w:t>
            </w:r>
          </w:p>
          <w:p>
            <w:pPr>
              <w:spacing w:line="360" w:lineRule="auto"/>
              <w:ind w:left="0" w:leftChars="0" w:firstLine="0" w:firstLineChars="0"/>
              <w:rPr>
                <w:bCs/>
                <w:color w:val="000000" w:themeColor="text1"/>
                <w:sz w:val="24"/>
                <w14:textFill>
                  <w14:solidFill>
                    <w14:schemeClr w14:val="tx1"/>
                  </w14:solidFill>
                </w14:textFill>
              </w:rPr>
            </w:pPr>
            <w:r>
              <w:rPr>
                <w:sz w:val="24"/>
              </w:rP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50165</wp:posOffset>
                      </wp:positionV>
                      <wp:extent cx="1968500" cy="285750"/>
                      <wp:effectExtent l="6350" t="6350" r="6350" b="12700"/>
                      <wp:wrapNone/>
                      <wp:docPr id="3" name="矩形 3"/>
                      <wp:cNvGraphicFramePr/>
                      <a:graphic xmlns:a="http://schemas.openxmlformats.org/drawingml/2006/main">
                        <a:graphicData uri="http://schemas.microsoft.com/office/word/2010/wordprocessingShape">
                          <wps:wsp>
                            <wps:cNvSpPr/>
                            <wps:spPr>
                              <a:xfrm>
                                <a:off x="1478280" y="3245485"/>
                                <a:ext cx="19685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生物质上料及送风系统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5pt;margin-top:3.95pt;height:22.5pt;width:155pt;z-index:251665408;v-text-anchor:middle;mso-width-relative:page;mso-height-relative:page;" fillcolor="#FFFFFF [3212]" filled="t" stroked="t" coordsize="21600,21600" o:gfxdata="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hXnV0wAAAAYBAAAPAAAAAAAAAAEAIAAAACIAAABkcnMvZG93bnJldi54bWxQSwECFAAUAAAA&#10;CACHTuJAk+lSF2UCAAC9BAAADgAAAAAAAAABACAAAAAiAQAAZHJzL2Uyb0RvYy54bWxQSwUGAAAA&#10;AAYABgBZAQAA+QUAAAAA&#10;">
                      <v:fill on="t" focussize="0,0"/>
                      <v:stroke weight="1pt" color="#000000 [3213]" miterlimit="8" joinstyle="miter"/>
                      <v:imagedata o:title=""/>
                      <o:lock v:ext="edit" aspectratio="f"/>
                      <v:textbox>
                        <w:txbxContent>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生物质上料及送风系统</w:t>
                            </w:r>
                          </w:p>
                        </w:txbxContent>
                      </v:textbox>
                    </v:rect>
                  </w:pict>
                </mc:Fallback>
              </mc:AlternateContent>
            </w:r>
            <w:r>
              <w:rPr>
                <w:color w:val="000000" w:themeColor="text1"/>
                <w14:textFill>
                  <w14:solidFill>
                    <w14:schemeClr w14:val="tx1"/>
                  </w14:solidFill>
                </w14:textFill>
              </w:rPr>
              <w:drawing>
                <wp:inline distT="0" distB="0" distL="114300" distR="114300">
                  <wp:extent cx="5228590" cy="1280795"/>
                  <wp:effectExtent l="9525" t="9525" r="19685" b="2413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3"/>
                          <a:stretch>
                            <a:fillRect/>
                          </a:stretch>
                        </pic:blipFill>
                        <pic:spPr>
                          <a:xfrm>
                            <a:off x="0" y="0"/>
                            <a:ext cx="5228590" cy="1280795"/>
                          </a:xfrm>
                          <a:prstGeom prst="rect">
                            <a:avLst/>
                          </a:prstGeom>
                          <a:noFill/>
                          <a:ln>
                            <a:solidFill>
                              <a:schemeClr val="tx1"/>
                            </a:solidFill>
                          </a:ln>
                        </pic:spPr>
                      </pic:pic>
                    </a:graphicData>
                  </a:graphic>
                </wp:inline>
              </w:drawing>
            </w:r>
          </w:p>
          <w:p>
            <w:pPr>
              <w:pStyle w:val="14"/>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2-5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热风炉工艺流程</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工艺流程简述：</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本项目选用的链条式</w:t>
            </w:r>
            <w:r>
              <w:rPr>
                <w:rFonts w:hint="eastAsia"/>
                <w:bCs/>
                <w:color w:val="000000" w:themeColor="text1"/>
                <w:sz w:val="24"/>
                <w:lang w:val="en-US" w:eastAsia="zh-CN"/>
                <w14:textFill>
                  <w14:solidFill>
                    <w14:schemeClr w14:val="tx1"/>
                  </w14:solidFill>
                </w14:textFill>
              </w:rPr>
              <w:t>生物质</w:t>
            </w:r>
            <w:r>
              <w:rPr>
                <w:rFonts w:hint="eastAsia"/>
                <w:bCs/>
                <w:color w:val="000000" w:themeColor="text1"/>
                <w:sz w:val="24"/>
                <w14:textFill>
                  <w14:solidFill>
                    <w14:schemeClr w14:val="tx1"/>
                  </w14:solidFill>
                </w14:textFill>
              </w:rPr>
              <w:t>热风炉，</w:t>
            </w:r>
            <w:r>
              <w:rPr>
                <w:rFonts w:hint="eastAsia"/>
                <w:bCs/>
                <w:color w:val="000000" w:themeColor="text1"/>
                <w:sz w:val="24"/>
                <w:lang w:val="en-US" w:eastAsia="zh-CN"/>
                <w14:textFill>
                  <w14:solidFill>
                    <w14:schemeClr w14:val="tx1"/>
                  </w14:solidFill>
                </w14:textFill>
              </w:rPr>
              <w:t>生物质</w:t>
            </w:r>
            <w:r>
              <w:rPr>
                <w:rFonts w:hint="eastAsia"/>
                <w:bCs/>
                <w:color w:val="000000" w:themeColor="text1"/>
                <w:sz w:val="24"/>
                <w14:textFill>
                  <w14:solidFill>
                    <w14:schemeClr w14:val="tx1"/>
                  </w14:solidFill>
                </w14:textFill>
              </w:rPr>
              <w:t>在炉膛内燃烧，加热换热器，通过送风系统将送来的空气进行加热，加热的热风进入烘干塔烘干玉米。炉渣进入炉渣池降温润湿后进入灰渣库。</w:t>
            </w:r>
            <w:r>
              <w:rPr>
                <w:rFonts w:hint="eastAsia"/>
                <w:bCs/>
                <w:color w:val="000000" w:themeColor="text1"/>
                <w:sz w:val="24"/>
                <w:lang w:val="en-US" w:eastAsia="zh-CN"/>
                <w14:textFill>
                  <w14:solidFill>
                    <w14:schemeClr w14:val="tx1"/>
                  </w14:solidFill>
                </w14:textFill>
              </w:rPr>
              <w:t>生物质燃烧</w:t>
            </w:r>
            <w:r>
              <w:rPr>
                <w:rFonts w:hint="eastAsia"/>
                <w:bCs/>
                <w:color w:val="000000" w:themeColor="text1"/>
                <w:sz w:val="24"/>
                <w14:textFill>
                  <w14:solidFill>
                    <w14:schemeClr w14:val="tx1"/>
                  </w14:solidFill>
                </w14:textFill>
              </w:rPr>
              <w:t>废气通过脱硝</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SNCR工艺</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、脱硫</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钙钠双碱法</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、除尘</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布袋除尘器</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后通过</w:t>
            </w:r>
            <w:r>
              <w:rPr>
                <w:bCs/>
                <w:color w:val="000000" w:themeColor="text1"/>
                <w:sz w:val="24"/>
                <w14:textFill>
                  <w14:solidFill>
                    <w14:schemeClr w14:val="tx1"/>
                  </w14:solidFill>
                </w14:textFill>
              </w:rPr>
              <w:t>45m</w:t>
            </w:r>
            <w:r>
              <w:rPr>
                <w:rFonts w:hint="eastAsia"/>
                <w:bCs/>
                <w:color w:val="000000" w:themeColor="text1"/>
                <w:sz w:val="24"/>
                <w14:textFill>
                  <w14:solidFill>
                    <w14:schemeClr w14:val="tx1"/>
                  </w14:solidFill>
                </w14:textFill>
              </w:rPr>
              <w:t>高排气筒外排。</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、脱硝系统</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本项目采用</w:t>
            </w:r>
            <w:r>
              <w:rPr>
                <w:bCs/>
                <w:color w:val="000000" w:themeColor="text1"/>
                <w:sz w:val="24"/>
                <w14:textFill>
                  <w14:solidFill>
                    <w14:schemeClr w14:val="tx1"/>
                  </w14:solidFill>
                </w14:textFill>
              </w:rPr>
              <w:t>SNCR</w:t>
            </w:r>
            <w:r>
              <w:rPr>
                <w:rFonts w:hint="eastAsia"/>
                <w:bCs/>
                <w:color w:val="000000" w:themeColor="text1"/>
                <w:sz w:val="24"/>
                <w14:textFill>
                  <w14:solidFill>
                    <w14:schemeClr w14:val="tx1"/>
                  </w14:solidFill>
                </w14:textFill>
              </w:rPr>
              <w:t>脱硝工艺，还原剂为尿素。工艺流程如下图。</w:t>
            </w:r>
          </w:p>
          <w:p>
            <w:pPr>
              <w:spacing w:line="360" w:lineRule="auto"/>
              <w:ind w:left="0" w:leftChars="0" w:firstLine="0" w:firstLineChars="0"/>
              <w:rPr>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132705" cy="2026920"/>
                  <wp:effectExtent l="9525" t="9525" r="20320" b="2095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4"/>
                          <a:stretch>
                            <a:fillRect/>
                          </a:stretch>
                        </pic:blipFill>
                        <pic:spPr>
                          <a:xfrm>
                            <a:off x="0" y="0"/>
                            <a:ext cx="5132705" cy="2026920"/>
                          </a:xfrm>
                          <a:prstGeom prst="rect">
                            <a:avLst/>
                          </a:prstGeom>
                          <a:noFill/>
                          <a:ln>
                            <a:solidFill>
                              <a:schemeClr val="tx1"/>
                            </a:solidFill>
                          </a:ln>
                        </pic:spPr>
                      </pic:pic>
                    </a:graphicData>
                  </a:graphic>
                </wp:inline>
              </w:drawing>
            </w:r>
          </w:p>
          <w:p>
            <w:pPr>
              <w:pStyle w:val="14"/>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2-6</w:t>
            </w:r>
            <w:r>
              <w:rPr>
                <w:b/>
                <w:bCs/>
                <w:color w:val="000000" w:themeColor="text1"/>
                <w14:textFill>
                  <w14:solidFill>
                    <w14:schemeClr w14:val="tx1"/>
                  </w14:solidFill>
                </w14:textFill>
              </w:rPr>
              <w:t xml:space="preserve">   SNCR</w:t>
            </w:r>
            <w:r>
              <w:rPr>
                <w:rFonts w:hint="eastAsia"/>
                <w:b/>
                <w:bCs/>
                <w:color w:val="000000" w:themeColor="text1"/>
                <w14:textFill>
                  <w14:solidFill>
                    <w14:schemeClr w14:val="tx1"/>
                  </w14:solidFill>
                </w14:textFill>
              </w:rPr>
              <w:t>工艺流程图</w:t>
            </w:r>
          </w:p>
          <w:p>
            <w:pPr>
              <w:widowControl/>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SNCR</w:t>
            </w:r>
            <w:r>
              <w:rPr>
                <w:rFonts w:hint="eastAsia"/>
                <w:b/>
                <w:bCs/>
                <w:color w:val="000000" w:themeColor="text1"/>
                <w:sz w:val="24"/>
                <w:szCs w:val="24"/>
                <w14:textFill>
                  <w14:solidFill>
                    <w14:schemeClr w14:val="tx1"/>
                  </w14:solidFill>
                </w14:textFill>
              </w:rPr>
              <w:t>工艺流程简介：</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SNCR </w:t>
            </w:r>
            <w:r>
              <w:rPr>
                <w:rFonts w:hint="eastAsia"/>
                <w:color w:val="000000" w:themeColor="text1"/>
                <w:sz w:val="24"/>
                <w:szCs w:val="24"/>
                <w14:textFill>
                  <w14:solidFill>
                    <w14:schemeClr w14:val="tx1"/>
                  </w14:solidFill>
                </w14:textFill>
              </w:rPr>
              <w:t>脱硝技术是在没有催化剂作用下，向</w:t>
            </w:r>
            <w:r>
              <w:rPr>
                <w:color w:val="000000" w:themeColor="text1"/>
                <w:sz w:val="24"/>
                <w:szCs w:val="24"/>
                <w14:textFill>
                  <w14:solidFill>
                    <w14:schemeClr w14:val="tx1"/>
                  </w14:solidFill>
                </w14:textFill>
              </w:rPr>
              <w:t>850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1150</w:t>
            </w:r>
            <w:r>
              <w:rPr>
                <w:rFonts w:hint="eastAsia" w:ascii="宋体" w:hAnsi="宋体" w:cs="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高温烟气中喷射氨还原剂，还原剂与烟气中</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反应生成</w:t>
            </w:r>
            <w:r>
              <w:rPr>
                <w:color w:val="000000" w:themeColor="text1"/>
                <w:sz w:val="24"/>
                <w:szCs w:val="24"/>
                <w14:textFill>
                  <w14:solidFill>
                    <w14:schemeClr w14:val="tx1"/>
                  </w14:solidFill>
                </w14:textFill>
              </w:rPr>
              <w:t>N</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 xml:space="preserve">SNCR </w:t>
            </w:r>
            <w:r>
              <w:rPr>
                <w:rFonts w:hint="eastAsia"/>
                <w:color w:val="000000" w:themeColor="text1"/>
                <w:sz w:val="24"/>
                <w:szCs w:val="24"/>
                <w14:textFill>
                  <w14:solidFill>
                    <w14:schemeClr w14:val="tx1"/>
                  </w14:solidFill>
                </w14:textFill>
              </w:rPr>
              <w:t>烟气脱硝技术的主要特点为：脱硝效果较明显，</w:t>
            </w:r>
            <w:r>
              <w:rPr>
                <w:rFonts w:hint="eastAsia"/>
                <w:color w:val="0000FF"/>
                <w:sz w:val="24"/>
                <w:szCs w:val="24"/>
              </w:rPr>
              <w:t>在大型锅炉上能够达到</w:t>
            </w:r>
            <w:r>
              <w:rPr>
                <w:color w:val="0000FF"/>
                <w:sz w:val="24"/>
                <w:szCs w:val="24"/>
              </w:rPr>
              <w:t>30%~50%</w:t>
            </w:r>
            <w:r>
              <w:rPr>
                <w:rFonts w:hint="eastAsia"/>
                <w:color w:val="0000FF"/>
                <w:sz w:val="24"/>
                <w:szCs w:val="24"/>
              </w:rPr>
              <w:t>的</w:t>
            </w:r>
            <w:r>
              <w:rPr>
                <w:color w:val="0000FF"/>
                <w:sz w:val="24"/>
                <w:szCs w:val="24"/>
              </w:rPr>
              <w:t xml:space="preserve">NOx </w:t>
            </w:r>
            <w:r>
              <w:rPr>
                <w:rFonts w:hint="eastAsia"/>
                <w:color w:val="0000FF"/>
                <w:sz w:val="24"/>
                <w:szCs w:val="24"/>
              </w:rPr>
              <w:t>脱除率；在中小型锅炉上可达到</w:t>
            </w:r>
            <w:r>
              <w:rPr>
                <w:color w:val="0000FF"/>
                <w:sz w:val="24"/>
                <w:szCs w:val="24"/>
              </w:rPr>
              <w:t>50%~70%</w:t>
            </w:r>
            <w:r>
              <w:rPr>
                <w:rFonts w:hint="eastAsia"/>
                <w:color w:val="0000FF"/>
                <w:sz w:val="24"/>
                <w:szCs w:val="24"/>
              </w:rPr>
              <w:t>的</w:t>
            </w:r>
            <w:r>
              <w:rPr>
                <w:color w:val="0000FF"/>
                <w:sz w:val="24"/>
                <w:szCs w:val="24"/>
              </w:rPr>
              <w:t>NO</w:t>
            </w:r>
            <w:r>
              <w:rPr>
                <w:color w:val="0000FF"/>
                <w:sz w:val="24"/>
                <w:szCs w:val="24"/>
                <w:vertAlign w:val="subscript"/>
              </w:rPr>
              <w:t>X</w:t>
            </w:r>
            <w:r>
              <w:rPr>
                <w:rFonts w:hint="eastAsia"/>
                <w:color w:val="0000FF"/>
                <w:sz w:val="24"/>
                <w:szCs w:val="24"/>
              </w:rPr>
              <w:t>脱除率</w:t>
            </w:r>
            <w:r>
              <w:rPr>
                <w:rFonts w:hint="eastAsia"/>
                <w:color w:val="000000" w:themeColor="text1"/>
                <w:sz w:val="24"/>
                <w:szCs w:val="24"/>
                <w14:textFill>
                  <w14:solidFill>
                    <w14:schemeClr w14:val="tx1"/>
                  </w14:solidFill>
                </w14:textFill>
              </w:rPr>
              <w:t>；还原剂多样易得；脱除</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 xml:space="preserve">X </w:t>
            </w:r>
            <w:r>
              <w:rPr>
                <w:rFonts w:hint="eastAsia"/>
                <w:color w:val="000000" w:themeColor="text1"/>
                <w:sz w:val="24"/>
                <w:szCs w:val="24"/>
                <w14:textFill>
                  <w14:solidFill>
                    <w14:schemeClr w14:val="tx1"/>
                  </w14:solidFill>
                </w14:textFill>
              </w:rPr>
              <w:t>的还原剂一般都是含氮的物质，包括氨、尿素和各种铵盐，应用广泛的是氨和尿素；</w:t>
            </w:r>
            <w:r>
              <w:rPr>
                <w:color w:val="000000" w:themeColor="text1"/>
                <w:sz w:val="24"/>
                <w:szCs w:val="24"/>
                <w14:textFill>
                  <w14:solidFill>
                    <w14:schemeClr w14:val="tx1"/>
                  </w14:solidFill>
                </w14:textFill>
              </w:rPr>
              <w:t xml:space="preserve">SNCR </w:t>
            </w:r>
            <w:r>
              <w:rPr>
                <w:rFonts w:hint="eastAsia"/>
                <w:color w:val="000000" w:themeColor="text1"/>
                <w:sz w:val="24"/>
                <w:szCs w:val="24"/>
                <w14:textFill>
                  <w14:solidFill>
                    <w14:schemeClr w14:val="tx1"/>
                  </w14:solidFill>
                </w14:textFill>
              </w:rPr>
              <w:t>脱硝系统运行过程没有任何固体或液体的污染物或副产物生成，无二次污染；阻力小，对锅炉的正常运行影响较小；经济性好，投资成本和运行成本低；系统简单；施工时间短等。</w:t>
            </w:r>
          </w:p>
          <w:p>
            <w:pPr>
              <w:widowControl/>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尿素溶液在高温烟气作用下迅速还原成为</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NH</w:t>
            </w:r>
            <w:r>
              <w:rPr>
                <w:color w:val="000000" w:themeColor="text1"/>
                <w:sz w:val="24"/>
                <w:szCs w:val="24"/>
                <w:vertAlign w:val="subscript"/>
                <w14:textFill>
                  <w14:solidFill>
                    <w14:schemeClr w14:val="tx1"/>
                  </w14:solidFill>
                </w14:textFill>
              </w:rPr>
              <w:t>3</w:t>
            </w:r>
            <w:r>
              <w:rPr>
                <w:rFonts w:hint="eastAsia"/>
                <w:color w:val="000000" w:themeColor="text1"/>
                <w:sz w:val="24"/>
                <w:szCs w:val="24"/>
                <w14:textFill>
                  <w14:solidFill>
                    <w14:schemeClr w14:val="tx1"/>
                  </w14:solidFill>
                </w14:textFill>
              </w:rPr>
              <w:t>与</w:t>
            </w:r>
            <w:r>
              <w:rPr>
                <w:color w:val="000000" w:themeColor="text1"/>
                <w:sz w:val="24"/>
                <w:szCs w:val="24"/>
                <w14:textFill>
                  <w14:solidFill>
                    <w14:schemeClr w14:val="tx1"/>
                  </w14:solidFill>
                </w14:textFill>
              </w:rPr>
              <w:t>NOx</w:t>
            </w:r>
            <w:r>
              <w:rPr>
                <w:rFonts w:hint="eastAsia"/>
                <w:color w:val="000000" w:themeColor="text1"/>
                <w:sz w:val="24"/>
                <w:szCs w:val="24"/>
                <w14:textFill>
                  <w14:solidFill>
                    <w14:schemeClr w14:val="tx1"/>
                  </w14:solidFill>
                </w14:textFill>
              </w:rPr>
              <w:t>还原为</w:t>
            </w:r>
            <w:r>
              <w:rPr>
                <w:color w:val="000000" w:themeColor="text1"/>
                <w:sz w:val="24"/>
                <w:szCs w:val="24"/>
                <w14:textFill>
                  <w14:solidFill>
                    <w14:schemeClr w14:val="tx1"/>
                  </w14:solidFill>
                </w14:textFill>
              </w:rPr>
              <w:t>N</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r>
              <w:rPr>
                <w:rFonts w:hint="eastAsia"/>
                <w:color w:val="000000" w:themeColor="text1"/>
                <w:sz w:val="24"/>
                <w:szCs w:val="24"/>
                <w14:textFill>
                  <w14:solidFill>
                    <w14:schemeClr w14:val="tx1"/>
                  </w14:solidFill>
                </w14:textFill>
              </w:rPr>
              <w:t>，其主要的化学反应如下：</w:t>
            </w:r>
          </w:p>
          <w:p>
            <w:pPr>
              <w:widowControl/>
              <w:spacing w:line="360" w:lineRule="auto"/>
              <w:ind w:firstLine="480" w:firstLineChars="200"/>
              <w:jc w:val="left"/>
              <w:rPr>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1363980</wp:posOffset>
                      </wp:positionH>
                      <wp:positionV relativeFrom="paragraph">
                        <wp:posOffset>127000</wp:posOffset>
                      </wp:positionV>
                      <wp:extent cx="290195" cy="635"/>
                      <wp:effectExtent l="0" t="48895" r="14605" b="64770"/>
                      <wp:wrapNone/>
                      <wp:docPr id="20" name="直接连接符 20"/>
                      <wp:cNvGraphicFramePr/>
                      <a:graphic xmlns:a="http://schemas.openxmlformats.org/drawingml/2006/main">
                        <a:graphicData uri="http://schemas.microsoft.com/office/word/2010/wordprocessingShape">
                          <wps:wsp>
                            <wps:cNvCnPr/>
                            <wps:spPr>
                              <a:xfrm>
                                <a:off x="0" y="0"/>
                                <a:ext cx="2901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7.4pt;margin-top:10pt;height:0.05pt;width:22.85pt;z-index:251659264;mso-width-relative:page;mso-height-relative:page;" filled="f" stroked="t" coordsize="21600,21600" o:gfxdata="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17yLvYAAAACQEAAA8A&#10;AAAAAAAAAQAgAAAAIgAAAGRycy9kb3ducmV2LnhtbFBLAQIUABQAAAAIAIdO4kBRoxe43gEAAJoD&#10;AAAOAAAAAAAAAAEAIAAAACcBAABkcnMvZTJvRG9jLnhtbFBLBQYAAAAABgAGAFkBAAB3BQAAAAA=&#10;">
                      <v:fill on="f" focussize="0,0"/>
                      <v:stroke color="#000000" joinstyle="round" endarrow="open"/>
                      <v:imagedata o:title=""/>
                      <o:lock v:ext="edit" aspectratio="f"/>
                    </v:line>
                  </w:pict>
                </mc:Fallback>
              </mc:AlternateContent>
            </w:r>
            <w:r>
              <w:rPr>
                <w:color w:val="000000" w:themeColor="text1"/>
                <w:sz w:val="24"/>
                <w:szCs w:val="24"/>
                <w14:textFill>
                  <w14:solidFill>
                    <w14:schemeClr w14:val="tx1"/>
                  </w14:solidFill>
                </w14:textFill>
              </w:rPr>
              <w:t>4NO+4NH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 xml:space="preserve">     4N</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+6H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p>
          <w:p>
            <w:pPr>
              <w:widowControl/>
              <w:spacing w:line="360" w:lineRule="auto"/>
              <w:ind w:firstLine="480" w:firstLineChars="200"/>
              <w:jc w:val="left"/>
              <w:rPr>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1127125</wp:posOffset>
                      </wp:positionH>
                      <wp:positionV relativeFrom="paragraph">
                        <wp:posOffset>156210</wp:posOffset>
                      </wp:positionV>
                      <wp:extent cx="290195" cy="635"/>
                      <wp:effectExtent l="0" t="48895" r="14605" b="64770"/>
                      <wp:wrapNone/>
                      <wp:docPr id="23" name="直接连接符 23"/>
                      <wp:cNvGraphicFramePr/>
                      <a:graphic xmlns:a="http://schemas.openxmlformats.org/drawingml/2006/main">
                        <a:graphicData uri="http://schemas.microsoft.com/office/word/2010/wordprocessingShape">
                          <wps:wsp>
                            <wps:cNvCnPr/>
                            <wps:spPr>
                              <a:xfrm>
                                <a:off x="0" y="0"/>
                                <a:ext cx="2901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8.75pt;margin-top:12.3pt;height:0.05pt;width:22.85pt;z-index:251660288;mso-width-relative:page;mso-height-relative:page;" filled="f" stroked="t" coordsize="21600,21600" o:gfxdata="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45Mx/ZAAAACQEA&#10;AA8AAAAAAAAAAQAgAAAAIgAAAGRycy9kb3ducmV2LnhtbFBLAQIUABQAAAAIAIdO4kDNWoH44AEA&#10;AJoDAAAOAAAAAAAAAAEAIAAAACgBAABkcnMvZTJvRG9jLnhtbFBLBQYAAAAABgAGAFkBAAB6BQAA&#10;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w:t>6</w:t>
            </w:r>
            <w:r>
              <w:rPr>
                <w:color w:val="000000" w:themeColor="text1"/>
                <w:sz w:val="24"/>
                <w:szCs w:val="24"/>
                <w14:textFill>
                  <w14:solidFill>
                    <w14:schemeClr w14:val="tx1"/>
                  </w14:solidFill>
                </w14:textFill>
              </w:rPr>
              <w:t>NO+4NH</w:t>
            </w:r>
            <w:r>
              <w:rPr>
                <w:color w:val="000000" w:themeColor="text1"/>
                <w:sz w:val="24"/>
                <w:szCs w:val="24"/>
                <w:vertAlign w:val="subscript"/>
                <w14:textFill>
                  <w14:solidFill>
                    <w14:schemeClr w14:val="tx1"/>
                  </w14:solidFill>
                </w14:textFill>
              </w:rPr>
              <w:t xml:space="preserve">3         </w:t>
            </w:r>
            <w:r>
              <w:rPr>
                <w:color w:val="000000" w:themeColor="text1"/>
                <w:sz w:val="24"/>
                <w:szCs w:val="24"/>
                <w14:textFill>
                  <w14:solidFill>
                    <w14:schemeClr w14:val="tx1"/>
                  </w14:solidFill>
                </w14:textFill>
              </w:rPr>
              <w:t>5N</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+6H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p>
          <w:p>
            <w:pPr>
              <w:widowControl/>
              <w:spacing w:line="360" w:lineRule="auto"/>
              <w:ind w:firstLine="480" w:firstLineChars="200"/>
              <w:jc w:val="left"/>
              <w:rPr>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1127125</wp:posOffset>
                      </wp:positionH>
                      <wp:positionV relativeFrom="paragraph">
                        <wp:posOffset>156210</wp:posOffset>
                      </wp:positionV>
                      <wp:extent cx="290195" cy="635"/>
                      <wp:effectExtent l="0" t="48895" r="14605" b="64770"/>
                      <wp:wrapNone/>
                      <wp:docPr id="16" name="直接连接符 16"/>
                      <wp:cNvGraphicFramePr/>
                      <a:graphic xmlns:a="http://schemas.openxmlformats.org/drawingml/2006/main">
                        <a:graphicData uri="http://schemas.microsoft.com/office/word/2010/wordprocessingShape">
                          <wps:wsp>
                            <wps:cNvCnPr/>
                            <wps:spPr>
                              <a:xfrm>
                                <a:off x="0" y="0"/>
                                <a:ext cx="2901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88.75pt;margin-top:12.3pt;height:0.05pt;width:22.85pt;z-index:251661312;mso-width-relative:page;mso-height-relative:page;" filled="f" stroked="t" coordsize="21600,21600" o:gfxdata="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jkzH9kAAAAJAQAA&#10;DwAAAAAAAAABACAAAAAiAAAAZHJzL2Rvd25yZXYueG1sUEsBAhQAFAAAAAgAh07iQP8Zw8DfAQAA&#10;mgMAAA4AAAAAAAAAAQAgAAAAKAEAAGRycy9lMm9Eb2MueG1sUEsFBgAAAAAGAAYAWQEAAHkFAAAA&#10;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w:t>6</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+8NH</w:t>
            </w:r>
            <w:r>
              <w:rPr>
                <w:color w:val="000000" w:themeColor="text1"/>
                <w:sz w:val="24"/>
                <w:szCs w:val="24"/>
                <w:vertAlign w:val="subscript"/>
                <w14:textFill>
                  <w14:solidFill>
                    <w14:schemeClr w14:val="tx1"/>
                  </w14:solidFill>
                </w14:textFill>
              </w:rPr>
              <w:t xml:space="preserve">3         </w:t>
            </w:r>
            <w:r>
              <w:rPr>
                <w:color w:val="000000" w:themeColor="text1"/>
                <w:sz w:val="24"/>
                <w:szCs w:val="24"/>
                <w14:textFill>
                  <w14:solidFill>
                    <w14:schemeClr w14:val="tx1"/>
                  </w14:solidFill>
                </w14:textFill>
              </w:rPr>
              <w:t>7N</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+12H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p>
          <w:p>
            <w:pPr>
              <w:widowControl/>
              <w:spacing w:line="360" w:lineRule="auto"/>
              <w:ind w:firstLine="480" w:firstLineChars="200"/>
              <w:jc w:val="left"/>
              <w:rPr>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1409065</wp:posOffset>
                      </wp:positionH>
                      <wp:positionV relativeFrom="paragraph">
                        <wp:posOffset>147955</wp:posOffset>
                      </wp:positionV>
                      <wp:extent cx="290195" cy="635"/>
                      <wp:effectExtent l="0" t="48895" r="14605" b="64770"/>
                      <wp:wrapNone/>
                      <wp:docPr id="18" name="直接连接符 18"/>
                      <wp:cNvGraphicFramePr/>
                      <a:graphic xmlns:a="http://schemas.openxmlformats.org/drawingml/2006/main">
                        <a:graphicData uri="http://schemas.microsoft.com/office/word/2010/wordprocessingShape">
                          <wps:wsp>
                            <wps:cNvCnPr/>
                            <wps:spPr>
                              <a:xfrm>
                                <a:off x="0" y="0"/>
                                <a:ext cx="29019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0.95pt;margin-top:11.65pt;height:0.05pt;width:22.85pt;z-index:251662336;mso-width-relative:page;mso-height-relative:page;" filled="f" stroked="t" coordsize="21600,21600" o:gfxdata="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bNthJ2QAAAAkBAAAP&#10;AAAAAAAAAAEAIAAAACIAAABkcnMvZG93bnJldi54bWxQSwECFAAUAAAACACHTuJAGVUi0N4BAACa&#10;AwAADgAAAAAAAAABACAAAAAoAQAAZHJzL2Uyb0RvYy54bWxQSwUGAAAAAAYABgBZAQAAeAUAA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w:t>2</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+4NH</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+O</w:t>
            </w:r>
            <w:r>
              <w:rPr>
                <w:color w:val="000000" w:themeColor="text1"/>
                <w:sz w:val="24"/>
                <w:szCs w:val="24"/>
                <w:vertAlign w:val="subscript"/>
                <w14:textFill>
                  <w14:solidFill>
                    <w14:schemeClr w14:val="tx1"/>
                  </w14:solidFill>
                </w14:textFill>
              </w:rPr>
              <w:t xml:space="preserve">2         </w:t>
            </w:r>
            <w:r>
              <w:rPr>
                <w:color w:val="000000" w:themeColor="text1"/>
                <w:sz w:val="24"/>
                <w:szCs w:val="24"/>
                <w14:textFill>
                  <w14:solidFill>
                    <w14:schemeClr w14:val="tx1"/>
                  </w14:solidFill>
                </w14:textFill>
              </w:rPr>
              <w:t>3N</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+6H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p>
          <w:p>
            <w:pPr>
              <w:widowControl/>
              <w:spacing w:line="360" w:lineRule="auto"/>
              <w:ind w:firstLine="480" w:firstLineChars="200"/>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上述化学反应只能在很窄的温度范围内反应，约</w:t>
            </w:r>
            <w:r>
              <w:rPr>
                <w:color w:val="000000" w:themeColor="text1"/>
                <w:sz w:val="24"/>
                <w:szCs w:val="24"/>
                <w14:textFill>
                  <w14:solidFill>
                    <w14:schemeClr w14:val="tx1"/>
                  </w14:solidFill>
                </w14:textFill>
              </w:rPr>
              <w:t>850~1100</w:t>
            </w:r>
            <w:r>
              <w:rPr>
                <w:rFonts w:hint="eastAsia" w:ascii="宋体" w:hAnsi="宋体" w:cs="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范围内进行，故本项目还原剂喷淋位置为锅炉烟气温度的</w:t>
            </w:r>
            <w:r>
              <w:rPr>
                <w:color w:val="000000" w:themeColor="text1"/>
                <w:sz w:val="24"/>
                <w:szCs w:val="24"/>
                <w14:textFill>
                  <w14:solidFill>
                    <w14:schemeClr w14:val="tx1"/>
                  </w14:solidFill>
                </w14:textFill>
              </w:rPr>
              <w:t>850</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范围处。得到最佳脱硝效率。</w:t>
            </w:r>
            <w:r>
              <w:rPr>
                <w:rFonts w:hint="eastAsia"/>
                <w:color w:val="000000" w:themeColor="text1"/>
                <w:sz w:val="24"/>
                <w:szCs w:val="24"/>
                <w:lang w:val="en-US" w:eastAsia="zh-CN"/>
                <w14:textFill>
                  <w14:solidFill>
                    <w14:schemeClr w14:val="tx1"/>
                  </w14:solidFill>
                </w14:textFill>
              </w:rPr>
              <w:t>本项目采用低氮燃烧+选择性非催化还原法（SNCR）脱氮，去除效率以45.4%计。</w:t>
            </w:r>
          </w:p>
          <w:p>
            <w:pPr>
              <w:widowControl/>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本项目采用尿素作为还原剂。烟气通过除尘、脱硫后由新建的</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高排气筒外排。</w:t>
            </w:r>
          </w:p>
          <w:p>
            <w:pPr>
              <w:widowControl/>
              <w:spacing w:line="360" w:lineRule="auto"/>
              <w:ind w:firstLine="482" w:firstLineChars="200"/>
              <w:jc w:val="left"/>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w:t>
            </w:r>
            <w:r>
              <w:rPr>
                <w:rFonts w:hint="eastAsia"/>
                <w:b/>
                <w:bCs/>
                <w:color w:val="000000" w:themeColor="text1"/>
                <w:sz w:val="24"/>
                <w:szCs w:val="24"/>
                <w14:textFill>
                  <w14:solidFill>
                    <w14:schemeClr w14:val="tx1"/>
                  </w14:solidFill>
                </w14:textFill>
              </w:rPr>
              <w:t>、脱硫系统</w:t>
            </w:r>
          </w:p>
          <w:p>
            <w:pPr>
              <w:widowControl/>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本项目采用的</w:t>
            </w:r>
            <w:r>
              <w:rPr>
                <w:rFonts w:hint="eastAsia"/>
                <w:color w:val="000000" w:themeColor="text1"/>
                <w:sz w:val="24"/>
                <w:szCs w:val="24"/>
                <w:lang w:val="en-US" w:eastAsia="zh-CN"/>
                <w14:textFill>
                  <w14:solidFill>
                    <w14:schemeClr w14:val="tx1"/>
                  </w14:solidFill>
                </w14:textFill>
              </w:rPr>
              <w:t>钙钠双碱法</w:t>
            </w:r>
            <w:r>
              <w:rPr>
                <w:rFonts w:hint="eastAsia"/>
                <w:color w:val="000000" w:themeColor="text1"/>
                <w:sz w:val="24"/>
                <w:szCs w:val="24"/>
                <w14:textFill>
                  <w14:solidFill>
                    <w14:schemeClr w14:val="tx1"/>
                  </w14:solidFill>
                </w14:textFill>
              </w:rPr>
              <w:t>脱硫，工艺流程如下图。</w:t>
            </w:r>
          </w:p>
          <w:p>
            <w:pPr>
              <w:widowControl/>
              <w:spacing w:line="360" w:lineRule="auto"/>
              <w:ind w:left="0" w:leftChars="0" w:firstLine="0" w:firstLineChars="0"/>
              <w:jc w:val="both"/>
              <w:rPr>
                <w:color w:val="000000" w:themeColor="text1"/>
                <w:sz w:val="24"/>
                <w:szCs w:val="24"/>
                <w14:textFill>
                  <w14:solidFill>
                    <w14:schemeClr w14:val="tx1"/>
                  </w14:solidFill>
                </w14:textFill>
              </w:rPr>
            </w:pPr>
            <w:r>
              <w:rPr>
                <w:rFonts w:hint="eastAsia"/>
              </w:rPr>
              <w:drawing>
                <wp:inline distT="0" distB="0" distL="114300" distR="114300">
                  <wp:extent cx="5307965" cy="2652395"/>
                  <wp:effectExtent l="9525" t="9525" r="16510" b="2413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15"/>
                          <a:stretch>
                            <a:fillRect/>
                          </a:stretch>
                        </pic:blipFill>
                        <pic:spPr>
                          <a:xfrm>
                            <a:off x="0" y="0"/>
                            <a:ext cx="5307965" cy="2652395"/>
                          </a:xfrm>
                          <a:prstGeom prst="rect">
                            <a:avLst/>
                          </a:prstGeom>
                          <a:noFill/>
                          <a:ln>
                            <a:solidFill>
                              <a:schemeClr val="tx1"/>
                            </a:solidFill>
                          </a:ln>
                        </pic:spPr>
                      </pic:pic>
                    </a:graphicData>
                  </a:graphic>
                </wp:inline>
              </w:drawing>
            </w:r>
          </w:p>
          <w:p>
            <w:pPr>
              <w:pStyle w:val="14"/>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rFonts w:hint="eastAsia"/>
                <w:b/>
                <w:bCs/>
                <w:color w:val="000000" w:themeColor="text1"/>
                <w:lang w:val="en-US" w:eastAsia="zh-CN"/>
                <w14:textFill>
                  <w14:solidFill>
                    <w14:schemeClr w14:val="tx1"/>
                  </w14:solidFill>
                </w14:textFill>
              </w:rPr>
              <w:t>2-7</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脱硫工艺流程图</w:t>
            </w:r>
          </w:p>
          <w:p>
            <w:pPr>
              <w:keepNext w:val="0"/>
              <w:keepLines w:val="0"/>
              <w:suppressLineNumbers w:val="0"/>
              <w:bidi w:val="0"/>
              <w:spacing w:before="0" w:beforeAutospacing="0" w:after="0" w:afterAutospacing="0"/>
              <w:ind w:left="0" w:right="0"/>
              <w:rPr>
                <w:rFonts w:hint="default" w:eastAsia="宋体"/>
                <w:lang w:val="en-US" w:eastAsia="zh-CN"/>
              </w:rPr>
            </w:pPr>
            <w:r>
              <w:rPr>
                <w:rFonts w:hint="default"/>
              </w:rPr>
              <w:t>原理：</w:t>
            </w:r>
            <w:r>
              <w:rPr>
                <w:rFonts w:hint="eastAsia"/>
              </w:rPr>
              <w:t>钠碱法脱硫是先用活性极强的钠碱作为吸收剂吸收SO</w:t>
            </w:r>
            <w:r>
              <w:rPr>
                <w:rFonts w:hint="eastAsia"/>
                <w:vertAlign w:val="subscript"/>
              </w:rPr>
              <w:t>2</w:t>
            </w:r>
            <w:r>
              <w:rPr>
                <w:rFonts w:hint="eastAsia"/>
              </w:rPr>
              <w:t>，然后再用钙碱对吸收液进行再生，由于在</w:t>
            </w:r>
            <w:r>
              <w:rPr>
                <w:rFonts w:hint="default"/>
              </w:rPr>
              <w:fldChar w:fldCharType="begin"/>
            </w:r>
            <w:r>
              <w:rPr>
                <w:rFonts w:hint="default"/>
              </w:rPr>
              <w:instrText xml:space="preserve"> HYPERLINK "https://baike.baidu.com/item/%E5%90%B8%E6%94%B6/5629743" \t "https://baike.baidu.com/item/%E9%92%A0%E7%A2%B1%E6%B3%95%E8%84%B1%E7%A1%AB/_blank" </w:instrText>
            </w:r>
            <w:r>
              <w:rPr>
                <w:rFonts w:hint="default"/>
              </w:rPr>
              <w:fldChar w:fldCharType="separate"/>
            </w:r>
            <w:r>
              <w:rPr>
                <w:rFonts w:hint="default" w:ascii="Helvetica" w:hAnsi="Helvetica" w:eastAsia="Helvetica" w:cs="Helvetica"/>
                <w:i w:val="0"/>
                <w:iCs w:val="0"/>
                <w:caps w:val="0"/>
                <w:color w:val="136EC2"/>
                <w:spacing w:val="0"/>
                <w:szCs w:val="21"/>
                <w:u w:val="none"/>
                <w:shd w:val="clear" w:fill="FFFFFF"/>
              </w:rPr>
              <w:t>吸收</w:t>
            </w:r>
            <w:r>
              <w:rPr>
                <w:rFonts w:hint="default"/>
              </w:rPr>
              <w:fldChar w:fldCharType="end"/>
            </w:r>
            <w:r>
              <w:rPr>
                <w:rFonts w:hint="default"/>
              </w:rPr>
              <w:t>和吸收液处理中使用了不同类型的</w:t>
            </w:r>
            <w:r>
              <w:rPr>
                <w:rFonts w:hint="default"/>
              </w:rPr>
              <w:fldChar w:fldCharType="begin"/>
            </w:r>
            <w:r>
              <w:rPr>
                <w:rFonts w:hint="default"/>
              </w:rPr>
              <w:instrText xml:space="preserve"> HYPERLINK "https://baike.baidu.com/item/%E7%A2%B1/2076184" \t "https://baike.baidu.com/item/%E9%92%A0%E7%A2%B1%E6%B3%95%E8%84%B1%E7%A1%AB/_blank" </w:instrText>
            </w:r>
            <w:r>
              <w:rPr>
                <w:rFonts w:hint="default"/>
              </w:rPr>
              <w:fldChar w:fldCharType="separate"/>
            </w:r>
            <w:r>
              <w:rPr>
                <w:rFonts w:hint="default" w:ascii="Helvetica" w:hAnsi="Helvetica" w:eastAsia="Helvetica" w:cs="Helvetica"/>
                <w:i w:val="0"/>
                <w:iCs w:val="0"/>
                <w:caps w:val="0"/>
                <w:color w:val="136EC2"/>
                <w:spacing w:val="0"/>
                <w:szCs w:val="21"/>
                <w:u w:val="none"/>
                <w:shd w:val="clear" w:fill="FFFFFF"/>
              </w:rPr>
              <w:t>碱</w:t>
            </w:r>
            <w:r>
              <w:rPr>
                <w:rFonts w:hint="default"/>
              </w:rPr>
              <w:fldChar w:fldCharType="end"/>
            </w:r>
            <w:r>
              <w:rPr>
                <w:rFonts w:hint="default"/>
              </w:rPr>
              <w:t>，故称为钠钙双碱法。</w:t>
            </w:r>
            <w:r>
              <w:rPr>
                <w:rFonts w:hint="eastAsia"/>
                <w:lang w:val="en-US" w:eastAsia="zh-CN"/>
              </w:rPr>
              <w:t>参考《排放源统计调查产排污核算方法和系数手册》中《4430工业锅炉（热力生产和供应行业）产污系数表-燃煤工业锅炉》可知，钠碱法对二氧化硫的去除效率为92.5%。</w:t>
            </w:r>
          </w:p>
          <w:p>
            <w:pPr>
              <w:keepNext w:val="0"/>
              <w:keepLines w:val="0"/>
              <w:suppressLineNumbers w:val="0"/>
              <w:bidi w:val="0"/>
              <w:spacing w:before="0" w:beforeAutospacing="0" w:after="0" w:afterAutospacing="0"/>
              <w:ind w:left="0" w:right="0"/>
              <w:rPr>
                <w:rFonts w:hint="eastAsia"/>
              </w:rPr>
            </w:pPr>
            <w:r>
              <w:rPr>
                <w:rFonts w:hint="eastAsia"/>
              </w:rPr>
              <w:t>钠碱法脱硫一般只有一个循环水池，NaOH、石灰与除尘脱硫过程中捕集下来的烟灰同在一个循环池内混合，在清除循环水池内的灰渣时烟灰、反应生成物亚硫酸钙、硫酸钙及石灰渣和未完全反应的石灰同时被清除，清出的灰渣是一种混合物不易被利用而形成废渣。</w:t>
            </w:r>
          </w:p>
          <w:p>
            <w:pPr>
              <w:keepNext w:val="0"/>
              <w:keepLines w:val="0"/>
              <w:suppressLineNumbers w:val="0"/>
              <w:bidi w:val="0"/>
              <w:spacing w:before="0" w:beforeAutospacing="0" w:after="0" w:afterAutospacing="0"/>
              <w:ind w:left="0" w:right="0"/>
              <w:rPr>
                <w:rFonts w:hint="eastAsia"/>
                <w:lang w:eastAsia="zh-CN"/>
              </w:rPr>
            </w:pPr>
            <w:r>
              <w:rPr>
                <w:rFonts w:hint="eastAsia"/>
              </w:rPr>
              <w:t>清水池一次性加入氢氧化钠溶剂制成氢氧化钠脱硫液(循环水)，用泵打入</w:t>
            </w:r>
            <w:r>
              <w:rPr>
                <w:rFonts w:hint="default"/>
              </w:rPr>
              <w:fldChar w:fldCharType="begin"/>
            </w:r>
            <w:r>
              <w:rPr>
                <w:rFonts w:hint="default"/>
              </w:rPr>
              <w:instrText xml:space="preserve"> HYPERLINK "https://baike.baidu.com/item/%E8%84%B1%E7%A1%AB%E9%99%A4%E5%B0%98%E5%99%A8/10554350" \t "https://baike.baidu.com/item/%E9%92%A0%E7%A2%B1%E6%B3%95%E8%84%B1%E7%A1%AB/_blank" </w:instrText>
            </w:r>
            <w:r>
              <w:rPr>
                <w:rFonts w:hint="default"/>
              </w:rPr>
              <w:fldChar w:fldCharType="separate"/>
            </w:r>
            <w:r>
              <w:rPr>
                <w:rFonts w:hint="default"/>
              </w:rPr>
              <w:t>脱硫除尘器</w:t>
            </w:r>
            <w:r>
              <w:rPr>
                <w:rFonts w:hint="default"/>
              </w:rPr>
              <w:fldChar w:fldCharType="end"/>
            </w:r>
            <w:r>
              <w:rPr>
                <w:rFonts w:hint="default"/>
              </w:rPr>
              <w:t>进行脱硫。3种生成物均溶于水。在脱硫过程中，烟气夹杂的烟道灰同时被循环水湿润而捕集进入循环水，从脱硫除尘器排出的循环水变为灰水(稀灰浆)。一起流入沉淀池，烟道灰经沉淀定期清除，回收利用，如制内燃砖等。上清液溢流进入反应池与投加的石灰进行反应，置换出的氢氧化钠溶解在循环水中，同时生成难溶解的</w:t>
            </w:r>
            <w:r>
              <w:rPr>
                <w:rFonts w:hint="default"/>
              </w:rPr>
              <w:fldChar w:fldCharType="begin"/>
            </w:r>
            <w:r>
              <w:rPr>
                <w:rFonts w:hint="default"/>
              </w:rPr>
              <w:instrText xml:space="preserve"> HYPERLINK "https://baike.baidu.com/item/%E4%BA%9A%E7%A1%AB%E9%85%B8%E9%92%99/5526883" \t "https://baike.baidu.com/item/%E9%92%A0%E7%A2%B1%E6%B3%95%E8%84%B1%E7%A1%AB/_blank" </w:instrText>
            </w:r>
            <w:r>
              <w:rPr>
                <w:rFonts w:hint="default"/>
              </w:rPr>
              <w:fldChar w:fldCharType="separate"/>
            </w:r>
            <w:r>
              <w:rPr>
                <w:rFonts w:hint="default"/>
              </w:rPr>
              <w:t>亚硫酸钙</w:t>
            </w:r>
            <w:r>
              <w:rPr>
                <w:rFonts w:hint="default"/>
              </w:rPr>
              <w:fldChar w:fldCharType="end"/>
            </w:r>
            <w:r>
              <w:rPr>
                <w:rFonts w:hint="default"/>
              </w:rPr>
              <w:t>、硫酸钙和碳酸钙等，可通过沉淀清除；可以回收，是制水泥的良好原料。因此可做到废物综合利用，降低运行费用</w:t>
            </w:r>
            <w:r>
              <w:rPr>
                <w:rFonts w:hint="eastAsia"/>
                <w:lang w:eastAsia="zh-CN"/>
              </w:rPr>
              <w:t>。</w:t>
            </w:r>
          </w:p>
          <w:p>
            <w:pPr>
              <w:keepNext w:val="0"/>
              <w:keepLines w:val="0"/>
              <w:suppressLineNumbers w:val="0"/>
              <w:spacing w:before="0" w:beforeAutospacing="0" w:after="0" w:afterAutospacing="0" w:line="360" w:lineRule="auto"/>
              <w:ind w:left="0" w:right="0" w:firstLine="560"/>
              <w:rPr>
                <w:rFonts w:hint="default"/>
              </w:rPr>
            </w:pPr>
            <w:r>
              <w:rPr>
                <w:rFonts w:hint="default"/>
              </w:rPr>
              <w:t>①脱硫过程</w:t>
            </w:r>
          </w:p>
          <w:p>
            <w:pPr>
              <w:keepNext w:val="0"/>
              <w:keepLines w:val="0"/>
              <w:suppressLineNumbers w:val="0"/>
              <w:bidi w:val="0"/>
              <w:spacing w:before="0" w:beforeAutospacing="0" w:after="0" w:afterAutospacing="0"/>
              <w:ind w:left="0" w:right="0"/>
              <w:rPr>
                <w:rFonts w:hint="default"/>
              </w:rPr>
            </w:pPr>
            <w:r>
              <w:rPr>
                <w:rFonts w:hint="eastAsia"/>
                <w:lang w:val="en-US" w:eastAsia="zh-CN"/>
              </w:rPr>
              <w:t>钠碱</w:t>
            </w:r>
            <w:r>
              <w:rPr>
                <w:rFonts w:hint="eastAsia"/>
              </w:rPr>
              <w:t>法烟气脱硫工艺同石灰石/石灰等其他湿法脱硫反应机理类似，主要反应为烟气中的SO</w:t>
            </w:r>
            <w:r>
              <w:rPr>
                <w:rFonts w:hint="eastAsia"/>
                <w:vertAlign w:val="subscript"/>
              </w:rPr>
              <w:t>2</w:t>
            </w:r>
            <w:r>
              <w:rPr>
                <w:rFonts w:hint="eastAsia"/>
              </w:rPr>
              <w:t>先溶解于吸收液中，然后离解成H+和HSO</w:t>
            </w:r>
            <w:r>
              <w:rPr>
                <w:rFonts w:hint="eastAsia"/>
                <w:vertAlign w:val="subscript"/>
              </w:rPr>
              <w:t>3</w:t>
            </w:r>
            <w:r>
              <w:rPr>
                <w:rFonts w:hint="eastAsia"/>
              </w:rPr>
              <w:t>—； SO</w:t>
            </w:r>
            <w:r>
              <w:rPr>
                <w:rFonts w:hint="eastAsia"/>
                <w:vertAlign w:val="subscript"/>
              </w:rPr>
              <w:t>2</w:t>
            </w:r>
            <w:r>
              <w:rPr>
                <w:rFonts w:hint="eastAsia"/>
              </w:rPr>
              <w:t>(g)= = = SO</w:t>
            </w:r>
            <w:r>
              <w:rPr>
                <w:rFonts w:hint="eastAsia"/>
                <w:vertAlign w:val="subscript"/>
              </w:rPr>
              <w:t>2</w:t>
            </w:r>
            <w:r>
              <w:rPr>
                <w:rFonts w:hint="default"/>
              </w:rPr>
              <w:t>：</w:t>
            </w:r>
          </w:p>
          <w:p>
            <w:pPr>
              <w:keepNext w:val="0"/>
              <w:keepLines w:val="0"/>
              <w:suppressLineNumbers w:val="0"/>
              <w:bidi w:val="0"/>
              <w:spacing w:before="0" w:beforeAutospacing="0" w:after="0" w:afterAutospacing="0"/>
              <w:ind w:left="0" w:right="0"/>
              <w:rPr>
                <w:rFonts w:hint="eastAsia"/>
                <w:lang w:eastAsia="zh-CN"/>
              </w:rPr>
            </w:pPr>
            <w:r>
              <w:rPr>
                <w:rFonts w:hint="eastAsia"/>
              </w:rPr>
              <w:t>SO</w:t>
            </w:r>
            <w:r>
              <w:rPr>
                <w:rFonts w:hint="eastAsia"/>
                <w:vertAlign w:val="subscript"/>
              </w:rPr>
              <w:t>2</w:t>
            </w:r>
            <w:r>
              <w:rPr>
                <w:rFonts w:hint="eastAsia"/>
              </w:rPr>
              <w:t>(aq)+H</w:t>
            </w:r>
            <w:r>
              <w:rPr>
                <w:rFonts w:hint="eastAsia"/>
                <w:vertAlign w:val="subscript"/>
              </w:rPr>
              <w:t>2</w:t>
            </w:r>
            <w:r>
              <w:rPr>
                <w:rFonts w:hint="eastAsia"/>
              </w:rPr>
              <w:t>O(l) = = =H</w:t>
            </w:r>
            <w:r>
              <w:rPr>
                <w:rFonts w:hint="eastAsia"/>
                <w:vertAlign w:val="superscript"/>
              </w:rPr>
              <w:t>+</w:t>
            </w:r>
            <w:r>
              <w:rPr>
                <w:rFonts w:hint="eastAsia"/>
              </w:rPr>
              <w:t>+HSO</w:t>
            </w:r>
            <w:r>
              <w:rPr>
                <w:rFonts w:hint="eastAsia"/>
                <w:vertAlign w:val="subscript"/>
              </w:rPr>
              <w:t>3</w:t>
            </w:r>
            <w:r>
              <w:rPr>
                <w:rFonts w:hint="eastAsia"/>
              </w:rPr>
              <w:t>= 2H++SO</w:t>
            </w:r>
            <w:r>
              <w:rPr>
                <w:rFonts w:hint="eastAsia"/>
                <w:vertAlign w:val="subscript"/>
              </w:rPr>
              <w:t>3</w:t>
            </w:r>
            <w:r>
              <w:rPr>
                <w:rFonts w:hint="eastAsia"/>
                <w:vertAlign w:val="superscript"/>
              </w:rPr>
              <w:t>2-</w:t>
            </w:r>
            <w:r>
              <w:rPr>
                <w:rFonts w:hint="eastAsia"/>
                <w:lang w:val="en-US" w:eastAsia="zh-CN"/>
              </w:rPr>
              <w:t xml:space="preserve">    </w:t>
            </w:r>
            <w:r>
              <w:rPr>
                <w:rFonts w:hint="eastAsia"/>
                <w:lang w:eastAsia="zh-CN"/>
              </w:rPr>
              <w:t>（</w:t>
            </w:r>
            <w:r>
              <w:rPr>
                <w:rFonts w:hint="eastAsia"/>
                <w:lang w:val="en-US" w:eastAsia="zh-CN"/>
              </w:rPr>
              <w:t>1</w:t>
            </w:r>
            <w:r>
              <w:rPr>
                <w:rFonts w:hint="eastAsia"/>
                <w:lang w:eastAsia="zh-CN"/>
              </w:rPr>
              <w:t>）</w:t>
            </w:r>
          </w:p>
          <w:p>
            <w:pPr>
              <w:keepNext w:val="0"/>
              <w:keepLines w:val="0"/>
              <w:suppressLineNumbers w:val="0"/>
              <w:bidi w:val="0"/>
              <w:spacing w:before="0" w:beforeAutospacing="0" w:after="0" w:afterAutospacing="0"/>
              <w:ind w:left="0" w:right="0"/>
              <w:rPr>
                <w:rFonts w:hint="eastAsia"/>
              </w:rPr>
            </w:pPr>
            <w:r>
              <w:rPr>
                <w:rFonts w:hint="eastAsia"/>
              </w:rPr>
              <w:t>式（1）为慢反应，是速度控制过程之一。</w:t>
            </w:r>
          </w:p>
          <w:p>
            <w:pPr>
              <w:keepNext w:val="0"/>
              <w:keepLines w:val="0"/>
              <w:suppressLineNumbers w:val="0"/>
              <w:bidi w:val="0"/>
              <w:spacing w:before="0" w:beforeAutospacing="0" w:after="0" w:afterAutospacing="0"/>
              <w:ind w:left="0" w:right="0"/>
              <w:rPr>
                <w:rFonts w:hint="eastAsia"/>
              </w:rPr>
            </w:pPr>
            <w:r>
              <w:rPr>
                <w:rFonts w:hint="default"/>
                <w:lang w:val="en-US" w:eastAsia="zh-CN"/>
              </w:rPr>
              <w:t>然后H</w:t>
            </w:r>
            <w:r>
              <w:rPr>
                <w:rFonts w:hint="default"/>
                <w:vertAlign w:val="superscript"/>
                <w:lang w:val="en-US" w:eastAsia="zh-CN"/>
              </w:rPr>
              <w:t>+</w:t>
            </w:r>
            <w:r>
              <w:rPr>
                <w:rFonts w:hint="default"/>
                <w:lang w:val="en-US" w:eastAsia="zh-CN"/>
              </w:rPr>
              <w:t>与溶液中的OH</w:t>
            </w:r>
            <w:r>
              <w:rPr>
                <w:rFonts w:hint="eastAsia"/>
                <w:vertAlign w:val="superscript"/>
                <w:lang w:val="en-US" w:eastAsia="zh-CN"/>
              </w:rPr>
              <w:t>-</w:t>
            </w:r>
            <w:r>
              <w:rPr>
                <w:rFonts w:hint="default"/>
                <w:lang w:val="en-US" w:eastAsia="zh-CN"/>
              </w:rPr>
              <w:t>中和反应，生成盐和水，促进SO</w:t>
            </w:r>
            <w:r>
              <w:rPr>
                <w:rFonts w:hint="default"/>
                <w:vertAlign w:val="subscript"/>
                <w:lang w:val="en-US" w:eastAsia="zh-CN"/>
              </w:rPr>
              <w:t>2</w:t>
            </w:r>
            <w:r>
              <w:rPr>
                <w:rFonts w:hint="default"/>
                <w:lang w:val="en-US" w:eastAsia="zh-CN"/>
              </w:rPr>
              <w:t>不断被吸收溶解。具体反应方程式如下：</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2NaOH+SO</w:t>
            </w:r>
            <w:r>
              <w:rPr>
                <w:rFonts w:hint="default"/>
                <w:vertAlign w:val="subscript"/>
                <w:lang w:val="en-US" w:eastAsia="zh-CN"/>
              </w:rPr>
              <w:t>2</w:t>
            </w:r>
            <w:r>
              <w:rPr>
                <w:rFonts w:hint="default"/>
                <w:lang w:val="en-US" w:eastAsia="zh-CN"/>
              </w:rPr>
              <w:t>→ Na</w:t>
            </w:r>
            <w:r>
              <w:rPr>
                <w:rFonts w:hint="default"/>
                <w:vertAlign w:val="subscript"/>
                <w:lang w:val="en-US" w:eastAsia="zh-CN"/>
              </w:rPr>
              <w:t>2</w:t>
            </w:r>
            <w:r>
              <w:rPr>
                <w:rFonts w:hint="default"/>
                <w:lang w:val="en-US" w:eastAsia="zh-CN"/>
              </w:rPr>
              <w:t>SO</w:t>
            </w:r>
            <w:r>
              <w:rPr>
                <w:rFonts w:hint="default"/>
                <w:vertAlign w:val="subscript"/>
                <w:lang w:val="en-US" w:eastAsia="zh-CN"/>
              </w:rPr>
              <w:t>3</w:t>
            </w:r>
            <w:r>
              <w:rPr>
                <w:rFonts w:hint="default"/>
                <w:lang w:val="en-US" w:eastAsia="zh-CN"/>
              </w:rPr>
              <w:t xml:space="preserve"> + H</w:t>
            </w:r>
            <w:r>
              <w:rPr>
                <w:rFonts w:hint="default"/>
                <w:vertAlign w:val="subscript"/>
                <w:lang w:val="en-US" w:eastAsia="zh-CN"/>
              </w:rPr>
              <w:t>2</w:t>
            </w:r>
            <w:r>
              <w:rPr>
                <w:rFonts w:hint="default"/>
                <w:lang w:val="en-US" w:eastAsia="zh-CN"/>
              </w:rPr>
              <w:t>O</w:t>
            </w:r>
          </w:p>
          <w:p>
            <w:pPr>
              <w:keepNext w:val="0"/>
              <w:keepLines w:val="0"/>
              <w:suppressLineNumbers w:val="0"/>
              <w:bidi w:val="0"/>
              <w:spacing w:before="0" w:beforeAutospacing="0" w:after="0" w:afterAutospacing="0"/>
              <w:ind w:left="0" w:right="0"/>
              <w:rPr>
                <w:rFonts w:hint="default"/>
              </w:rPr>
            </w:pPr>
            <w:r>
              <w:rPr>
                <w:rFonts w:hint="default"/>
                <w:lang w:val="en-US" w:eastAsia="zh-CN"/>
              </w:rPr>
              <w:t>Na</w:t>
            </w:r>
            <w:r>
              <w:rPr>
                <w:rFonts w:hint="default"/>
                <w:vertAlign w:val="subscript"/>
                <w:lang w:val="en-US" w:eastAsia="zh-CN"/>
              </w:rPr>
              <w:t>2</w:t>
            </w:r>
            <w:r>
              <w:rPr>
                <w:rFonts w:hint="default"/>
                <w:lang w:val="en-US" w:eastAsia="zh-CN"/>
              </w:rPr>
              <w:t>SO</w:t>
            </w:r>
            <w:r>
              <w:rPr>
                <w:rFonts w:hint="eastAsia"/>
                <w:vertAlign w:val="subscript"/>
                <w:lang w:val="en-US" w:eastAsia="zh-CN"/>
              </w:rPr>
              <w:t>3</w:t>
            </w:r>
            <w:r>
              <w:rPr>
                <w:rFonts w:hint="default"/>
                <w:lang w:val="en-US" w:eastAsia="zh-CN"/>
              </w:rPr>
              <w:t>+ SO</w:t>
            </w:r>
            <w:r>
              <w:rPr>
                <w:rFonts w:hint="default"/>
                <w:vertAlign w:val="subscript"/>
                <w:lang w:val="en-US" w:eastAsia="zh-CN"/>
              </w:rPr>
              <w:t>2</w:t>
            </w:r>
            <w:r>
              <w:rPr>
                <w:rFonts w:hint="default"/>
                <w:lang w:val="en-US" w:eastAsia="zh-CN"/>
              </w:rPr>
              <w:t>+H</w:t>
            </w:r>
            <w:r>
              <w:rPr>
                <w:rFonts w:hint="default"/>
                <w:vertAlign w:val="subscript"/>
                <w:lang w:val="en-US" w:eastAsia="zh-CN"/>
              </w:rPr>
              <w:t>2</w:t>
            </w:r>
            <w:r>
              <w:rPr>
                <w:rFonts w:hint="default"/>
                <w:lang w:val="en-US" w:eastAsia="zh-CN"/>
              </w:rPr>
              <w:t>O→2NaHSO</w:t>
            </w:r>
            <w:r>
              <w:rPr>
                <w:rFonts w:hint="default"/>
                <w:vertAlign w:val="subscript"/>
                <w:lang w:val="en-US" w:eastAsia="zh-CN"/>
              </w:rPr>
              <w:t>3</w:t>
            </w:r>
          </w:p>
          <w:p>
            <w:pPr>
              <w:keepNext w:val="0"/>
              <w:keepLines w:val="0"/>
              <w:suppressLineNumbers w:val="0"/>
              <w:bidi w:val="0"/>
              <w:spacing w:before="0" w:beforeAutospacing="0" w:after="0" w:afterAutospacing="0"/>
              <w:ind w:left="0" w:right="0"/>
              <w:rPr>
                <w:rFonts w:hint="eastAsia"/>
                <w:lang w:val="de-DE" w:eastAsia="zh-CN"/>
              </w:rPr>
            </w:pPr>
            <w:r>
              <w:rPr>
                <w:rFonts w:hint="eastAsia"/>
              </w:rPr>
              <w:t>脱硫后的反应产物进入再生池内用另一种碱，一般是Ca(OH)</w:t>
            </w:r>
            <w:r>
              <w:rPr>
                <w:rFonts w:hint="eastAsia"/>
                <w:vertAlign w:val="subscript"/>
              </w:rPr>
              <w:t>2</w:t>
            </w:r>
            <w:r>
              <w:rPr>
                <w:rFonts w:hint="eastAsia"/>
              </w:rPr>
              <w:t>进行再生，再生反应过程如下：</w:t>
            </w:r>
          </w:p>
          <w:p>
            <w:pPr>
              <w:keepNext w:val="0"/>
              <w:keepLines w:val="0"/>
              <w:suppressLineNumbers w:val="0"/>
              <w:spacing w:before="0" w:beforeAutospacing="0" w:after="0" w:afterAutospacing="0" w:line="360" w:lineRule="auto"/>
              <w:ind w:left="0" w:right="0" w:firstLine="480" w:firstLineChars="200"/>
              <w:rPr>
                <w:rFonts w:hint="default"/>
                <w:lang w:val="de-DE"/>
              </w:rPr>
            </w:pPr>
            <w:r>
              <w:rPr>
                <w:rFonts w:hint="eastAsia"/>
                <w:lang w:val="en-US" w:eastAsia="zh-CN"/>
              </w:rPr>
              <w:t>②</w:t>
            </w:r>
            <w:r>
              <w:rPr>
                <w:rFonts w:hint="default"/>
              </w:rPr>
              <w:t>再生过程</w:t>
            </w:r>
          </w:p>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Ca(OH)</w:t>
            </w:r>
            <w:r>
              <w:rPr>
                <w:rFonts w:hint="default"/>
                <w:vertAlign w:val="subscript"/>
                <w:lang w:val="en-US" w:eastAsia="zh-CN"/>
              </w:rPr>
              <w:t>2</w:t>
            </w:r>
            <w:r>
              <w:rPr>
                <w:rFonts w:hint="default"/>
                <w:lang w:val="en-US" w:eastAsia="zh-CN"/>
              </w:rPr>
              <w:t>+ Na</w:t>
            </w:r>
            <w:r>
              <w:rPr>
                <w:rFonts w:hint="default"/>
                <w:vertAlign w:val="subscript"/>
                <w:lang w:val="en-US" w:eastAsia="zh-CN"/>
              </w:rPr>
              <w:t>2</w:t>
            </w:r>
            <w:r>
              <w:rPr>
                <w:rFonts w:hint="default"/>
                <w:lang w:val="en-US" w:eastAsia="zh-CN"/>
              </w:rPr>
              <w:t>SO</w:t>
            </w:r>
            <w:r>
              <w:rPr>
                <w:rFonts w:hint="default"/>
                <w:vertAlign w:val="subscript"/>
                <w:lang w:val="en-US" w:eastAsia="zh-CN"/>
              </w:rPr>
              <w:t>3</w:t>
            </w:r>
            <w:r>
              <w:rPr>
                <w:rFonts w:hint="default"/>
                <w:lang w:val="en-US" w:eastAsia="zh-CN"/>
              </w:rPr>
              <w:t>→2NaOH + CaSO</w:t>
            </w:r>
            <w:r>
              <w:rPr>
                <w:rFonts w:hint="default"/>
                <w:vertAlign w:val="subscript"/>
                <w:lang w:val="en-US" w:eastAsia="zh-CN"/>
              </w:rPr>
              <w:t>3</w:t>
            </w:r>
            <w:r>
              <w:rPr>
                <w:rFonts w:hint="default" w:ascii="Arial" w:hAnsi="Arial" w:cs="Arial"/>
                <w:vertAlign w:val="baseline"/>
                <w:lang w:val="en-US" w:eastAsia="zh-CN"/>
              </w:rPr>
              <w:t>↓</w:t>
            </w:r>
          </w:p>
          <w:p>
            <w:pPr>
              <w:keepNext w:val="0"/>
              <w:keepLines w:val="0"/>
              <w:suppressLineNumbers w:val="0"/>
              <w:bidi w:val="0"/>
              <w:spacing w:before="0" w:beforeAutospacing="0" w:after="0" w:afterAutospacing="0"/>
              <w:ind w:left="0" w:right="0"/>
              <w:rPr>
                <w:rFonts w:hint="default"/>
                <w:lang w:val="pt-BR"/>
              </w:rPr>
            </w:pPr>
            <w:r>
              <w:rPr>
                <w:rFonts w:hint="default"/>
                <w:lang w:val="en-US" w:eastAsia="zh-CN"/>
              </w:rPr>
              <w:t>Ca(OH)</w:t>
            </w:r>
            <w:r>
              <w:rPr>
                <w:rFonts w:hint="default"/>
                <w:vertAlign w:val="subscript"/>
                <w:lang w:val="en-US" w:eastAsia="zh-CN"/>
              </w:rPr>
              <w:t>2</w:t>
            </w:r>
            <w:r>
              <w:rPr>
                <w:rFonts w:hint="default"/>
                <w:lang w:val="en-US" w:eastAsia="zh-CN"/>
              </w:rPr>
              <w:t>+2NaHSO</w:t>
            </w:r>
            <w:r>
              <w:rPr>
                <w:rFonts w:hint="default"/>
                <w:vertAlign w:val="subscript"/>
                <w:lang w:val="en-US" w:eastAsia="zh-CN"/>
              </w:rPr>
              <w:t>3</w:t>
            </w:r>
            <w:r>
              <w:rPr>
                <w:rFonts w:hint="default"/>
                <w:lang w:val="en-US" w:eastAsia="zh-CN"/>
              </w:rPr>
              <w:t>→ Na</w:t>
            </w:r>
            <w:r>
              <w:rPr>
                <w:rFonts w:hint="default"/>
                <w:vertAlign w:val="subscript"/>
                <w:lang w:val="en-US" w:eastAsia="zh-CN"/>
              </w:rPr>
              <w:t>2</w:t>
            </w:r>
            <w:r>
              <w:rPr>
                <w:rFonts w:hint="default"/>
                <w:lang w:val="en-US" w:eastAsia="zh-CN"/>
              </w:rPr>
              <w:t>SO</w:t>
            </w:r>
            <w:r>
              <w:rPr>
                <w:rFonts w:hint="default"/>
                <w:vertAlign w:val="subscript"/>
                <w:lang w:val="en-US" w:eastAsia="zh-CN"/>
              </w:rPr>
              <w:t>3</w:t>
            </w:r>
            <w:r>
              <w:rPr>
                <w:rFonts w:hint="default"/>
                <w:lang w:val="en-US" w:eastAsia="zh-CN"/>
              </w:rPr>
              <w:t>+CaSO</w:t>
            </w:r>
            <w:r>
              <w:rPr>
                <w:rFonts w:hint="default"/>
                <w:vertAlign w:val="subscript"/>
                <w:lang w:val="en-US" w:eastAsia="zh-CN"/>
              </w:rPr>
              <w:t>3</w:t>
            </w:r>
            <w:r>
              <w:rPr>
                <w:rFonts w:hint="default" w:ascii="Arial" w:hAnsi="Arial" w:cs="Arial"/>
                <w:vertAlign w:val="baseline"/>
                <w:lang w:val="en-US" w:eastAsia="zh-CN"/>
              </w:rPr>
              <w:t>↓</w:t>
            </w:r>
            <w:r>
              <w:rPr>
                <w:rFonts w:hint="eastAsia"/>
                <w:vertAlign w:val="baseline"/>
                <w:lang w:val="en-US" w:eastAsia="zh-CN"/>
              </w:rPr>
              <w:t>+H</w:t>
            </w:r>
            <w:r>
              <w:rPr>
                <w:rFonts w:hint="eastAsia"/>
                <w:vertAlign w:val="subscript"/>
                <w:lang w:val="en-US" w:eastAsia="zh-CN"/>
              </w:rPr>
              <w:t>2</w:t>
            </w:r>
            <w:r>
              <w:rPr>
                <w:rFonts w:hint="eastAsia"/>
                <w:vertAlign w:val="baseline"/>
                <w:lang w:val="en-US" w:eastAsia="zh-CN"/>
              </w:rPr>
              <w:t>O</w:t>
            </w:r>
          </w:p>
          <w:p>
            <w:pPr>
              <w:keepNext w:val="0"/>
              <w:keepLines w:val="0"/>
              <w:widowControl/>
              <w:suppressLineNumbers w:val="0"/>
              <w:spacing w:before="0" w:beforeAutospacing="0" w:after="0" w:afterAutospacing="0" w:line="360" w:lineRule="auto"/>
              <w:ind w:left="0" w:right="0" w:firstLine="480" w:firstLineChars="200"/>
              <w:jc w:val="left"/>
              <w:rPr>
                <w:rFonts w:hint="default"/>
                <w:lang w:val="de-DE"/>
              </w:rPr>
            </w:pPr>
            <w:r>
              <w:rPr>
                <w:rFonts w:hint="default"/>
                <w:lang w:val="de-DE"/>
              </w:rPr>
              <w:t>工艺简述：</w:t>
            </w:r>
          </w:p>
          <w:p>
            <w:pPr>
              <w:keepNext w:val="0"/>
              <w:keepLines w:val="0"/>
              <w:widowControl/>
              <w:suppressLineNumbers w:val="0"/>
              <w:spacing w:before="0" w:beforeAutospacing="0" w:after="0" w:afterAutospacing="0" w:line="360" w:lineRule="auto"/>
              <w:ind w:left="0" w:right="0" w:firstLine="480" w:firstLineChars="200"/>
              <w:jc w:val="left"/>
              <w:rPr>
                <w:rFonts w:hint="default"/>
              </w:rPr>
            </w:pPr>
            <w:r>
              <w:rPr>
                <w:rFonts w:hint="default"/>
              </w:rPr>
              <w:t>①脱硫过程</w:t>
            </w:r>
          </w:p>
          <w:p>
            <w:pPr>
              <w:keepNext w:val="0"/>
              <w:keepLines w:val="0"/>
              <w:widowControl/>
              <w:suppressLineNumbers w:val="0"/>
              <w:spacing w:before="0" w:beforeAutospacing="0" w:after="0" w:afterAutospacing="0" w:line="360" w:lineRule="auto"/>
              <w:ind w:left="0" w:right="0" w:firstLine="480" w:firstLineChars="200"/>
              <w:jc w:val="left"/>
              <w:rPr>
                <w:rFonts w:hint="default"/>
                <w:lang w:val="de-DE"/>
              </w:rPr>
            </w:pPr>
            <w:r>
              <w:rPr>
                <w:rFonts w:hint="default"/>
                <w:lang w:val="de-DE"/>
              </w:rPr>
              <w:t>从引风机过来的高温烟气经过原烟气挡板进入脱硫塔内，脱硫液与烟气逆流接触发生脱硫反应，从缓冲池来的脱硫液（pH控制在9.0～12）通过回流泵输送到脱硫塔顶部喷淋段，脱硫后的烟气经脱硫塔顶部的除雾器，除去烟气中所夹带的浆液和水雾后塔顶排放，脱硫后的脱硫液一部分通过循环泵输送到脱硫塔顶部喷淋段自身循环，一部分通过再生泵输送到反应池，进行再生反应。</w:t>
            </w:r>
          </w:p>
          <w:p>
            <w:pPr>
              <w:keepNext w:val="0"/>
              <w:keepLines w:val="0"/>
              <w:widowControl/>
              <w:suppressLineNumbers w:val="0"/>
              <w:spacing w:before="0" w:beforeAutospacing="0" w:after="0" w:afterAutospacing="0" w:line="360" w:lineRule="auto"/>
              <w:ind w:left="0" w:right="0" w:firstLine="480" w:firstLineChars="200"/>
              <w:jc w:val="left"/>
              <w:rPr>
                <w:rFonts w:hint="default"/>
                <w:lang w:val="de-DE"/>
              </w:rPr>
            </w:pPr>
            <w:r>
              <w:rPr>
                <w:rFonts w:hint="default"/>
                <w:lang w:val="de-DE"/>
              </w:rPr>
              <w:t>②再生过程</w:t>
            </w:r>
          </w:p>
          <w:p>
            <w:pPr>
              <w:keepNext w:val="0"/>
              <w:keepLines w:val="0"/>
              <w:widowControl/>
              <w:suppressLineNumbers w:val="0"/>
              <w:spacing w:before="0" w:beforeAutospacing="0" w:after="0" w:afterAutospacing="0" w:line="360" w:lineRule="auto"/>
              <w:ind w:left="0" w:right="0" w:firstLine="480" w:firstLineChars="200"/>
              <w:jc w:val="left"/>
              <w:rPr>
                <w:rFonts w:hint="default"/>
                <w:lang w:val="de-DE"/>
              </w:rPr>
            </w:pPr>
            <w:r>
              <w:rPr>
                <w:rFonts w:hint="default"/>
                <w:lang w:val="de-DE"/>
              </w:rPr>
              <w:t>由再生泵输送脱硫后的液体到送至反应池，石灰浆液由石灰浆液泵输入到反应池，与脱硫后的液体进行再生反应，氢氧化钠得以再生，同时生成副产物亚硫酸钙。反应池内的浆液溢流到沉淀池，进行固液澄清分离。沉淀池上层的氢氧化钠清液溢流回缓冲池内循环利用，下层亚硫酸钙、硫酸钙等经渣浆泵输送至压滤机脱水后外运。</w:t>
            </w:r>
          </w:p>
          <w:p>
            <w:pPr>
              <w:keepNext w:val="0"/>
              <w:keepLines w:val="0"/>
              <w:widowControl/>
              <w:suppressLineNumbers w:val="0"/>
              <w:spacing w:before="0" w:beforeAutospacing="0" w:after="0" w:afterAutospacing="0" w:line="360" w:lineRule="auto"/>
              <w:ind w:left="0" w:right="0" w:firstLine="496" w:firstLineChars="207"/>
              <w:jc w:val="left"/>
              <w:rPr>
                <w:rFonts w:hint="default"/>
              </w:rPr>
            </w:pPr>
            <w:r>
              <w:rPr>
                <w:rFonts w:hint="default"/>
              </w:rPr>
              <w:t>③渣浆脱水排放</w:t>
            </w:r>
          </w:p>
          <w:p>
            <w:pPr>
              <w:keepNext w:val="0"/>
              <w:keepLines w:val="0"/>
              <w:widowControl/>
              <w:suppressLineNumbers w:val="0"/>
              <w:spacing w:before="0" w:beforeAutospacing="0" w:after="0" w:afterAutospacing="0" w:line="360" w:lineRule="auto"/>
              <w:ind w:left="0" w:right="0" w:firstLine="496" w:firstLineChars="207"/>
              <w:jc w:val="left"/>
              <w:rPr>
                <w:rFonts w:hint="default"/>
              </w:rPr>
            </w:pPr>
            <w:r>
              <w:rPr>
                <w:rFonts w:hint="default"/>
              </w:rPr>
              <w:t>亚硫酸钙及副产物硫酸钙在沉淀池下层沉淀，通过刮渣机聚集，由渣浆泵输送到压滤机分配槽。浆液通过分配槽均匀分布在压滤机上，浆液中的水分由被压挤，从浆液中分离流入排水槽，水流进缓冲池循环利用。亚硫酸钙废渣含水率10～15%，运输至</w:t>
            </w:r>
            <w:r>
              <w:rPr>
                <w:rFonts w:hint="eastAsia"/>
                <w:lang w:eastAsia="zh-CN"/>
              </w:rPr>
              <w:t>灰渣库</w:t>
            </w:r>
            <w:r>
              <w:rPr>
                <w:rFonts w:hint="default"/>
              </w:rPr>
              <w:t>临时堆放。</w:t>
            </w:r>
          </w:p>
          <w:p>
            <w:pPr>
              <w:keepNext w:val="0"/>
              <w:keepLines w:val="0"/>
              <w:widowControl/>
              <w:suppressLineNumbers w:val="0"/>
              <w:spacing w:before="0" w:beforeAutospacing="0" w:after="0" w:afterAutospacing="0" w:line="360" w:lineRule="auto"/>
              <w:ind w:left="0" w:right="0" w:firstLine="496" w:firstLineChars="207"/>
              <w:jc w:val="left"/>
              <w:rPr>
                <w:rFonts w:hint="default"/>
              </w:rPr>
            </w:pPr>
            <w:r>
              <w:rPr>
                <w:rFonts w:hint="default"/>
              </w:rPr>
              <w:t>④脱硫剂的制备系统</w:t>
            </w:r>
          </w:p>
          <w:p>
            <w:pPr>
              <w:spacing w:line="360" w:lineRule="auto"/>
              <w:ind w:firstLine="480" w:firstLineChars="200"/>
              <w:rPr>
                <w:color w:val="000000" w:themeColor="text1"/>
                <w:sz w:val="24"/>
                <w:szCs w:val="22"/>
                <w14:textFill>
                  <w14:solidFill>
                    <w14:schemeClr w14:val="tx1"/>
                  </w14:solidFill>
                </w14:textFill>
              </w:rPr>
            </w:pPr>
            <w:r>
              <w:rPr>
                <w:rFonts w:hint="default"/>
              </w:rPr>
              <w:t>汽车槽车运来石灰，消化成氢氧化钙。氢氧化钙到石灰浆液箱，加水稀释至10～20%，通过石灰浆液泵输送至反应池，与脱硫液进行再生反应。碳酸钠液碱通过计量泵输送至脱硫塔，补充脱硫塔内氢氧化钠消耗，供吸收用</w:t>
            </w:r>
            <w:r>
              <w:rPr>
                <w:rFonts w:hint="eastAsia"/>
                <w:color w:val="000000" w:themeColor="text1"/>
                <w:sz w:val="24"/>
                <w:szCs w:val="22"/>
                <w:lang w:val="en-GB"/>
                <w14:textFill>
                  <w14:solidFill>
                    <w14:schemeClr w14:val="tx1"/>
                  </w14:solidFill>
                </w14:textFill>
              </w:rPr>
              <w:t>。</w:t>
            </w:r>
          </w:p>
          <w:p>
            <w:pPr>
              <w:bidi w:val="0"/>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5、除尘系统</w:t>
            </w:r>
          </w:p>
          <w:p>
            <w:pPr>
              <w:snapToGrid w:val="0"/>
              <w:spacing w:line="360" w:lineRule="auto"/>
              <w:ind w:firstLine="480"/>
              <w:rPr>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布</w:t>
            </w:r>
            <w:r>
              <w:rPr>
                <w:rFonts w:hint="eastAsia"/>
                <w:color w:val="000000" w:themeColor="text1"/>
                <w:sz w:val="24"/>
                <w:szCs w:val="24"/>
                <w14:textFill>
                  <w14:solidFill>
                    <w14:schemeClr w14:val="tx1"/>
                  </w14:solidFill>
                </w14:textFill>
              </w:rPr>
              <w:t>袋除尘器工作原理：当含尘气体由进风口进入灰斗后，一部分较粗的尘粒在这里由于惯性碰撞、自然沉降等原因落入灰斗，大部分尘粒随气流上升进入袋室，经滤袋过滤后，尘粒被阻留在滤袋外侧，净化后的气体则由滤袋内部进入箱体，再由阀板孔、出风口排入大气中，达到除尘的目的。</w:t>
            </w:r>
            <w:r>
              <w:rPr>
                <w:rFonts w:hint="eastAsia"/>
                <w:color w:val="000000" w:themeColor="text1"/>
                <w:sz w:val="24"/>
                <w:szCs w:val="24"/>
                <w:lang w:val="en-US" w:eastAsia="zh-CN"/>
                <w14:textFill>
                  <w14:solidFill>
                    <w14:schemeClr w14:val="tx1"/>
                  </w14:solidFill>
                </w14:textFill>
              </w:rPr>
              <w:t>参考</w:t>
            </w:r>
            <w:r>
              <w:rPr>
                <w:rFonts w:hint="eastAsia"/>
                <w:lang w:val="en-US" w:eastAsia="zh-CN"/>
              </w:rPr>
              <w:t>《排放源统计调查产排污核算方法和系数手册》中《4430工业锅炉（热力生产和供应行业）产污系数表-生物质工业锅炉》可知，布袋除尘器除尘效率为99.7%。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53" w:hRule="atLeast"/>
          <w:jc w:val="center"/>
        </w:trPr>
        <w:tc>
          <w:tcPr>
            <w:tcW w:w="857" w:type="dxa"/>
            <w:tcBorders>
              <w:tl2br w:val="nil"/>
              <w:tr2bl w:val="nil"/>
            </w:tcBorders>
            <w:noWrap w:val="0"/>
            <w:vAlign w:val="center"/>
          </w:tcPr>
          <w:p>
            <w:pPr>
              <w:pStyle w:val="14"/>
              <w:bidi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与项目有关的原有环境污染问题</w:t>
            </w:r>
          </w:p>
        </w:tc>
        <w:tc>
          <w:tcPr>
            <w:tcW w:w="8497" w:type="dxa"/>
            <w:tcBorders>
              <w:tl2br w:val="nil"/>
              <w:tr2bl w:val="nil"/>
            </w:tcBorders>
            <w:noWrap w:val="0"/>
            <w:vAlign w:val="center"/>
          </w:tcPr>
          <w:p>
            <w:pPr>
              <w:bidi w:val="0"/>
              <w:rPr>
                <w:color w:val="000000" w:themeColor="text1"/>
                <w14:textFill>
                  <w14:solidFill>
                    <w14:schemeClr w14:val="tx1"/>
                  </w14:solidFill>
                </w14:textFill>
              </w:rPr>
            </w:pPr>
            <w:r>
              <w:rPr>
                <w:rFonts w:hint="default"/>
                <w:color w:val="000000" w:themeColor="text1"/>
                <w14:textFill>
                  <w14:solidFill>
                    <w14:schemeClr w14:val="tx1"/>
                  </w14:solidFill>
                </w14:textFill>
              </w:rPr>
              <w:t>本项目为</w:t>
            </w:r>
            <w:r>
              <w:rPr>
                <w:rFonts w:hint="eastAsia"/>
                <w:color w:val="000000" w:themeColor="text1"/>
                <w:lang w:val="en-US" w:eastAsia="zh-CN"/>
                <w14:textFill>
                  <w14:solidFill>
                    <w14:schemeClr w14:val="tx1"/>
                  </w14:solidFill>
                </w14:textFill>
              </w:rPr>
              <w:t>新建项目，目前根据现场踏勘，项目区目前为荒草地，地面主要以吉木萨尔县常见的各类杂草为主，无与本项目有关的原有污染情况及主要环境问题</w:t>
            </w:r>
            <w:r>
              <w:rPr>
                <w:rFonts w:hint="default"/>
                <w:color w:val="000000" w:themeColor="text1"/>
                <w14:textFill>
                  <w14:solidFill>
                    <w14:schemeClr w14:val="tx1"/>
                  </w14:solidFill>
                </w14:textFill>
              </w:rPr>
              <w:t>。</w:t>
            </w:r>
          </w:p>
        </w:tc>
      </w:tr>
    </w:tbl>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3"/>
        <w:bidi w:val="0"/>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三、区域环境质量现状、环境保护目标及评价标准</w:t>
      </w:r>
    </w:p>
    <w:tbl>
      <w:tblPr>
        <w:tblStyle w:val="10"/>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4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920"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区域</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质量</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现状</w:t>
            </w:r>
          </w:p>
        </w:tc>
        <w:tc>
          <w:tcPr>
            <w:tcW w:w="8434" w:type="dxa"/>
            <w:tcBorders>
              <w:tl2br w:val="nil"/>
              <w:tr2bl w:val="nil"/>
            </w:tcBorders>
            <w:noWrap w:val="0"/>
            <w:vAlign w:val="center"/>
          </w:tcPr>
          <w:p>
            <w:pPr>
              <w:keepNext/>
              <w:keepLines/>
              <w:numPr>
                <w:ilvl w:val="0"/>
                <w:numId w:val="1"/>
              </w:numPr>
              <w:suppressLineNumbers w:val="0"/>
              <w:spacing w:before="0" w:beforeAutospacing="0" w:after="0" w:afterAutospacing="0"/>
              <w:ind w:right="0"/>
              <w:outlineLvl w:val="2"/>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一</w:t>
            </w:r>
            <w:r>
              <w:rPr>
                <w:rFonts w:hint="eastAsia"/>
                <w:b/>
                <w:bCs/>
                <w:color w:val="000000" w:themeColor="text1"/>
                <w:sz w:val="24"/>
                <w:szCs w:val="24"/>
                <w14:textFill>
                  <w14:solidFill>
                    <w14:schemeClr w14:val="tx1"/>
                  </w14:solidFill>
                </w14:textFill>
              </w:rPr>
              <w:t>、环境空气质量现状</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1、区域环境空气质量达标判定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（1）数据来源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环境影响评价技术导则-大气环境》（H.J2.2-2018）中6.2.1.2：采用评价范围内国家或地方环境空气质量监测网中评价基准年连续1年的监测数据，或采用生态环境主管部门公开发布的环境空气质量现状数据。本次评价选择距离项目最近的吉木萨尔县环境监测站20</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2</w:t>
            </w: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年的监测数据，作为本项目环境空气现状评价基本污染物SO</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、CO和O</w:t>
            </w: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的数据来源。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（2）评价标准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评价标准：基本污染物NO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PM</w:t>
            </w:r>
            <w:r>
              <w:rPr>
                <w:rFonts w:hint="eastAsia" w:cs="Times New Roman"/>
                <w:color w:val="000000" w:themeColor="text1"/>
                <w:sz w:val="24"/>
                <w:szCs w:val="24"/>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、CO、O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执行《环境空气质量标准》（GB3095-2012）二级标准</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及其修改单</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（3）评价方法</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评价方法：基本污染物按照 《环境空气质量评价技术规范（试行）》HJ 663-2013 中各评价项目的年评价指标进行判定。年评价指标中的年均浓度和相应百分位数24h 平均或 8h 平均质量浓度满足 GB3095 中浓度限值要求的即为达标。 </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基本</w:t>
            </w:r>
            <w:r>
              <w:rPr>
                <w:rFonts w:hint="default" w:ascii="Times New Roman" w:hAnsi="Times New Roman" w:eastAsia="宋体" w:cs="Times New Roman"/>
                <w:color w:val="000000" w:themeColor="text1"/>
                <w:sz w:val="24"/>
                <w:szCs w:val="24"/>
                <w14:textFill>
                  <w14:solidFill>
                    <w14:schemeClr w14:val="tx1"/>
                  </w14:solidFill>
                </w14:textFill>
              </w:rPr>
              <w:t>污染物采用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占标率法</w:t>
            </w:r>
            <w:r>
              <w:rPr>
                <w:rFonts w:hint="default" w:ascii="Times New Roman" w:hAnsi="Times New Roman" w:eastAsia="宋体" w:cs="Times New Roman"/>
                <w:color w:val="000000" w:themeColor="text1"/>
                <w:sz w:val="24"/>
                <w:szCs w:val="24"/>
                <w14:textFill>
                  <w14:solidFill>
                    <w14:schemeClr w14:val="tx1"/>
                  </w14:solidFill>
                </w14:textFill>
              </w:rPr>
              <w:t>，其单项参数 i 在第j 点的标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占标率</w:t>
            </w:r>
            <w:r>
              <w:rPr>
                <w:rFonts w:hint="default" w:ascii="Times New Roman" w:hAnsi="Times New Roman" w:eastAsia="宋体" w:cs="Times New Roman"/>
                <w:color w:val="000000" w:themeColor="text1"/>
                <w:sz w:val="24"/>
                <w:szCs w:val="24"/>
                <w14:textFill>
                  <w14:solidFill>
                    <w14:schemeClr w14:val="tx1"/>
                  </w14:solidFill>
                </w14:textFill>
              </w:rPr>
              <w:t>为：</w:t>
            </w:r>
          </w:p>
          <w:p>
            <w:pPr>
              <w:keepNext w:val="0"/>
              <w:keepLines w:val="0"/>
              <w:widowControl/>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i/>
                <w:color w:val="000000" w:themeColor="text1"/>
                <w:sz w:val="24"/>
                <w:szCs w:val="24"/>
                <w:lang w:eastAsia="zh-CN"/>
                <w14:textFill>
                  <w14:solidFill>
                    <w14:schemeClr w14:val="tx1"/>
                  </w14:solidFill>
                </w14:textFill>
              </w:rPr>
            </w:pPr>
            <w:r>
              <w:rPr>
                <w:rFonts w:hint="default" w:ascii="Times New Roman" w:hAnsi="Times New Roman" w:eastAsia="宋体" w:cs="Times New Roman"/>
                <w:b/>
                <w:i/>
                <w:color w:val="000000" w:themeColor="text1"/>
                <w:position w:val="-30"/>
                <w:sz w:val="24"/>
                <w:szCs w:val="24"/>
                <w:lang w:eastAsia="zh-CN"/>
                <w14:textFill>
                  <w14:solidFill>
                    <w14:schemeClr w14:val="tx1"/>
                  </w14:solidFill>
                </w14:textFill>
              </w:rPr>
              <w:object>
                <v:shape id="_x0000_i1025" o:spt="75" type="#_x0000_t75" style="height:34pt;width:78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P</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第i个污染物的最大地面空气质量浓度占标率，%</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C</w:t>
            </w:r>
            <w:r>
              <w:rPr>
                <w:rFonts w:hint="default" w:ascii="Times New Roman" w:hAnsi="Times New Roman" w:eastAsia="宋体" w:cs="Times New Roman"/>
                <w:color w:val="000000" w:themeColor="text1"/>
                <w:sz w:val="24"/>
                <w:szCs w:val="24"/>
                <w:vertAlign w:val="subscript"/>
                <w14:textFill>
                  <w14:solidFill>
                    <w14:schemeClr w14:val="tx1"/>
                  </w14:solidFill>
                </w14:textFill>
              </w:rPr>
              <w:t>i</w:t>
            </w:r>
            <w:r>
              <w:rPr>
                <w:rFonts w:hint="default" w:ascii="Times New Roman" w:hAnsi="Times New Roman" w:eastAsia="宋体" w:cs="Times New Roman"/>
                <w:color w:val="000000" w:themeColor="text1"/>
                <w:sz w:val="24"/>
                <w:szCs w:val="24"/>
                <w14:textFill>
                  <w14:solidFill>
                    <w14:schemeClr w14:val="tx1"/>
                  </w14:solidFill>
                </w14:textFill>
              </w:rPr>
              <w:t>－i污染物的浓度，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u</w:t>
            </w:r>
            <w:r>
              <w:rPr>
                <w:rFonts w:hint="default" w:ascii="Times New Roman" w:hAnsi="Times New Roman" w:eastAsia="宋体" w:cs="Times New Roman"/>
                <w:color w:val="000000" w:themeColor="text1"/>
                <w:sz w:val="24"/>
                <w:szCs w:val="24"/>
                <w14:textFill>
                  <w14:solidFill>
                    <w14:schemeClr w14:val="tx1"/>
                  </w14:solidFill>
                </w14:textFill>
              </w:rPr>
              <w:t>g/m³；</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C</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0i</w:t>
            </w:r>
            <w:r>
              <w:rPr>
                <w:rFonts w:hint="default" w:ascii="Times New Roman" w:hAnsi="Times New Roman" w:eastAsia="宋体" w:cs="Times New Roman"/>
                <w:color w:val="000000" w:themeColor="text1"/>
                <w:sz w:val="24"/>
                <w:szCs w:val="24"/>
                <w14:textFill>
                  <w14:solidFill>
                    <w14:schemeClr w14:val="tx1"/>
                  </w14:solidFill>
                </w14:textFill>
              </w:rPr>
              <w:t>－i污染物的评价标准，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u</w:t>
            </w:r>
            <w:r>
              <w:rPr>
                <w:rFonts w:hint="default" w:ascii="Times New Roman" w:hAnsi="Times New Roman" w:eastAsia="宋体" w:cs="Times New Roman"/>
                <w:color w:val="000000" w:themeColor="text1"/>
                <w:sz w:val="24"/>
                <w:szCs w:val="24"/>
                <w14:textFill>
                  <w14:solidFill>
                    <w14:schemeClr w14:val="tx1"/>
                  </w14:solidFill>
                </w14:textFill>
              </w:rPr>
              <w:t>g/m³。</w:t>
            </w:r>
          </w:p>
          <w:p>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环境空气质量现状监测及评价结果见表</w:t>
            </w:r>
            <w:r>
              <w:rPr>
                <w:rFonts w:hint="eastAsia"/>
                <w:color w:val="000000" w:themeColor="text1"/>
                <w:lang w:val="en-US" w:eastAsia="zh-CN"/>
                <w14:textFill>
                  <w14:solidFill>
                    <w14:schemeClr w14:val="tx1"/>
                  </w14:solidFill>
                </w14:textFill>
              </w:rPr>
              <w:t>3-1</w:t>
            </w:r>
            <w:r>
              <w:rPr>
                <w:rFonts w:hint="default"/>
                <w:color w:val="000000" w:themeColor="text1"/>
                <w14:textFill>
                  <w14:solidFill>
                    <w14:schemeClr w14:val="tx1"/>
                  </w14:solidFill>
                </w14:textFill>
              </w:rPr>
              <w:t>。</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3-1 </w:t>
            </w:r>
            <w:r>
              <w:rPr>
                <w:rFonts w:hint="default"/>
                <w:b/>
                <w:bCs/>
                <w:color w:val="000000" w:themeColor="text1"/>
                <w14:textFill>
                  <w14:solidFill>
                    <w14:schemeClr w14:val="tx1"/>
                  </w14:solidFill>
                </w14:textFill>
              </w:rPr>
              <w:t xml:space="preserve">  环境空气基本污染物现状监测结果及评价统计表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776"/>
              <w:gridCol w:w="1287"/>
              <w:gridCol w:w="1265"/>
              <w:gridCol w:w="1268"/>
              <w:gridCol w:w="13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评价因子</w:t>
                  </w:r>
                </w:p>
              </w:tc>
              <w:tc>
                <w:tcPr>
                  <w:tcW w:w="1776"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平均时段</w:t>
                  </w:r>
                </w:p>
              </w:tc>
              <w:tc>
                <w:tcPr>
                  <w:tcW w:w="1287"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现状浓度</w:t>
                  </w:r>
                </w:p>
              </w:tc>
              <w:tc>
                <w:tcPr>
                  <w:tcW w:w="1265"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标准限值</w:t>
                  </w:r>
                </w:p>
              </w:tc>
              <w:tc>
                <w:tcPr>
                  <w:tcW w:w="1268"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占标率%</w:t>
                  </w:r>
                </w:p>
              </w:tc>
              <w:tc>
                <w:tcPr>
                  <w:tcW w:w="1304"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restart"/>
                  <w:tcBorders>
                    <w:top w:val="single" w:color="auto" w:sz="12" w:space="0"/>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SO</w:t>
                  </w:r>
                  <w:r>
                    <w:rPr>
                      <w:rFonts w:hint="default"/>
                      <w:color w:val="000000" w:themeColor="text1"/>
                      <w:vertAlign w:val="subscript"/>
                      <w14:textFill>
                        <w14:solidFill>
                          <w14:schemeClr w14:val="tx1"/>
                        </w14:solidFill>
                      </w14:textFill>
                    </w:rPr>
                    <w:t>2</w:t>
                  </w:r>
                </w:p>
              </w:tc>
              <w:tc>
                <w:tcPr>
                  <w:tcW w:w="1776"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年平均浓度</w:t>
                  </w:r>
                </w:p>
              </w:tc>
              <w:tc>
                <w:tcPr>
                  <w:tcW w:w="1287"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w:t>
                  </w:r>
                </w:p>
              </w:tc>
              <w:tc>
                <w:tcPr>
                  <w:tcW w:w="1265"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60</w:t>
                  </w:r>
                </w:p>
              </w:tc>
              <w:tc>
                <w:tcPr>
                  <w:tcW w:w="1268"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13.33</w:t>
                  </w:r>
                </w:p>
              </w:tc>
              <w:tc>
                <w:tcPr>
                  <w:tcW w:w="1304"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continue"/>
                  <w:tcBorders>
                    <w:tl2br w:val="nil"/>
                    <w:tr2bl w:val="nil"/>
                  </w:tcBorders>
                  <w:noWrap w:val="0"/>
                  <w:vAlign w:val="center"/>
                </w:tcPr>
                <w:p>
                  <w:pPr>
                    <w:pStyle w:val="15"/>
                    <w:bidi w:val="0"/>
                    <w:rPr>
                      <w:rFonts w:hint="default"/>
                      <w:color w:val="000000" w:themeColor="text1"/>
                      <w14:textFill>
                        <w14:solidFill>
                          <w14:schemeClr w14:val="tx1"/>
                        </w14:solidFill>
                      </w14:textFill>
                    </w:rPr>
                  </w:pPr>
                </w:p>
              </w:tc>
              <w:tc>
                <w:tcPr>
                  <w:tcW w:w="1776"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第98百分位数日平均浓度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37</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24.67</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restart"/>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NO</w:t>
                  </w:r>
                  <w:r>
                    <w:rPr>
                      <w:rFonts w:hint="default"/>
                      <w:color w:val="000000" w:themeColor="text1"/>
                      <w:vertAlign w:val="subscript"/>
                      <w14:textFill>
                        <w14:solidFill>
                          <w14:schemeClr w14:val="tx1"/>
                        </w14:solidFill>
                      </w14:textFill>
                    </w:rPr>
                    <w:t>2</w:t>
                  </w:r>
                </w:p>
              </w:tc>
              <w:tc>
                <w:tcPr>
                  <w:tcW w:w="1776"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年平均浓度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37.50</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continue"/>
                  <w:tcBorders>
                    <w:tl2br w:val="nil"/>
                    <w:tr2bl w:val="nil"/>
                  </w:tcBorders>
                  <w:noWrap w:val="0"/>
                  <w:vAlign w:val="center"/>
                </w:tcPr>
                <w:p>
                  <w:pPr>
                    <w:pStyle w:val="15"/>
                    <w:bidi w:val="0"/>
                    <w:rPr>
                      <w:rFonts w:hint="default"/>
                      <w:color w:val="000000" w:themeColor="text1"/>
                      <w14:textFill>
                        <w14:solidFill>
                          <w14:schemeClr w14:val="tx1"/>
                        </w14:solidFill>
                      </w14:textFill>
                    </w:rPr>
                  </w:pPr>
                </w:p>
              </w:tc>
              <w:tc>
                <w:tcPr>
                  <w:tcW w:w="1776"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第98百分位数日平均浓度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42</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52.50</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restart"/>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PM</w:t>
                  </w:r>
                  <w:r>
                    <w:rPr>
                      <w:rFonts w:hint="default"/>
                      <w:color w:val="000000" w:themeColor="text1"/>
                      <w:vertAlign w:val="subscript"/>
                      <w14:textFill>
                        <w14:solidFill>
                          <w14:schemeClr w14:val="tx1"/>
                        </w14:solidFill>
                      </w14:textFill>
                    </w:rPr>
                    <w:t>10</w:t>
                  </w:r>
                </w:p>
              </w:tc>
              <w:tc>
                <w:tcPr>
                  <w:tcW w:w="1776"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年平均浓度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83</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118.57</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continue"/>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p>
              </w:tc>
              <w:tc>
                <w:tcPr>
                  <w:tcW w:w="1776"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第95百分位数日平均浓度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266</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150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177.33</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restart"/>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PM</w:t>
                  </w:r>
                  <w:r>
                    <w:rPr>
                      <w:rFonts w:hint="default"/>
                      <w:color w:val="000000" w:themeColor="text1"/>
                      <w:vertAlign w:val="subscript"/>
                      <w:lang w:val="en-US" w:eastAsia="zh-CN"/>
                      <w14:textFill>
                        <w14:solidFill>
                          <w14:schemeClr w14:val="tx1"/>
                        </w14:solidFill>
                      </w14:textFill>
                    </w:rPr>
                    <w:t>2.5</w:t>
                  </w:r>
                </w:p>
              </w:tc>
              <w:tc>
                <w:tcPr>
                  <w:tcW w:w="1776"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年平均浓度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48</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35</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137.14</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vMerge w:val="continue"/>
                  <w:tcBorders>
                    <w:tl2br w:val="nil"/>
                    <w:tr2bl w:val="nil"/>
                  </w:tcBorders>
                  <w:noWrap w:val="0"/>
                  <w:vAlign w:val="center"/>
                </w:tcPr>
                <w:p>
                  <w:pPr>
                    <w:pStyle w:val="15"/>
                    <w:bidi w:val="0"/>
                    <w:rPr>
                      <w:rFonts w:hint="default"/>
                      <w:color w:val="000000" w:themeColor="text1"/>
                      <w14:textFill>
                        <w14:solidFill>
                          <w14:schemeClr w14:val="tx1"/>
                        </w14:solidFill>
                      </w14:textFill>
                    </w:rPr>
                  </w:pPr>
                </w:p>
              </w:tc>
              <w:tc>
                <w:tcPr>
                  <w:tcW w:w="1776"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第9</w:t>
                  </w:r>
                  <w:r>
                    <w:rPr>
                      <w:rFonts w:hint="default"/>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百分位数日平均浓度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211</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75</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281.33</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CO</w:t>
                  </w:r>
                </w:p>
              </w:tc>
              <w:tc>
                <w:tcPr>
                  <w:tcW w:w="1776"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第95百分位数日平均浓度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2400</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4000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60</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0"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O</w:t>
                  </w:r>
                  <w:r>
                    <w:rPr>
                      <w:rFonts w:hint="default"/>
                      <w:color w:val="000000" w:themeColor="text1"/>
                      <w:vertAlign w:val="subscript"/>
                      <w:lang w:val="en-US" w:eastAsia="zh-CN"/>
                      <w14:textFill>
                        <w14:solidFill>
                          <w14:schemeClr w14:val="tx1"/>
                        </w14:solidFill>
                      </w14:textFill>
                    </w:rPr>
                    <w:t>3</w:t>
                  </w:r>
                </w:p>
              </w:tc>
              <w:tc>
                <w:tcPr>
                  <w:tcW w:w="1776"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第90百分位数日平均浓度</w:t>
                  </w:r>
                </w:p>
              </w:tc>
              <w:tc>
                <w:tcPr>
                  <w:tcW w:w="1287"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122</w:t>
                  </w:r>
                </w:p>
              </w:tc>
              <w:tc>
                <w:tcPr>
                  <w:tcW w:w="1265"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160</w:t>
                  </w:r>
                </w:p>
              </w:tc>
              <w:tc>
                <w:tcPr>
                  <w:tcW w:w="1268"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76.25</w:t>
                  </w:r>
                </w:p>
              </w:tc>
              <w:tc>
                <w:tcPr>
                  <w:tcW w:w="1304"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达标</w:t>
                  </w:r>
                </w:p>
              </w:tc>
            </w:tr>
          </w:tbl>
          <w:p>
            <w:pPr>
              <w:bidi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由监测结果表明：项目所在区域SO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CO、O</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NO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的年均浓度和日均浓度均达标；</w:t>
            </w:r>
            <w:r>
              <w:rPr>
                <w:rFonts w:hint="default" w:ascii="Times New Roman" w:hAnsi="Times New Roman" w:cs="Times New Roman"/>
                <w:color w:val="000000" w:themeColor="text1"/>
                <w:sz w:val="24"/>
                <w:szCs w:val="24"/>
                <w:highlight w:val="none"/>
                <w14:textFill>
                  <w14:solidFill>
                    <w14:schemeClr w14:val="tx1"/>
                  </w14:solidFill>
                </w14:textFill>
              </w:rPr>
              <w:t>PM</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PM</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2.5</w:t>
            </w:r>
            <w:r>
              <w:rPr>
                <w:rFonts w:hint="default" w:ascii="Times New Roman" w:hAnsi="Times New Roman" w:cs="Times New Roman"/>
                <w:color w:val="000000" w:themeColor="text1"/>
                <w:sz w:val="24"/>
                <w:szCs w:val="24"/>
                <w:highlight w:val="none"/>
                <w14:textFill>
                  <w14:solidFill>
                    <w14:schemeClr w14:val="tx1"/>
                  </w14:solidFill>
                </w14:textFill>
              </w:rPr>
              <w:t>年均浓度和日均浓度均超过《环境空气质量标准（GB3095-2012）的二级标准要求，因此，本项目所在区域为非达标区域。</w:t>
            </w:r>
          </w:p>
          <w:p>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2、环境空气质量现状补充监测</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生物质热风炉烘干玉米项目，其特征污染物为总悬浮颗粒物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。为充分确定项目区的大气环境质量现状。特对项目区大气环境的</w:t>
            </w:r>
            <w:r>
              <w:rPr>
                <w:rFonts w:hint="eastAsia" w:cs="Times New Roman"/>
                <w:color w:val="000000" w:themeColor="text1"/>
                <w:sz w:val="24"/>
                <w:szCs w:val="24"/>
                <w:lang w:val="en-US" w:eastAsia="zh-CN"/>
                <w14:textFill>
                  <w14:solidFill>
                    <w14:schemeClr w14:val="tx1"/>
                  </w14:solidFill>
                </w14:textFill>
              </w:rPr>
              <w:t>总悬浮颗粒物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进行了补充监测。</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（1）监测点位</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根据《环境影响评价技术导则</w:t>
            </w:r>
            <w:r>
              <w:rPr>
                <w:rFonts w:hint="eastAsia"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 xml:space="preserve"> 大气环境》（HJ2.2-2018）要求，本次评价针对本项目涉及的其他污染物进行了补充监测。本次评价</w:t>
            </w:r>
            <w:r>
              <w:rPr>
                <w:rFonts w:hint="eastAsia" w:cs="Times New Roman"/>
                <w:color w:val="000000" w:themeColor="text1"/>
                <w:sz w:val="24"/>
                <w:szCs w:val="24"/>
                <w:lang w:val="en-US" w:eastAsia="zh-CN"/>
                <w14:textFill>
                  <w14:solidFill>
                    <w14:schemeClr w14:val="tx1"/>
                  </w14:solidFill>
                </w14:textFill>
              </w:rPr>
              <w:t>由</w:t>
            </w:r>
            <w:r>
              <w:rPr>
                <w:rFonts w:hint="eastAsia" w:cs="Times New Roman"/>
                <w:color w:val="000000" w:themeColor="text1"/>
                <w:sz w:val="24"/>
                <w:szCs w:val="24"/>
                <w:lang w:eastAsia="zh-CN"/>
                <w14:textFill>
                  <w14:solidFill>
                    <w14:schemeClr w14:val="tx1"/>
                  </w14:solidFill>
                </w14:textFill>
              </w:rPr>
              <w:t>新疆正则环宇检测科技有限公司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对</w:t>
            </w:r>
            <w:r>
              <w:rPr>
                <w:rFonts w:hint="eastAsia" w:cs="Times New Roman"/>
                <w:color w:val="000000" w:themeColor="text1"/>
                <w:sz w:val="24"/>
                <w:szCs w:val="24"/>
                <w:lang w:val="en-US" w:eastAsia="zh-CN"/>
                <w14:textFill>
                  <w14:solidFill>
                    <w14:schemeClr w14:val="tx1"/>
                  </w14:solidFill>
                </w14:textFill>
              </w:rPr>
              <w:t>项目区进行了监测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监测因子为</w:t>
            </w:r>
            <w:r>
              <w:rPr>
                <w:rFonts w:hint="eastAsia" w:cs="Times New Roman"/>
                <w:color w:val="000000" w:themeColor="text1"/>
                <w:sz w:val="24"/>
                <w:szCs w:val="24"/>
                <w:lang w:val="en-US" w:eastAsia="zh-CN"/>
                <w14:textFill>
                  <w14:solidFill>
                    <w14:schemeClr w14:val="tx1"/>
                  </w14:solidFill>
                </w14:textFill>
              </w:rPr>
              <w:t>总悬浮颗粒物</w:t>
            </w:r>
            <w:r>
              <w:rPr>
                <w:rFonts w:hint="default" w:ascii="Times New Roman" w:hAnsi="Times New Roman" w:eastAsia="宋体" w:cs="Times New Roman"/>
                <w:color w:val="000000" w:themeColor="text1"/>
                <w:sz w:val="24"/>
                <w:szCs w:val="24"/>
                <w14:textFill>
                  <w14:solidFill>
                    <w14:schemeClr w14:val="tx1"/>
                  </w14:solidFill>
                </w14:textFill>
              </w:rPr>
              <w:t>。项目监测布点图见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附图</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。各监测点位置及其监测因子见表</w:t>
            </w:r>
            <w:r>
              <w:rPr>
                <w:rFonts w:hint="eastAsia" w:cs="Times New Roman"/>
                <w:color w:val="000000" w:themeColor="text1"/>
                <w:sz w:val="24"/>
                <w:szCs w:val="24"/>
                <w:lang w:val="en-US" w:eastAsia="zh-CN"/>
                <w14:textFill>
                  <w14:solidFill>
                    <w14:schemeClr w14:val="tx1"/>
                  </w14:solidFill>
                </w14:textFill>
              </w:rPr>
              <w:t>3-2</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w:t>
            </w:r>
            <w:r>
              <w:rPr>
                <w:rFonts w:hint="eastAsia"/>
                <w:b/>
                <w:bCs/>
                <w:color w:val="000000" w:themeColor="text1"/>
                <w:lang w:val="en-US" w:eastAsia="zh-CN"/>
                <w14:textFill>
                  <w14:solidFill>
                    <w14:schemeClr w14:val="tx1"/>
                  </w14:solidFill>
                </w14:textFill>
              </w:rPr>
              <w:t>3-2</w:t>
            </w:r>
            <w:r>
              <w:rPr>
                <w:rFonts w:hint="default"/>
                <w:b/>
                <w:bCs/>
                <w:color w:val="000000" w:themeColor="text1"/>
                <w:lang w:val="en-US" w:eastAsia="zh-CN"/>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lang w:val="en-US" w:eastAsia="zh-CN"/>
                <w14:textFill>
                  <w14:solidFill>
                    <w14:schemeClr w14:val="tx1"/>
                  </w14:solidFill>
                </w14:textFill>
              </w:rPr>
              <w:t xml:space="preserve"> 环境空气监测点及监测因子一览表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1"/>
              <w:gridCol w:w="1047"/>
              <w:gridCol w:w="1217"/>
              <w:gridCol w:w="1627"/>
              <w:gridCol w:w="3020"/>
              <w:gridCol w:w="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481"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编号</w:t>
                  </w:r>
                </w:p>
              </w:tc>
              <w:tc>
                <w:tcPr>
                  <w:tcW w:w="1047"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监测点名称</w:t>
                  </w:r>
                </w:p>
              </w:tc>
              <w:tc>
                <w:tcPr>
                  <w:tcW w:w="1217"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相对厂址方位</w:t>
                  </w:r>
                </w:p>
              </w:tc>
              <w:tc>
                <w:tcPr>
                  <w:tcW w:w="1627"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相对厂界距离（m）</w:t>
                  </w:r>
                </w:p>
              </w:tc>
              <w:tc>
                <w:tcPr>
                  <w:tcW w:w="3020" w:type="dxa"/>
                  <w:tcBorders>
                    <w:bottom w:val="single" w:color="auto" w:sz="12" w:space="0"/>
                  </w:tcBorders>
                  <w:noWrap w:val="0"/>
                  <w:vAlign w:val="center"/>
                </w:tcPr>
                <w:p>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监测点位坐标</w:t>
                  </w:r>
                </w:p>
              </w:tc>
              <w:tc>
                <w:tcPr>
                  <w:tcW w:w="828"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481"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w:t>
                  </w:r>
                </w:p>
              </w:tc>
              <w:tc>
                <w:tcPr>
                  <w:tcW w:w="1047" w:type="dxa"/>
                  <w:tcBorders>
                    <w:top w:val="single" w:color="auto" w:sz="12" w:space="0"/>
                    <w:tl2br w:val="nil"/>
                    <w:tr2bl w:val="nil"/>
                  </w:tcBorders>
                  <w:noWrap w:val="0"/>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项目区</w:t>
                  </w:r>
                </w:p>
              </w:tc>
              <w:tc>
                <w:tcPr>
                  <w:tcW w:w="1217"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SW</w:t>
                  </w:r>
                </w:p>
              </w:tc>
              <w:tc>
                <w:tcPr>
                  <w:tcW w:w="1627"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3020"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N44°11'5.89"、E88°49'13.02"</w:t>
                  </w:r>
                </w:p>
              </w:tc>
              <w:tc>
                <w:tcPr>
                  <w:tcW w:w="828" w:type="dxa"/>
                  <w:tcBorders>
                    <w:top w:val="single" w:color="auto" w:sz="12" w:space="0"/>
                    <w:tl2br w:val="nil"/>
                    <w:tr2bl w:val="nil"/>
                  </w:tcBorders>
                  <w:noWrap w:val="0"/>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TSP、汞</w:t>
                  </w:r>
                </w:p>
              </w:tc>
            </w:tr>
          </w:tbl>
          <w:p>
            <w:pP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（2）监测时间</w:t>
            </w:r>
          </w:p>
          <w:p>
            <w:pPr>
              <w:spacing w:line="360" w:lineRule="auto"/>
              <w:ind w:firstLine="480" w:firstLineChars="200"/>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监测时间20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日。特征污染物连续</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w:t>
            </w:r>
            <w:r>
              <w:rPr>
                <w:rFonts w:hint="eastAsia" w:cs="Times New Roman"/>
                <w:color w:val="000000" w:themeColor="text1"/>
                <w:sz w:val="24"/>
                <w:szCs w:val="24"/>
                <w:lang w:val="en-US" w:eastAsia="zh-CN"/>
                <w14:textFill>
                  <w14:solidFill>
                    <w14:schemeClr w14:val="tx1"/>
                  </w14:solidFill>
                </w14:textFill>
              </w:rPr>
              <w:t>检测。</w:t>
            </w:r>
          </w:p>
          <w:p>
            <w:pP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（3）评价标准</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本项目所在地区属于环境空气质量二类功能区，</w:t>
            </w:r>
            <w:r>
              <w:rPr>
                <w:rFonts w:hint="eastAsia" w:cs="Times New Roman"/>
                <w:color w:val="000000" w:themeColor="text1"/>
                <w:sz w:val="24"/>
                <w:szCs w:val="24"/>
                <w:lang w:val="en-US" w:eastAsia="zh-CN"/>
                <w14:textFill>
                  <w14:solidFill>
                    <w14:schemeClr w14:val="tx1"/>
                  </w14:solidFill>
                </w14:textFill>
              </w:rPr>
              <w:t>执行《环境空气质量标准》（GB3095-2012）二级标准。</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监测分析方法</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监测及分析方法均按照国家环保局《环境监测技术规范》和《环境空气质量标准（GB3095-2012）》要求，</w:t>
            </w:r>
            <w:r>
              <w:rPr>
                <w:rFonts w:hint="eastAsia" w:cs="Times New Roman"/>
                <w:color w:val="000000" w:themeColor="text1"/>
                <w:sz w:val="24"/>
                <w:szCs w:val="24"/>
                <w:lang w:val="en-US" w:eastAsia="zh-CN"/>
                <w14:textFill>
                  <w14:solidFill>
                    <w14:schemeClr w14:val="tx1"/>
                  </w14:solidFill>
                </w14:textFill>
              </w:rPr>
              <w:t>总悬浮颗粒物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参照《环境空气 </w:t>
            </w:r>
            <w:r>
              <w:rPr>
                <w:rFonts w:hint="eastAsia" w:cs="Times New Roman"/>
                <w:color w:val="000000" w:themeColor="text1"/>
                <w:sz w:val="24"/>
                <w:szCs w:val="24"/>
                <w:lang w:val="en-US" w:eastAsia="zh-CN"/>
                <w14:textFill>
                  <w14:solidFill>
                    <w14:schemeClr w14:val="tx1"/>
                  </w14:solidFill>
                </w14:textFill>
              </w:rPr>
              <w:t xml:space="preserve"> 总悬浮颗粒物的测定  重量法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（GB/T15432-1995）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w:t>
            </w:r>
            <w:r>
              <w:rPr>
                <w:rFonts w:hint="eastAsia" w:cs="Times New Roman"/>
                <w:color w:val="000000" w:themeColor="text1"/>
                <w:sz w:val="24"/>
                <w:szCs w:val="24"/>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评价方法</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采用最大占标百分比，计算公式为：</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Pi=Ci/Coi×i   </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式中：Pi——第i个污染物的最大占标百分比（%）；</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Ci——第i个污染物最大监测浓度（mg/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      Coi——第i个污染物的环境空气质量浓度标准（mg/</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m³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（6）监测结果</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环境空气质量现状监测统计结果见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w:t>
            </w:r>
            <w:r>
              <w:rPr>
                <w:rFonts w:hint="eastAsia"/>
                <w:b/>
                <w:bCs/>
                <w:color w:val="000000" w:themeColor="text1"/>
                <w:lang w:val="en-US" w:eastAsia="zh-CN"/>
                <w14:textFill>
                  <w14:solidFill>
                    <w14:schemeClr w14:val="tx1"/>
                  </w14:solidFill>
                </w14:textFill>
              </w:rPr>
              <w:t>3-3</w:t>
            </w:r>
            <w:r>
              <w:rPr>
                <w:rFonts w:hint="default"/>
                <w:b/>
                <w:bCs/>
                <w:color w:val="000000" w:themeColor="text1"/>
                <w:lang w:val="en-US" w:eastAsia="zh-CN"/>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总悬浮颗粒物</w:t>
            </w:r>
            <w:r>
              <w:rPr>
                <w:rFonts w:hint="default"/>
                <w:b/>
                <w:bCs/>
                <w:color w:val="000000" w:themeColor="text1"/>
                <w:lang w:val="en-US" w:eastAsia="zh-CN"/>
                <w14:textFill>
                  <w14:solidFill>
                    <w14:schemeClr w14:val="tx1"/>
                  </w14:solidFill>
                </w14:textFill>
              </w:rPr>
              <w:t>监测结果统计表（小时浓度）</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6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188"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采样日期</w:t>
                  </w:r>
                </w:p>
              </w:tc>
              <w:tc>
                <w:tcPr>
                  <w:tcW w:w="6032" w:type="dxa"/>
                  <w:noWrap w:val="0"/>
                  <w:vAlign w:val="center"/>
                </w:tcPr>
                <w:p>
                  <w:pPr>
                    <w:pStyle w:val="15"/>
                    <w:bidi w:val="0"/>
                    <w:rPr>
                      <w:rFonts w:hint="default"/>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总悬浮颗粒物</w:t>
                  </w:r>
                  <w:r>
                    <w:rPr>
                      <w:rFonts w:hint="default"/>
                      <w:b/>
                      <w:bCs/>
                      <w:color w:val="000000" w:themeColor="text1"/>
                      <w14:textFill>
                        <w14:solidFill>
                          <w14:schemeClr w14:val="tx1"/>
                        </w14:solidFill>
                      </w14:textFill>
                    </w:rPr>
                    <w:t>（mg/</w:t>
                  </w:r>
                  <w:r>
                    <w:rPr>
                      <w:rFonts w:hint="default"/>
                      <w:b/>
                      <w:bCs/>
                      <w:color w:val="000000" w:themeColor="text1"/>
                      <w:lang w:eastAsia="zh-CN"/>
                      <w14:textFill>
                        <w14:solidFill>
                          <w14:schemeClr w14:val="tx1"/>
                        </w14:solidFill>
                      </w14:textFill>
                    </w:rPr>
                    <w:t>m³</w:t>
                  </w:r>
                  <w:r>
                    <w:rPr>
                      <w:rFonts w:hint="default"/>
                      <w:b/>
                      <w:bCs/>
                      <w:color w:val="000000" w:themeColor="text1"/>
                      <w14:textFill>
                        <w14:solidFill>
                          <w14:schemeClr w14:val="tx1"/>
                        </w14:solidFill>
                      </w14:textFill>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188" w:type="dxa"/>
                  <w:vMerge w:val="continue"/>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p>
              </w:tc>
              <w:tc>
                <w:tcPr>
                  <w:tcW w:w="6032" w:type="dxa"/>
                  <w:tcBorders>
                    <w:bottom w:val="single" w:color="auto" w:sz="12" w:space="0"/>
                  </w:tcBorders>
                  <w:noWrap w:val="0"/>
                  <w:vAlign w:val="center"/>
                </w:tcPr>
                <w:p>
                  <w:pPr>
                    <w:pStyle w:val="15"/>
                    <w:bidi w:val="0"/>
                    <w:rPr>
                      <w:rFonts w:hint="eastAsia"/>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项目区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188"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2022.7.6</w:t>
                  </w:r>
                </w:p>
              </w:tc>
              <w:tc>
                <w:tcPr>
                  <w:tcW w:w="6032" w:type="dxa"/>
                  <w:tcBorders>
                    <w:top w:val="single" w:color="auto"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188" w:type="dxa"/>
                  <w:tcBorders>
                    <w:tl2br w:val="nil"/>
                    <w:tr2bl w:val="nil"/>
                  </w:tcBorders>
                  <w:noWrap w:val="0"/>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2022.7.7</w:t>
                  </w:r>
                </w:p>
              </w:tc>
              <w:tc>
                <w:tcPr>
                  <w:tcW w:w="6032"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jc w:val="center"/>
              </w:trPr>
              <w:tc>
                <w:tcPr>
                  <w:tcW w:w="2188" w:type="dxa"/>
                  <w:tcBorders>
                    <w:tl2br w:val="nil"/>
                    <w:tr2bl w:val="nil"/>
                  </w:tcBorders>
                  <w:noWrap w:val="0"/>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2022.7.8</w:t>
                  </w:r>
                </w:p>
              </w:tc>
              <w:tc>
                <w:tcPr>
                  <w:tcW w:w="6032" w:type="dxa"/>
                  <w:tcBorders>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0.090</w:t>
                  </w:r>
                </w:p>
              </w:tc>
            </w:tr>
          </w:tbl>
          <w:p>
            <w:pPr>
              <w:keepNext/>
              <w:keepLines/>
              <w:spacing w:line="360" w:lineRule="auto"/>
              <w:ind w:firstLine="480" w:firstLineChars="200"/>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根据现状监测数据和《环境影响评价技术导则 大气环境》（HJ/T2.2-2018）对监测数据统计分析要求，其环境空气质量监测点各项污染物的评价结果见表</w:t>
            </w:r>
            <w:r>
              <w:rPr>
                <w:rFonts w:hint="eastAsia" w:cs="Times New Roman"/>
                <w:color w:val="000000" w:themeColor="text1"/>
                <w:sz w:val="24"/>
                <w:szCs w:val="24"/>
                <w:lang w:val="en-US" w:eastAsia="zh-CN"/>
                <w14:textFill>
                  <w14:solidFill>
                    <w14:schemeClr w14:val="tx1"/>
                  </w14:solidFill>
                </w14:textFill>
              </w:rPr>
              <w:t>3-4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pStyle w:val="1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3-4 </w:t>
            </w:r>
            <w:r>
              <w:rPr>
                <w:rFonts w:hint="default"/>
                <w:b/>
                <w:bCs/>
                <w:color w:val="000000" w:themeColor="text1"/>
                <w:lang w:val="en-US" w:eastAsia="zh-CN"/>
                <w14:textFill>
                  <w14:solidFill>
                    <w14:schemeClr w14:val="tx1"/>
                  </w14:solidFill>
                </w14:textFill>
              </w:rPr>
              <w:t xml:space="preserve">  环境空气质量统计分析表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22"/>
              <w:gridCol w:w="878"/>
              <w:gridCol w:w="824"/>
              <w:gridCol w:w="663"/>
              <w:gridCol w:w="928"/>
              <w:gridCol w:w="1060"/>
              <w:gridCol w:w="806"/>
              <w:gridCol w:w="676"/>
              <w:gridCol w:w="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72" w:type="dxa"/>
                  <w:vMerge w:val="restart"/>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监测点名称</w:t>
                  </w:r>
                </w:p>
              </w:tc>
              <w:tc>
                <w:tcPr>
                  <w:tcW w:w="1900" w:type="dxa"/>
                  <w:gridSpan w:val="2"/>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监测点坐标</w:t>
                  </w:r>
                </w:p>
              </w:tc>
              <w:tc>
                <w:tcPr>
                  <w:tcW w:w="824" w:type="dxa"/>
                  <w:vMerge w:val="restart"/>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污染物</w:t>
                  </w:r>
                </w:p>
              </w:tc>
              <w:tc>
                <w:tcPr>
                  <w:tcW w:w="663" w:type="dxa"/>
                  <w:vMerge w:val="restart"/>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平均时间</w:t>
                  </w:r>
                </w:p>
              </w:tc>
              <w:tc>
                <w:tcPr>
                  <w:tcW w:w="928" w:type="dxa"/>
                  <w:vMerge w:val="restart"/>
                  <w:tcBorders>
                    <w:tl2br w:val="nil"/>
                    <w:tr2bl w:val="nil"/>
                  </w:tcBorders>
                  <w:noWrap w:val="0"/>
                  <w:vAlign w:val="center"/>
                </w:tcPr>
                <w:p>
                  <w:pPr>
                    <w:pStyle w:val="15"/>
                    <w:bidi w:val="0"/>
                    <w:rPr>
                      <w:rFonts w:hint="default"/>
                      <w:b/>
                      <w:bCs/>
                      <w:color w:val="000000" w:themeColor="text1"/>
                      <w:lang w:eastAsia="zh-CN"/>
                      <w14:textFill>
                        <w14:solidFill>
                          <w14:schemeClr w14:val="tx1"/>
                        </w14:solidFill>
                      </w14:textFill>
                    </w:rPr>
                  </w:pPr>
                  <w:r>
                    <w:rPr>
                      <w:rFonts w:hint="default"/>
                      <w:b/>
                      <w:bCs/>
                      <w:color w:val="000000" w:themeColor="text1"/>
                      <w14:textFill>
                        <w14:solidFill>
                          <w14:schemeClr w14:val="tx1"/>
                        </w14:solidFill>
                      </w14:textFill>
                    </w:rPr>
                    <w:t>评价标准mg/</w:t>
                  </w:r>
                  <w:r>
                    <w:rPr>
                      <w:rFonts w:hint="default"/>
                      <w:b/>
                      <w:bCs/>
                      <w:color w:val="000000" w:themeColor="text1"/>
                      <w:lang w:eastAsia="zh-CN"/>
                      <w14:textFill>
                        <w14:solidFill>
                          <w14:schemeClr w14:val="tx1"/>
                        </w14:solidFill>
                      </w14:textFill>
                    </w:rPr>
                    <w:t>m³</w:t>
                  </w:r>
                </w:p>
              </w:tc>
              <w:tc>
                <w:tcPr>
                  <w:tcW w:w="1060" w:type="dxa"/>
                  <w:vMerge w:val="restart"/>
                  <w:tcBorders>
                    <w:tl2br w:val="nil"/>
                    <w:tr2bl w:val="nil"/>
                  </w:tcBorders>
                  <w:noWrap w:val="0"/>
                  <w:vAlign w:val="center"/>
                </w:tcPr>
                <w:p>
                  <w:pPr>
                    <w:pStyle w:val="15"/>
                    <w:bidi w:val="0"/>
                    <w:rPr>
                      <w:rFonts w:hint="default"/>
                      <w:b/>
                      <w:bCs/>
                      <w:color w:val="000000" w:themeColor="text1"/>
                      <w:lang w:eastAsia="zh-CN"/>
                      <w14:textFill>
                        <w14:solidFill>
                          <w14:schemeClr w14:val="tx1"/>
                        </w14:solidFill>
                      </w14:textFill>
                    </w:rPr>
                  </w:pPr>
                  <w:r>
                    <w:rPr>
                      <w:rFonts w:hint="default"/>
                      <w:b/>
                      <w:bCs/>
                      <w:color w:val="000000" w:themeColor="text1"/>
                      <w14:textFill>
                        <w14:solidFill>
                          <w14:schemeClr w14:val="tx1"/>
                        </w14:solidFill>
                      </w14:textFill>
                    </w:rPr>
                    <w:t>监测浓度范围mg/</w:t>
                  </w:r>
                  <w:r>
                    <w:rPr>
                      <w:rFonts w:hint="default"/>
                      <w:b/>
                      <w:bCs/>
                      <w:color w:val="000000" w:themeColor="text1"/>
                      <w:lang w:eastAsia="zh-CN"/>
                      <w14:textFill>
                        <w14:solidFill>
                          <w14:schemeClr w14:val="tx1"/>
                        </w14:solidFill>
                      </w14:textFill>
                    </w:rPr>
                    <w:t>m³</w:t>
                  </w:r>
                </w:p>
              </w:tc>
              <w:tc>
                <w:tcPr>
                  <w:tcW w:w="806" w:type="dxa"/>
                  <w:vMerge w:val="restart"/>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最大浓度占标率%</w:t>
                  </w:r>
                </w:p>
              </w:tc>
              <w:tc>
                <w:tcPr>
                  <w:tcW w:w="676" w:type="dxa"/>
                  <w:vMerge w:val="restart"/>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超标率%</w:t>
                  </w:r>
                </w:p>
              </w:tc>
              <w:tc>
                <w:tcPr>
                  <w:tcW w:w="691" w:type="dxa"/>
                  <w:vMerge w:val="restart"/>
                  <w:tcBorders>
                    <w:tl2br w:val="nil"/>
                    <w:tr2bl w:val="nil"/>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72"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1022" w:type="dxa"/>
                  <w:tcBorders>
                    <w:bottom w:val="single" w:color="auto" w:sz="12" w:space="0"/>
                    <w:tl2br w:val="nil"/>
                    <w:tr2bl w:val="nil"/>
                  </w:tcBorders>
                  <w:noWrap w:val="0"/>
                  <w:vAlign w:val="center"/>
                </w:tcPr>
                <w:p>
                  <w:pPr>
                    <w:pStyle w:val="15"/>
                    <w:bidi w:val="0"/>
                    <w:rPr>
                      <w:rFonts w:hint="eastAsia"/>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N</w:t>
                  </w:r>
                </w:p>
              </w:tc>
              <w:tc>
                <w:tcPr>
                  <w:tcW w:w="878" w:type="dxa"/>
                  <w:tcBorders>
                    <w:bottom w:val="single" w:color="auto" w:sz="12" w:space="0"/>
                    <w:tl2br w:val="nil"/>
                    <w:tr2bl w:val="nil"/>
                  </w:tcBorders>
                  <w:noWrap w:val="0"/>
                  <w:vAlign w:val="center"/>
                </w:tcPr>
                <w:p>
                  <w:pPr>
                    <w:pStyle w:val="15"/>
                    <w:bidi w:val="0"/>
                    <w:rPr>
                      <w:rFonts w:hint="eastAsia"/>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E</w:t>
                  </w:r>
                </w:p>
              </w:tc>
              <w:tc>
                <w:tcPr>
                  <w:tcW w:w="824"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663"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928"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1060"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806"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676"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c>
                <w:tcPr>
                  <w:tcW w:w="691" w:type="dxa"/>
                  <w:vMerge w:val="continue"/>
                  <w:tcBorders>
                    <w:bottom w:val="single" w:color="auto" w:sz="12" w:space="0"/>
                    <w:tl2br w:val="nil"/>
                    <w:tr2bl w:val="nil"/>
                  </w:tcBorders>
                  <w:noWrap w:val="0"/>
                  <w:vAlign w:val="center"/>
                </w:tcPr>
                <w:p>
                  <w:pPr>
                    <w:pStyle w:val="15"/>
                    <w:bidi w:val="0"/>
                    <w:rPr>
                      <w:rFonts w:hint="default"/>
                      <w:b/>
                      <w:bCs/>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72" w:type="dxa"/>
                  <w:tcBorders>
                    <w:top w:val="single" w:color="auto" w:sz="12" w:space="0"/>
                    <w:bottom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G1</w:t>
                  </w:r>
                </w:p>
              </w:tc>
              <w:tc>
                <w:tcPr>
                  <w:tcW w:w="1022" w:type="dxa"/>
                  <w:tcBorders>
                    <w:top w:val="single" w:color="auto" w:sz="12" w:space="0"/>
                    <w:bottom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44°11'5.89"</w:t>
                  </w:r>
                </w:p>
              </w:tc>
              <w:tc>
                <w:tcPr>
                  <w:tcW w:w="878" w:type="dxa"/>
                  <w:tcBorders>
                    <w:top w:val="single" w:color="auto" w:sz="12" w:space="0"/>
                    <w:bottom w:val="single" w:color="auto" w:sz="12" w:space="0"/>
                  </w:tcBorders>
                  <w:noWrap w:val="0"/>
                  <w:vAlign w:val="center"/>
                </w:tcPr>
                <w:p>
                  <w:pPr>
                    <w:pStyle w:val="15"/>
                    <w:bidi w:val="0"/>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88°49'13.02"</w:t>
                  </w:r>
                </w:p>
              </w:tc>
              <w:tc>
                <w:tcPr>
                  <w:tcW w:w="824" w:type="dxa"/>
                  <w:tcBorders>
                    <w:top w:val="single" w:color="auto" w:sz="12" w:space="0"/>
                    <w:bottom w:val="single" w:color="auto" w:sz="12" w:space="0"/>
                  </w:tcBorders>
                  <w:noWrap w:val="0"/>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TSP</w:t>
                  </w:r>
                </w:p>
              </w:tc>
              <w:tc>
                <w:tcPr>
                  <w:tcW w:w="663" w:type="dxa"/>
                  <w:tcBorders>
                    <w:top w:val="single" w:color="auto" w:sz="12" w:space="0"/>
                    <w:bottom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24</w:t>
                  </w:r>
                  <w:r>
                    <w:rPr>
                      <w:rFonts w:hint="default"/>
                      <w:color w:val="000000" w:themeColor="text1"/>
                      <w14:textFill>
                        <w14:solidFill>
                          <w14:schemeClr w14:val="tx1"/>
                        </w14:solidFill>
                      </w14:textFill>
                    </w:rPr>
                    <w:t>h</w:t>
                  </w:r>
                </w:p>
              </w:tc>
              <w:tc>
                <w:tcPr>
                  <w:tcW w:w="928" w:type="dxa"/>
                  <w:tcBorders>
                    <w:top w:val="single" w:color="auto" w:sz="12" w:space="0"/>
                    <w:bottom w:val="single" w:color="auto" w:sz="12" w:space="0"/>
                  </w:tcBorders>
                  <w:noWrap w:val="0"/>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c>
                <w:tcPr>
                  <w:tcW w:w="1060" w:type="dxa"/>
                  <w:tcBorders>
                    <w:top w:val="single" w:color="auto" w:sz="12"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0.023~0.090</w:t>
                  </w:r>
                </w:p>
              </w:tc>
              <w:tc>
                <w:tcPr>
                  <w:tcW w:w="806" w:type="dxa"/>
                  <w:tcBorders>
                    <w:top w:val="single" w:color="auto" w:sz="12"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c>
                <w:tcPr>
                  <w:tcW w:w="676" w:type="dxa"/>
                  <w:tcBorders>
                    <w:top w:val="single" w:color="auto" w:sz="12"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691" w:type="dxa"/>
                  <w:tcBorders>
                    <w:top w:val="single" w:color="auto" w:sz="12"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是</w:t>
                  </w:r>
                </w:p>
              </w:tc>
            </w:tr>
          </w:tbl>
          <w:p>
            <w:pPr>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现状监测结果表明，评价区内监测点</w:t>
            </w:r>
            <w:r>
              <w:rPr>
                <w:rFonts w:hint="eastAsia" w:cs="Times New Roman"/>
                <w:color w:val="000000" w:themeColor="text1"/>
                <w:kern w:val="0"/>
                <w:sz w:val="24"/>
                <w:lang w:val="en-US" w:eastAsia="zh-CN"/>
                <w14:textFill>
                  <w14:solidFill>
                    <w14:schemeClr w14:val="tx1"/>
                  </w14:solidFill>
                </w14:textFill>
              </w:rPr>
              <w:t>总悬浮颗粒物满足</w:t>
            </w:r>
            <w:r>
              <w:rPr>
                <w:rFonts w:hint="eastAsia" w:cs="Times New Roman"/>
                <w:color w:val="000000" w:themeColor="text1"/>
                <w:sz w:val="24"/>
                <w:szCs w:val="24"/>
                <w:lang w:val="en-US" w:eastAsia="zh-CN"/>
                <w14:textFill>
                  <w14:solidFill>
                    <w14:schemeClr w14:val="tx1"/>
                  </w14:solidFill>
                </w14:textFill>
              </w:rPr>
              <w:t>《环境空气质量标准》（GB3095-2012）二级标准</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pPr>
              <w:keepNext w:val="0"/>
              <w:keepLines w:val="0"/>
              <w:suppressLineNumbers w:val="0"/>
              <w:spacing w:before="0" w:beforeAutospacing="0" w:after="0" w:afterAutospacing="0"/>
              <w:ind w:left="0" w:right="0"/>
              <w:jc w:val="left"/>
              <w:rPr>
                <w:rFonts w:hint="default"/>
                <w:b/>
                <w:snapToGrid w:val="0"/>
                <w:color w:val="000000" w:themeColor="text1"/>
                <w:sz w:val="24"/>
                <w:szCs w:val="24"/>
                <w14:textFill>
                  <w14:solidFill>
                    <w14:schemeClr w14:val="tx1"/>
                  </w14:solidFill>
                </w14:textFill>
              </w:rPr>
            </w:pPr>
            <w:r>
              <w:rPr>
                <w:rFonts w:hint="eastAsia"/>
                <w:b/>
                <w:snapToGrid w:val="0"/>
                <w:color w:val="000000" w:themeColor="text1"/>
                <w:sz w:val="24"/>
                <w:szCs w:val="24"/>
                <w:lang w:val="en-US" w:eastAsia="zh-CN"/>
                <w14:textFill>
                  <w14:solidFill>
                    <w14:schemeClr w14:val="tx1"/>
                  </w14:solidFill>
                </w14:textFill>
              </w:rPr>
              <w:t>二</w:t>
            </w:r>
            <w:r>
              <w:rPr>
                <w:rFonts w:hint="default"/>
                <w:b/>
                <w:snapToGrid w:val="0"/>
                <w:color w:val="000000" w:themeColor="text1"/>
                <w:sz w:val="24"/>
                <w:szCs w:val="24"/>
                <w14:textFill>
                  <w14:solidFill>
                    <w14:schemeClr w14:val="tx1"/>
                  </w14:solidFill>
                </w14:textFill>
              </w:rPr>
              <w:t>、水环境现状调查及分析</w:t>
            </w:r>
          </w:p>
          <w:p>
            <w:pPr>
              <w:spacing w:line="360" w:lineRule="auto"/>
              <w:ind w:firstLine="482" w:firstLineChars="200"/>
              <w:rPr>
                <w:rFonts w:hint="eastAsia"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rFonts w:hint="eastAsia"/>
                <w:b/>
                <w:bCs/>
                <w:color w:val="000000" w:themeColor="text1"/>
                <w:lang w:val="en-US" w:eastAsia="zh-CN"/>
                <w14:textFill>
                  <w14:solidFill>
                    <w14:schemeClr w14:val="tx1"/>
                  </w14:solidFill>
                </w14:textFill>
              </w:rPr>
              <w:t>地下水环境质量现状调查说明</w:t>
            </w:r>
          </w:p>
          <w:p>
            <w:pPr>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地下水导则》（</w:t>
            </w:r>
            <w:r>
              <w:rPr>
                <w:color w:val="000000" w:themeColor="text1"/>
                <w:sz w:val="24"/>
                <w:szCs w:val="24"/>
                <w14:textFill>
                  <w14:solidFill>
                    <w14:schemeClr w14:val="tx1"/>
                  </w14:solidFill>
                </w14:textFill>
              </w:rPr>
              <w:t>HJ610-2016</w:t>
            </w:r>
            <w:r>
              <w:rPr>
                <w:rFonts w:hint="eastAsia"/>
                <w:color w:val="000000" w:themeColor="text1"/>
                <w:sz w:val="24"/>
                <w:szCs w:val="24"/>
                <w14:textFill>
                  <w14:solidFill>
                    <w14:schemeClr w14:val="tx1"/>
                  </w14:solidFill>
                </w14:textFill>
              </w:rPr>
              <w:t>）中要求，本项目为附录</w:t>
            </w:r>
            <w:r>
              <w:rPr>
                <w:color w:val="000000" w:themeColor="text1"/>
                <w:sz w:val="24"/>
                <w:szCs w:val="24"/>
                <w14:textFill>
                  <w14:solidFill>
                    <w14:schemeClr w14:val="tx1"/>
                  </w14:solidFill>
                </w14:textFill>
              </w:rPr>
              <w:t>A</w:t>
            </w:r>
            <w:r>
              <w:rPr>
                <w:rFonts w:hint="eastAsia"/>
                <w:color w:val="000000" w:themeColor="text1"/>
                <w:sz w:val="24"/>
                <w:szCs w:val="24"/>
                <w14:textFill>
                  <w14:solidFill>
                    <w14:schemeClr w14:val="tx1"/>
                  </w14:solidFill>
                </w14:textFill>
              </w:rPr>
              <w:t>中“</w:t>
            </w:r>
            <w:r>
              <w:rPr>
                <w:color w:val="000000" w:themeColor="text1"/>
                <w:sz w:val="24"/>
                <w:szCs w:val="24"/>
                <w14:textFill>
                  <w14:solidFill>
                    <w14:schemeClr w14:val="tx1"/>
                  </w14:solidFill>
                </w14:textFill>
              </w:rPr>
              <w:t>94</w:t>
            </w:r>
            <w:r>
              <w:rPr>
                <w:rFonts w:hint="eastAsia"/>
                <w:color w:val="000000" w:themeColor="text1"/>
                <w:sz w:val="24"/>
                <w:szCs w:val="24"/>
                <w14:textFill>
                  <w14:solidFill>
                    <w14:schemeClr w14:val="tx1"/>
                  </w14:solidFill>
                </w14:textFill>
              </w:rPr>
              <w:t>粮食及饲料加工”的“其他”（报告表）为</w:t>
            </w:r>
            <w:r>
              <w:rPr>
                <w:rFonts w:hint="eastAsia" w:ascii="宋体" w:hAnsi="宋体" w:cs="宋体"/>
                <w:color w:val="000000" w:themeColor="text1"/>
                <w:sz w:val="24"/>
                <w:szCs w:val="24"/>
                <w14:textFill>
                  <w14:solidFill>
                    <w14:schemeClr w14:val="tx1"/>
                  </w14:solidFill>
                </w14:textFill>
              </w:rPr>
              <w:t>Ⅳ</w:t>
            </w:r>
            <w:r>
              <w:rPr>
                <w:rFonts w:hint="eastAsia"/>
                <w:color w:val="000000" w:themeColor="text1"/>
                <w:sz w:val="24"/>
                <w:szCs w:val="24"/>
                <w14:textFill>
                  <w14:solidFill>
                    <w14:schemeClr w14:val="tx1"/>
                  </w14:solidFill>
                </w14:textFill>
              </w:rPr>
              <w:t>类项目，导则中原则可不开展地下水评价。因此，本项目仅对地下水做简要分析</w:t>
            </w:r>
            <w:r>
              <w:rPr>
                <w:rFonts w:hint="eastAsia"/>
                <w:color w:val="000000" w:themeColor="text1"/>
                <w:sz w:val="24"/>
                <w:szCs w:val="24"/>
                <w:lang w:eastAsia="zh-CN"/>
                <w14:textFill>
                  <w14:solidFill>
                    <w14:schemeClr w14:val="tx1"/>
                  </w14:solidFill>
                </w14:textFill>
              </w:rPr>
              <w:t>。</w:t>
            </w:r>
          </w:p>
          <w:p>
            <w:pPr>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eastAsia"/>
                <w:color w:val="000000" w:themeColor="text1"/>
                <w14:textFill>
                  <w14:solidFill>
                    <w14:schemeClr w14:val="tx1"/>
                  </w14:solidFill>
                </w14:textFill>
              </w:rPr>
              <w:t>同时根据《建设项目环境影响报告表编制技术指南》（污染影响类）（试行）中</w:t>
            </w:r>
            <w:r>
              <w:rPr>
                <w:rFonts w:hint="eastAsia"/>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对于地下水、土壤环境的监测要求：原则上不开展环境质量现状调查。建设项目存在土壤、地下水环境污染途径的，应集合污染源、保护目标分布情况开展现状调查以留作背景值。本项目不存在直接的地下水污染途径，故根据《建设项目环境影响报告表编制技术指南》（污染影响类）（试行）亦无需开展地下水环境质量现状调查。因此，本项目未开展地下水环境质量现状调查。</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b/>
                <w:bCs/>
                <w:color w:val="000000" w:themeColor="text1"/>
                <w:lang w:val="en-US" w:eastAsia="zh-CN"/>
                <w14:textFill>
                  <w14:solidFill>
                    <w14:schemeClr w14:val="tx1"/>
                  </w14:solidFill>
                </w14:textFill>
              </w:rPr>
              <w:t>地表水环境质量现状调查及分析</w:t>
            </w:r>
          </w:p>
          <w:p>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区东侧7.7km处为西大龙口河，根据吉木萨尔县生态环境局发布的2020年西大龙口河水质数据可知，西大龙口河2020年水质为《地表水环境质量标准》（GB3838-2002）Ⅲ类水质标准。项目与西大龙口河位置关系如图3-2。</w:t>
            </w:r>
          </w:p>
          <w:p>
            <w:pPr>
              <w:keepNext w:val="0"/>
              <w:keepLines w:val="0"/>
              <w:suppressLineNumbers w:val="0"/>
              <w:bidi w:val="0"/>
              <w:spacing w:before="0" w:beforeAutospacing="0" w:after="0" w:afterAutospacing="0"/>
              <w:ind w:left="0" w:right="0"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sz w:val="24"/>
                <w14:textFill>
                  <w14:solidFill>
                    <w14:schemeClr w14:val="tx1"/>
                  </w14:solidFill>
                </w14:textFill>
              </w:rPr>
              <mc:AlternateContent>
                <mc:Choice Requires="wpg">
                  <w:drawing>
                    <wp:anchor distT="0" distB="0" distL="114300" distR="114300" simplePos="0" relativeHeight="251664384" behindDoc="0" locked="0" layoutInCell="1" allowOverlap="1">
                      <wp:simplePos x="0" y="0"/>
                      <wp:positionH relativeFrom="column">
                        <wp:posOffset>1222375</wp:posOffset>
                      </wp:positionH>
                      <wp:positionV relativeFrom="paragraph">
                        <wp:posOffset>340995</wp:posOffset>
                      </wp:positionV>
                      <wp:extent cx="3190875" cy="1428750"/>
                      <wp:effectExtent l="0" t="6350" r="161925" b="12700"/>
                      <wp:wrapNone/>
                      <wp:docPr id="4" name="组合 4"/>
                      <wp:cNvGraphicFramePr/>
                      <a:graphic xmlns:a="http://schemas.openxmlformats.org/drawingml/2006/main">
                        <a:graphicData uri="http://schemas.microsoft.com/office/word/2010/wordprocessingGroup">
                          <wpg:wgp>
                            <wpg:cNvGrpSpPr/>
                            <wpg:grpSpPr>
                              <a:xfrm>
                                <a:off x="0" y="0"/>
                                <a:ext cx="3190875" cy="1428750"/>
                                <a:chOff x="5615" y="414450"/>
                                <a:chExt cx="5025" cy="2250"/>
                              </a:xfrm>
                            </wpg:grpSpPr>
                            <wps:wsp>
                              <wps:cNvPr id="10" name="直接箭头连接符 14"/>
                              <wps:cNvCnPr/>
                              <wps:spPr>
                                <a:xfrm flipH="1">
                                  <a:off x="10610" y="415036"/>
                                  <a:ext cx="30" cy="1260"/>
                                </a:xfrm>
                                <a:prstGeom prst="straightConnector1">
                                  <a:avLst/>
                                </a:prstGeom>
                                <a:ln w="76200">
                                  <a:tailEnd type="arrow"/>
                                </a:ln>
                              </wps:spPr>
                              <wps:style>
                                <a:lnRef idx="1">
                                  <a:schemeClr val="accent1"/>
                                </a:lnRef>
                                <a:fillRef idx="0">
                                  <a:schemeClr val="accent1"/>
                                </a:fillRef>
                                <a:effectRef idx="0">
                                  <a:schemeClr val="accent1"/>
                                </a:effectRef>
                                <a:fontRef idx="minor">
                                  <a:schemeClr val="tx1"/>
                                </a:fontRef>
                              </wps:style>
                              <wps:bodyPr/>
                            </wps:wsp>
                            <wps:wsp>
                              <wps:cNvPr id="24" name="矩形标注 19"/>
                              <wps:cNvSpPr/>
                              <wps:spPr>
                                <a:xfrm>
                                  <a:off x="7443" y="414450"/>
                                  <a:ext cx="1418" cy="504"/>
                                </a:xfrm>
                                <a:prstGeom prst="wedgeRectCallout">
                                  <a:avLst>
                                    <a:gd name="adj1" fmla="val -166572"/>
                                    <a:gd name="adj2" fmla="val 9742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矩形标注 20"/>
                              <wps:cNvSpPr/>
                              <wps:spPr>
                                <a:xfrm>
                                  <a:off x="8174" y="416196"/>
                                  <a:ext cx="1418" cy="504"/>
                                </a:xfrm>
                                <a:prstGeom prst="wedgeRectCallout">
                                  <a:avLst>
                                    <a:gd name="adj1" fmla="val 119816"/>
                                    <a:gd name="adj2" fmla="val -139484"/>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5"/>
                                      <w:bidi w:val="0"/>
                                      <w:rPr>
                                        <w:rFonts w:hint="default"/>
                                        <w:color w:val="FF0000"/>
                                        <w:lang w:val="en-US" w:eastAsia="zh-CN"/>
                                      </w:rPr>
                                    </w:pPr>
                                    <w:r>
                                      <w:rPr>
                                        <w:rFonts w:hint="eastAsia"/>
                                        <w:color w:val="FF0000"/>
                                        <w:lang w:val="en-US" w:eastAsia="zh-CN"/>
                                      </w:rPr>
                                      <w:t>西大龙口河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连接符 21"/>
                              <wps:cNvCnPr/>
                              <wps:spPr>
                                <a:xfrm>
                                  <a:off x="5615" y="415336"/>
                                  <a:ext cx="4980" cy="6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7" name="文本框 22"/>
                              <wps:cNvSpPr txBox="1"/>
                              <wps:spPr>
                                <a:xfrm rot="180000">
                                  <a:off x="7650" y="415460"/>
                                  <a:ext cx="992" cy="4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15"/>
                                      <w:rPr>
                                        <w:rFonts w:hint="default" w:eastAsia="宋体"/>
                                        <w:lang w:val="en-US" w:eastAsia="zh-CN"/>
                                      </w:rPr>
                                    </w:pPr>
                                    <w:r>
                                      <w:rPr>
                                        <w:rFonts w:hint="eastAsia"/>
                                        <w:lang w:val="en-US" w:eastAsia="zh-CN"/>
                                      </w:rPr>
                                      <w:t>7.7km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96.25pt;margin-top:26.85pt;height:112.5pt;width:251.25pt;z-index:251664384;mso-width-relative:page;mso-height-relative:page;" coordorigin="5615,414450" coordsize="5025,2250" o:gfxdata="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ACdSRo2gAAAAoBAAAPAAAA&#10;AAAAAAEAIAAAACIAAABkcnMvZG93bnJldi54bWxQSwECFAAUAAAACACHTuJAIR2XR78EAACXEAAA&#10;DgAAAAAAAAABACAAAAApAQAAZHJzL2Uyb0RvYy54bWxQSwUGAAAAAAYABgBZAQAAWggAAAAA&#10;">
                      <o:lock v:ext="edit" aspectratio="f"/>
                      <v:shape id="直接箭头连接符 14" o:spid="_x0000_s1026" o:spt="32" type="#_x0000_t32" style="position:absolute;left:10610;top:415036;flip:x;height:1260;width:30;" filled="f" stroked="t" coordsize="21600,21600" o:gfxdata="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3w5L4A&#10;AADbAAAADwAAAAAAAAABACAAAAAiAAAAZHJzL2Rvd25yZXYueG1sUEsBAhQAFAAAAAgAh07iQDMv&#10;BZ47AAAAOQAAABAAAAAAAAAAAQAgAAAADQEAAGRycy9zaGFwZXhtbC54bWxQSwUGAAAAAAYABgBb&#10;AQAAtwMAAAAA&#10;">
                        <v:fill on="f" focussize="0,0"/>
                        <v:stroke weight="6pt" color="#5B9BD5 [3204]" miterlimit="8" joinstyle="miter" endarrow="open"/>
                        <v:imagedata o:title=""/>
                        <o:lock v:ext="edit" aspectratio="f"/>
                      </v:shape>
                      <v:shape id="矩形标注 19" o:spid="_x0000_s1026" o:spt="61" type="#_x0000_t61" style="position:absolute;left:7443;top:414450;height:504;width:1418;v-text-anchor:middle;" filled="f" stroked="t" coordsize="21600,21600" o:gfxdata="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bqQK8AAAA&#10;2wAAAA8AAAAAAAAAAQAgAAAAIgAAAGRycy9kb3ducmV2LnhtbFBLAQIUABQAAAAIAIdO4kAzLwWe&#10;OwAAADkAAAAQAAAAAAAAAAEAIAAAAAsBAABkcnMvc2hhcGV4bWwueG1sUEsFBgAAAAAGAAYAWwEA&#10;ALUDAAAAAA==&#10;" adj="-25180,31843">
                        <v:fill on="f" focussize="0,0"/>
                        <v:stroke weight="1pt" color="#FF0000 [3204]" miterlimit="8" joinstyle="miter"/>
                        <v:imagedata o:title=""/>
                        <o:lock v:ext="edit" aspectratio="f"/>
                        <v:textbox>
                          <w:txbxContent>
                            <w:p>
                              <w:pPr>
                                <w:pStyle w:val="15"/>
                                <w:jc w:val="center"/>
                                <w:rPr>
                                  <w:rFonts w:hint="default" w:eastAsia="宋体"/>
                                  <w:color w:val="FF0000"/>
                                  <w:lang w:val="en-US" w:eastAsia="zh-CN"/>
                                </w:rPr>
                              </w:pPr>
                              <w:r>
                                <w:rPr>
                                  <w:rFonts w:hint="eastAsia"/>
                                  <w:color w:val="FF0000"/>
                                  <w:lang w:val="en-US" w:eastAsia="zh-CN"/>
                                </w:rPr>
                                <w:t>项目所在地</w:t>
                              </w:r>
                            </w:p>
                          </w:txbxContent>
                        </v:textbox>
                      </v:shape>
                      <v:shape id="矩形标注 20" o:spid="_x0000_s1026" o:spt="61" type="#_x0000_t61" style="position:absolute;left:8174;top:416196;height:504;width:1418;v-text-anchor:middle;" filled="f" stroked="t" coordsize="21600,21600" o:gfxdata="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hT2LsAAADb&#10;AAAADwAAAAAAAAABACAAAAAiAAAAZHJzL2Rvd25yZXYueG1sUEsBAhQAFAAAAAgAh07iQDMvBZ47&#10;AAAAOQAAABAAAAAAAAAAAQAgAAAACgEAAGRycy9zaGFwZXhtbC54bWxQSwUGAAAAAAYABgBbAQAA&#10;tAMAAAAA&#10;" adj="36680,-19329">
                        <v:fill on="f" focussize="0,0"/>
                        <v:stroke weight="1pt" color="#00B0F0 [3204]" miterlimit="8" joinstyle="miter"/>
                        <v:imagedata o:title=""/>
                        <o:lock v:ext="edit" aspectratio="f"/>
                        <v:textbox>
                          <w:txbxContent>
                            <w:p>
                              <w:pPr>
                                <w:pStyle w:val="15"/>
                                <w:bidi w:val="0"/>
                                <w:rPr>
                                  <w:rFonts w:hint="default"/>
                                  <w:color w:val="FF0000"/>
                                  <w:lang w:val="en-US" w:eastAsia="zh-CN"/>
                                </w:rPr>
                              </w:pPr>
                              <w:r>
                                <w:rPr>
                                  <w:rFonts w:hint="eastAsia"/>
                                  <w:color w:val="FF0000"/>
                                  <w:lang w:val="en-US" w:eastAsia="zh-CN"/>
                                </w:rPr>
                                <w:t>西大龙口河</w:t>
                              </w:r>
                            </w:p>
                          </w:txbxContent>
                        </v:textbox>
                      </v:shape>
                      <v:line id="直接连接符 21" o:spid="_x0000_s1026" o:spt="20" style="position:absolute;left:5615;top:415336;height:60;width:4980;" filled="f" stroked="t" coordsize="21600,21600" o:gfxdata="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AaG74A&#10;AADbAAAADwAAAAAAAAABACAAAAAiAAAAZHJzL2Rvd25yZXYueG1sUEsBAhQAFAAAAAgAh07iQDMv&#10;BZ47AAAAOQAAABAAAAAAAAAAAQAgAAAADQEAAGRycy9zaGFwZXhtbC54bWxQSwUGAAAAAAYABgBb&#10;AQAAtwMAAAAA&#10;">
                        <v:fill on="f" focussize="0,0"/>
                        <v:stroke weight="0.5pt" color="#FFD966 [1943]" miterlimit="8" joinstyle="miter"/>
                        <v:imagedata o:title=""/>
                        <o:lock v:ext="edit" aspectratio="f"/>
                      </v:line>
                      <v:shape id="文本框 22" o:spid="_x0000_s1026" o:spt="202" type="#_x0000_t202" style="position:absolute;left:7650;top:415460;height:452;width:992;rotation:196608f;" fillcolor="#FFFFFF [3201]" filled="t" stroked="t" coordsize="21600,21600" o:gfxdata="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83f6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pStyle w:val="15"/>
                                <w:rPr>
                                  <w:rFonts w:hint="default" w:eastAsia="宋体"/>
                                  <w:lang w:val="en-US" w:eastAsia="zh-CN"/>
                                </w:rPr>
                              </w:pPr>
                              <w:r>
                                <w:rPr>
                                  <w:rFonts w:hint="eastAsia"/>
                                  <w:lang w:val="en-US" w:eastAsia="zh-CN"/>
                                </w:rPr>
                                <w:t>7.7km</w:t>
                              </w:r>
                            </w:p>
                          </w:txbxContent>
                        </v:textbox>
                      </v:shape>
                    </v:group>
                  </w:pict>
                </mc:Fallback>
              </mc:AlternateContent>
            </w:r>
            <w:r>
              <w:rPr>
                <w:color w:val="000000" w:themeColor="text1"/>
                <w14:textFill>
                  <w14:solidFill>
                    <w14:schemeClr w14:val="tx1"/>
                  </w14:solidFill>
                </w14:textFill>
              </w:rPr>
              <w:drawing>
                <wp:inline distT="0" distB="0" distL="114300" distR="114300">
                  <wp:extent cx="5213985" cy="2061845"/>
                  <wp:effectExtent l="9525" t="9525" r="15240" b="2413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8"/>
                          <a:stretch>
                            <a:fillRect/>
                          </a:stretch>
                        </pic:blipFill>
                        <pic:spPr>
                          <a:xfrm>
                            <a:off x="0" y="0"/>
                            <a:ext cx="5213985" cy="2061845"/>
                          </a:xfrm>
                          <a:prstGeom prst="rect">
                            <a:avLst/>
                          </a:prstGeom>
                          <a:noFill/>
                          <a:ln>
                            <a:solidFill>
                              <a:schemeClr val="tx1"/>
                            </a:solidFill>
                          </a:ln>
                        </pic:spPr>
                      </pic:pic>
                    </a:graphicData>
                  </a:graphic>
                </wp:inline>
              </w:drawing>
            </w:r>
          </w:p>
          <w:p>
            <w:pPr>
              <w:pStyle w:val="14"/>
              <w:keepNext w:val="0"/>
              <w:keepLines w:val="0"/>
              <w:suppressLineNumbers w:val="0"/>
              <w:bidi w:val="0"/>
              <w:spacing w:before="0" w:beforeAutospacing="0" w:after="0" w:afterAutospacing="0"/>
              <w:ind w:left="0" w:right="0"/>
              <w:rPr>
                <w:rFonts w:hint="default"/>
                <w:b/>
                <w:bCs/>
                <w:color w:val="000000" w:themeColor="text1"/>
                <w:lang w:val="zh-CN"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图3-2   本项目与西大龙口河位置关系图</w:t>
            </w:r>
          </w:p>
          <w:p>
            <w:pPr>
              <w:keepNext/>
              <w:keepLines/>
              <w:suppressLineNumbers w:val="0"/>
              <w:spacing w:before="0" w:beforeAutospacing="0" w:after="0" w:afterAutospacing="0" w:line="360" w:lineRule="auto"/>
              <w:ind w:left="0" w:right="0"/>
              <w:outlineLvl w:val="1"/>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三</w:t>
            </w:r>
            <w:r>
              <w:rPr>
                <w:rFonts w:hint="eastAsia"/>
                <w:b/>
                <w:bCs/>
                <w:color w:val="000000" w:themeColor="text1"/>
                <w:sz w:val="24"/>
                <w:szCs w:val="24"/>
                <w14:textFill>
                  <w14:solidFill>
                    <w14:schemeClr w14:val="tx1"/>
                  </w14:solidFill>
                </w14:textFill>
              </w:rPr>
              <w:t>、</w:t>
            </w:r>
            <w:r>
              <w:rPr>
                <w:rFonts w:hint="default"/>
                <w:b/>
                <w:bCs/>
                <w:color w:val="000000" w:themeColor="text1"/>
                <w:sz w:val="24"/>
                <w:szCs w:val="24"/>
                <w14:textFill>
                  <w14:solidFill>
                    <w14:schemeClr w14:val="tx1"/>
                  </w14:solidFill>
                </w14:textFill>
              </w:rPr>
              <w:t>声环境质量现状</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（1）监测点位及监测因子</w:t>
            </w:r>
          </w:p>
          <w:p>
            <w:pPr>
              <w:bidi w:val="0"/>
              <w:rPr>
                <w:rFonts w:hint="default"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根据本项目厂址平面布置，在项目厂址东、西、南、北厂界各布设1个监测点，共计4个监测点。</w:t>
            </w:r>
            <w:r>
              <w:rPr>
                <w:rFonts w:hint="eastAsia"/>
                <w:color w:val="000000" w:themeColor="text1"/>
                <w:lang w:val="en-US" w:eastAsia="zh-CN"/>
                <w14:textFill>
                  <w14:solidFill>
                    <w14:schemeClr w14:val="tx1"/>
                  </w14:solidFill>
                </w14:textFill>
              </w:rPr>
              <w:t>监测点位图见附图4。</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（2）监测因子</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等效连续A声级(Leq)。</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（3）监测时间及频率</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根据《工业企业厂界环境噪声排放标准》（GB12348-2008）的要求，</w:t>
            </w:r>
            <w:r>
              <w:rPr>
                <w:rFonts w:hint="eastAsia"/>
                <w:color w:val="000000" w:themeColor="text1"/>
                <w:lang w:val="en-US" w:eastAsia="zh-CN"/>
                <w14:textFill>
                  <w14:solidFill>
                    <w14:schemeClr w14:val="tx1"/>
                  </w14:solidFill>
                </w14:textFill>
              </w:rPr>
              <w:t>新疆正则环宇检测科技有限公司</w:t>
            </w:r>
            <w:r>
              <w:rPr>
                <w:rFonts w:hint="default"/>
                <w:color w:val="000000" w:themeColor="text1"/>
                <w14:textFill>
                  <w14:solidFill>
                    <w14:schemeClr w14:val="tx1"/>
                  </w14:solidFill>
                </w14:textFill>
              </w:rPr>
              <w:t>于</w:t>
            </w:r>
            <w:r>
              <w:rPr>
                <w:rFonts w:hint="eastAsia"/>
                <w:color w:val="000000" w:themeColor="text1"/>
                <w:lang w:eastAsia="zh-CN"/>
                <w14:textFill>
                  <w14:solidFill>
                    <w14:schemeClr w14:val="tx1"/>
                  </w14:solidFill>
                </w14:textFill>
              </w:rPr>
              <w:t>202</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7</w:t>
            </w:r>
            <w:r>
              <w:rPr>
                <w:rFonts w:hint="default"/>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6</w:t>
            </w:r>
            <w:r>
              <w:rPr>
                <w:rFonts w:hint="default"/>
                <w:color w:val="000000" w:themeColor="text1"/>
                <w14:textFill>
                  <w14:solidFill>
                    <w14:schemeClr w14:val="tx1"/>
                  </w14:solidFill>
                </w14:textFill>
              </w:rPr>
              <w:t>日</w:t>
            </w:r>
            <w:r>
              <w:rPr>
                <w:rFonts w:hint="default"/>
                <w:color w:val="000000" w:themeColor="text1"/>
                <w:lang w:val="en-US" w:eastAsia="zh-CN"/>
                <w14:textFill>
                  <w14:solidFill>
                    <w14:schemeClr w14:val="tx1"/>
                  </w14:solidFill>
                </w14:textFill>
              </w:rPr>
              <w:t>，</w:t>
            </w:r>
            <w:r>
              <w:rPr>
                <w:rFonts w:hint="default"/>
                <w:color w:val="000000" w:themeColor="text1"/>
                <w14:textFill>
                  <w14:solidFill>
                    <w14:schemeClr w14:val="tx1"/>
                  </w14:solidFill>
                </w14:textFill>
              </w:rPr>
              <w:t>对厂界进行监测，监测时段为6:00～22:00，夜间监测时段为22:00～次日06:00。</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（4）监测方法</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按照《声环境质量标准》（GB3096-2008）中的规定进行。</w:t>
            </w:r>
          </w:p>
          <w:p>
            <w:pPr>
              <w:pStyle w:val="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4.3.3.2</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声环境质量现状评价</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本项目各噪声监测点声环境现状监测及评价结果见表</w:t>
            </w:r>
            <w:r>
              <w:rPr>
                <w:rFonts w:hint="eastAsia"/>
                <w:color w:val="000000" w:themeColor="text1"/>
                <w:lang w:val="en-US" w:eastAsia="zh-CN"/>
                <w14:textFill>
                  <w14:solidFill>
                    <w14:schemeClr w14:val="tx1"/>
                  </w14:solidFill>
                </w14:textFill>
              </w:rPr>
              <w:t>3-5</w:t>
            </w:r>
            <w:r>
              <w:rPr>
                <w:rFonts w:hint="default"/>
                <w:color w:val="000000" w:themeColor="text1"/>
                <w14:textFill>
                  <w14:solidFill>
                    <w14:schemeClr w14:val="tx1"/>
                  </w14:solidFill>
                </w14:textFill>
              </w:rPr>
              <w:t>。</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3-5</w:t>
            </w:r>
            <w:r>
              <w:rPr>
                <w:rFonts w:hint="default"/>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 xml:space="preserve"> 声环境现状监测及评价结果  </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单位：dB(A)</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71"/>
              <w:gridCol w:w="1171"/>
              <w:gridCol w:w="1171"/>
              <w:gridCol w:w="1180"/>
              <w:gridCol w:w="1174"/>
              <w:gridCol w:w="1174"/>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1171" w:type="dxa"/>
                  <w:vMerge w:val="restart"/>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监测点位</w:t>
                  </w:r>
                </w:p>
              </w:tc>
              <w:tc>
                <w:tcPr>
                  <w:tcW w:w="3522" w:type="dxa"/>
                  <w:gridSpan w:val="3"/>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昼间</w:t>
                  </w:r>
                </w:p>
              </w:tc>
              <w:tc>
                <w:tcPr>
                  <w:tcW w:w="3527" w:type="dxa"/>
                  <w:gridSpan w:val="3"/>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1171" w:type="dxa"/>
                  <w:vMerge w:val="continue"/>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p>
              </w:tc>
              <w:tc>
                <w:tcPr>
                  <w:tcW w:w="1171" w:type="dxa"/>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监测值</w:t>
                  </w:r>
                </w:p>
              </w:tc>
              <w:tc>
                <w:tcPr>
                  <w:tcW w:w="1171" w:type="dxa"/>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标准值</w:t>
                  </w:r>
                </w:p>
              </w:tc>
              <w:tc>
                <w:tcPr>
                  <w:tcW w:w="1180" w:type="dxa"/>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评价结果</w:t>
                  </w:r>
                </w:p>
              </w:tc>
              <w:tc>
                <w:tcPr>
                  <w:tcW w:w="1174" w:type="dxa"/>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监测值</w:t>
                  </w:r>
                </w:p>
              </w:tc>
              <w:tc>
                <w:tcPr>
                  <w:tcW w:w="1174" w:type="dxa"/>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标准值</w:t>
                  </w:r>
                </w:p>
              </w:tc>
              <w:tc>
                <w:tcPr>
                  <w:tcW w:w="1179" w:type="dxa"/>
                  <w:tcBorders>
                    <w:bottom w:val="single" w:color="auto" w:sz="12" w:space="0"/>
                  </w:tcBorders>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1171" w:type="dxa"/>
                  <w:tcBorders>
                    <w:top w:val="single" w:color="auto" w:sz="12" w:space="0"/>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东厂界</w:t>
                  </w:r>
                </w:p>
              </w:tc>
              <w:tc>
                <w:tcPr>
                  <w:tcW w:w="1171" w:type="dxa"/>
                  <w:tcBorders>
                    <w:top w:val="single" w:color="auto" w:sz="12" w:space="0"/>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44.4</w:t>
                  </w:r>
                </w:p>
              </w:tc>
              <w:tc>
                <w:tcPr>
                  <w:tcW w:w="1171" w:type="dxa"/>
                  <w:vMerge w:val="restart"/>
                  <w:tcBorders>
                    <w:top w:val="single" w:color="auto" w:sz="12" w:space="0"/>
                    <w:tl2br w:val="nil"/>
                    <w:tr2bl w:val="nil"/>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1180" w:type="dxa"/>
                  <w:tcBorders>
                    <w:top w:val="single" w:color="auto" w:sz="12" w:space="0"/>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c>
                <w:tcPr>
                  <w:tcW w:w="1174" w:type="dxa"/>
                  <w:tcBorders>
                    <w:top w:val="single" w:color="auto" w:sz="12" w:space="0"/>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35.2</w:t>
                  </w:r>
                </w:p>
              </w:tc>
              <w:tc>
                <w:tcPr>
                  <w:tcW w:w="1174" w:type="dxa"/>
                  <w:vMerge w:val="restart"/>
                  <w:tcBorders>
                    <w:top w:val="single" w:color="auto" w:sz="12" w:space="0"/>
                    <w:tl2br w:val="nil"/>
                    <w:tr2bl w:val="nil"/>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179" w:type="dxa"/>
                  <w:tcBorders>
                    <w:top w:val="single" w:color="auto" w:sz="12" w:space="0"/>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3" w:hRule="atLeast"/>
                <w:jc w:val="center"/>
              </w:trPr>
              <w:tc>
                <w:tcPr>
                  <w:tcW w:w="1171"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南厂界</w:t>
                  </w:r>
                </w:p>
              </w:tc>
              <w:tc>
                <w:tcPr>
                  <w:tcW w:w="1171"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44.7</w:t>
                  </w:r>
                </w:p>
              </w:tc>
              <w:tc>
                <w:tcPr>
                  <w:tcW w:w="1171" w:type="dxa"/>
                  <w:vMerge w:val="continue"/>
                  <w:tcBorders>
                    <w:tl2br w:val="nil"/>
                    <w:tr2bl w:val="nil"/>
                  </w:tcBorders>
                  <w:vAlign w:val="center"/>
                </w:tcPr>
                <w:p>
                  <w:pPr>
                    <w:pStyle w:val="15"/>
                    <w:bidi w:val="0"/>
                    <w:rPr>
                      <w:rFonts w:hint="default"/>
                      <w:color w:val="000000" w:themeColor="text1"/>
                      <w14:textFill>
                        <w14:solidFill>
                          <w14:schemeClr w14:val="tx1"/>
                        </w14:solidFill>
                      </w14:textFill>
                    </w:rPr>
                  </w:pPr>
                </w:p>
              </w:tc>
              <w:tc>
                <w:tcPr>
                  <w:tcW w:w="1180"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c>
                <w:tcPr>
                  <w:tcW w:w="1174"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35.9</w:t>
                  </w:r>
                </w:p>
              </w:tc>
              <w:tc>
                <w:tcPr>
                  <w:tcW w:w="1174" w:type="dxa"/>
                  <w:vMerge w:val="continue"/>
                  <w:tcBorders>
                    <w:tl2br w:val="nil"/>
                    <w:tr2bl w:val="nil"/>
                  </w:tcBorders>
                  <w:vAlign w:val="center"/>
                </w:tcPr>
                <w:p>
                  <w:pPr>
                    <w:pStyle w:val="15"/>
                    <w:bidi w:val="0"/>
                    <w:rPr>
                      <w:rFonts w:hint="default"/>
                      <w:color w:val="000000" w:themeColor="text1"/>
                      <w14:textFill>
                        <w14:solidFill>
                          <w14:schemeClr w14:val="tx1"/>
                        </w14:solidFill>
                      </w14:textFill>
                    </w:rPr>
                  </w:pPr>
                </w:p>
              </w:tc>
              <w:tc>
                <w:tcPr>
                  <w:tcW w:w="1179"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47" w:hRule="atLeast"/>
                <w:jc w:val="center"/>
              </w:trPr>
              <w:tc>
                <w:tcPr>
                  <w:tcW w:w="1171"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西厂界</w:t>
                  </w:r>
                </w:p>
              </w:tc>
              <w:tc>
                <w:tcPr>
                  <w:tcW w:w="1171"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43.8</w:t>
                  </w:r>
                </w:p>
              </w:tc>
              <w:tc>
                <w:tcPr>
                  <w:tcW w:w="1171" w:type="dxa"/>
                  <w:vMerge w:val="continue"/>
                  <w:tcBorders>
                    <w:tl2br w:val="nil"/>
                    <w:tr2bl w:val="nil"/>
                  </w:tcBorders>
                  <w:vAlign w:val="center"/>
                </w:tcPr>
                <w:p>
                  <w:pPr>
                    <w:pStyle w:val="15"/>
                    <w:bidi w:val="0"/>
                    <w:rPr>
                      <w:rFonts w:hint="default"/>
                      <w:color w:val="000000" w:themeColor="text1"/>
                      <w14:textFill>
                        <w14:solidFill>
                          <w14:schemeClr w14:val="tx1"/>
                        </w14:solidFill>
                      </w14:textFill>
                    </w:rPr>
                  </w:pPr>
                </w:p>
              </w:tc>
              <w:tc>
                <w:tcPr>
                  <w:tcW w:w="1180"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c>
                <w:tcPr>
                  <w:tcW w:w="1174"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34.1</w:t>
                  </w:r>
                </w:p>
              </w:tc>
              <w:tc>
                <w:tcPr>
                  <w:tcW w:w="1174" w:type="dxa"/>
                  <w:vMerge w:val="continue"/>
                  <w:tcBorders>
                    <w:tl2br w:val="nil"/>
                    <w:tr2bl w:val="nil"/>
                  </w:tcBorders>
                  <w:vAlign w:val="center"/>
                </w:tcPr>
                <w:p>
                  <w:pPr>
                    <w:pStyle w:val="15"/>
                    <w:bidi w:val="0"/>
                    <w:rPr>
                      <w:rFonts w:hint="default"/>
                      <w:color w:val="000000" w:themeColor="text1"/>
                      <w14:textFill>
                        <w14:solidFill>
                          <w14:schemeClr w14:val="tx1"/>
                        </w14:solidFill>
                      </w14:textFill>
                    </w:rPr>
                  </w:pPr>
                </w:p>
              </w:tc>
              <w:tc>
                <w:tcPr>
                  <w:tcW w:w="1179"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r>
              <w:tblPrEx>
                <w:tblLayout w:type="fixed"/>
                <w:tblCellMar>
                  <w:top w:w="0" w:type="dxa"/>
                  <w:left w:w="28" w:type="dxa"/>
                  <w:bottom w:w="0" w:type="dxa"/>
                  <w:right w:w="28" w:type="dxa"/>
                </w:tblCellMar>
              </w:tblPrEx>
              <w:trPr>
                <w:trHeight w:val="23" w:hRule="atLeast"/>
                <w:jc w:val="center"/>
              </w:trPr>
              <w:tc>
                <w:tcPr>
                  <w:tcW w:w="1171"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北厂界</w:t>
                  </w:r>
                </w:p>
              </w:tc>
              <w:tc>
                <w:tcPr>
                  <w:tcW w:w="1171"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41.8</w:t>
                  </w:r>
                </w:p>
              </w:tc>
              <w:tc>
                <w:tcPr>
                  <w:tcW w:w="1171" w:type="dxa"/>
                  <w:vMerge w:val="continue"/>
                  <w:tcBorders>
                    <w:tl2br w:val="nil"/>
                    <w:tr2bl w:val="nil"/>
                  </w:tcBorders>
                  <w:vAlign w:val="center"/>
                </w:tcPr>
                <w:p>
                  <w:pPr>
                    <w:pStyle w:val="15"/>
                    <w:bidi w:val="0"/>
                    <w:rPr>
                      <w:rFonts w:hint="default"/>
                      <w:color w:val="000000" w:themeColor="text1"/>
                      <w14:textFill>
                        <w14:solidFill>
                          <w14:schemeClr w14:val="tx1"/>
                        </w14:solidFill>
                      </w14:textFill>
                    </w:rPr>
                  </w:pPr>
                </w:p>
              </w:tc>
              <w:tc>
                <w:tcPr>
                  <w:tcW w:w="1180"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c>
                <w:tcPr>
                  <w:tcW w:w="1174"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35.4</w:t>
                  </w:r>
                </w:p>
              </w:tc>
              <w:tc>
                <w:tcPr>
                  <w:tcW w:w="1174" w:type="dxa"/>
                  <w:vMerge w:val="continue"/>
                  <w:tcBorders>
                    <w:tl2br w:val="nil"/>
                    <w:tr2bl w:val="nil"/>
                  </w:tcBorders>
                  <w:vAlign w:val="center"/>
                </w:tcPr>
                <w:p>
                  <w:pPr>
                    <w:pStyle w:val="15"/>
                    <w:bidi w:val="0"/>
                    <w:rPr>
                      <w:rFonts w:hint="default"/>
                      <w:color w:val="000000" w:themeColor="text1"/>
                      <w14:textFill>
                        <w14:solidFill>
                          <w14:schemeClr w14:val="tx1"/>
                        </w14:solidFill>
                      </w14:textFill>
                    </w:rPr>
                  </w:pPr>
                </w:p>
              </w:tc>
              <w:tc>
                <w:tcPr>
                  <w:tcW w:w="1179" w:type="dxa"/>
                  <w:tcBorders>
                    <w:tl2br w:val="nil"/>
                    <w:tr2bl w:val="nil"/>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达标</w:t>
                  </w:r>
                </w:p>
              </w:tc>
            </w:tr>
          </w:tbl>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本项目四周厂界噪声监测值昼间为</w:t>
            </w:r>
            <w:r>
              <w:rPr>
                <w:rFonts w:hint="eastAsia"/>
                <w:color w:val="000000" w:themeColor="text1"/>
                <w:lang w:val="en-US" w:eastAsia="zh-CN"/>
                <w14:textFill>
                  <w14:solidFill>
                    <w14:schemeClr w14:val="tx1"/>
                  </w14:solidFill>
                </w14:textFill>
              </w:rPr>
              <w:t>41.8</w:t>
            </w:r>
            <w:r>
              <w:rPr>
                <w:rFonts w:hint="default"/>
                <w:color w:val="000000" w:themeColor="text1"/>
                <w:lang w:val="en-US"/>
                <w14:textFill>
                  <w14:solidFill>
                    <w14:schemeClr w14:val="tx1"/>
                  </w14:solidFill>
                </w14:textFill>
              </w:rPr>
              <w:t>dB(A)</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44.7</w:t>
            </w:r>
            <w:r>
              <w:rPr>
                <w:rFonts w:hint="default"/>
                <w:color w:val="000000" w:themeColor="text1"/>
                <w:lang w:val="en-US"/>
                <w14:textFill>
                  <w14:solidFill>
                    <w14:schemeClr w14:val="tx1"/>
                  </w14:solidFill>
                </w14:textFill>
              </w:rPr>
              <w:t>dB(A)，</w:t>
            </w:r>
            <w:r>
              <w:rPr>
                <w:rFonts w:hint="default"/>
                <w:color w:val="000000" w:themeColor="text1"/>
                <w14:textFill>
                  <w14:solidFill>
                    <w14:schemeClr w14:val="tx1"/>
                  </w14:solidFill>
                </w14:textFill>
              </w:rPr>
              <w:t>夜间为</w:t>
            </w:r>
            <w:r>
              <w:rPr>
                <w:rFonts w:hint="eastAsia"/>
                <w:color w:val="000000" w:themeColor="text1"/>
                <w:lang w:val="en-US" w:eastAsia="zh-CN"/>
                <w14:textFill>
                  <w14:solidFill>
                    <w14:schemeClr w14:val="tx1"/>
                  </w14:solidFill>
                </w14:textFill>
              </w:rPr>
              <w:t>34.1</w:t>
            </w:r>
            <w:r>
              <w:rPr>
                <w:rFonts w:hint="default"/>
                <w:color w:val="000000" w:themeColor="text1"/>
                <w:lang w:val="en-US"/>
                <w14:textFill>
                  <w14:solidFill>
                    <w14:schemeClr w14:val="tx1"/>
                  </w14:solidFill>
                </w14:textFill>
              </w:rPr>
              <w:t>dB(A)</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35.9</w:t>
            </w:r>
            <w:r>
              <w:rPr>
                <w:rFonts w:hint="default"/>
                <w:color w:val="000000" w:themeColor="text1"/>
                <w:lang w:val="en-US"/>
                <w14:textFill>
                  <w14:solidFill>
                    <w14:schemeClr w14:val="tx1"/>
                  </w14:solidFill>
                </w14:textFill>
              </w:rPr>
              <w:t>dB(A)，</w:t>
            </w:r>
            <w:r>
              <w:rPr>
                <w:rFonts w:hint="default"/>
                <w:color w:val="000000" w:themeColor="text1"/>
                <w14:textFill>
                  <w14:solidFill>
                    <w14:schemeClr w14:val="tx1"/>
                  </w14:solidFill>
                </w14:textFill>
              </w:rPr>
              <w:t>均满足《声环境质量标准》</w:t>
            </w:r>
            <w:r>
              <w:rPr>
                <w:rFonts w:hint="default"/>
                <w:color w:val="000000" w:themeColor="text1"/>
                <w:lang w:val="en-US"/>
                <w14:textFill>
                  <w14:solidFill>
                    <w14:schemeClr w14:val="tx1"/>
                  </w14:solidFill>
                </w14:textFill>
              </w:rPr>
              <w:t>（GB3096-2008）</w:t>
            </w:r>
            <w:r>
              <w:rPr>
                <w:rFonts w:hint="default"/>
                <w:color w:val="000000" w:themeColor="text1"/>
                <w14:textFill>
                  <w14:solidFill>
                    <w14:schemeClr w14:val="tx1"/>
                  </w14:solidFill>
                </w14:textFill>
              </w:rPr>
              <w:t>中</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类区标准要求。</w:t>
            </w:r>
          </w:p>
          <w:p>
            <w:pPr>
              <w:keepNext w:val="0"/>
              <w:keepLines w:val="0"/>
              <w:suppressLineNumbers w:val="0"/>
              <w:spacing w:before="0" w:beforeAutospacing="0" w:after="0" w:afterAutospacing="0" w:line="360" w:lineRule="auto"/>
              <w:ind w:left="0" w:right="0"/>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四</w:t>
            </w:r>
            <w:r>
              <w:rPr>
                <w:rFonts w:hint="eastAsia"/>
                <w:b/>
                <w:bCs/>
                <w:color w:val="000000" w:themeColor="text1"/>
                <w:sz w:val="24"/>
                <w:szCs w:val="24"/>
                <w14:textFill>
                  <w14:solidFill>
                    <w14:schemeClr w14:val="tx1"/>
                  </w14:solidFill>
                </w14:textFill>
              </w:rPr>
              <w:t>、生态环境现状调查</w:t>
            </w:r>
          </w:p>
          <w:p>
            <w:pPr>
              <w:keepNext w:val="0"/>
              <w:keepLines w:val="0"/>
              <w:suppressLineNumbers w:val="0"/>
              <w:spacing w:before="0" w:beforeAutospacing="0" w:after="0" w:afterAutospacing="0" w:line="360" w:lineRule="auto"/>
              <w:ind w:left="0" w:right="0" w:firstLine="482" w:firstLineChars="200"/>
              <w:jc w:val="left"/>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1、重点生态区域、重点保护植物和古树名木</w:t>
            </w:r>
          </w:p>
          <w:p>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本项目建设不涉及使用自然保护区、森林公园、湿地公园、风景名胜区范围内的林地。评价区</w:t>
            </w:r>
            <w:r>
              <w:rPr>
                <w:rFonts w:hint="default" w:ascii="Times New Roman" w:hAnsi="Times New Roman" w:eastAsia="宋体" w:cs="Times New Roman"/>
                <w:color w:val="000000" w:themeColor="text1"/>
                <w:sz w:val="24"/>
                <w14:textFill>
                  <w14:solidFill>
                    <w14:schemeClr w14:val="tx1"/>
                  </w14:solidFill>
                </w14:textFill>
              </w:rPr>
              <w:t>植被主要以人工植被为主，种类为常见的树木花草，分布在道路两侧及房屋前后</w:t>
            </w:r>
            <w:r>
              <w:rPr>
                <w:rFonts w:hint="eastAsia" w:eastAsia="宋体" w:cs="Times New Roman"/>
                <w:color w:val="000000" w:themeColor="text1"/>
                <w:sz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项目涉及区内未发现有古树名木和国家及自治区级重点保护的野生植物。</w:t>
            </w:r>
          </w:p>
          <w:p>
            <w:pPr>
              <w:keepNext w:val="0"/>
              <w:keepLines w:val="0"/>
              <w:suppressLineNumbers w:val="0"/>
              <w:spacing w:before="0" w:beforeAutospacing="0" w:after="0" w:afterAutospacing="0" w:line="360" w:lineRule="auto"/>
              <w:ind w:left="0" w:right="0" w:firstLine="480" w:firstLineChars="200"/>
              <w:rPr>
                <w:rFonts w:hint="default"/>
                <w:color w:val="0000FF"/>
                <w:sz w:val="24"/>
                <w:szCs w:val="24"/>
                <w:lang w:val="en-US" w:eastAsia="zh-CN"/>
              </w:rPr>
            </w:pPr>
            <w:r>
              <w:rPr>
                <w:rFonts w:hint="eastAsia"/>
                <w:color w:val="0000FF"/>
                <w:sz w:val="24"/>
                <w:szCs w:val="24"/>
                <w:lang w:val="en-US" w:eastAsia="zh-CN"/>
              </w:rPr>
              <w:t>项目用地范围内主要是荒草地，植被覆盖程度中等，生物量约为400g/m²。</w:t>
            </w:r>
          </w:p>
          <w:p>
            <w:pPr>
              <w:keepNext w:val="0"/>
              <w:keepLines w:val="0"/>
              <w:suppressLineNumbers w:val="0"/>
              <w:spacing w:before="0" w:beforeAutospacing="0" w:after="0" w:afterAutospacing="0" w:line="360" w:lineRule="auto"/>
              <w:ind w:left="0" w:right="0" w:firstLine="482" w:firstLineChars="200"/>
              <w:jc w:val="left"/>
              <w:rPr>
                <w:rFonts w:hint="eastAsia"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2、动物现状调查与评价</w:t>
            </w:r>
          </w:p>
          <w:p>
            <w:pPr>
              <w:keepNext w:val="0"/>
              <w:keepLines w:val="0"/>
              <w:suppressLineNumbers w:val="0"/>
              <w:spacing w:before="0" w:beforeAutospacing="0" w:after="0" w:afterAutospacing="0" w:line="360" w:lineRule="auto"/>
              <w:ind w:left="0" w:right="0" w:firstLine="480" w:firstLineChars="200"/>
              <w:jc w:val="left"/>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由野生动物地理区划划分，主要有家燕、椋鸟、乌鸦、麻雀、灰仓鼠、小家鼠和褐家鼠等。野生动物缺乏本地特有种，除啮齿类外，基本无多见种，未见国家级、省级重点保护野生动物。</w:t>
            </w:r>
          </w:p>
          <w:p>
            <w:pPr>
              <w:keepNext w:val="0"/>
              <w:keepLines w:val="0"/>
              <w:suppressLineNumbers w:val="0"/>
              <w:spacing w:before="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五</w:t>
            </w:r>
            <w:r>
              <w:rPr>
                <w:rFonts w:hint="eastAsia"/>
                <w:b/>
                <w:bCs/>
                <w:color w:val="000000" w:themeColor="text1"/>
                <w:sz w:val="24"/>
                <w:szCs w:val="24"/>
                <w14:textFill>
                  <w14:solidFill>
                    <w14:schemeClr w14:val="tx1"/>
                  </w14:solidFill>
                </w14:textFill>
              </w:rPr>
              <w:t>、土壤环境质量现状调查与评价</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地下水、土壤环境原则上不开展环境质量现状调查，建设项目存在土壤、地下水环境污染物途径的，应结合污染源、保护目标分布情况开展现状调查以留作背景值。根据项目生产工艺进行分析，本项目不存在直接的土壤污染途径，项目占地为工业</w:t>
            </w:r>
            <w:r>
              <w:rPr>
                <w:rFonts w:hint="eastAsia"/>
                <w:color w:val="000000" w:themeColor="text1"/>
                <w:lang w:eastAsia="zh-CN"/>
                <w14:textFill>
                  <w14:solidFill>
                    <w14:schemeClr w14:val="tx1"/>
                  </w14:solidFill>
                </w14:textFill>
              </w:rPr>
              <w:t>用地</w:t>
            </w:r>
            <w:r>
              <w:rPr>
                <w:rFonts w:hint="eastAsia"/>
                <w:color w:val="000000" w:themeColor="text1"/>
                <w14:textFill>
                  <w14:solidFill>
                    <w14:schemeClr w14:val="tx1"/>
                  </w14:solidFill>
                </w14:textFill>
              </w:rPr>
              <w:t>，故本项目不开展土壤环境质量现状调查。</w:t>
            </w:r>
          </w:p>
          <w:p>
            <w:pPr>
              <w:autoSpaceDE w:val="0"/>
              <w:autoSpaceDN w:val="0"/>
              <w:adjustRightInd w:val="0"/>
              <w:snapToGrid w:val="0"/>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同时</w:t>
            </w:r>
            <w:r>
              <w:rPr>
                <w:rFonts w:hint="eastAsia" w:ascii="Times New Roman" w:hAnsi="Times New Roman" w:eastAsia="宋体" w:cs="Times New Roman"/>
                <w:color w:val="000000" w:themeColor="text1"/>
                <w:sz w:val="24"/>
                <w14:textFill>
                  <w14:solidFill>
                    <w14:schemeClr w14:val="tx1"/>
                  </w14:solidFill>
                </w14:textFill>
              </w:rPr>
              <w:t>参考《环境影响评价技术导则——土壤环境（试行）》（HJ964-2018）</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附录A（规范性附录）土壤环境影响评价类别</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的划分，本项目对应</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其他行业</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中的</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全部</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类，为</w:t>
            </w:r>
            <w:r>
              <w:rPr>
                <w:rFonts w:hint="eastAsia" w:ascii="Times New Roman" w:hAnsi="Times New Roman" w:cs="Times New Roman"/>
                <w:color w:val="000000" w:themeColor="text1"/>
                <w:sz w:val="24"/>
                <w:lang w:val="en-US" w:eastAsia="zh-CN"/>
                <w14:textFill>
                  <w14:solidFill>
                    <w14:schemeClr w14:val="tx1"/>
                  </w14:solidFill>
                </w14:textFill>
              </w:rPr>
              <w:t>Ⅳ</w:t>
            </w:r>
            <w:r>
              <w:rPr>
                <w:rFonts w:hint="eastAsia" w:ascii="Times New Roman" w:hAnsi="Times New Roman" w:eastAsia="宋体" w:cs="Times New Roman"/>
                <w:color w:val="000000" w:themeColor="text1"/>
                <w:sz w:val="24"/>
                <w14:textFill>
                  <w14:solidFill>
                    <w14:schemeClr w14:val="tx1"/>
                  </w14:solidFill>
                </w14:textFill>
              </w:rPr>
              <w:t>类建设项目，根据《环境影响评价技术导则——土壤环境（试行）》（HJ964-2018）</w:t>
            </w:r>
            <w:r>
              <w:rPr>
                <w:rFonts w:hint="eastAsia" w:ascii="Times New Roman" w:hAnsi="Times New Roman" w:cs="Times New Roman"/>
                <w:color w:val="000000" w:themeColor="text1"/>
                <w:sz w:val="24"/>
                <w:lang w:val="en-US" w:eastAsia="zh-CN"/>
                <w14:textFill>
                  <w14:solidFill>
                    <w14:schemeClr w14:val="tx1"/>
                  </w14:solidFill>
                </w14:textFill>
              </w:rPr>
              <w:t>表4污染影响型评价工作等级划分可知，Ⅳ类项目可不开展土壤环境质量现状调查与评价。</w:t>
            </w:r>
          </w:p>
          <w:p>
            <w:pPr>
              <w:autoSpaceDE w:val="0"/>
              <w:autoSpaceDN w:val="0"/>
              <w:adjustRightInd w:val="0"/>
              <w:snapToGrid w:val="0"/>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jc w:val="center"/>
        </w:trPr>
        <w:tc>
          <w:tcPr>
            <w:tcW w:w="920"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保护</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目标</w:t>
            </w:r>
          </w:p>
        </w:tc>
        <w:tc>
          <w:tcPr>
            <w:tcW w:w="8434" w:type="dxa"/>
            <w:tcBorders>
              <w:tl2br w:val="nil"/>
              <w:tr2bl w:val="nil"/>
            </w:tcBorders>
            <w:noWrap w:val="0"/>
            <w:vAlign w:val="center"/>
          </w:tcPr>
          <w:p>
            <w:pPr>
              <w:ind w:firstLine="480" w:firstLineChars="200"/>
              <w:rPr>
                <w:rFonts w:hint="default"/>
                <w:color w:val="000000" w:themeColor="text1"/>
                <w:kern w:val="0"/>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cs="Times New Roman"/>
                <w:color w:val="000000" w:themeColor="text1"/>
                <w:lang w:val="en-US" w:eastAsia="zh-CN"/>
                <w14:textFill>
                  <w14:solidFill>
                    <w14:schemeClr w14:val="tx1"/>
                  </w14:solidFill>
                </w14:textFill>
              </w:rPr>
              <w:t>吉木萨尔县老台乡西地中沟村</w:t>
            </w:r>
            <w:r>
              <w:rPr>
                <w:rFonts w:hint="eastAsia" w:ascii="Times New Roman" w:hAnsi="Times New Roman" w:cs="Times New Roman"/>
                <w:color w:val="000000" w:themeColor="text1"/>
                <w:lang w:val="en-US" w:eastAsia="zh-CN"/>
                <w14:textFill>
                  <w14:solidFill>
                    <w14:schemeClr w14:val="tx1"/>
                  </w14:solidFill>
                </w14:textFill>
              </w:rPr>
              <w:t>，项目行政规划隶属</w:t>
            </w:r>
            <w:r>
              <w:rPr>
                <w:rFonts w:hint="eastAsia" w:cs="Times New Roman"/>
                <w:color w:val="000000" w:themeColor="text1"/>
                <w:lang w:val="en-US" w:eastAsia="zh-CN"/>
                <w14:textFill>
                  <w14:solidFill>
                    <w14:schemeClr w14:val="tx1"/>
                  </w14:solidFill>
                </w14:textFill>
              </w:rPr>
              <w:t>吉木萨尔县</w:t>
            </w:r>
            <w:r>
              <w:rPr>
                <w:rFonts w:hint="eastAsia" w:ascii="Times New Roman" w:hAnsi="Times New Roman" w:cs="Times New Roman"/>
                <w:color w:val="000000" w:themeColor="text1"/>
                <w:lang w:val="en-US" w:eastAsia="zh-CN"/>
                <w14:textFill>
                  <w14:solidFill>
                    <w14:schemeClr w14:val="tx1"/>
                  </w14:solidFill>
                </w14:textFill>
              </w:rPr>
              <w:t>管辖，项目区中心位置地理坐标为：N</w:t>
            </w:r>
            <w:r>
              <w:rPr>
                <w:rFonts w:hint="eastAsia" w:cs="Times New Roman"/>
                <w:color w:val="000000" w:themeColor="text1"/>
                <w:lang w:val="en-US" w:eastAsia="zh-CN"/>
                <w14:textFill>
                  <w14:solidFill>
                    <w14:schemeClr w14:val="tx1"/>
                  </w14:solidFill>
                </w14:textFill>
              </w:rPr>
              <w:t>44°11'5.891"</w:t>
            </w:r>
            <w:r>
              <w:rPr>
                <w:rFonts w:hint="eastAsia" w:ascii="Times New Roman" w:hAnsi="Times New Roman" w:cs="Times New Roman"/>
                <w:color w:val="000000" w:themeColor="text1"/>
                <w:lang w:val="en-US" w:eastAsia="zh-CN"/>
                <w14:textFill>
                  <w14:solidFill>
                    <w14:schemeClr w14:val="tx1"/>
                  </w14:solidFill>
                </w14:textFill>
              </w:rPr>
              <w:t xml:space="preserve">、E </w:t>
            </w:r>
            <w:r>
              <w:rPr>
                <w:rFonts w:hint="eastAsia" w:cs="Times New Roman"/>
                <w:color w:val="000000" w:themeColor="text1"/>
                <w:lang w:val="en-US" w:eastAsia="zh-CN"/>
                <w14:textFill>
                  <w14:solidFill>
                    <w14:schemeClr w14:val="tx1"/>
                  </w14:solidFill>
                </w14:textFill>
              </w:rPr>
              <w:t>88°49'13.022"</w:t>
            </w:r>
            <w:r>
              <w:rPr>
                <w:rFonts w:hint="eastAsia"/>
                <w:color w:val="000000" w:themeColor="text1"/>
                <w:lang w:val="en-US" w:eastAsia="zh-CN"/>
                <w14:textFill>
                  <w14:solidFill>
                    <w14:schemeClr w14:val="tx1"/>
                  </w14:solidFill>
                </w14:textFill>
              </w:rPr>
              <w:t>。环境敏感目标分布情况详见附图2。</w:t>
            </w:r>
          </w:p>
          <w:p>
            <w:pPr>
              <w:ind w:firstLine="480" w:firstLineChars="20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项目所在地</w:t>
            </w:r>
            <w:r>
              <w:rPr>
                <w:color w:val="000000" w:themeColor="text1"/>
                <w:szCs w:val="24"/>
                <w14:textFill>
                  <w14:solidFill>
                    <w14:schemeClr w14:val="tx1"/>
                  </w14:solidFill>
                </w14:textFill>
              </w:rPr>
              <w:t>无水源保护</w:t>
            </w:r>
            <w:r>
              <w:rPr>
                <w:rFonts w:hint="eastAsia"/>
                <w:color w:val="000000" w:themeColor="text1"/>
                <w:szCs w:val="24"/>
                <w14:textFill>
                  <w14:solidFill>
                    <w14:schemeClr w14:val="tx1"/>
                  </w14:solidFill>
                </w14:textFill>
              </w:rPr>
              <w:t>区</w:t>
            </w:r>
            <w:r>
              <w:rPr>
                <w:color w:val="000000" w:themeColor="text1"/>
                <w:szCs w:val="24"/>
                <w14:textFill>
                  <w14:solidFill>
                    <w14:schemeClr w14:val="tx1"/>
                  </w14:solidFill>
                </w14:textFill>
              </w:rPr>
              <w:t>，附近无国家、自治区、县级文物古迹及自然景观保护目标</w:t>
            </w:r>
            <w:r>
              <w:rPr>
                <w:rFonts w:hint="eastAsia"/>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项目区</w:t>
            </w:r>
            <w:r>
              <w:rPr>
                <w:rFonts w:hint="eastAsia"/>
                <w:color w:val="000000" w:themeColor="text1"/>
                <w14:textFill>
                  <w14:solidFill>
                    <w14:schemeClr w14:val="tx1"/>
                  </w14:solidFill>
                </w14:textFill>
              </w:rPr>
              <w:t>周边主要分布农田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林地以及居民区</w:t>
            </w:r>
            <w:r>
              <w:rPr>
                <w:color w:val="000000" w:themeColor="text1"/>
                <w:szCs w:val="24"/>
                <w14:textFill>
                  <w14:solidFill>
                    <w14:schemeClr w14:val="tx1"/>
                  </w14:solidFill>
                </w14:textFill>
              </w:rPr>
              <w:t>。</w:t>
            </w:r>
          </w:p>
          <w:p>
            <w:pPr>
              <w:ind w:firstLine="480" w:firstLineChars="200"/>
              <w:rPr>
                <w:rFonts w:hint="eastAsia" w:ascii="黑体" w:hAnsi="黑体" w:eastAsia="黑体" w:cs="黑体"/>
                <w:color w:val="000000" w:themeColor="text1"/>
                <w14:textFill>
                  <w14:solidFill>
                    <w14:schemeClr w14:val="tx1"/>
                  </w14:solidFill>
                </w14:textFill>
              </w:rPr>
            </w:pPr>
            <w:r>
              <w:rPr>
                <w:rFonts w:hint="eastAsia"/>
                <w:color w:val="000000" w:themeColor="text1"/>
                <w14:textFill>
                  <w14:solidFill>
                    <w14:schemeClr w14:val="tx1"/>
                  </w14:solidFill>
                </w14:textFill>
              </w:rPr>
              <w:t>本次</w:t>
            </w:r>
            <w:r>
              <w:rPr>
                <w:color w:val="000000" w:themeColor="text1"/>
                <w14:textFill>
                  <w14:solidFill>
                    <w14:schemeClr w14:val="tx1"/>
                  </w14:solidFill>
                </w14:textFill>
              </w:rPr>
              <w:t>环境保护目标</w:t>
            </w:r>
            <w:r>
              <w:rPr>
                <w:rFonts w:hint="eastAsia"/>
                <w:color w:val="000000" w:themeColor="text1"/>
                <w14:textFill>
                  <w14:solidFill>
                    <w14:schemeClr w14:val="tx1"/>
                  </w14:solidFill>
                </w14:textFill>
              </w:rPr>
              <w:t>一览表见表</w:t>
            </w:r>
            <w:r>
              <w:rPr>
                <w:rFonts w:hint="eastAsia"/>
                <w:color w:val="000000" w:themeColor="text1"/>
                <w:lang w:val="en-US" w:eastAsia="zh-CN"/>
                <w14:textFill>
                  <w14:solidFill>
                    <w14:schemeClr w14:val="tx1"/>
                  </w14:solidFill>
                </w14:textFill>
              </w:rPr>
              <w:t>3-6</w:t>
            </w:r>
            <w:r>
              <w:rPr>
                <w:rFonts w:hint="eastAsia"/>
                <w:color w:val="000000" w:themeColor="text1"/>
                <w14:textFill>
                  <w14:solidFill>
                    <w14:schemeClr w14:val="tx1"/>
                  </w14:solidFill>
                </w14:textFill>
              </w:rPr>
              <w:t>。</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3-6 </w:t>
            </w:r>
            <w:r>
              <w:rPr>
                <w:rFonts w:hint="default"/>
                <w:b/>
                <w:bCs/>
                <w:color w:val="000000" w:themeColor="text1"/>
                <w14:textFill>
                  <w14:solidFill>
                    <w14:schemeClr w14:val="tx1"/>
                  </w14:solidFill>
                </w14:textFill>
              </w:rPr>
              <w:t xml:space="preserve">  项目环境保护目标一览表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90"/>
              <w:gridCol w:w="1107"/>
              <w:gridCol w:w="925"/>
              <w:gridCol w:w="1582"/>
              <w:gridCol w:w="2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990"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环境要素</w:t>
                  </w:r>
                </w:p>
              </w:tc>
              <w:tc>
                <w:tcPr>
                  <w:tcW w:w="1107"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环境保护目标</w:t>
                  </w:r>
                </w:p>
              </w:tc>
              <w:tc>
                <w:tcPr>
                  <w:tcW w:w="92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性质</w:t>
                  </w:r>
                </w:p>
              </w:tc>
              <w:tc>
                <w:tcPr>
                  <w:tcW w:w="1582"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工程与敏感目标的关系</w:t>
                  </w:r>
                </w:p>
              </w:tc>
              <w:tc>
                <w:tcPr>
                  <w:tcW w:w="2948"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环境保护要求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990"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环境空气</w:t>
                  </w:r>
                </w:p>
              </w:tc>
              <w:tc>
                <w:tcPr>
                  <w:tcW w:w="1107" w:type="dxa"/>
                  <w:tcBorders>
                    <w:top w:val="single" w:color="auto" w:sz="12"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西地中沟村</w:t>
                  </w:r>
                </w:p>
              </w:tc>
              <w:tc>
                <w:tcPr>
                  <w:tcW w:w="925" w:type="dxa"/>
                  <w:tcBorders>
                    <w:top w:val="single" w:color="auto" w:sz="12"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居民区</w:t>
                  </w:r>
                </w:p>
              </w:tc>
              <w:tc>
                <w:tcPr>
                  <w:tcW w:w="1582" w:type="dxa"/>
                  <w:tcBorders>
                    <w:top w:val="single" w:color="auto" w:sz="12"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西侧0.2km</w:t>
                  </w:r>
                </w:p>
              </w:tc>
              <w:tc>
                <w:tcPr>
                  <w:tcW w:w="2948"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《环境空气质量标准》（GB3095-2012）中的二级标准</w:t>
                  </w:r>
                </w:p>
                <w:p>
                  <w:pPr>
                    <w:pStyle w:val="15"/>
                    <w:bidi w:val="0"/>
                    <w:rPr>
                      <w:rFonts w:hint="default"/>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op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990" w:type="dxa"/>
                  <w:vMerge w:val="restart"/>
                  <w:tcBorders>
                    <w:top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土壤环境</w:t>
                  </w:r>
                </w:p>
              </w:tc>
              <w:tc>
                <w:tcPr>
                  <w:tcW w:w="1107"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东侧农田</w:t>
                  </w:r>
                </w:p>
              </w:tc>
              <w:tc>
                <w:tcPr>
                  <w:tcW w:w="925"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农田</w:t>
                  </w:r>
                </w:p>
              </w:tc>
              <w:tc>
                <w:tcPr>
                  <w:tcW w:w="1582"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东侧5m</w:t>
                  </w:r>
                </w:p>
              </w:tc>
              <w:tc>
                <w:tcPr>
                  <w:tcW w:w="2948" w:type="dxa"/>
                  <w:vMerge w:val="restart"/>
                  <w:tcBorders>
                    <w:top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土壤环境质量   农用地土壤污染风险管控标准（试行）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GB15618-2018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中风险筛选值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noWrap w:val="0"/>
                  <w:vAlign w:val="center"/>
                </w:tcPr>
                <w:p>
                  <w:pPr>
                    <w:pStyle w:val="15"/>
                    <w:bidi w:val="0"/>
                    <w:rPr>
                      <w:rFonts w:hint="eastAsia"/>
                      <w:color w:val="000000" w:themeColor="text1"/>
                      <w:lang w:val="en-US" w:eastAsia="zh-CN"/>
                      <w14:textFill>
                        <w14:solidFill>
                          <w14:schemeClr w14:val="tx1"/>
                        </w14:solidFill>
                      </w14:textFill>
                    </w:rPr>
                  </w:pPr>
                </w:p>
              </w:tc>
              <w:tc>
                <w:tcPr>
                  <w:tcW w:w="990" w:type="dxa"/>
                  <w:vMerge w:val="continue"/>
                  <w:noWrap w:val="0"/>
                  <w:vAlign w:val="center"/>
                </w:tcPr>
                <w:p>
                  <w:pPr>
                    <w:pStyle w:val="15"/>
                    <w:bidi w:val="0"/>
                    <w:rPr>
                      <w:rFonts w:hint="eastAsia"/>
                      <w:color w:val="000000" w:themeColor="text1"/>
                      <w:lang w:val="en-US" w:eastAsia="zh-CN"/>
                      <w14:textFill>
                        <w14:solidFill>
                          <w14:schemeClr w14:val="tx1"/>
                        </w14:solidFill>
                      </w14:textFill>
                    </w:rPr>
                  </w:pPr>
                </w:p>
              </w:tc>
              <w:tc>
                <w:tcPr>
                  <w:tcW w:w="1107"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南侧农田</w:t>
                  </w:r>
                </w:p>
              </w:tc>
              <w:tc>
                <w:tcPr>
                  <w:tcW w:w="925"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农田</w:t>
                  </w:r>
                </w:p>
              </w:tc>
              <w:tc>
                <w:tcPr>
                  <w:tcW w:w="1582"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南侧10m</w:t>
                  </w:r>
                </w:p>
              </w:tc>
              <w:tc>
                <w:tcPr>
                  <w:tcW w:w="2948" w:type="dxa"/>
                  <w:vMerge w:val="continue"/>
                  <w:noWrap w:val="0"/>
                  <w:vAlign w:val="center"/>
                </w:tcPr>
                <w:p>
                  <w:pPr>
                    <w:pStyle w:val="15"/>
                    <w:bidi w:val="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bottom w:val="single" w:color="auto" w:sz="4" w:space="0"/>
                  </w:tcBorders>
                  <w:noWrap w:val="0"/>
                  <w:vAlign w:val="center"/>
                </w:tcPr>
                <w:p>
                  <w:pPr>
                    <w:pStyle w:val="15"/>
                    <w:bidi w:val="0"/>
                    <w:rPr>
                      <w:rFonts w:hint="eastAsia"/>
                      <w:color w:val="000000" w:themeColor="text1"/>
                      <w:lang w:val="en-US" w:eastAsia="zh-CN"/>
                      <w14:textFill>
                        <w14:solidFill>
                          <w14:schemeClr w14:val="tx1"/>
                        </w14:solidFill>
                      </w14:textFill>
                    </w:rPr>
                  </w:pPr>
                </w:p>
              </w:tc>
              <w:tc>
                <w:tcPr>
                  <w:tcW w:w="990" w:type="dxa"/>
                  <w:vMerge w:val="continue"/>
                  <w:tcBorders>
                    <w:bottom w:val="single" w:color="auto" w:sz="4" w:space="0"/>
                  </w:tcBorders>
                  <w:noWrap w:val="0"/>
                  <w:vAlign w:val="center"/>
                </w:tcPr>
                <w:p>
                  <w:pPr>
                    <w:pStyle w:val="15"/>
                    <w:bidi w:val="0"/>
                    <w:rPr>
                      <w:rFonts w:hint="eastAsia"/>
                      <w:color w:val="000000" w:themeColor="text1"/>
                      <w:lang w:val="en-US" w:eastAsia="zh-CN"/>
                      <w14:textFill>
                        <w14:solidFill>
                          <w14:schemeClr w14:val="tx1"/>
                        </w14:solidFill>
                      </w14:textFill>
                    </w:rPr>
                  </w:pPr>
                </w:p>
              </w:tc>
              <w:tc>
                <w:tcPr>
                  <w:tcW w:w="1107"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北侧农田</w:t>
                  </w:r>
                </w:p>
              </w:tc>
              <w:tc>
                <w:tcPr>
                  <w:tcW w:w="925" w:type="dxa"/>
                  <w:tcBorders>
                    <w:top w:val="single" w:color="auto" w:sz="4" w:space="0"/>
                    <w:bottom w:val="single" w:color="auto" w:sz="4" w:space="0"/>
                  </w:tcBorders>
                  <w:noWrap w:val="0"/>
                  <w:vAlign w:val="center"/>
                </w:tcPr>
                <w:p>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农田</w:t>
                  </w:r>
                </w:p>
              </w:tc>
              <w:tc>
                <w:tcPr>
                  <w:tcW w:w="1582"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北侧50m</w:t>
                  </w:r>
                </w:p>
              </w:tc>
              <w:tc>
                <w:tcPr>
                  <w:tcW w:w="2948" w:type="dxa"/>
                  <w:vMerge w:val="continue"/>
                  <w:tcBorders>
                    <w:bottom w:val="single" w:color="auto" w:sz="4" w:space="0"/>
                  </w:tcBorders>
                  <w:noWrap w:val="0"/>
                  <w:vAlign w:val="center"/>
                </w:tcPr>
                <w:p>
                  <w:pPr>
                    <w:pStyle w:val="15"/>
                    <w:bidi w:val="0"/>
                    <w:rPr>
                      <w:rFonts w:hint="eastAsia"/>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668" w:type="dxa"/>
                  <w:tcBorders>
                    <w:top w:val="single" w:color="auto" w:sz="4"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90" w:type="dxa"/>
                  <w:tcBorders>
                    <w:top w:val="single" w:color="auto" w:sz="4"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环境风险</w:t>
                  </w:r>
                </w:p>
              </w:tc>
              <w:tc>
                <w:tcPr>
                  <w:tcW w:w="1107" w:type="dxa"/>
                  <w:tcBorders>
                    <w:top w:val="single" w:color="auto" w:sz="4" w:space="0"/>
                    <w:bottom w:val="single" w:color="auto" w:sz="12" w:space="0"/>
                  </w:tcBorders>
                  <w:noWrap w:val="0"/>
                  <w:vAlign w:val="center"/>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西地中沟村</w:t>
                  </w:r>
                </w:p>
              </w:tc>
              <w:tc>
                <w:tcPr>
                  <w:tcW w:w="925" w:type="dxa"/>
                  <w:tcBorders>
                    <w:top w:val="single" w:color="auto" w:sz="4" w:space="0"/>
                    <w:bottom w:val="single" w:color="auto" w:sz="12" w:space="0"/>
                  </w:tcBorders>
                  <w:noWrap w:val="0"/>
                  <w:vAlign w:val="center"/>
                </w:tcPr>
                <w:p>
                  <w:pPr>
                    <w:pStyle w:val="15"/>
                    <w:bidi w:val="0"/>
                    <w:ind w:left="0" w:leftChars="0" w:firstLine="0" w:firstLine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居民区</w:t>
                  </w:r>
                </w:p>
              </w:tc>
              <w:tc>
                <w:tcPr>
                  <w:tcW w:w="1582" w:type="dxa"/>
                  <w:tcBorders>
                    <w:top w:val="single" w:color="auto" w:sz="4" w:space="0"/>
                    <w:bottom w:val="single" w:color="auto" w:sz="12" w:space="0"/>
                  </w:tcBorders>
                  <w:noWrap w:val="0"/>
                  <w:vAlign w:val="center"/>
                </w:tcPr>
                <w:p>
                  <w:pPr>
                    <w:pStyle w:val="15"/>
                    <w:bidi w:val="0"/>
                    <w:ind w:left="0" w:leftChars="0" w:firstLine="0" w:firstLineChars="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西侧0.2km</w:t>
                  </w:r>
                </w:p>
              </w:tc>
              <w:tc>
                <w:tcPr>
                  <w:tcW w:w="2948" w:type="dxa"/>
                  <w:tcBorders>
                    <w:top w:val="single" w:color="auto" w:sz="4"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防止发生环境事故影响区域环境质量</w:t>
                  </w:r>
                </w:p>
              </w:tc>
            </w:tr>
          </w:tbl>
          <w:p>
            <w:pPr>
              <w:bidi w:val="0"/>
              <w:rPr>
                <w:color w:val="000000" w:themeColor="text1"/>
                <w14:textFill>
                  <w14:solidFill>
                    <w14:schemeClr w14:val="tx1"/>
                  </w14:solidFill>
                </w14:textFill>
              </w:rPr>
            </w:pPr>
          </w:p>
          <w:p>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9" w:hRule="atLeast"/>
          <w:jc w:val="center"/>
        </w:trPr>
        <w:tc>
          <w:tcPr>
            <w:tcW w:w="920"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物排</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放控</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制标</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准</w:t>
            </w:r>
          </w:p>
        </w:tc>
        <w:tc>
          <w:tcPr>
            <w:tcW w:w="8434" w:type="dxa"/>
            <w:tcBorders>
              <w:tl2br w:val="nil"/>
              <w:tr2bl w:val="nil"/>
            </w:tcBorders>
            <w:noWrap w:val="0"/>
            <w:vAlign w:val="center"/>
          </w:tcPr>
          <w:p>
            <w:pPr>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1、大气污染物排放标准</w:t>
            </w:r>
          </w:p>
          <w:p>
            <w:pPr>
              <w:tabs>
                <w:tab w:val="left" w:pos="597"/>
                <w:tab w:val="left" w:pos="2970"/>
              </w:tabs>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生物质燃烧</w:t>
            </w:r>
            <w:r>
              <w:rPr>
                <w:rFonts w:hint="eastAsia"/>
                <w:color w:val="000000" w:themeColor="text1"/>
                <w:sz w:val="24"/>
                <w:szCs w:val="24"/>
                <w14:textFill>
                  <w14:solidFill>
                    <w14:schemeClr w14:val="tx1"/>
                  </w14:solidFill>
                </w14:textFill>
              </w:rPr>
              <w:t>废气</w:t>
            </w:r>
          </w:p>
          <w:p>
            <w:pPr>
              <w:keepNext w:val="0"/>
              <w:keepLines w:val="0"/>
              <w:suppressLineNumbers w:val="0"/>
              <w:bidi w:val="0"/>
              <w:spacing w:before="0" w:beforeAutospacing="0" w:after="0" w:afterAutospacing="0"/>
              <w:ind w:left="0" w:right="0"/>
              <w:rPr>
                <w:rFonts w:hint="default" w:eastAsia="宋体"/>
                <w:color w:val="000000" w:themeColor="text1"/>
                <w:sz w:val="24"/>
                <w:szCs w:val="24"/>
                <w:lang w:val="en-US" w:eastAsia="zh-CN"/>
                <w14:textFill>
                  <w14:solidFill>
                    <w14:schemeClr w14:val="tx1"/>
                  </w14:solidFill>
                </w14:textFill>
              </w:rPr>
            </w:pPr>
            <w:r>
              <w:rPr>
                <w:rFonts w:hint="default"/>
                <w:lang w:val="en-US" w:eastAsia="zh-CN"/>
              </w:rPr>
              <w:t>根据《锅炉大气污染物排放标准》（GB13271-2014）可知，生物质锅炉执行燃煤锅炉排放控制要求。</w:t>
            </w:r>
            <w:r>
              <w:rPr>
                <w:rFonts w:hint="eastAsia"/>
                <w:lang w:val="en-US" w:eastAsia="zh-CN"/>
              </w:rPr>
              <w:t>但依据《国家发改委  国家能源局关于印发促进生物质能供热发展指导意见的通知》（发改能源﹝2017﹞2123号）中关于生物质锅炉污染排放达到燃气锅炉排放水平的要求，</w:t>
            </w:r>
            <w:r>
              <w:rPr>
                <w:rFonts w:hint="default"/>
                <w:lang w:val="en-US" w:eastAsia="zh-CN"/>
              </w:rPr>
              <w:t>本项目</w:t>
            </w:r>
            <w:r>
              <w:rPr>
                <w:rFonts w:hint="eastAsia"/>
                <w:lang w:val="en-US" w:eastAsia="zh-CN"/>
              </w:rPr>
              <w:t>不</w:t>
            </w:r>
            <w:r>
              <w:rPr>
                <w:rFonts w:hint="default"/>
                <w:lang w:val="en-US" w:eastAsia="zh-CN"/>
              </w:rPr>
              <w:t>属于特别限制区</w:t>
            </w:r>
            <w:r>
              <w:rPr>
                <w:rFonts w:hint="eastAsia"/>
                <w:lang w:val="en-US" w:eastAsia="zh-CN"/>
              </w:rPr>
              <w:t>，综合考虑后项目排放浓度执行</w:t>
            </w:r>
            <w:r>
              <w:rPr>
                <w:rFonts w:hint="default"/>
                <w:lang w:val="en-US" w:eastAsia="zh-CN"/>
              </w:rPr>
              <w:t>《锅炉大气污染物排放标准》（GB13271-2014）</w:t>
            </w:r>
            <w:r>
              <w:rPr>
                <w:rFonts w:hint="eastAsia"/>
                <w:lang w:val="en-US" w:eastAsia="zh-CN"/>
              </w:rPr>
              <w:t>表2燃气锅炉排放限值。但其排气筒高度依然按照</w:t>
            </w:r>
            <w:r>
              <w:rPr>
                <w:rFonts w:hint="default"/>
                <w:lang w:val="en-US" w:eastAsia="zh-CN"/>
              </w:rPr>
              <w:t>《锅炉大气污染物排放标准》（GB13271-2014）</w:t>
            </w:r>
            <w:r>
              <w:rPr>
                <w:rFonts w:hint="eastAsia"/>
                <w:lang w:val="en-US" w:eastAsia="zh-CN"/>
              </w:rPr>
              <w:t>燃煤锅炉排气筒高度限值要求进行</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详见表3-7。</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3-7</w:t>
            </w:r>
            <w:r>
              <w:rPr>
                <w:b/>
                <w:bCs/>
                <w:color w:val="000000" w:themeColor="text1"/>
                <w14:textFill>
                  <w14:solidFill>
                    <w14:schemeClr w14:val="tx1"/>
                  </w14:solidFill>
                </w14:textFill>
              </w:rPr>
              <w:t xml:space="preserve">   </w:t>
            </w:r>
            <w:r>
              <w:rPr>
                <w:rFonts w:hint="default"/>
                <w:b/>
                <w:bCs/>
                <w:lang w:val="en-US" w:eastAsia="zh-CN"/>
              </w:rPr>
              <w:t>新建锅炉大气污染物排放浓度限值</w:t>
            </w:r>
            <w:r>
              <w:rPr>
                <w:rFonts w:hint="eastAsia"/>
                <w:b/>
                <w:bCs/>
                <w:lang w:val="en-US" w:eastAsia="zh-CN"/>
              </w:rPr>
              <w:t>（燃气锅炉）</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单位：</w:t>
            </w:r>
            <w:r>
              <w:rPr>
                <w:b/>
                <w:bCs/>
                <w:color w:val="000000" w:themeColor="text1"/>
                <w14:textFill>
                  <w14:solidFill>
                    <w14:schemeClr w14:val="tx1"/>
                  </w14:solidFill>
                </w14:textFill>
              </w:rPr>
              <w:t>mg/m³</w:t>
            </w:r>
          </w:p>
          <w:tbl>
            <w:tblPr>
              <w:tblStyle w:val="11"/>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4"/>
              <w:gridCol w:w="2522"/>
              <w:gridCol w:w="24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214" w:type="dxa"/>
                  <w:vAlign w:val="center"/>
                </w:tcPr>
                <w:p>
                  <w:pPr>
                    <w:pStyle w:val="15"/>
                    <w:keepNext w:val="0"/>
                    <w:keepLines w:val="0"/>
                    <w:suppressLineNumbers w:val="0"/>
                    <w:bidi w:val="0"/>
                    <w:spacing w:before="0" w:beforeAutospacing="0" w:after="0" w:afterAutospacing="0"/>
                    <w:ind w:right="0"/>
                    <w:rPr>
                      <w:rFonts w:hint="default"/>
                      <w:b/>
                      <w:bCs/>
                      <w:lang w:eastAsia="zh-CN"/>
                    </w:rPr>
                  </w:pPr>
                  <w:r>
                    <w:rPr>
                      <w:rFonts w:hint="default"/>
                      <w:b/>
                      <w:bCs/>
                      <w:lang w:eastAsia="zh-CN"/>
                    </w:rPr>
                    <w:t>污染物</w:t>
                  </w:r>
                </w:p>
              </w:tc>
              <w:tc>
                <w:tcPr>
                  <w:tcW w:w="2522" w:type="dxa"/>
                  <w:vAlign w:val="center"/>
                </w:tcPr>
                <w:p>
                  <w:pPr>
                    <w:pStyle w:val="15"/>
                    <w:keepNext w:val="0"/>
                    <w:keepLines w:val="0"/>
                    <w:suppressLineNumbers w:val="0"/>
                    <w:bidi w:val="0"/>
                    <w:spacing w:before="0" w:beforeAutospacing="0" w:after="0" w:afterAutospacing="0"/>
                    <w:ind w:right="0"/>
                    <w:rPr>
                      <w:rFonts w:hint="default"/>
                      <w:b/>
                      <w:bCs/>
                      <w:lang w:val="en-US" w:eastAsia="zh-CN"/>
                    </w:rPr>
                  </w:pPr>
                  <w:r>
                    <w:rPr>
                      <w:rFonts w:hint="default"/>
                      <w:b/>
                      <w:bCs/>
                      <w:lang w:val="en-US" w:eastAsia="zh-CN"/>
                    </w:rPr>
                    <w:t>限值</w:t>
                  </w:r>
                </w:p>
              </w:tc>
              <w:tc>
                <w:tcPr>
                  <w:tcW w:w="248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lang w:val="en-US" w:eastAsia="zh-CN"/>
                    </w:rPr>
                  </w:pPr>
                  <w:r>
                    <w:rPr>
                      <w:rFonts w:hint="default"/>
                      <w:b/>
                      <w:bCs/>
                      <w:lang w:val="en-US" w:eastAsia="zh-CN"/>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214" w:type="dxa"/>
                  <w:tcBorders>
                    <w:top w:val="single" w:color="auto" w:sz="12" w:space="0"/>
                    <w:bottom w:val="single" w:color="auto" w:sz="4" w:space="0"/>
                    <w:tl2br w:val="nil"/>
                    <w:tr2bl w:val="nil"/>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颗粒物</w:t>
                  </w:r>
                </w:p>
              </w:tc>
              <w:tc>
                <w:tcPr>
                  <w:tcW w:w="2522"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eastAsia"/>
                      <w:lang w:val="en-US" w:eastAsia="zh-CN"/>
                    </w:rPr>
                    <w:t>20</w:t>
                  </w:r>
                </w:p>
              </w:tc>
              <w:tc>
                <w:tcPr>
                  <w:tcW w:w="2484" w:type="dxa"/>
                  <w:vMerge w:val="restart"/>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烟囱或烟道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214" w:type="dxa"/>
                  <w:tcBorders>
                    <w:top w:val="single" w:color="auto" w:sz="4" w:space="0"/>
                    <w:bottom w:val="single" w:color="auto" w:sz="4" w:space="0"/>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二氧化硫</w:t>
                  </w:r>
                </w:p>
              </w:tc>
              <w:tc>
                <w:tcPr>
                  <w:tcW w:w="2522" w:type="dxa"/>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eastAsia"/>
                      <w:lang w:val="en-US" w:eastAsia="zh-CN"/>
                    </w:rPr>
                    <w:t>50</w:t>
                  </w:r>
                </w:p>
              </w:tc>
              <w:tc>
                <w:tcPr>
                  <w:tcW w:w="2484" w:type="dxa"/>
                  <w:vMerge w:val="continue"/>
                  <w:vAlign w:val="center"/>
                </w:tcPr>
                <w:p>
                  <w:pPr>
                    <w:pStyle w:val="15"/>
                    <w:keepNext w:val="0"/>
                    <w:keepLines w:val="0"/>
                    <w:suppressLineNumbers w:val="0"/>
                    <w:bidi w:val="0"/>
                    <w:spacing w:before="0" w:beforeAutospacing="0" w:after="0" w:afterAutospacing="0"/>
                    <w:ind w:right="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214" w:type="dxa"/>
                  <w:tcBorders>
                    <w:top w:val="single" w:color="auto" w:sz="4" w:space="0"/>
                    <w:bottom w:val="single" w:color="auto" w:sz="4" w:space="0"/>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氮氧化物</w:t>
                  </w:r>
                </w:p>
              </w:tc>
              <w:tc>
                <w:tcPr>
                  <w:tcW w:w="2522" w:type="dxa"/>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eastAsia"/>
                      <w:lang w:val="en-US" w:eastAsia="zh-CN"/>
                    </w:rPr>
                    <w:t>200</w:t>
                  </w:r>
                </w:p>
              </w:tc>
              <w:tc>
                <w:tcPr>
                  <w:tcW w:w="2484" w:type="dxa"/>
                  <w:vMerge w:val="continue"/>
                  <w:vAlign w:val="center"/>
                </w:tcPr>
                <w:p>
                  <w:pPr>
                    <w:pStyle w:val="15"/>
                    <w:keepNext w:val="0"/>
                    <w:keepLines w:val="0"/>
                    <w:suppressLineNumbers w:val="0"/>
                    <w:bidi w:val="0"/>
                    <w:spacing w:before="0" w:beforeAutospacing="0" w:after="0" w:afterAutospacing="0"/>
                    <w:ind w:right="0"/>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214" w:type="dxa"/>
                  <w:tcBorders>
                    <w:top w:val="single" w:color="auto" w:sz="4" w:space="0"/>
                  </w:tcBorders>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烟气黑度（林格曼黑毒，级）</w:t>
                  </w:r>
                </w:p>
              </w:tc>
              <w:tc>
                <w:tcPr>
                  <w:tcW w:w="2522" w:type="dxa"/>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≤1</w:t>
                  </w:r>
                </w:p>
              </w:tc>
              <w:tc>
                <w:tcPr>
                  <w:tcW w:w="2484" w:type="dxa"/>
                  <w:vAlign w:val="center"/>
                </w:tcPr>
                <w:p>
                  <w:pPr>
                    <w:pStyle w:val="15"/>
                    <w:keepNext w:val="0"/>
                    <w:keepLines w:val="0"/>
                    <w:suppressLineNumbers w:val="0"/>
                    <w:bidi w:val="0"/>
                    <w:spacing w:before="0" w:beforeAutospacing="0" w:after="0" w:afterAutospacing="0"/>
                    <w:ind w:right="0"/>
                    <w:rPr>
                      <w:rFonts w:hint="default"/>
                      <w:lang w:val="en-US" w:eastAsia="zh-CN"/>
                    </w:rPr>
                  </w:pPr>
                  <w:r>
                    <w:rPr>
                      <w:rFonts w:hint="default"/>
                      <w:lang w:val="en-US" w:eastAsia="zh-CN"/>
                    </w:rPr>
                    <w:t>烟囱排气口</w:t>
                  </w:r>
                </w:p>
              </w:tc>
            </w:tr>
          </w:tbl>
          <w:p>
            <w:pPr>
              <w:keepNext w:val="0"/>
              <w:keepLines w:val="0"/>
              <w:suppressLineNumbers w:val="0"/>
              <w:spacing w:before="0" w:beforeAutospacing="0" w:after="0" w:afterAutospacing="0" w:line="360" w:lineRule="auto"/>
              <w:ind w:left="0" w:right="0" w:firstLine="480" w:firstLineChars="200"/>
              <w:jc w:val="left"/>
              <w:rPr>
                <w:rFonts w:hint="eastAsia"/>
                <w:bCs/>
                <w:color w:val="000000" w:themeColor="text1"/>
                <w:kern w:val="0"/>
                <w:sz w:val="24"/>
                <w:szCs w:val="24"/>
                <w14:textFill>
                  <w14:solidFill>
                    <w14:schemeClr w14:val="tx1"/>
                  </w14:solidFill>
                </w14:textFill>
              </w:rPr>
            </w:pPr>
            <w:r>
              <w:rPr>
                <w:rFonts w:hint="default" w:ascii="Times New Roman" w:hAnsi="Times New Roman" w:eastAsia="宋体" w:cs="Times New Roman"/>
                <w:sz w:val="24"/>
                <w:szCs w:val="24"/>
                <w:lang w:val="en-US" w:eastAsia="zh-CN"/>
              </w:rPr>
              <w:t>根据《锅炉大气污染物排放标准》（GB13271-2014）表4对排气筒高度限值的要求，本项目为</w:t>
            </w:r>
            <w:r>
              <w:rPr>
                <w:rFonts w:hint="eastAsia" w:ascii="Times New Roman" w:hAnsi="Times New Roman" w:eastAsia="宋体" w:cs="Times New Roman"/>
                <w:sz w:val="24"/>
                <w:szCs w:val="24"/>
                <w:lang w:val="en-US" w:eastAsia="zh-CN"/>
              </w:rPr>
              <w:t>总计</w:t>
            </w:r>
            <w:r>
              <w:rPr>
                <w:rFonts w:hint="eastAsia" w:eastAsia="宋体" w:cs="Times New Roman"/>
                <w:sz w:val="24"/>
                <w:szCs w:val="24"/>
                <w:lang w:val="en-US" w:eastAsia="zh-CN"/>
              </w:rPr>
              <w:t>21</w:t>
            </w:r>
            <w:r>
              <w:rPr>
                <w:rFonts w:hint="eastAsia" w:ascii="Times New Roman" w:hAnsi="Times New Roman" w:eastAsia="宋体" w:cs="Times New Roman"/>
                <w:sz w:val="24"/>
                <w:szCs w:val="24"/>
                <w:lang w:val="en-US" w:eastAsia="zh-CN"/>
              </w:rPr>
              <w:t>t/h</w:t>
            </w:r>
            <w:r>
              <w:rPr>
                <w:rFonts w:hint="default" w:ascii="Times New Roman" w:hAnsi="Times New Roman" w:eastAsia="宋体" w:cs="Times New Roman"/>
                <w:sz w:val="24"/>
                <w:szCs w:val="24"/>
                <w:lang w:val="en-US" w:eastAsia="zh-CN"/>
              </w:rPr>
              <w:t>生物质</w:t>
            </w:r>
            <w:r>
              <w:rPr>
                <w:rFonts w:hint="eastAsia" w:eastAsia="宋体" w:cs="Times New Roman"/>
                <w:sz w:val="24"/>
                <w:szCs w:val="24"/>
                <w:lang w:val="en-US" w:eastAsia="zh-CN"/>
              </w:rPr>
              <w:t>热风</w:t>
            </w:r>
            <w:r>
              <w:rPr>
                <w:rFonts w:hint="eastAsia" w:ascii="Times New Roman" w:hAnsi="Times New Roman" w:cs="Times New Roman"/>
                <w:sz w:val="24"/>
                <w:szCs w:val="24"/>
                <w:lang w:val="en-US" w:eastAsia="zh-CN"/>
              </w:rPr>
              <w:t>炉</w:t>
            </w:r>
            <w:r>
              <w:rPr>
                <w:rFonts w:hint="default" w:ascii="Times New Roman" w:hAnsi="Times New Roman" w:eastAsia="宋体" w:cs="Times New Roman"/>
                <w:sz w:val="24"/>
                <w:szCs w:val="24"/>
                <w:lang w:val="en-US" w:eastAsia="zh-CN"/>
              </w:rPr>
              <w:t>，排气筒高度最低允许高度为</w:t>
            </w:r>
            <w:r>
              <w:rPr>
                <w:rFonts w:hint="eastAsia" w:cs="Times New Roman"/>
                <w:sz w:val="24"/>
                <w:szCs w:val="24"/>
                <w:lang w:val="en-US" w:eastAsia="zh-CN"/>
              </w:rPr>
              <w:t>45</w:t>
            </w:r>
            <w:r>
              <w:rPr>
                <w:rFonts w:hint="default" w:ascii="Times New Roman" w:hAnsi="Times New Roman" w:eastAsia="宋体" w:cs="Times New Roman"/>
                <w:sz w:val="24"/>
                <w:szCs w:val="24"/>
                <w:lang w:val="en-US" w:eastAsia="zh-CN"/>
              </w:rPr>
              <w:t>m。</w:t>
            </w:r>
          </w:p>
          <w:p>
            <w:pPr>
              <w:spacing w:line="360" w:lineRule="auto"/>
              <w:ind w:firstLine="480" w:firstLineChars="200"/>
              <w:jc w:val="left"/>
              <w:rPr>
                <w:bCs/>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w:t>
            </w:r>
            <w:r>
              <w:rPr>
                <w:bCs/>
                <w:color w:val="000000" w:themeColor="text1"/>
                <w:kern w:val="0"/>
                <w:sz w:val="24"/>
                <w:szCs w:val="24"/>
                <w14:textFill>
                  <w14:solidFill>
                    <w14:schemeClr w14:val="tx1"/>
                  </w14:solidFill>
                </w14:textFill>
              </w:rPr>
              <w:t>2</w:t>
            </w:r>
            <w:r>
              <w:rPr>
                <w:rFonts w:hint="eastAsia"/>
                <w:bCs/>
                <w:color w:val="000000" w:themeColor="text1"/>
                <w:kern w:val="0"/>
                <w:sz w:val="24"/>
                <w:szCs w:val="24"/>
                <w14:textFill>
                  <w14:solidFill>
                    <w14:schemeClr w14:val="tx1"/>
                  </w14:solidFill>
                </w14:textFill>
              </w:rPr>
              <w:t>）食堂油烟</w:t>
            </w:r>
          </w:p>
          <w:p>
            <w:pPr>
              <w:spacing w:line="360" w:lineRule="auto"/>
              <w:ind w:firstLine="480" w:firstLineChars="200"/>
              <w:jc w:val="left"/>
              <w:rPr>
                <w:bCs/>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本项目食堂设置一个标准灶头，食堂油烟执行《饮食业油烟排放标准（试行）》（</w:t>
            </w:r>
            <w:r>
              <w:rPr>
                <w:bCs/>
                <w:color w:val="000000" w:themeColor="text1"/>
                <w:kern w:val="0"/>
                <w:sz w:val="24"/>
                <w:szCs w:val="24"/>
                <w14:textFill>
                  <w14:solidFill>
                    <w14:schemeClr w14:val="tx1"/>
                  </w14:solidFill>
                </w14:textFill>
              </w:rPr>
              <w:t>GB18483-2001</w:t>
            </w:r>
            <w:r>
              <w:rPr>
                <w:rFonts w:hint="eastAsia"/>
                <w:bCs/>
                <w:color w:val="000000" w:themeColor="text1"/>
                <w:kern w:val="0"/>
                <w:sz w:val="24"/>
                <w:szCs w:val="24"/>
                <w14:textFill>
                  <w14:solidFill>
                    <w14:schemeClr w14:val="tx1"/>
                  </w14:solidFill>
                </w14:textFill>
              </w:rPr>
              <w:t>）小型饮食业单位最高允许排放浓度</w:t>
            </w:r>
            <w:r>
              <w:rPr>
                <w:bCs/>
                <w:color w:val="000000" w:themeColor="text1"/>
                <w:kern w:val="0"/>
                <w:sz w:val="24"/>
                <w:szCs w:val="24"/>
                <w14:textFill>
                  <w14:solidFill>
                    <w14:schemeClr w14:val="tx1"/>
                  </w14:solidFill>
                </w14:textFill>
              </w:rPr>
              <w:t>2.0mg/m³</w:t>
            </w:r>
            <w:r>
              <w:rPr>
                <w:rFonts w:hint="eastAsia"/>
                <w:bCs/>
                <w:color w:val="000000" w:themeColor="text1"/>
                <w:kern w:val="0"/>
                <w:sz w:val="24"/>
                <w:szCs w:val="24"/>
                <w14:textFill>
                  <w14:solidFill>
                    <w14:schemeClr w14:val="tx1"/>
                  </w14:solidFill>
                </w14:textFill>
              </w:rPr>
              <w:t>，最低去除效率</w:t>
            </w:r>
            <w:r>
              <w:rPr>
                <w:bCs/>
                <w:color w:val="000000" w:themeColor="text1"/>
                <w:kern w:val="0"/>
                <w:sz w:val="24"/>
                <w:szCs w:val="24"/>
                <w14:textFill>
                  <w14:solidFill>
                    <w14:schemeClr w14:val="tx1"/>
                  </w14:solidFill>
                </w14:textFill>
              </w:rPr>
              <w:t>60%</w:t>
            </w:r>
            <w:r>
              <w:rPr>
                <w:rFonts w:hint="eastAsia"/>
                <w:bCs/>
                <w:color w:val="000000" w:themeColor="text1"/>
                <w:kern w:val="0"/>
                <w:sz w:val="24"/>
                <w:szCs w:val="24"/>
                <w14:textFill>
                  <w14:solidFill>
                    <w14:schemeClr w14:val="tx1"/>
                  </w14:solidFill>
                </w14:textFill>
              </w:rPr>
              <w:t>。</w:t>
            </w:r>
          </w:p>
          <w:p>
            <w:pPr>
              <w:spacing w:line="360" w:lineRule="auto"/>
              <w:ind w:firstLine="480" w:firstLineChars="200"/>
              <w:jc w:val="left"/>
              <w:rPr>
                <w:bCs/>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w:t>
            </w:r>
            <w:r>
              <w:rPr>
                <w:bCs/>
                <w:color w:val="000000" w:themeColor="text1"/>
                <w:kern w:val="0"/>
                <w:sz w:val="24"/>
                <w:szCs w:val="24"/>
                <w14:textFill>
                  <w14:solidFill>
                    <w14:schemeClr w14:val="tx1"/>
                  </w14:solidFill>
                </w14:textFill>
              </w:rPr>
              <w:t>3</w:t>
            </w:r>
            <w:r>
              <w:rPr>
                <w:rFonts w:hint="eastAsia"/>
                <w:bCs/>
                <w:color w:val="000000" w:themeColor="text1"/>
                <w:kern w:val="0"/>
                <w:sz w:val="24"/>
                <w:szCs w:val="24"/>
                <w14:textFill>
                  <w14:solidFill>
                    <w14:schemeClr w14:val="tx1"/>
                  </w14:solidFill>
                </w14:textFill>
              </w:rPr>
              <w:t>）生产区颗粒物</w:t>
            </w:r>
          </w:p>
          <w:p>
            <w:pPr>
              <w:spacing w:line="360" w:lineRule="auto"/>
              <w:ind w:firstLine="480" w:firstLineChars="200"/>
              <w:jc w:val="left"/>
              <w:rPr>
                <w:bCs/>
                <w:color w:val="000000" w:themeColor="text1"/>
                <w:kern w:val="0"/>
                <w:sz w:val="24"/>
                <w:szCs w:val="24"/>
                <w14:textFill>
                  <w14:solidFill>
                    <w14:schemeClr w14:val="tx1"/>
                  </w14:solidFill>
                </w14:textFill>
              </w:rPr>
            </w:pPr>
            <w:r>
              <w:rPr>
                <w:rFonts w:hint="eastAsia"/>
                <w:bCs/>
                <w:color w:val="000000" w:themeColor="text1"/>
                <w:kern w:val="0"/>
                <w:sz w:val="24"/>
                <w:szCs w:val="24"/>
                <w14:textFill>
                  <w14:solidFill>
                    <w14:schemeClr w14:val="tx1"/>
                  </w14:solidFill>
                </w14:textFill>
              </w:rPr>
              <w:t>本项目生产区颗粒物执行《大气污染物综合排放标准》（</w:t>
            </w:r>
            <w:r>
              <w:rPr>
                <w:bCs/>
                <w:color w:val="000000" w:themeColor="text1"/>
                <w:kern w:val="0"/>
                <w:sz w:val="24"/>
                <w:szCs w:val="24"/>
                <w14:textFill>
                  <w14:solidFill>
                    <w14:schemeClr w14:val="tx1"/>
                  </w14:solidFill>
                </w14:textFill>
              </w:rPr>
              <w:t>GB16297-1996</w:t>
            </w:r>
            <w:r>
              <w:rPr>
                <w:rFonts w:hint="eastAsia"/>
                <w:bCs/>
                <w:color w:val="000000" w:themeColor="text1"/>
                <w:kern w:val="0"/>
                <w:sz w:val="24"/>
                <w:szCs w:val="24"/>
                <w14:textFill>
                  <w14:solidFill>
                    <w14:schemeClr w14:val="tx1"/>
                  </w14:solidFill>
                </w14:textFill>
              </w:rPr>
              <w:t>）表</w:t>
            </w:r>
            <w:r>
              <w:rPr>
                <w:bCs/>
                <w:color w:val="000000" w:themeColor="text1"/>
                <w:kern w:val="0"/>
                <w:sz w:val="24"/>
                <w:szCs w:val="24"/>
                <w14:textFill>
                  <w14:solidFill>
                    <w14:schemeClr w14:val="tx1"/>
                  </w14:solidFill>
                </w14:textFill>
              </w:rPr>
              <w:t>2</w:t>
            </w:r>
            <w:r>
              <w:rPr>
                <w:rFonts w:hint="eastAsia"/>
                <w:bCs/>
                <w:color w:val="000000" w:themeColor="text1"/>
                <w:kern w:val="0"/>
                <w:sz w:val="24"/>
                <w:szCs w:val="24"/>
                <w14:textFill>
                  <w14:solidFill>
                    <w14:schemeClr w14:val="tx1"/>
                  </w14:solidFill>
                </w14:textFill>
              </w:rPr>
              <w:t>中的颗粒物排放限值。具体如下表</w:t>
            </w:r>
            <w:r>
              <w:rPr>
                <w:rFonts w:hint="eastAsia"/>
                <w:bCs/>
                <w:color w:val="000000" w:themeColor="text1"/>
                <w:kern w:val="0"/>
                <w:sz w:val="24"/>
                <w:szCs w:val="24"/>
                <w:lang w:val="en-US" w:eastAsia="zh-CN"/>
                <w14:textFill>
                  <w14:solidFill>
                    <w14:schemeClr w14:val="tx1"/>
                  </w14:solidFill>
                </w14:textFill>
              </w:rPr>
              <w:t>3-8</w:t>
            </w:r>
            <w:r>
              <w:rPr>
                <w:rFonts w:hint="eastAsia"/>
                <w:bCs/>
                <w:color w:val="000000" w:themeColor="text1"/>
                <w:kern w:val="0"/>
                <w:sz w:val="24"/>
                <w:szCs w:val="24"/>
                <w14:textFill>
                  <w14:solidFill>
                    <w14:schemeClr w14:val="tx1"/>
                  </w14:solidFill>
                </w14:textFill>
              </w:rPr>
              <w:t>。</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3-8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大气污染物综合排放标准</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535"/>
              <w:gridCol w:w="1840"/>
              <w:gridCol w:w="860"/>
              <w:gridCol w:w="1957"/>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 w:type="dxa"/>
                  <w:vMerge w:val="restart"/>
                  <w:tcBorders>
                    <w:top w:val="single" w:color="auto" w:sz="12"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1535"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最高允许排放浓度（</w:t>
                  </w:r>
                  <w:r>
                    <w:rPr>
                      <w:b/>
                      <w:bCs/>
                      <w:color w:val="000000" w:themeColor="text1"/>
                      <w14:textFill>
                        <w14:solidFill>
                          <w14:schemeClr w14:val="tx1"/>
                        </w14:solidFill>
                      </w14:textFill>
                    </w:rPr>
                    <w:t>mg/m³</w:t>
                  </w:r>
                  <w:r>
                    <w:rPr>
                      <w:rFonts w:hint="eastAsia"/>
                      <w:b/>
                      <w:bCs/>
                      <w:color w:val="000000" w:themeColor="text1"/>
                      <w14:textFill>
                        <w14:solidFill>
                          <w14:schemeClr w14:val="tx1"/>
                        </w14:solidFill>
                      </w14:textFill>
                    </w:rPr>
                    <w:t>）</w:t>
                  </w:r>
                </w:p>
              </w:tc>
              <w:tc>
                <w:tcPr>
                  <w:tcW w:w="2700" w:type="dxa"/>
                  <w:gridSpan w:val="2"/>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最高允许排放速率，</w:t>
                  </w:r>
                  <w:r>
                    <w:rPr>
                      <w:b/>
                      <w:bCs/>
                      <w:color w:val="000000" w:themeColor="text1"/>
                      <w14:textFill>
                        <w14:solidFill>
                          <w14:schemeClr w14:val="tx1"/>
                        </w14:solidFill>
                      </w14:textFill>
                    </w:rPr>
                    <w:t>kg/h</w:t>
                  </w:r>
                </w:p>
              </w:tc>
              <w:tc>
                <w:tcPr>
                  <w:tcW w:w="3091" w:type="dxa"/>
                  <w:gridSpan w:val="2"/>
                  <w:tcBorders>
                    <w:top w:val="single" w:color="auto" w:sz="12" w:space="0"/>
                    <w:left w:val="single" w:color="auto" w:sz="4" w:space="0"/>
                    <w:bottom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 w:type="dxa"/>
                  <w:vMerge w:val="continue"/>
                  <w:tcBorders>
                    <w:top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1535"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1840"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排气筒高度（</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860"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二级</w:t>
                  </w:r>
                </w:p>
              </w:tc>
              <w:tc>
                <w:tcPr>
                  <w:tcW w:w="1957"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监控点</w:t>
                  </w:r>
                </w:p>
              </w:tc>
              <w:tc>
                <w:tcPr>
                  <w:tcW w:w="1134" w:type="dxa"/>
                  <w:tcBorders>
                    <w:top w:val="single" w:color="auto" w:sz="4"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浓度（</w:t>
                  </w:r>
                  <w:r>
                    <w:rPr>
                      <w:b/>
                      <w:bCs/>
                      <w:color w:val="000000" w:themeColor="text1"/>
                      <w14:textFill>
                        <w14:solidFill>
                          <w14:schemeClr w14:val="tx1"/>
                        </w14:solidFill>
                      </w14:textFill>
                    </w:rPr>
                    <w:t>mg/m³</w:t>
                  </w:r>
                  <w:r>
                    <w:rPr>
                      <w:rFonts w:hint="eastAsia"/>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4" w:type="dxa"/>
                  <w:tcBorders>
                    <w:top w:val="single" w:color="auto" w:sz="12"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35"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840"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860"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957"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周界外浓度最高点</w:t>
                  </w:r>
                </w:p>
              </w:tc>
              <w:tc>
                <w:tcPr>
                  <w:tcW w:w="1134" w:type="dxa"/>
                  <w:tcBorders>
                    <w:top w:val="single" w:color="auto" w:sz="12"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w:t>
                  </w:r>
                </w:p>
              </w:tc>
            </w:tr>
          </w:tbl>
          <w:p>
            <w:pPr>
              <w:spacing w:line="360" w:lineRule="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2、水污染物排放标准</w:t>
            </w:r>
          </w:p>
          <w:p>
            <w:pPr>
              <w:keepNext w:val="0"/>
              <w:keepLines w:val="0"/>
              <w:suppressLineNumbers w:val="0"/>
              <w:tabs>
                <w:tab w:val="left" w:pos="597"/>
                <w:tab w:val="left" w:pos="2970"/>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项目废水</w:t>
            </w:r>
            <w:r>
              <w:rPr>
                <w:rFonts w:hint="default" w:ascii="Times New Roman" w:hAnsi="Times New Roman" w:eastAsia="宋体" w:cs="Times New Roman"/>
                <w:color w:val="000000" w:themeColor="text1"/>
                <w:sz w:val="24"/>
                <w:szCs w:val="24"/>
                <w14:textFill>
                  <w14:solidFill>
                    <w14:schemeClr w14:val="tx1"/>
                  </w14:solidFill>
                </w14:textFill>
              </w:rPr>
              <w:t>排放执行《污水综合排放标准》（GB8978-1996）表4中的三级排放标准。</w:t>
            </w:r>
            <w:r>
              <w:rPr>
                <w:rFonts w:hint="eastAsia" w:cs="Times New Roman"/>
                <w:color w:val="000000" w:themeColor="text1"/>
                <w:sz w:val="24"/>
                <w:szCs w:val="24"/>
                <w:lang w:val="en-US" w:eastAsia="zh-CN"/>
                <w14:textFill>
                  <w14:solidFill>
                    <w14:schemeClr w14:val="tx1"/>
                  </w14:solidFill>
                </w14:textFill>
              </w:rPr>
              <w:t>具体如下表3-9。</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3-9 </w:t>
            </w:r>
            <w:r>
              <w:rPr>
                <w:rFonts w:hint="default"/>
                <w:b/>
                <w:bCs/>
                <w:color w:val="000000" w:themeColor="text1"/>
                <w14:textFill>
                  <w14:solidFill>
                    <w14:schemeClr w14:val="tx1"/>
                  </w14:solidFill>
                </w14:textFill>
              </w:rPr>
              <w:t xml:space="preserve">  《污水综合排放标准》（GB8978-1996）三级排放标准</w:t>
            </w:r>
          </w:p>
          <w:tbl>
            <w:tblPr>
              <w:tblStyle w:val="10"/>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2740"/>
              <w:gridCol w:w="2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40" w:type="dxa"/>
                  <w:tcBorders>
                    <w:bottom w:val="single" w:color="auto"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2740" w:type="dxa"/>
                  <w:tcBorders>
                    <w:bottom w:val="single" w:color="auto"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污染物</w:t>
                  </w:r>
                </w:p>
              </w:tc>
              <w:tc>
                <w:tcPr>
                  <w:tcW w:w="2740" w:type="dxa"/>
                  <w:tcBorders>
                    <w:bottom w:val="single" w:color="auto"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三级标准（mg/L）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40" w:type="dxa"/>
                  <w:tcBorders>
                    <w:top w:val="single" w:color="auto"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2740" w:type="dxa"/>
                  <w:tcBorders>
                    <w:top w:val="single" w:color="auto"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SS</w:t>
                  </w:r>
                </w:p>
              </w:tc>
              <w:tc>
                <w:tcPr>
                  <w:tcW w:w="2740" w:type="dxa"/>
                  <w:tcBorders>
                    <w:top w:val="single" w:color="auto"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BOD</w:t>
                  </w:r>
                  <w:r>
                    <w:rPr>
                      <w:rFonts w:hint="default"/>
                      <w:color w:val="000000" w:themeColor="text1"/>
                      <w:vertAlign w:val="subscript"/>
                      <w14:textFill>
                        <w14:solidFill>
                          <w14:schemeClr w14:val="tx1"/>
                        </w14:solidFill>
                      </w14:textFill>
                    </w:rPr>
                    <w:t>5</w:t>
                  </w:r>
                </w:p>
              </w:tc>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COD</w:t>
                  </w:r>
                </w:p>
              </w:tc>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w:t>
                  </w:r>
                </w:p>
              </w:tc>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氨氮</w:t>
                  </w:r>
                </w:p>
              </w:tc>
              <w:tc>
                <w:tcPr>
                  <w:tcW w:w="274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r>
          </w:tbl>
          <w:p>
            <w:pPr>
              <w:spacing w:line="360" w:lineRule="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3、噪声排放标准</w:t>
            </w:r>
          </w:p>
          <w:p>
            <w:pPr>
              <w:spacing w:line="360" w:lineRule="auto"/>
              <w:ind w:firstLine="480" w:firstLineChars="200"/>
              <w:jc w:val="left"/>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（1）运营期</w:t>
            </w:r>
            <w:r>
              <w:rPr>
                <w:rFonts w:hint="default" w:ascii="Times New Roman" w:hAnsi="Times New Roman" w:eastAsia="宋体" w:cs="Times New Roman"/>
                <w:bCs/>
                <w:color w:val="000000" w:themeColor="text1"/>
                <w:kern w:val="0"/>
                <w:sz w:val="24"/>
                <w:szCs w:val="24"/>
                <w14:textFill>
                  <w14:solidFill>
                    <w14:schemeClr w14:val="tx1"/>
                  </w14:solidFill>
                </w14:textFill>
              </w:rPr>
              <w:t>项目区噪声执行《工业企业厂界环境噪声排放标准》（GB12348-2008）中的</w:t>
            </w:r>
            <w:r>
              <w:rPr>
                <w:rFonts w:hint="eastAsia" w:cs="Times New Roman"/>
                <w:bCs/>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kern w:val="0"/>
                <w:sz w:val="24"/>
                <w:szCs w:val="24"/>
                <w14:textFill>
                  <w14:solidFill>
                    <w14:schemeClr w14:val="tx1"/>
                  </w14:solidFill>
                </w14:textFill>
              </w:rPr>
              <w:t>类区标准。</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3-10 </w:t>
            </w:r>
            <w:r>
              <w:rPr>
                <w:rFonts w:hint="default"/>
                <w:b/>
                <w:bCs/>
                <w:color w:val="000000" w:themeColor="text1"/>
                <w14:textFill>
                  <w14:solidFill>
                    <w14:schemeClr w14:val="tx1"/>
                  </w14:solidFill>
                </w14:textFill>
              </w:rPr>
              <w:t xml:space="preserve">  工业企业厂界环境噪声排放限值   单位：dB（A）</w:t>
            </w:r>
          </w:p>
          <w:tbl>
            <w:tblPr>
              <w:tblStyle w:val="11"/>
              <w:tblW w:w="82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2341"/>
              <w:gridCol w:w="23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536" w:type="dxa"/>
                  <w:vMerge w:val="restart"/>
                  <w:tcBorders>
                    <w:top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厂界外声环境功能区类别</w:t>
                  </w:r>
                </w:p>
              </w:tc>
              <w:tc>
                <w:tcPr>
                  <w:tcW w:w="4684" w:type="dxa"/>
                  <w:gridSpan w:val="2"/>
                  <w:tcBorders>
                    <w:top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536" w:type="dxa"/>
                  <w:vMerge w:val="continue"/>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p>
              </w:tc>
              <w:tc>
                <w:tcPr>
                  <w:tcW w:w="2341"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昼间</w:t>
                  </w:r>
                </w:p>
              </w:tc>
              <w:tc>
                <w:tcPr>
                  <w:tcW w:w="2343"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536" w:type="dxa"/>
                  <w:tcBorders>
                    <w:top w:val="single" w:color="auto" w:sz="12" w:space="0"/>
                    <w:bottom w:val="single" w:color="auto" w:sz="12" w:space="0"/>
                  </w:tcBorders>
                  <w:noWrap w:val="0"/>
                  <w:vAlign w:val="center"/>
                </w:tcPr>
                <w:p>
                  <w:pPr>
                    <w:pStyle w:val="15"/>
                    <w:bidi w:val="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2341" w:type="dxa"/>
                  <w:tcBorders>
                    <w:top w:val="single" w:color="auto" w:sz="12"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2343" w:type="dxa"/>
                  <w:tcBorders>
                    <w:top w:val="single" w:color="auto" w:sz="12" w:space="0"/>
                    <w:bottom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r>
          </w:tbl>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（2）施工期噪声执行《建筑施工场界环境噪声排放标准》（GB12523-2011），具体限值见下表。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3-11 </w:t>
            </w:r>
            <w:r>
              <w:rPr>
                <w:rFonts w:hint="default"/>
                <w:b/>
                <w:bCs/>
                <w:color w:val="000000" w:themeColor="text1"/>
                <w14:textFill>
                  <w14:solidFill>
                    <w14:schemeClr w14:val="tx1"/>
                  </w14:solidFill>
                </w14:textFill>
              </w:rPr>
              <w:t xml:space="preserve">  建筑施工厂界环境噪声排放限值</w:t>
            </w:r>
          </w:p>
          <w:tbl>
            <w:tblPr>
              <w:tblStyle w:val="10"/>
              <w:tblW w:w="8220" w:type="dxa"/>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4110"/>
              <w:gridCol w:w="4110"/>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Ex>
              <w:tc>
                <w:tcPr>
                  <w:tcW w:w="4110" w:type="dxa"/>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昼间</w:t>
                  </w:r>
                </w:p>
              </w:tc>
              <w:tc>
                <w:tcPr>
                  <w:tcW w:w="4110" w:type="dxa"/>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Ex>
              <w:tc>
                <w:tcPr>
                  <w:tcW w:w="4110"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70</w:t>
                  </w:r>
                </w:p>
              </w:tc>
              <w:tc>
                <w:tcPr>
                  <w:tcW w:w="4110"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55</w:t>
                  </w:r>
                </w:p>
              </w:tc>
            </w:tr>
          </w:tbl>
          <w:p>
            <w:pPr>
              <w:spacing w:line="360" w:lineRule="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4、固体废物执行标准或规定</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（1）一般固体</w:t>
            </w:r>
            <w:r>
              <w:rPr>
                <w:rFonts w:hint="default"/>
                <w:color w:val="000000" w:themeColor="text1"/>
                <w14:textFill>
                  <w14:solidFill>
                    <w14:schemeClr w14:val="tx1"/>
                  </w14:solidFill>
                </w14:textFill>
              </w:rPr>
              <w:t>废物执行</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"http://www.mee.gov.cn/ywgz/fgbz/bz/bzwb/gthw/gtfwwrkzbz/202012/W020201218695845325455.pdf"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一般工业固体废物贮存和填埋污染控制标准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 18599-2020）</w:t>
            </w:r>
            <w:r>
              <w:rPr>
                <w:rFonts w:hint="eastAsia"/>
                <w:color w:val="000000" w:themeColor="text1"/>
                <w14:textFill>
                  <w14:solidFill>
                    <w14:schemeClr w14:val="tx1"/>
                  </w14:solidFill>
                </w14:textFill>
              </w:rPr>
              <w:fldChar w:fldCharType="end"/>
            </w:r>
            <w:r>
              <w:rPr>
                <w:rFonts w:hint="default"/>
                <w:color w:val="000000" w:themeColor="text1"/>
                <w14:textFill>
                  <w14:solidFill>
                    <w14:schemeClr w14:val="tx1"/>
                  </w14:solidFill>
                </w14:textFill>
              </w:rPr>
              <w:t>的相关标准；</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（2）生活垃圾执行《中华人民共和国固体废物污染环境防治法》（20</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14:textFill>
                  <w14:solidFill>
                    <w14:schemeClr w14:val="tx1"/>
                  </w14:solidFill>
                </w14:textFill>
              </w:rPr>
              <w:t>年修订）的生活垃圾分类处置要求。</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危险废物</w:t>
            </w:r>
            <w:r>
              <w:rPr>
                <w:rFonts w:hint="eastAsia" w:cs="Times New Roman"/>
                <w:color w:val="000000" w:themeColor="text1"/>
                <w:sz w:val="24"/>
                <w:szCs w:val="24"/>
                <w:lang w:val="en-US" w:eastAsia="zh-CN"/>
                <w14:textFill>
                  <w14:solidFill>
                    <w14:schemeClr w14:val="tx1"/>
                  </w14:solidFill>
                </w14:textFill>
              </w:rPr>
              <w:t>执行《危险废物贮存污染控制标准》（GB18597-2023）。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0" w:hRule="atLeast"/>
          <w:jc w:val="center"/>
        </w:trPr>
        <w:tc>
          <w:tcPr>
            <w:tcW w:w="920"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总量</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控制</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c>
          <w:tcPr>
            <w:tcW w:w="8434" w:type="dxa"/>
            <w:tcBorders>
              <w:tl2br w:val="nil"/>
              <w:tr2bl w:val="nil"/>
            </w:tcBorders>
            <w:noWrap w:val="0"/>
            <w:vAlign w:val="center"/>
          </w:tcPr>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根据该项目的排污状况及环保行政主管部门对总量控制提出的要求，提出总量控制指标如下，仅供环保行政主管部门参考。</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（1）废水</w:t>
            </w:r>
          </w:p>
          <w:p>
            <w:pPr>
              <w:bidi w:val="0"/>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本项目的</w:t>
            </w:r>
            <w:r>
              <w:rPr>
                <w:rFonts w:hint="eastAsia"/>
                <w:color w:val="000000" w:themeColor="text1"/>
                <w:lang w:val="en-US" w:eastAsia="zh-CN"/>
                <w14:textFill>
                  <w14:solidFill>
                    <w14:schemeClr w14:val="tx1"/>
                  </w14:solidFill>
                </w14:textFill>
              </w:rPr>
              <w:t>废水排入防渗化粪池，定期抽运至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统一处理，总量由污水处理厂统一设置，为避免重复计算</w:t>
            </w:r>
            <w:r>
              <w:rPr>
                <w:rFonts w:hint="default"/>
                <w:color w:val="000000" w:themeColor="text1"/>
                <w:lang w:val="en-US" w:eastAsia="zh-CN"/>
                <w14:textFill>
                  <w14:solidFill>
                    <w14:schemeClr w14:val="tx1"/>
                  </w14:solidFill>
                </w14:textFill>
              </w:rPr>
              <w:t>本项目不设置废水排放总量控制指标</w:t>
            </w:r>
            <w:r>
              <w:rPr>
                <w:rFonts w:hint="default"/>
                <w:color w:val="000000" w:themeColor="text1"/>
                <w14:textFill>
                  <w14:solidFill>
                    <w14:schemeClr w14:val="tx1"/>
                  </w14:solidFill>
                </w14:textFill>
              </w:rPr>
              <w:t>。</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（2）废气</w:t>
            </w:r>
          </w:p>
          <w:p>
            <w:pPr>
              <w:spacing w:line="360" w:lineRule="auto"/>
              <w:ind w:firstLine="480" w:firstLineChars="200"/>
              <w:jc w:val="left"/>
              <w:rPr>
                <w:color w:val="000000" w:themeColor="text1"/>
                <w:sz w:val="24"/>
                <w:szCs w:val="24"/>
                <w14:textFill>
                  <w14:solidFill>
                    <w14:schemeClr w14:val="tx1"/>
                  </w14:solidFill>
                </w14:textFill>
              </w:rPr>
            </w:pPr>
            <w:r>
              <w:rPr>
                <w:rFonts w:hint="eastAsia" w:cs="Times New Roman"/>
                <w:color w:val="auto"/>
                <w:kern w:val="0"/>
                <w:szCs w:val="21"/>
                <w:lang w:val="en-US" w:eastAsia="zh-CN"/>
              </w:rPr>
              <w:t>根据“关于做好“十四五”主要污染物总量减排工作的通知”，选取</w:t>
            </w:r>
            <w:r>
              <w:rPr>
                <w:rFonts w:hint="default" w:ascii="Times New Roman" w:hAnsi="Times New Roman" w:cs="Times New Roman"/>
                <w:color w:val="auto"/>
                <w:kern w:val="0"/>
                <w:szCs w:val="21"/>
                <w:lang w:val="en-US" w:eastAsia="zh-CN"/>
              </w:rPr>
              <w:t>NO</w:t>
            </w:r>
            <w:r>
              <w:rPr>
                <w:rFonts w:hint="default" w:ascii="Times New Roman" w:hAnsi="Times New Roman" w:cs="Times New Roman"/>
                <w:color w:val="auto"/>
                <w:kern w:val="0"/>
                <w:szCs w:val="21"/>
                <w:vertAlign w:val="subscript"/>
                <w:lang w:val="en-US" w:eastAsia="zh-CN"/>
              </w:rPr>
              <w:t>x</w:t>
            </w:r>
            <w:r>
              <w:rPr>
                <w:rFonts w:hint="eastAsia" w:cs="Times New Roman"/>
                <w:color w:val="auto"/>
                <w:kern w:val="0"/>
                <w:szCs w:val="21"/>
                <w:lang w:val="en-US" w:eastAsia="zh-CN"/>
              </w:rPr>
              <w:t>作为总量控制指标</w:t>
            </w:r>
            <w:r>
              <w:rPr>
                <w:rFonts w:hint="eastAsia"/>
                <w:color w:val="0000FF"/>
                <w:lang w:eastAsia="zh-CN"/>
              </w:rPr>
              <w:t>。</w:t>
            </w:r>
            <w:r>
              <w:rPr>
                <w:rFonts w:hint="eastAsia"/>
                <w:color w:val="000000" w:themeColor="text1"/>
                <w:sz w:val="24"/>
                <w:szCs w:val="24"/>
                <w14:textFill>
                  <w14:solidFill>
                    <w14:schemeClr w14:val="tx1"/>
                  </w14:solidFill>
                </w14:textFill>
              </w:rPr>
              <w:t>建议本项目设置废气总量控制指标如下：</w:t>
            </w:r>
          </w:p>
          <w:p>
            <w:pPr>
              <w:bidi w:val="0"/>
              <w:rPr>
                <w:rFonts w:hint="default" w:eastAsia="宋体"/>
                <w:color w:val="000000" w:themeColor="text1"/>
                <w:lang w:val="en-US" w:eastAsia="zh-CN"/>
                <w14:textFill>
                  <w14:solidFill>
                    <w14:schemeClr w14:val="tx1"/>
                  </w14:solidFill>
                </w14:textFill>
              </w:rPr>
            </w:pPr>
            <w:r>
              <w:rPr>
                <w:color w:val="FF0000"/>
                <w:sz w:val="24"/>
                <w:szCs w:val="24"/>
              </w:rPr>
              <w:t>NO</w:t>
            </w:r>
            <w:r>
              <w:rPr>
                <w:color w:val="FF0000"/>
                <w:sz w:val="24"/>
                <w:szCs w:val="24"/>
                <w:vertAlign w:val="subscript"/>
              </w:rPr>
              <w:t>x</w:t>
            </w:r>
            <w:r>
              <w:rPr>
                <w:rFonts w:hint="eastAsia"/>
                <w:color w:val="FF0000"/>
                <w:sz w:val="24"/>
                <w:szCs w:val="24"/>
              </w:rPr>
              <w:t>：</w:t>
            </w:r>
            <w:r>
              <w:rPr>
                <w:rFonts w:hint="eastAsia"/>
                <w:color w:val="FF0000"/>
                <w:sz w:val="24"/>
                <w:szCs w:val="24"/>
                <w:lang w:val="en-US" w:eastAsia="zh-CN"/>
              </w:rPr>
              <w:t>1.392t</w:t>
            </w:r>
            <w:r>
              <w:rPr>
                <w:color w:val="FF0000"/>
                <w:sz w:val="24"/>
                <w:szCs w:val="24"/>
              </w:rPr>
              <w:t>/a</w:t>
            </w:r>
            <w:r>
              <w:rPr>
                <w:rFonts w:hint="eastAsia"/>
                <w:color w:val="FF0000"/>
                <w:sz w:val="24"/>
                <w:szCs w:val="24"/>
              </w:rPr>
              <w:t>；</w:t>
            </w:r>
          </w:p>
        </w:tc>
      </w:tr>
    </w:tbl>
    <w:p>
      <w:pPr>
        <w:bidi w:val="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bidi w:val="0"/>
        <w:outlineLvl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四、主要环境影响和保护措施</w:t>
      </w:r>
    </w:p>
    <w:tbl>
      <w:tblPr>
        <w:tblStyle w:val="10"/>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4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0"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期环</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境保</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护措</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w:t>
            </w:r>
          </w:p>
        </w:tc>
        <w:tc>
          <w:tcPr>
            <w:tcW w:w="8434" w:type="dxa"/>
            <w:tcBorders>
              <w:tl2br w:val="nil"/>
              <w:tr2bl w:val="nil"/>
            </w:tcBorders>
            <w:noWrap w:val="0"/>
            <w:vAlign w:val="center"/>
          </w:tcPr>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一、施工期环境污染源强分析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本项目施工过程利用各建筑公司已有的机械设备，结合本项目的实际情况择优选用。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选用的主要施工设备见下表。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w:t>
            </w:r>
            <w:r>
              <w:rPr>
                <w:rFonts w:hint="default"/>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 xml:space="preserve">  主要施工设备表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6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25" w:type="dxa"/>
                  <w:tcBorders>
                    <w:top w:val="single" w:color="auto" w:sz="12" w:space="0"/>
                    <w:bottom w:val="single" w:color="auto" w:sz="12" w:space="0"/>
                    <w:right w:val="single" w:color="auto" w:sz="4"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阶段</w:t>
                  </w:r>
                </w:p>
              </w:tc>
              <w:tc>
                <w:tcPr>
                  <w:tcW w:w="6795" w:type="dxa"/>
                  <w:tcBorders>
                    <w:top w:val="single" w:color="auto" w:sz="12" w:space="0"/>
                    <w:left w:val="single" w:color="auto" w:sz="4" w:space="0"/>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设备名称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25" w:type="dxa"/>
                  <w:tcBorders>
                    <w:top w:val="single" w:color="auto" w:sz="12" w:space="0"/>
                    <w:bottom w:val="single" w:color="auto" w:sz="4" w:space="0"/>
                    <w:right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土石方</w:t>
                  </w:r>
                </w:p>
              </w:tc>
              <w:tc>
                <w:tcPr>
                  <w:tcW w:w="6795" w:type="dxa"/>
                  <w:tcBorders>
                    <w:top w:val="single" w:color="auto" w:sz="12" w:space="0"/>
                    <w:left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推土机、挖掘机、装载机、压路机、螺旋打桩机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25" w:type="dxa"/>
                  <w:tcBorders>
                    <w:top w:val="single" w:color="auto" w:sz="4" w:space="0"/>
                    <w:bottom w:val="single" w:color="auto" w:sz="4" w:space="0"/>
                    <w:right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结构</w:t>
                  </w:r>
                </w:p>
              </w:tc>
              <w:tc>
                <w:tcPr>
                  <w:tcW w:w="6795" w:type="dxa"/>
                  <w:tcBorders>
                    <w:top w:val="single" w:color="auto" w:sz="4" w:space="0"/>
                    <w:left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振捣棒、电锯、塔吊、卷扬机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25" w:type="dxa"/>
                  <w:tcBorders>
                    <w:top w:val="single" w:color="auto" w:sz="4" w:space="0"/>
                    <w:bottom w:val="single" w:color="auto" w:sz="12" w:space="0"/>
                    <w:right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装修</w:t>
                  </w:r>
                </w:p>
              </w:tc>
              <w:tc>
                <w:tcPr>
                  <w:tcW w:w="6795" w:type="dxa"/>
                  <w:tcBorders>
                    <w:top w:val="single" w:color="auto" w:sz="4" w:space="0"/>
                    <w:left w:val="single" w:color="auto" w:sz="4" w:space="0"/>
                    <w:bottom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吊车、升降机</w:t>
                  </w:r>
                </w:p>
              </w:tc>
            </w:tr>
          </w:tbl>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1、施工期大气环境</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1.1</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施工期大气环境影响分析</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施工期，频繁使用机动车运送原材料、设备和建筑机械设备，这些车辆及设备的运行会排放一定量的CO、NOx以及未完全燃烧的碳氢化物HC等，同时产生扬尘污染大气环境。</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扬尘污染造成大气中TSP值增高，根据类比资料，施工扬尘的起尘量与许多因素有关。影响起尘量的因素包括：基础开挖起尘量、施工渣土堆场起尘量、进出车辆夹带泥砂量、水泥搬运量、弃土外运装载起尘量以及起尘高度、采取的防护措施、空气湿度、风速等因素有关。</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产生的扬尘均为无组织间歇式排放的低矮面源。污染大小主要决定于作业方式、材料的堆放以及风力因素，其中受风力因素影响最大。一般情况下，大气污染源在施工中只会在近距离内形成局部污染，施工场地在自然风力作用下通常产生的扬尘所影响的范围在100m以内。物料露天堆场和搅拌作业扬尘，主要受风速的影响，影响范围在50—150m之间。</w:t>
            </w:r>
          </w:p>
          <w:p>
            <w:pPr>
              <w:keepNext w:val="0"/>
              <w:keepLines w:val="0"/>
              <w:suppressLineNumbers w:val="0"/>
              <w:autoSpaceDE w:val="0"/>
              <w:autoSpaceDN w:val="0"/>
              <w:adjustRightInd w:val="0"/>
              <w:spacing w:before="0" w:beforeAutospacing="0" w:after="0" w:afterAutospacing="0"/>
              <w:ind w:left="0" w:right="0" w:firstLine="482"/>
              <w:rPr>
                <w:rFonts w:hint="eastAsia"/>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1.2</w:t>
            </w:r>
            <w:r>
              <w:rPr>
                <w:rFonts w:hint="eastAsia"/>
                <w:b/>
                <w:color w:val="000000" w:themeColor="text1"/>
                <w:kern w:val="0"/>
                <w:lang w:val="en-US" w:eastAsia="zh-CN"/>
                <w14:textFill>
                  <w14:solidFill>
                    <w14:schemeClr w14:val="tx1"/>
                  </w14:solidFill>
                </w14:textFill>
              </w:rPr>
              <w:t xml:space="preserve"> </w:t>
            </w:r>
            <w:r>
              <w:rPr>
                <w:rFonts w:hint="eastAsia"/>
                <w:b/>
                <w:color w:val="000000" w:themeColor="text1"/>
                <w:kern w:val="0"/>
                <w14:textFill>
                  <w14:solidFill>
                    <w14:schemeClr w14:val="tx1"/>
                  </w14:solidFill>
                </w14:textFill>
              </w:rPr>
              <w:t>大气污染防治措施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（1）废气防治措施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强对施工车辆的检修和维护，严禁使用超期服役和尾气超标的车辆。对施工期进出施工现场车流量进行合理安排，防止施工现场车流量过大。尽可能使用耗油低，排气小的施工车辆，选用优质燃油，减少机械和车辆有害废气排放。施工过程中禁止将废弃的建筑材料作为燃料燃烧。</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（2）扬尘防治措施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为使施工过程中产生的粉尘（扬尘）对周围环境空气的影响降低到最小程度，需采取以下防护措施：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为使施工过程中产生的粉尘（扬尘）对周围环境空气的影响降低到最小程度，需采取以下防护措施：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所有建设施工均有建设单位指定专人负责施工现场扬尘污染措施的实施和监督。所有建设施工工地出入口必须设立环境保护监督牌。必须注明项目名称、建设单位、施工单位、防治扬尘污染现场监督员姓名和联系方式、项目工期、环保措施、举报电话等。</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②施工工地周边百分之百围挡。施工工地周边必须设置1.8m以上的硬质围墙或围挡，严禁敞开式作业。围挡地段应设置防溢座，围挡之间以及围挡与防溢座之间无缝隙。对围挡落尘应当定期进行清洗，保证施工工地周围环境整洁；</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③物料堆放百分之百覆盖。施工工地内堆放易产生扬尘污染物料的，必须密闭存放或覆盖；主体工程实施阶段必须使用密目式安全网进行封闭；</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④出入车辆百分之百冲洗。施工工地现场出入口地面必须硬化处理并设置车辆冲洗台以及配套的排水、泥浆沉淀设施，冲洗设施到位；车辆在驶出工地前，应将车轮、车身冲洗干净，不得带泥上路；</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⑤施工现场地面百分之百硬化。施工现场的主要道路应铺设混凝土或沥青路面，场地内的其他地面应进行绿化或硬化处理。土方开挖阶段，应对施工现场的车辆道路进行简易硬化，并辅以洒水等降尘措施；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⑥施工期间，工地内从建筑上层将具有粉尘逸散型的物料、渣土或废弃物输送至地面或地下楼层时，应采取密闭方式输送，不得凌空抛撒；</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⑧施工项目竣工后30日内，施工单位必须平整施工土地，并清除积土、堆物；</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⑨出现五级以上大风天气时，禁止进行土方和拆除施工等易产生扬尘污染的施工作业。</w:t>
            </w:r>
          </w:p>
          <w:p>
            <w:pPr>
              <w:keepNext w:val="0"/>
              <w:keepLines w:val="0"/>
              <w:suppressLineNumbers w:val="0"/>
              <w:spacing w:before="0" w:beforeAutospacing="0" w:after="0" w:afterAutospacing="0"/>
              <w:ind w:left="0" w:right="0" w:firstLine="48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⑩各类修缮、装饰施工参照上述标准执行</w:t>
            </w:r>
            <w:r>
              <w:rPr>
                <w:rFonts w:hint="eastAsia"/>
                <w:color w:val="000000" w:themeColor="text1"/>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color w:val="000000" w:themeColor="text1"/>
                <w14:textFill>
                  <w14:solidFill>
                    <w14:schemeClr w14:val="tx1"/>
                  </w14:solidFill>
                </w14:textFill>
              </w:rPr>
              <w:t>采取以上措施后，施工期扬尘对周围大气环境影响较小</w:t>
            </w:r>
            <w:r>
              <w:rPr>
                <w:rFonts w:hint="eastAsia"/>
                <w:color w:val="000000" w:themeColor="text1"/>
                <w:lang w:eastAsia="zh-CN"/>
                <w14:textFill>
                  <w14:solidFill>
                    <w14:schemeClr w14:val="tx1"/>
                  </w14:solidFill>
                </w14:textFill>
              </w:rPr>
              <w:t>。</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2、施工期水环境</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2.1</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施工期水污染源强分析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施工期废水主要为工地建筑工人产生的生活污水和施工废水。</w:t>
            </w:r>
            <w:r>
              <w:rPr>
                <w:rFonts w:hint="eastAsia" w:ascii="Times New Roman" w:hAnsi="Times New Roman" w:cs="Times New Roman"/>
                <w:color w:val="000000" w:themeColor="text1"/>
                <w:sz w:val="24"/>
                <w:szCs w:val="24"/>
                <w:lang w:val="en-US" w:eastAsia="zh-CN"/>
                <w14:textFill>
                  <w14:solidFill>
                    <w14:schemeClr w14:val="tx1"/>
                  </w14:solidFill>
                </w14:textFill>
              </w:rPr>
              <w:t>施工期不设置固定施工营地，租赁项目区</w:t>
            </w:r>
            <w:r>
              <w:rPr>
                <w:rFonts w:hint="eastAsia" w:cs="Times New Roman"/>
                <w:color w:val="000000" w:themeColor="text1"/>
                <w:sz w:val="24"/>
                <w:szCs w:val="24"/>
                <w:lang w:val="en-US" w:eastAsia="zh-CN"/>
                <w14:textFill>
                  <w14:solidFill>
                    <w14:schemeClr w14:val="tx1"/>
                  </w14:solidFill>
                </w14:textFill>
              </w:rPr>
              <w:t>南侧</w:t>
            </w:r>
            <w:r>
              <w:rPr>
                <w:rFonts w:hint="eastAsia" w:ascii="Times New Roman" w:hAnsi="Times New Roman" w:cs="Times New Roman"/>
                <w:color w:val="000000" w:themeColor="text1"/>
                <w:sz w:val="24"/>
                <w:szCs w:val="24"/>
                <w:lang w:val="en-US" w:eastAsia="zh-CN"/>
                <w14:textFill>
                  <w14:solidFill>
                    <w14:schemeClr w14:val="tx1"/>
                  </w14:solidFill>
                </w14:textFill>
              </w:rPr>
              <w:t>现有厂房作为生活区。</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（1）施工期生活污水</w:t>
            </w:r>
          </w:p>
          <w:p>
            <w:pP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施工期的生活污水主要是食堂污水、粪便污水、浴室污水，主要污染物是COD、BOD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和石油类等。本项目共有施工人员约</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人，施工人员每天生活用水以100L/人计，生活污水按用水量的80%计，则生活污水的排放量为</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m³</w:t>
            </w:r>
            <w:r>
              <w:rPr>
                <w:rFonts w:hint="default" w:ascii="Times New Roman" w:hAnsi="Times New Roman" w:eastAsia="宋体" w:cs="Times New Roman"/>
                <w:color w:val="000000" w:themeColor="text1"/>
                <w:sz w:val="24"/>
                <w:szCs w:val="24"/>
                <w14:textFill>
                  <w14:solidFill>
                    <w14:schemeClr w14:val="tx1"/>
                  </w14:solidFill>
                </w14:textFill>
              </w:rPr>
              <w:t>/d，施工期为</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个月（</w:t>
            </w:r>
            <w:r>
              <w:rPr>
                <w:rFonts w:hint="eastAsia"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d），则施工期共排放生活污水</w:t>
            </w:r>
            <w:r>
              <w:rPr>
                <w:rFonts w:hint="eastAsia" w:cs="Times New Roman"/>
                <w:color w:val="000000" w:themeColor="text1"/>
                <w:sz w:val="24"/>
                <w:szCs w:val="24"/>
                <w:lang w:val="en-US" w:eastAsia="zh-CN"/>
                <w14:textFill>
                  <w14:solidFill>
                    <w14:schemeClr w14:val="tx1"/>
                  </w14:solidFill>
                </w14:textFill>
              </w:rPr>
              <w:t>240</w:t>
            </w:r>
            <w:r>
              <w:rPr>
                <w:rFonts w:hint="eastAsia" w:ascii="Times New Roman" w:hAnsi="Times New Roman" w:eastAsia="宋体" w:cs="Times New Roman"/>
                <w:color w:val="000000" w:themeColor="text1"/>
                <w:sz w:val="24"/>
                <w:szCs w:val="24"/>
                <w:lang w:eastAsia="zh-CN"/>
                <w14:textFill>
                  <w14:solidFill>
                    <w14:schemeClr w14:val="tx1"/>
                  </w14:solidFill>
                </w14:textFill>
              </w:rPr>
              <w:t>m³</w:t>
            </w:r>
            <w:r>
              <w:rPr>
                <w:rFonts w:hint="default" w:ascii="Times New Roman" w:hAnsi="Times New Roman" w:eastAsia="宋体" w:cs="Times New Roman"/>
                <w:color w:val="000000" w:themeColor="text1"/>
                <w:sz w:val="24"/>
                <w:szCs w:val="24"/>
                <w14:textFill>
                  <w14:solidFill>
                    <w14:schemeClr w14:val="tx1"/>
                  </w14:solidFill>
                </w14:textFill>
              </w:rPr>
              <w:t>，施工期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排入</w:t>
            </w:r>
            <w:r>
              <w:rPr>
                <w:rFonts w:hint="eastAsia" w:eastAsia="宋体" w:cs="Times New Roman"/>
                <w:color w:val="000000" w:themeColor="text1"/>
                <w:sz w:val="24"/>
                <w:szCs w:val="24"/>
                <w:lang w:val="en-US" w:eastAsia="zh-CN"/>
                <w14:textFill>
                  <w14:solidFill>
                    <w14:schemeClr w14:val="tx1"/>
                  </w14:solidFill>
                </w14:textFill>
              </w:rPr>
              <w:t>项目区</w:t>
            </w:r>
            <w:r>
              <w:rPr>
                <w:rFonts w:hint="eastAsia" w:cs="Times New Roman"/>
                <w:color w:val="000000" w:themeColor="text1"/>
                <w:sz w:val="24"/>
                <w:szCs w:val="24"/>
                <w:lang w:val="en-US" w:eastAsia="zh-CN"/>
                <w14:textFill>
                  <w14:solidFill>
                    <w14:schemeClr w14:val="tx1"/>
                  </w14:solidFill>
                </w14:textFill>
              </w:rPr>
              <w:t>化粪池内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定期抽运至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进行后续处置</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具体生活污水及其中污染物的产生量详见下表。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4-2</w:t>
            </w:r>
            <w:r>
              <w:rPr>
                <w:rFonts w:hint="default"/>
                <w:b/>
                <w:bCs/>
                <w:color w:val="000000" w:themeColor="text1"/>
                <w14:textFill>
                  <w14:solidFill>
                    <w14:schemeClr w14:val="tx1"/>
                  </w14:solidFill>
                </w14:textFill>
              </w:rPr>
              <w:t xml:space="preserve">   主要施工设备表</w:t>
            </w:r>
          </w:p>
          <w:tbl>
            <w:tblPr>
              <w:tblStyle w:val="10"/>
              <w:tblW w:w="8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055"/>
              <w:gridCol w:w="2055"/>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项目</w:t>
                  </w:r>
                </w:p>
              </w:tc>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污水量（</w:t>
                  </w:r>
                  <w:r>
                    <w:rPr>
                      <w:rFonts w:hint="eastAsia"/>
                      <w:b/>
                      <w:bCs/>
                      <w:color w:val="000000" w:themeColor="text1"/>
                      <w:lang w:eastAsia="zh-CN"/>
                      <w14:textFill>
                        <w14:solidFill>
                          <w14:schemeClr w14:val="tx1"/>
                        </w14:solidFill>
                      </w14:textFill>
                    </w:rPr>
                    <w:t>m³</w:t>
                  </w:r>
                  <w:r>
                    <w:rPr>
                      <w:rFonts w:hint="default"/>
                      <w:b/>
                      <w:bCs/>
                      <w:color w:val="000000" w:themeColor="text1"/>
                      <w14:textFill>
                        <w14:solidFill>
                          <w14:schemeClr w14:val="tx1"/>
                        </w14:solidFill>
                      </w14:textFill>
                    </w:rPr>
                    <w:t>）</w:t>
                  </w:r>
                </w:p>
              </w:tc>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COD</w:t>
                  </w:r>
                  <w:r>
                    <w:rPr>
                      <w:rFonts w:hint="default"/>
                      <w:b/>
                      <w:bCs/>
                      <w:color w:val="000000" w:themeColor="text1"/>
                      <w:vertAlign w:val="subscript"/>
                      <w14:textFill>
                        <w14:solidFill>
                          <w14:schemeClr w14:val="tx1"/>
                        </w14:solidFill>
                      </w14:textFill>
                    </w:rPr>
                    <w:t>cr</w:t>
                  </w:r>
                  <w:r>
                    <w:rPr>
                      <w:rFonts w:hint="default"/>
                      <w:b/>
                      <w:bCs/>
                      <w:color w:val="000000" w:themeColor="text1"/>
                      <w14:textFill>
                        <w14:solidFill>
                          <w14:schemeClr w14:val="tx1"/>
                        </w14:solidFill>
                      </w14:textFill>
                    </w:rPr>
                    <w:t>（kg）</w:t>
                  </w:r>
                </w:p>
              </w:tc>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BOD</w:t>
                  </w:r>
                  <w:r>
                    <w:rPr>
                      <w:rFonts w:hint="default"/>
                      <w:b/>
                      <w:bCs/>
                      <w:color w:val="000000" w:themeColor="text1"/>
                      <w:vertAlign w:val="subscript"/>
                      <w14:textFill>
                        <w14:solidFill>
                          <w14:schemeClr w14:val="tx1"/>
                        </w14:solidFill>
                      </w14:textFill>
                    </w:rPr>
                    <w:t>5</w:t>
                  </w:r>
                  <w:r>
                    <w:rPr>
                      <w:rFonts w:hint="default"/>
                      <w:b/>
                      <w:bCs/>
                      <w:color w:val="000000" w:themeColor="text1"/>
                      <w14:textFill>
                        <w14:solidFill>
                          <w14:schemeClr w14:val="tx1"/>
                        </w14:solidFill>
                      </w14:textFill>
                    </w:rPr>
                    <w:t>（kg）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日排放量</w:t>
                  </w:r>
                </w:p>
              </w:tc>
              <w:tc>
                <w:tcPr>
                  <w:tcW w:w="2055" w:type="dxa"/>
                  <w:tcBorders>
                    <w:top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2055" w:type="dxa"/>
                  <w:tcBorders>
                    <w:top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2055" w:type="dxa"/>
                  <w:tcBorders>
                    <w:top w:val="single" w:color="auto" w:sz="12"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施工期排放量</w:t>
                  </w:r>
                </w:p>
              </w:tc>
              <w:tc>
                <w:tcPr>
                  <w:tcW w:w="2055" w:type="dxa"/>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240</w:t>
                  </w:r>
                </w:p>
              </w:tc>
              <w:tc>
                <w:tcPr>
                  <w:tcW w:w="2055" w:type="dxa"/>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2055" w:type="dxa"/>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w:t>
                  </w: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（2）施工期施工废水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项目施工期主要道路将采用砼硬化路面，场地四周将敷设排水沟（管），并修建临时沉淀池，含SS、微量机油的雨水以及进出施工场地的车辆清洗废水排入沉淀池进行沉淀澄清处理后回用。</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此外，在施工期的注基阶段会产生一定量的泥浆水，根据类比监测调查SS为1000-3000</w:t>
            </w:r>
            <w:r>
              <w:rPr>
                <w:rFonts w:hint="default" w:ascii="Times New Roman" w:hAnsi="Times New Roman" w:eastAsia="宋体" w:cs="Times New Roman"/>
                <w:color w:val="000000" w:themeColor="text1"/>
                <w:sz w:val="24"/>
                <w:szCs w:val="24"/>
                <w:lang w:eastAsia="zh-CN"/>
                <w14:textFill>
                  <w14:solidFill>
                    <w14:schemeClr w14:val="tx1"/>
                  </w14:solidFill>
                </w14:textFill>
              </w:rPr>
              <w:t>mg/L</w:t>
            </w:r>
            <w:r>
              <w:rPr>
                <w:rFonts w:hint="default" w:ascii="Times New Roman" w:hAnsi="Times New Roman" w:eastAsia="宋体" w:cs="Times New Roman"/>
                <w:color w:val="000000" w:themeColor="text1"/>
                <w:sz w:val="24"/>
                <w:szCs w:val="24"/>
                <w14:textFill>
                  <w14:solidFill>
                    <w14:schemeClr w14:val="tx1"/>
                  </w14:solidFill>
                </w14:textFill>
              </w:rPr>
              <w:t>，肆意排放会造成管道的堵塞，必须排入沉淀池进行沉淀澄清处理后回用，不得随意排放。施工用水在城市用水中是用水大户，主要用于生活用水和工程用水。工程用水主要用于工程养护，工程养护中约有70%的水流失，流失时同时夹带泥沙、杂物，处理不当会污染环境，必须经沉淀池处理后回用，以免对环境造成污染，堵塞污水管道。</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2.2</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施工期水环境保护措施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施工期由于施工人员较多，生活污水排放量较大。同时为了防止对环境的污染，建设单位应与施工单位密切配合，采取以下措施：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（1）工程施工期间，施工单位应严格执行《建设工程施工场地文明施工及环境管理暂行规定》，对排水进行收集处理，严禁乱排、乱流污染道路、环境。</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（2）定期清洁建筑施工机械表面不必要的润滑油及其它油污，对废油应妥善处置；</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（3）加强施工机械设备的维修保养，避免在施工过程中燃料油的跑、冒、滴、漏；</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（4）在回填土堆放场、施工泥浆产生点以及混凝土搅拌机及输送系统的冲洗废水应设置临时沉沙池，含泥沙雨水、泥浆水经沉沙池沉淀后回用到生产中去；</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（5）施工时产生的泥浆水未经处理不得随意排放，不得污染现场及周围环境；</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（6）不得随意在施工区域内冲洗汽车，对施工机械进行检修和清洗时必须定点，清洗污水应根据废水性质进行隔渣、隔油和沉淀处理，用于道路的洒水降尘；</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（7）施工区集水池、沉砂池等均设置防渗层，防止施工期废水下渗污染地下水。</w:t>
            </w:r>
          </w:p>
          <w:p>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eastAsia"/>
                <w:b/>
                <w:bCs/>
                <w:color w:val="000000" w:themeColor="text1"/>
                <w14:textFill>
                  <w14:solidFill>
                    <w14:schemeClr w14:val="tx1"/>
                  </w14:solidFill>
                </w14:textFill>
              </w:rPr>
              <w:t>3、施工期声环境</w:t>
            </w:r>
          </w:p>
          <w:p>
            <w:pPr>
              <w:keepNext w:val="0"/>
              <w:keepLines w:val="0"/>
              <w:suppressLineNumbers w:val="0"/>
              <w:spacing w:before="0" w:beforeAutospacing="0" w:after="0" w:afterAutospacing="0" w:line="360" w:lineRule="auto"/>
              <w:ind w:left="0" w:right="0" w:firstLine="496" w:firstLineChars="206"/>
              <w:rPr>
                <w:rFonts w:hint="default" w:ascii="Times New Roman" w:hAnsi="Times New Roman" w:eastAsia="宋体" w:cs="Times New Roman"/>
                <w:b/>
                <w:bCs/>
                <w:snapToGrid w:val="0"/>
                <w:color w:val="000000" w:themeColor="text1"/>
                <w:sz w:val="24"/>
                <w:szCs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4"/>
                <w14:textFill>
                  <w14:solidFill>
                    <w14:schemeClr w14:val="tx1"/>
                  </w14:solidFill>
                </w14:textFill>
              </w:rPr>
              <w:t>3</w:t>
            </w:r>
            <w:r>
              <w:rPr>
                <w:rFonts w:hint="eastAsia" w:cs="Times New Roman"/>
                <w:b/>
                <w:bCs/>
                <w:snapToGrid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z w:val="24"/>
                <w:szCs w:val="24"/>
                <w14:textFill>
                  <w14:solidFill>
                    <w14:schemeClr w14:val="tx1"/>
                  </w14:solidFill>
                </w14:textFill>
              </w:rPr>
              <w:t>施工期噪声污染源强分析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期噪声主要来自施工机械噪声、施工作业噪声和运输车辆噪声。施工机械噪声由施工机械所造成，如挖土机械、混凝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建设期主要施工机械设备的噪声源强见下表，当多台机械设备同时作业时，产生噪声叠加。</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 </w:t>
            </w:r>
            <w:r>
              <w:rPr>
                <w:rFonts w:hint="default"/>
                <w:b/>
                <w:bCs/>
                <w:color w:val="000000" w:themeColor="text1"/>
                <w14:textFill>
                  <w14:solidFill>
                    <w14:schemeClr w14:val="tx1"/>
                  </w14:solidFill>
                </w14:textFill>
              </w:rPr>
              <w:t xml:space="preserve">  施工期噪声声源强度表</w:t>
            </w:r>
          </w:p>
          <w:tbl>
            <w:tblPr>
              <w:tblStyle w:val="10"/>
              <w:tblW w:w="8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8"/>
              <w:gridCol w:w="2741"/>
              <w:gridCol w:w="2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施工阶段</w:t>
                  </w:r>
                </w:p>
              </w:tc>
              <w:tc>
                <w:tcPr>
                  <w:tcW w:w="2741"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声源</w:t>
                  </w:r>
                </w:p>
              </w:tc>
              <w:tc>
                <w:tcPr>
                  <w:tcW w:w="2741"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声源强度[dB（A）]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restart"/>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土石方阶段</w:t>
                  </w:r>
                </w:p>
              </w:tc>
              <w:tc>
                <w:tcPr>
                  <w:tcW w:w="2741"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挖土机</w:t>
                  </w:r>
                </w:p>
              </w:tc>
              <w:tc>
                <w:tcPr>
                  <w:tcW w:w="2741"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78~96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冲击机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空压机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卷扬机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压缩机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75~88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振捣器</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电锯</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电焊机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restart"/>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装修、安装阶段</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电钻</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电锤</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手工钻</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无齿锯</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多功能木工刨</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云石机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角向磨光机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100~115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8" w:type="dxa"/>
                  <w:vMerge w:val="continue"/>
                  <w:noWrap w:val="0"/>
                  <w:vAlign w:val="center"/>
                </w:tcPr>
                <w:p>
                  <w:pPr>
                    <w:pStyle w:val="15"/>
                    <w:bidi w:val="0"/>
                    <w:rPr>
                      <w:rFonts w:hint="default"/>
                      <w:color w:val="000000" w:themeColor="text1"/>
                      <w14:textFill>
                        <w14:solidFill>
                          <w14:schemeClr w14:val="tx1"/>
                        </w14:solidFill>
                      </w14:textFill>
                    </w:rPr>
                  </w:pP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空压机</w:t>
                  </w:r>
                </w:p>
              </w:tc>
              <w:tc>
                <w:tcPr>
                  <w:tcW w:w="274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75~85</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物料运输车辆类型及其声级值见表</w:t>
            </w:r>
            <w:r>
              <w:rPr>
                <w:rFonts w:hint="eastAsia" w:cs="Times New Roman"/>
                <w:snapToGrid w:val="0"/>
                <w:color w:val="000000" w:themeColor="text1"/>
                <w:kern w:val="0"/>
                <w:sz w:val="24"/>
                <w:szCs w:val="24"/>
                <w:lang w:val="en-US" w:eastAsia="zh-CN"/>
                <w14:textFill>
                  <w14:solidFill>
                    <w14:schemeClr w14:val="tx1"/>
                  </w14:solidFill>
                </w14:textFill>
              </w:rPr>
              <w:t>4-4</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4-4 </w:t>
            </w:r>
            <w:r>
              <w:rPr>
                <w:rFonts w:hint="default"/>
                <w:b/>
                <w:bCs/>
                <w:color w:val="000000" w:themeColor="text1"/>
                <w14:textFill>
                  <w14:solidFill>
                    <w14:schemeClr w14:val="tx1"/>
                  </w14:solidFill>
                </w14:textFill>
              </w:rPr>
              <w:t xml:space="preserve">  交通运输车辆噪声</w:t>
            </w:r>
          </w:p>
          <w:tbl>
            <w:tblPr>
              <w:tblStyle w:val="10"/>
              <w:tblW w:w="8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055"/>
              <w:gridCol w:w="2055"/>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施工阶段</w:t>
                  </w:r>
                </w:p>
              </w:tc>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运输内容</w:t>
                  </w:r>
                </w:p>
              </w:tc>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车辆类型</w:t>
                  </w:r>
                </w:p>
              </w:tc>
              <w:tc>
                <w:tcPr>
                  <w:tcW w:w="205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声源强度[dB（A）]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基础工程</w:t>
                  </w:r>
                </w:p>
              </w:tc>
              <w:tc>
                <w:tcPr>
                  <w:tcW w:w="2055"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弃土外运</w:t>
                  </w:r>
                </w:p>
              </w:tc>
              <w:tc>
                <w:tcPr>
                  <w:tcW w:w="2055"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大型载重车</w:t>
                  </w:r>
                </w:p>
              </w:tc>
              <w:tc>
                <w:tcPr>
                  <w:tcW w:w="2055"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84~89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主体工程</w:t>
                  </w:r>
                </w:p>
              </w:tc>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钢筋、商品混凝土</w:t>
                  </w:r>
                </w:p>
              </w:tc>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混凝土罐车、载重车</w:t>
                  </w:r>
                </w:p>
              </w:tc>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80~85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装饰工程</w:t>
                  </w:r>
                </w:p>
              </w:tc>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各种装饰材料、设备</w:t>
                  </w:r>
                </w:p>
              </w:tc>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轻型载重车</w:t>
                  </w:r>
                </w:p>
              </w:tc>
              <w:tc>
                <w:tcPr>
                  <w:tcW w:w="2055"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75~80</w:t>
                  </w:r>
                </w:p>
              </w:tc>
            </w:tr>
          </w:tbl>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对此，在建筑施工期间向周围排放噪声必须按照《中华人民共和国环境噪声污染防治法》规定，严格按《建筑施工场界环境噪声排放标准》（GB12523-2011）进行控制。施工期高噪声设备合理安排施工时间，夜间禁止使用高噪声机械设备，杜绝深夜施工噪声扰民，另外，对施工场地平面布局时将施工机械产噪设备尽量置于场地中央，进行合理布设，减少施工噪声对民众的污染影响。对因生产工艺要求和其它特殊需要，确需在夜间进行超过噪声标准施工的，施工前建设单位向有关部门申请，经批准后方可进行夜间施工。</w:t>
            </w:r>
          </w:p>
          <w:p>
            <w:pPr>
              <w:keepNext w:val="0"/>
              <w:keepLines w:val="0"/>
              <w:suppressLineNumbers w:val="0"/>
              <w:autoSpaceDE w:val="0"/>
              <w:autoSpaceDN w:val="0"/>
              <w:adjustRightInd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3.2</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施工期声环境保护措施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施工机械对周围环境影响较大，在</w:t>
            </w:r>
            <w:r>
              <w:rPr>
                <w:rFonts w:hint="eastAsia"/>
                <w:color w:val="000000" w:themeColor="text1"/>
                <w:lang w:val="en-US" w:eastAsia="zh-CN"/>
                <w14:textFill>
                  <w14:solidFill>
                    <w14:schemeClr w14:val="tx1"/>
                  </w14:solidFill>
                </w14:textFill>
              </w:rPr>
              <w:t>经厂房隔声后，</w:t>
            </w:r>
            <w:r>
              <w:rPr>
                <w:rFonts w:hint="eastAsia"/>
                <w:color w:val="000000" w:themeColor="text1"/>
                <w14:textFill>
                  <w14:solidFill>
                    <w14:schemeClr w14:val="tx1"/>
                  </w14:solidFill>
                </w14:textFill>
              </w:rPr>
              <w:t>距离</w:t>
            </w:r>
            <w:r>
              <w:rPr>
                <w:rFonts w:hint="eastAsia"/>
                <w:color w:val="000000" w:themeColor="text1"/>
                <w:lang w:val="en-US" w:eastAsia="zh-CN"/>
                <w14:textFill>
                  <w14:solidFill>
                    <w14:schemeClr w14:val="tx1"/>
                  </w14:solidFill>
                </w14:textFill>
              </w:rPr>
              <w:t>厂房内</w:t>
            </w:r>
            <w:r>
              <w:rPr>
                <w:rFonts w:hint="eastAsia"/>
                <w:color w:val="000000" w:themeColor="text1"/>
                <w14:textFill>
                  <w14:solidFill>
                    <w14:schemeClr w14:val="tx1"/>
                  </w14:solidFill>
                </w14:textFill>
              </w:rPr>
              <w:t>声源40m处的位置施工噪声约为50～59 dB(A)。部分设备排放的噪声超过《建筑施工场界环境噪声排放标准》（GB12523-2011）排放限值[白天70dB（A），夜间55dB（A）]，本项目施工期在夜间施工噪声超标。</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为减轻施工噪声的环境影响建议采取的措施如下：</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（1）制订施工计划时应避免同时使用大量高噪声设备施工；</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（2）尽量将强噪声设备（如电锯等）安装在场地</w:t>
            </w:r>
            <w:r>
              <w:rPr>
                <w:rFonts w:hint="eastAsia"/>
                <w:color w:val="000000" w:themeColor="text1"/>
                <w:lang w:val="en-US" w:eastAsia="zh-CN"/>
                <w14:textFill>
                  <w14:solidFill>
                    <w14:schemeClr w14:val="tx1"/>
                  </w14:solidFill>
                </w14:textFill>
              </w:rPr>
              <w:t>中部</w:t>
            </w:r>
            <w:r>
              <w:rPr>
                <w:rFonts w:hint="eastAsia"/>
                <w:color w:val="000000" w:themeColor="text1"/>
                <w14:textFill>
                  <w14:solidFill>
                    <w14:schemeClr w14:val="tx1"/>
                  </w14:solidFill>
                </w14:textFill>
              </w:rPr>
              <w:t>；</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（3）做好施工机械的维护和保养，有效降低机械设备运转的噪声源强；</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（4）合理安排强噪声施工机械的工作频次，合理调配车辆来往行车密度；</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（5）做好劳动保护工作，为强噪声源施工机械操作人员配备必要的防护耳塞或耳罩；</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）合理安排施工时段，严禁夜间施工，如确需夜间施工，应向环境主管部门申请办理夜间作业许可证。</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）施工现场做好围挡与封闭，在保证施工安全的同时也可进一步衰减施工噪声。</w:t>
            </w:r>
          </w:p>
          <w:p>
            <w:pPr>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）建筑材料运输车辆和施工机械避免大量驶过</w:t>
            </w:r>
            <w:r>
              <w:rPr>
                <w:rFonts w:hint="eastAsia"/>
                <w:color w:val="000000" w:themeColor="text1"/>
                <w:lang w:val="en-US" w:eastAsia="zh-CN"/>
                <w14:textFill>
                  <w14:solidFill>
                    <w14:schemeClr w14:val="tx1"/>
                  </w14:solidFill>
                </w14:textFill>
              </w:rPr>
              <w:t>周边</w:t>
            </w:r>
            <w:r>
              <w:rPr>
                <w:rFonts w:hint="eastAsia"/>
                <w:color w:val="000000" w:themeColor="text1"/>
                <w14:textFill>
                  <w14:solidFill>
                    <w14:schemeClr w14:val="tx1"/>
                  </w14:solidFill>
                </w14:textFill>
              </w:rPr>
              <w:t>居民区。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b/>
                <w:bCs/>
                <w:color w:val="000000" w:themeColor="text1"/>
                <w14:textFill>
                  <w14:solidFill>
                    <w14:schemeClr w14:val="tx1"/>
                  </w14:solidFill>
                </w14:textFill>
              </w:rPr>
              <w:t>4、施工期固体废物</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w:t>
            </w:r>
            <w:r>
              <w:rPr>
                <w:rFonts w:hint="eastAsia" w:cs="Times New Roman"/>
                <w:b/>
                <w:bCs/>
                <w:color w:val="000000" w:themeColor="text1"/>
                <w:sz w:val="24"/>
                <w:szCs w:val="24"/>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14:textFill>
                  <w14:solidFill>
                    <w14:schemeClr w14:val="tx1"/>
                  </w14:solidFill>
                </w14:textFill>
              </w:rPr>
              <w:t>施工期固体废物污染源强分析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000000" w:themeColor="text1"/>
                <w:kern w:val="0"/>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施工期固体废物主要由项目建设施工建筑垃圾和施工人员产生的生活垃圾组成。</w:t>
            </w:r>
          </w:p>
          <w:p>
            <w:pPr>
              <w:keepNext w:val="0"/>
              <w:keepLines w:val="0"/>
              <w:numPr>
                <w:ilvl w:val="0"/>
                <w:numId w:val="2"/>
              </w:numPr>
              <w:suppressLineNumbers w:val="0"/>
              <w:spacing w:before="0" w:beforeAutospacing="0" w:after="0" w:afterAutospacing="0"/>
              <w:ind w:left="0" w:right="0" w:firstLine="480"/>
              <w:rPr>
                <w:rFonts w:hint="eastAsia"/>
                <w:snapToGrid w:val="0"/>
                <w:color w:val="000000" w:themeColor="text1"/>
                <w:kern w:val="0"/>
                <w14:textFill>
                  <w14:solidFill>
                    <w14:schemeClr w14:val="tx1"/>
                  </w14:solidFill>
                </w14:textFill>
              </w:rPr>
            </w:pPr>
            <w:r>
              <w:rPr>
                <w:rFonts w:hint="eastAsia"/>
                <w:snapToGrid w:val="0"/>
                <w:color w:val="000000" w:themeColor="text1"/>
                <w:kern w:val="0"/>
                <w14:textFill>
                  <w14:solidFill>
                    <w14:schemeClr w14:val="tx1"/>
                  </w14:solidFill>
                </w14:textFill>
              </w:rPr>
              <w:t>施工建筑垃圾</w:t>
            </w:r>
          </w:p>
          <w:p>
            <w:pPr>
              <w:keepNext w:val="0"/>
              <w:keepLines w:val="0"/>
              <w:suppressLineNumbers w:val="0"/>
              <w:spacing w:before="0" w:beforeAutospacing="0" w:after="0" w:afterAutospacing="0"/>
              <w:ind w:left="0" w:right="0" w:firstLine="48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本项目在建设过程中产生的建筑垃圾主要有开挖土地产生的土方、建材损耗产生的垃圾等，包括砂土、石块、水泥、碎木料、锯木屑、废金属、钢筋、铁丝等杂物。土建施工垃圾按照万分</w:t>
            </w:r>
            <w:r>
              <w:rPr>
                <w:rFonts w:hint="eastAsia"/>
                <w:color w:val="000000" w:themeColor="text1"/>
                <w:lang w:val="en-US" w:eastAsia="zh-CN"/>
                <w14:textFill>
                  <w14:solidFill>
                    <w14:schemeClr w14:val="tx1"/>
                  </w14:solidFill>
                </w14:textFill>
              </w:rPr>
              <w:t>之</w:t>
            </w:r>
            <w:r>
              <w:rPr>
                <w:rFonts w:hint="eastAsia"/>
                <w:color w:val="000000" w:themeColor="text1"/>
                <w14:textFill>
                  <w14:solidFill>
                    <w14:schemeClr w14:val="tx1"/>
                  </w14:solidFill>
                </w14:textFill>
              </w:rPr>
              <w:t>五生产率计，即新建1万m²建筑，通常建筑材料总用量为1万t，按照0.5%建筑垃圾率，约产生建筑垃圾500t，项目共计建筑面积约</w:t>
            </w:r>
            <w:r>
              <w:rPr>
                <w:rFonts w:hint="eastAsia"/>
                <w:color w:val="000000" w:themeColor="text1"/>
                <w:lang w:val="en-US" w:eastAsia="zh-CN"/>
                <w14:textFill>
                  <w14:solidFill>
                    <w14:schemeClr w14:val="tx1"/>
                  </w14:solidFill>
                </w14:textFill>
              </w:rPr>
              <w:t>0.15</w:t>
            </w:r>
            <w:r>
              <w:rPr>
                <w:rFonts w:hint="eastAsia"/>
                <w:color w:val="000000" w:themeColor="text1"/>
                <w14:textFill>
                  <w14:solidFill>
                    <w14:schemeClr w14:val="tx1"/>
                  </w14:solidFill>
                </w14:textFill>
              </w:rPr>
              <w:t>万m²，则产生建筑垃圾</w:t>
            </w:r>
            <w:r>
              <w:rPr>
                <w:rFonts w:hint="eastAsia"/>
                <w:color w:val="000000" w:themeColor="text1"/>
                <w:lang w:val="en-US" w:eastAsia="zh-CN"/>
                <w14:textFill>
                  <w14:solidFill>
                    <w14:schemeClr w14:val="tx1"/>
                  </w14:solidFill>
                </w14:textFill>
              </w:rPr>
              <w:t>75</w:t>
            </w:r>
            <w:r>
              <w:rPr>
                <w:rFonts w:hint="eastAsia"/>
                <w:color w:val="000000" w:themeColor="text1"/>
                <w14:textFill>
                  <w14:solidFill>
                    <w14:schemeClr w14:val="tx1"/>
                  </w14:solidFill>
                </w14:textFill>
              </w:rPr>
              <w:t>t。其中钢筋头、废木料占20%（</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t），全部回收利用，剩余建筑垃圾部分（约</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t）清运至</w:t>
            </w:r>
            <w:r>
              <w:rPr>
                <w:rFonts w:hint="eastAsia"/>
                <w:color w:val="000000" w:themeColor="text1"/>
                <w:lang w:val="en-US" w:eastAsia="zh-CN"/>
                <w14:textFill>
                  <w14:solidFill>
                    <w14:schemeClr w14:val="tx1"/>
                  </w14:solidFill>
                </w14:textFill>
              </w:rPr>
              <w:t>吉木萨尔县环卫</w:t>
            </w:r>
            <w:r>
              <w:rPr>
                <w:rFonts w:hint="eastAsia"/>
                <w:color w:val="000000" w:themeColor="text1"/>
                <w14:textFill>
                  <w14:solidFill>
                    <w14:schemeClr w14:val="tx1"/>
                  </w14:solidFill>
                </w14:textFill>
              </w:rPr>
              <w:t>部门指定的建筑垃圾场。</w:t>
            </w:r>
          </w:p>
          <w:p>
            <w:pPr>
              <w:keepNext w:val="0"/>
              <w:keepLines w:val="0"/>
              <w:numPr>
                <w:ilvl w:val="0"/>
                <w:numId w:val="2"/>
              </w:numPr>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施工人员生活垃圾</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生活垃圾以人均每天产生0.5kg计算，施工人数50人，则施工期间产生的生活垃圾总计约</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.5t，统一收集后由环卫部门统一清运。</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垃圾产生情况如表4-</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p>
          <w:p>
            <w:pPr>
              <w:pStyle w:val="15"/>
              <w:keepNext w:val="0"/>
              <w:keepLines w:val="0"/>
              <w:suppressLineNumbers w:val="0"/>
              <w:bidi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 xml:space="preserve">   施工期固体废物产生量分析</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08"/>
              <w:gridCol w:w="1535"/>
              <w:gridCol w:w="1528"/>
              <w:gridCol w:w="1053"/>
              <w:gridCol w:w="3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08" w:type="dxa"/>
                  <w:tcBorders>
                    <w:bottom w:val="single" w:color="auto" w:sz="12"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535" w:type="dxa"/>
                  <w:tcBorders>
                    <w:bottom w:val="single" w:color="auto" w:sz="12"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固体废物种类</w:t>
                  </w:r>
                </w:p>
              </w:tc>
              <w:tc>
                <w:tcPr>
                  <w:tcW w:w="1528" w:type="dxa"/>
                  <w:tcBorders>
                    <w:bottom w:val="single" w:color="auto" w:sz="12"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固体废物组成</w:t>
                  </w:r>
                </w:p>
              </w:tc>
              <w:tc>
                <w:tcPr>
                  <w:tcW w:w="1053" w:type="dxa"/>
                  <w:tcBorders>
                    <w:bottom w:val="single" w:color="auto" w:sz="12"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产生量</w:t>
                  </w:r>
                </w:p>
              </w:tc>
              <w:tc>
                <w:tcPr>
                  <w:tcW w:w="3496" w:type="dxa"/>
                  <w:tcBorders>
                    <w:bottom w:val="single" w:color="auto" w:sz="12"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08" w:type="dxa"/>
                  <w:tcBorders>
                    <w:top w:val="single" w:color="auto" w:sz="12"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535" w:type="dxa"/>
                  <w:tcBorders>
                    <w:top w:val="single" w:color="auto" w:sz="12"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土建施工、建筑垃圾</w:t>
                  </w:r>
                </w:p>
              </w:tc>
              <w:tc>
                <w:tcPr>
                  <w:tcW w:w="1528" w:type="dxa"/>
                  <w:tcBorders>
                    <w:top w:val="single" w:color="auto" w:sz="12"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80%废混凝土和砖头，20%钢筋头、废木料</w:t>
                  </w:r>
                </w:p>
              </w:tc>
              <w:tc>
                <w:tcPr>
                  <w:tcW w:w="1053" w:type="dxa"/>
                  <w:tcBorders>
                    <w:top w:val="single" w:color="auto" w:sz="12"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75</w:t>
                  </w:r>
                  <w:r>
                    <w:rPr>
                      <w:rFonts w:hint="eastAsia"/>
                      <w:color w:val="000000" w:themeColor="text1"/>
                      <w14:textFill>
                        <w14:solidFill>
                          <w14:schemeClr w14:val="tx1"/>
                        </w14:solidFill>
                      </w14:textFill>
                    </w:rPr>
                    <w:t>t</w:t>
                  </w:r>
                </w:p>
              </w:tc>
              <w:tc>
                <w:tcPr>
                  <w:tcW w:w="3496" w:type="dxa"/>
                  <w:tcBorders>
                    <w:top w:val="single" w:color="auto" w:sz="12"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钢筋头、废木料占20%（</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t），全部回收利用，剩余建筑垃圾部分（</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t）清运至建筑垃圾场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08" w:type="dxa"/>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535" w:type="dxa"/>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施工生活垃圾</w:t>
                  </w:r>
                </w:p>
              </w:tc>
              <w:tc>
                <w:tcPr>
                  <w:tcW w:w="1528" w:type="dxa"/>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p>
              </w:tc>
              <w:tc>
                <w:tcPr>
                  <w:tcW w:w="1053" w:type="dxa"/>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t</w:t>
                  </w:r>
                </w:p>
              </w:tc>
              <w:tc>
                <w:tcPr>
                  <w:tcW w:w="3496" w:type="dxa"/>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统一收集后由环卫部门统一清运</w:t>
                  </w:r>
                </w:p>
              </w:tc>
            </w:tr>
          </w:tbl>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4.2</w:t>
            </w:r>
            <w:r>
              <w:rPr>
                <w:rFonts w:hint="eastAsia"/>
                <w:b/>
                <w:bCs/>
                <w:color w:val="000000" w:themeColor="text1"/>
                <w:lang w:val="en-US" w:eastAsia="zh-CN"/>
                <w14:textFill>
                  <w14:solidFill>
                    <w14:schemeClr w14:val="tx1"/>
                  </w14:solidFill>
                </w14:textFill>
              </w:rPr>
              <w:t xml:space="preserve"> </w:t>
            </w:r>
            <w:r>
              <w:rPr>
                <w:rFonts w:hint="eastAsia"/>
                <w:b/>
                <w:bCs/>
                <w:color w:val="000000" w:themeColor="text1"/>
                <w14:textFill>
                  <w14:solidFill>
                    <w14:schemeClr w14:val="tx1"/>
                  </w14:solidFill>
                </w14:textFill>
              </w:rPr>
              <w:t>施工期固体废物环境保护措施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施工期应采取以下固体废物防治措施：</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（1）根据施工产生的工程垃圾的量，分类管理，建筑垃圾应运往当地环卫及城建部门规划的场所统一集中处置，严禁乱倒，以防污影响周围环境卫生；</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（2）车辆运输散装物料和废弃物时，必须覆盖，不得沿途漏撒；运载土方的车辆必须在规定时间内，按指定路段行驶；</w:t>
            </w:r>
          </w:p>
          <w:p>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（3）在工程竣工以后，施工单位应拆除各种临时施工设施，并负责将工地的剩余建筑垃圾处理干净，做到“工完、料尽、场地清”，建设单位应负责督促施工单位的固体废物处置清理工作。</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5、施工期生态影响分析</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5.1、施工期生态影响分析</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建设施工期可能对生态环境产生的影响主要体现在：由土地利用性质的改变而引起对植被的破坏及地表的扰动。进入施工期后，原有植被将被破坏，同时，施工现场因建筑和修路将改变原有地表形态，引起扬尘。由于地表土被破坏，建设区逢下雨地表泥泞，遇刮风则灰尘满天，这种由于施工造成的环境污染对项目区和周围地区影响较大。</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占地包括永久性占地和临时性占用，永久性占地改变了原有土地使用功能，原有植被大部分不复存在。施工作业时的临时占地，由于施工人员及施工机械对地表植被的践踏、碾压等外力因素，破坏了原有土壤结构及性能，降低了土壤效力。严重影响了原有的地表形态、土壤结构和理化性质，在工程结束后也难以恢复原有形态及生产力。车辆行驶也同样对地表土壤结构造成破坏，这种破坏具有暂时性，经过一定时期能够恢复。施工期地表土层遭到不同程度的破坏，植被如不及时恢复，易引起土壤沙化。</w:t>
            </w:r>
            <w:r>
              <w:rPr>
                <w:rFonts w:hint="eastAsia"/>
                <w:color w:val="0000FF"/>
                <w:lang w:val="en-US" w:eastAsia="zh-CN"/>
              </w:rPr>
              <w:t>项目占地面积16000m²，占地范围内主要是荒草地，生物量约为400g/m²，项目的建设，将原有的荒草地全部拆除、平整，新建厂房等生产设施，原有生境全部破坏，造成的生物损失量约为6.4t。</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5.2、施工期生态环境保护措施</w:t>
            </w:r>
          </w:p>
          <w:p>
            <w:pPr>
              <w:bidi w:val="0"/>
              <w:rPr>
                <w:rFonts w:hint="eastAsia"/>
              </w:rPr>
            </w:pPr>
            <w:r>
              <w:rPr>
                <w:rFonts w:hint="eastAsia"/>
              </w:rPr>
              <w:t>项目建设施工期可能对生态环境产生的影响主要体现在：由职工引起对植被的破坏及地表的扰动。进入施工期后，原有植被将被破坏，同时，施工现场因建筑和修路将改变原有地表形态，引起扬尘。由于地表土被破坏，建设区逢下雨地表泥泞，遇刮风则灰尘满天，这种由于施工造成的环境污染对项目区和周围地区影响。具体保护措施如下：</w:t>
            </w:r>
          </w:p>
          <w:p>
            <w:pPr>
              <w:bidi w:val="0"/>
              <w:rPr>
                <w:rFonts w:hint="eastAsia"/>
              </w:rPr>
            </w:pPr>
            <w:r>
              <w:rPr>
                <w:rFonts w:hint="eastAsia"/>
              </w:rPr>
              <w:t>（1）合理布置施工规划，精心组织施工管理，严格控制占地面积，将施工区域控制在最小范围内，施工结束及时清理平整施工场地；</w:t>
            </w:r>
          </w:p>
          <w:p>
            <w:pPr>
              <w:bidi w:val="0"/>
              <w:rPr>
                <w:rFonts w:hint="eastAsia"/>
              </w:rPr>
            </w:pPr>
            <w:r>
              <w:rPr>
                <w:rFonts w:hint="eastAsia"/>
              </w:rPr>
              <w:t>（2）加强对土石方在施工场地内堆存、回填、装卸、运输等方面的管理，如：对在施工场地内堆存时间较长的土石方采取遮盖、围挡、洒水等措施；及时就地回填土石方，并按照原有土层顺序进行回填；</w:t>
            </w:r>
          </w:p>
          <w:p>
            <w:pPr>
              <w:bidi w:val="0"/>
              <w:rPr>
                <w:rFonts w:hint="eastAsia"/>
              </w:rPr>
            </w:pPr>
            <w:r>
              <w:rPr>
                <w:rFonts w:hint="eastAsia"/>
              </w:rPr>
              <w:t>（3）为减少水土流失，严禁随意破坏施工场地内外植被，减少挖填作业，并对施工中开挖裸露地表进行覆盖；</w:t>
            </w:r>
          </w:p>
          <w:p>
            <w:pPr>
              <w:bidi w:val="0"/>
              <w:rPr>
                <w:rFonts w:hint="eastAsia"/>
              </w:rPr>
            </w:pPr>
            <w:r>
              <w:rPr>
                <w:rFonts w:hint="eastAsia"/>
              </w:rPr>
              <w:t>（4）施工完毕及时进行场地清理平整及土壤植被恢复，以植被护土，从而防止或减轻水土流失，土壤植被恢复以绿化为主，绿化措施应结合当地气候特点，以常绿植物为主，并与当地地形相协调；</w:t>
            </w:r>
          </w:p>
          <w:p>
            <w:pPr>
              <w:bidi w:val="0"/>
              <w:rPr>
                <w:rFonts w:hint="eastAsia"/>
              </w:rPr>
            </w:pPr>
            <w:r>
              <w:rPr>
                <w:rFonts w:hint="eastAsia"/>
              </w:rPr>
              <w:t>（5）做好现场施工人员的宣传、教育、管理等工作。</w:t>
            </w:r>
          </w:p>
          <w:p>
            <w:pPr>
              <w:keepNext w:val="0"/>
              <w:keepLines w:val="0"/>
              <w:suppressLineNumbers w:val="0"/>
              <w:spacing w:before="0" w:beforeAutospacing="0" w:after="0" w:afterAutospacing="0"/>
              <w:ind w:left="0" w:right="0" w:firstLine="482"/>
              <w:rPr>
                <w:rFonts w:hint="eastAsia"/>
                <w:color w:val="000000" w:themeColor="text1"/>
                <w:spacing w:val="0"/>
                <w:sz w:val="24"/>
                <w14:textFill>
                  <w14:solidFill>
                    <w14:schemeClr w14:val="tx1"/>
                  </w14:solidFill>
                </w14:textFill>
              </w:rPr>
            </w:pPr>
            <w:r>
              <w:rPr>
                <w:rFonts w:hint="eastAsia"/>
                <w:b/>
                <w:color w:val="000000" w:themeColor="text1"/>
                <w:spacing w:val="0"/>
                <w:sz w:val="24"/>
                <w14:textFill>
                  <w14:solidFill>
                    <w14:schemeClr w14:val="tx1"/>
                  </w14:solidFill>
                </w14:textFill>
              </w:rPr>
              <w:t>6、</w:t>
            </w:r>
            <w:r>
              <w:rPr>
                <w:rFonts w:hint="eastAsia"/>
                <w:b/>
                <w:bCs/>
                <w:color w:val="000000" w:themeColor="text1"/>
                <w:spacing w:val="0"/>
                <w:sz w:val="24"/>
                <w14:textFill>
                  <w14:solidFill>
                    <w14:schemeClr w14:val="tx1"/>
                  </w14:solidFill>
                </w14:textFill>
              </w:rPr>
              <w:t>社会环境影响减缓措施</w:t>
            </w:r>
          </w:p>
          <w:p>
            <w:pPr>
              <w:keepNext w:val="0"/>
              <w:keepLines w:val="0"/>
              <w:suppressLineNumbers w:val="0"/>
              <w:spacing w:before="0" w:beforeAutospacing="0" w:after="0" w:afterAutospacing="0"/>
              <w:ind w:left="0" w:right="0" w:firstLine="480"/>
              <w:rPr>
                <w:rFonts w:hint="eastAsia"/>
                <w:color w:val="000000" w:themeColor="text1"/>
                <w:spacing w:val="0"/>
                <w:sz w:val="24"/>
                <w14:textFill>
                  <w14:solidFill>
                    <w14:schemeClr w14:val="tx1"/>
                  </w14:solidFill>
                </w14:textFill>
              </w:rPr>
            </w:pPr>
            <w:r>
              <w:rPr>
                <w:rFonts w:hint="eastAsia"/>
                <w:color w:val="000000" w:themeColor="text1"/>
                <w:spacing w:val="0"/>
                <w:sz w:val="24"/>
                <w14:textFill>
                  <w14:solidFill>
                    <w14:schemeClr w14:val="tx1"/>
                  </w14:solidFill>
                </w14:textFill>
              </w:rPr>
              <w:t>（1）加强安全管理，禁止附近无关人员在施工场地附近经过，禁止与工程无关人员进入施工场地。</w:t>
            </w:r>
          </w:p>
          <w:p>
            <w:pPr>
              <w:keepNext w:val="0"/>
              <w:keepLines w:val="0"/>
              <w:suppressLineNumbers w:val="0"/>
              <w:spacing w:before="0" w:beforeAutospacing="0" w:after="0" w:afterAutospacing="0"/>
              <w:ind w:left="0" w:right="0" w:firstLine="480"/>
              <w:rPr>
                <w:rFonts w:hint="eastAsia"/>
                <w:color w:val="000000" w:themeColor="text1"/>
                <w:spacing w:val="0"/>
                <w:sz w:val="24"/>
                <w14:textFill>
                  <w14:solidFill>
                    <w14:schemeClr w14:val="tx1"/>
                  </w14:solidFill>
                </w14:textFill>
              </w:rPr>
            </w:pPr>
            <w:r>
              <w:rPr>
                <w:rFonts w:hint="eastAsia"/>
                <w:color w:val="000000" w:themeColor="text1"/>
                <w:spacing w:val="0"/>
                <w:sz w:val="24"/>
                <w14:textFill>
                  <w14:solidFill>
                    <w14:schemeClr w14:val="tx1"/>
                  </w14:solidFill>
                </w14:textFill>
              </w:rPr>
              <w:t>（2）施工场地正门设立公告栏，写明工程开、竣工日期，提醒过往车辆、行人选择合适路线出行，尽量减少项目区邻近路段车流量，缓解交通压力，保证道路畅通。</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（3）项目施工前应与有关部门联系，运输路线必须尽可能避开有敏感点和车量拥挤路段，不能避开的敏感地区，应减速、禁止鸣笛。</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（4）做好施工规划，避免在交通高峰时段进行物料运输，缓解项目区邻近路段运行压力。</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（5）加强施工人员安全施工教育和管理，避免安全事故的发生。</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（6）严格执行施工期环保措施，加强环保管理和环保教育，禁止乱堆乱放乱弃现象发生。</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（7）严格按照本报告提出的施工期扬尘、噪声、固体废物等环境污染防治措施进行施工作业，最大程度的减少本项目施工对社会环境的影响。</w:t>
            </w:r>
          </w:p>
          <w:p>
            <w:pPr>
              <w:bidi w:val="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（8）施工期间加强防疫管理，根据</w:t>
            </w:r>
            <w:r>
              <w:rPr>
                <w:rFonts w:hint="eastAsia"/>
                <w:color w:val="000000" w:themeColor="text1"/>
                <w:lang w:val="en-US" w:eastAsia="zh-CN"/>
                <w14:textFill>
                  <w14:solidFill>
                    <w14:schemeClr w14:val="tx1"/>
                  </w14:solidFill>
                </w14:textFill>
              </w:rPr>
              <w:t>现行</w:t>
            </w:r>
            <w:r>
              <w:rPr>
                <w:rFonts w:hint="eastAsia"/>
                <w:color w:val="000000" w:themeColor="text1"/>
                <w14:textFill>
                  <w14:solidFill>
                    <w14:schemeClr w14:val="tx1"/>
                  </w14:solidFill>
                </w14:textFill>
              </w:rPr>
              <w:t>防疫政策定期进行核酸检测，施工人员全过程佩戴口罩</w:t>
            </w:r>
            <w:r>
              <w:rPr>
                <w:rFonts w:hint="eastAsia"/>
                <w:color w:val="000000" w:themeColor="text1"/>
                <w:lang w:eastAsia="zh-CN"/>
                <w14:textFill>
                  <w14:solidFill>
                    <w14:schemeClr w14:val="tx1"/>
                  </w14:solidFill>
                </w14:textFill>
              </w:rPr>
              <w:t>。</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0"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期环</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境影</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响和</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保护</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措施</w:t>
            </w:r>
          </w:p>
        </w:tc>
        <w:tc>
          <w:tcPr>
            <w:tcW w:w="8434" w:type="dxa"/>
            <w:tcBorders>
              <w:tl2br w:val="nil"/>
              <w:tr2bl w:val="nil"/>
            </w:tcBorders>
            <w:noWrap w:val="0"/>
            <w:vAlign w:val="center"/>
          </w:tcPr>
          <w:p>
            <w:pPr>
              <w:bidi w:val="0"/>
              <w:ind w:left="0" w:leftChars="0" w:firstLine="0" w:firstLineChars="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一、运营期污染物排放情况</w:t>
            </w:r>
          </w:p>
          <w:p>
            <w:pPr>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b/>
                <w:bCs/>
                <w:color w:val="000000" w:themeColor="text1"/>
                <w14:textFill>
                  <w14:solidFill>
                    <w14:schemeClr w14:val="tx1"/>
                  </w14:solidFill>
                </w14:textFill>
              </w:rPr>
              <w:t>运营期大气环境影响和保护措施</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1.1 大气污染源</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项目产生的大气污染物主要是热风炉</w:t>
            </w:r>
            <w:r>
              <w:rPr>
                <w:rFonts w:hint="eastAsia"/>
                <w:color w:val="000000" w:themeColor="text1"/>
                <w:sz w:val="24"/>
                <w:szCs w:val="24"/>
                <w:lang w:val="en-US" w:eastAsia="zh-CN"/>
                <w14:textFill>
                  <w14:solidFill>
                    <w14:schemeClr w14:val="tx1"/>
                  </w14:solidFill>
                </w14:textFill>
              </w:rPr>
              <w:t>产生的燃烧</w:t>
            </w:r>
            <w:r>
              <w:rPr>
                <w:rFonts w:hint="eastAsia"/>
                <w:color w:val="000000" w:themeColor="text1"/>
                <w:sz w:val="24"/>
                <w:szCs w:val="24"/>
                <w14:textFill>
                  <w14:solidFill>
                    <w14:schemeClr w14:val="tx1"/>
                  </w14:solidFill>
                </w14:textFill>
              </w:rPr>
              <w:t>废气、湿料筛选废气和烘干塔内烘干过程产生的废气</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干料筛选废气以及食堂餐饮油烟。</w:t>
            </w:r>
          </w:p>
          <w:p>
            <w:pPr>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1.1.1生物质燃烧</w:t>
            </w:r>
            <w:r>
              <w:rPr>
                <w:rFonts w:hint="eastAsia"/>
                <w:b/>
                <w:bCs/>
                <w:color w:val="000000" w:themeColor="text1"/>
                <w:sz w:val="24"/>
                <w:szCs w:val="24"/>
                <w14:textFill>
                  <w14:solidFill>
                    <w14:schemeClr w14:val="tx1"/>
                  </w14:solidFill>
                </w14:textFill>
              </w:rPr>
              <w:t>废气</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根据建设单位提供资料，本项目使用</w:t>
            </w:r>
            <w:r>
              <w:rPr>
                <w:rFonts w:hint="eastAsia"/>
                <w:color w:val="000000" w:themeColor="text1"/>
                <w:sz w:val="24"/>
                <w:szCs w:val="24"/>
                <w:lang w:val="en-US" w:eastAsia="zh-CN"/>
                <w14:textFill>
                  <w14:solidFill>
                    <w14:schemeClr w14:val="tx1"/>
                  </w14:solidFill>
                </w14:textFill>
              </w:rPr>
              <w:t>生物质的量约</w:t>
            </w:r>
            <w:r>
              <w:rPr>
                <w:rFonts w:hint="eastAsia"/>
                <w:color w:val="000000" w:themeColor="text1"/>
                <w:sz w:val="24"/>
                <w:szCs w:val="24"/>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00t/a</w:t>
            </w:r>
            <w:r>
              <w:rPr>
                <w:rFonts w:hint="eastAsia"/>
                <w:color w:val="000000" w:themeColor="text1"/>
                <w:sz w:val="24"/>
                <w:szCs w:val="24"/>
                <w14:textFill>
                  <w14:solidFill>
                    <w14:schemeClr w14:val="tx1"/>
                  </w14:solidFill>
                </w14:textFill>
              </w:rPr>
              <w:t>，这部分</w:t>
            </w:r>
            <w:r>
              <w:rPr>
                <w:rFonts w:hint="eastAsia"/>
                <w:color w:val="000000" w:themeColor="text1"/>
                <w:sz w:val="24"/>
                <w:szCs w:val="24"/>
                <w:lang w:val="en-US" w:eastAsia="zh-CN"/>
                <w14:textFill>
                  <w14:solidFill>
                    <w14:schemeClr w14:val="tx1"/>
                  </w14:solidFill>
                </w14:textFill>
              </w:rPr>
              <w:t>燃烧废气</w:t>
            </w:r>
            <w:r>
              <w:rPr>
                <w:rFonts w:hint="eastAsia"/>
                <w:color w:val="000000" w:themeColor="text1"/>
                <w:sz w:val="24"/>
                <w:szCs w:val="24"/>
                <w14:textFill>
                  <w14:solidFill>
                    <w14:schemeClr w14:val="tx1"/>
                  </w14:solidFill>
                </w14:textFill>
              </w:rPr>
              <w:t>通过</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、布袋除尘器、脱硫塔脱硫后通过</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高排气筒外排。</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本项目热风炉为链条式层燃炉，选用</w:t>
            </w:r>
            <w:r>
              <w:rPr>
                <w:rFonts w:hint="eastAsia"/>
                <w:color w:val="000000" w:themeColor="text1"/>
                <w:sz w:val="24"/>
                <w:szCs w:val="24"/>
                <w:lang w:val="en-US" w:eastAsia="zh-CN"/>
                <w14:textFill>
                  <w14:solidFill>
                    <w14:schemeClr w14:val="tx1"/>
                  </w14:solidFill>
                </w14:textFill>
              </w:rPr>
              <w:t>生物质作为燃料</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根据生态环境部发布的《排放源统计调查产排污核算方法和系数手册》中的《锅炉产排污量核算系数手册》</w:t>
            </w:r>
            <w:r>
              <w:rPr>
                <w:rFonts w:hint="eastAsia"/>
                <w:lang w:val="en-US" w:eastAsia="zh-CN"/>
              </w:rPr>
              <w:t>对应的</w:t>
            </w:r>
            <w:r>
              <w:rPr>
                <w:rFonts w:hint="eastAsia"/>
                <w:color w:val="000000" w:themeColor="text1"/>
                <w:sz w:val="24"/>
                <w:szCs w:val="24"/>
                <w:lang w:val="en-US" w:eastAsia="zh-CN"/>
                <w14:textFill>
                  <w14:solidFill>
                    <w14:schemeClr w14:val="tx1"/>
                  </w14:solidFill>
                </w14:textFill>
              </w:rPr>
              <w:t>4430工业锅炉（热力生产和供应行业）</w:t>
            </w:r>
            <w:r>
              <w:rPr>
                <w:rFonts w:hint="eastAsia"/>
                <w:color w:val="000000" w:themeColor="text1"/>
                <w:sz w:val="24"/>
                <w:szCs w:val="24"/>
                <w14:textFill>
                  <w14:solidFill>
                    <w14:schemeClr w14:val="tx1"/>
                  </w14:solidFill>
                </w14:textFill>
              </w:rPr>
              <w:t>产排污系数表</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生物质</w:t>
            </w:r>
            <w:r>
              <w:rPr>
                <w:rFonts w:hint="eastAsia"/>
                <w:color w:val="000000" w:themeColor="text1"/>
                <w:sz w:val="24"/>
                <w:szCs w:val="24"/>
                <w14:textFill>
                  <w14:solidFill>
                    <w14:schemeClr w14:val="tx1"/>
                  </w14:solidFill>
                </w14:textFill>
              </w:rPr>
              <w:t>工业锅炉的排污系数，具体如下表。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4-6</w:t>
            </w:r>
            <w:r>
              <w:rPr>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生物质</w:t>
            </w:r>
            <w:r>
              <w:rPr>
                <w:rFonts w:hint="eastAsia"/>
                <w:b/>
                <w:bCs/>
                <w:color w:val="000000" w:themeColor="text1"/>
                <w14:textFill>
                  <w14:solidFill>
                    <w14:schemeClr w14:val="tx1"/>
                  </w14:solidFill>
                </w14:textFill>
              </w:rPr>
              <w:t>工业锅炉排污系数一览表</w:t>
            </w:r>
          </w:p>
          <w:tbl>
            <w:tblPr>
              <w:tblStyle w:val="10"/>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055"/>
              <w:gridCol w:w="2055"/>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55"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烟尘</w:t>
                  </w:r>
                </w:p>
              </w:tc>
              <w:tc>
                <w:tcPr>
                  <w:tcW w:w="2055"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二氧化硫</w:t>
                  </w:r>
                </w:p>
              </w:tc>
              <w:tc>
                <w:tcPr>
                  <w:tcW w:w="2055"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氮氧化物</w:t>
                  </w:r>
                </w:p>
              </w:tc>
              <w:tc>
                <w:tcPr>
                  <w:tcW w:w="2055"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烟气量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55" w:type="dxa"/>
                  <w:tcBorders>
                    <w:top w:val="single" w:color="auto" w:sz="12"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0.5</w:t>
                  </w:r>
                  <w:r>
                    <w:rPr>
                      <w:b/>
                      <w:bCs/>
                      <w:color w:val="000000" w:themeColor="text1"/>
                      <w14:textFill>
                        <w14:solidFill>
                          <w14:schemeClr w14:val="tx1"/>
                        </w14:solidFill>
                      </w14:textFill>
                    </w:rPr>
                    <w:t>kg/t</w:t>
                  </w:r>
                  <w:r>
                    <w:rPr>
                      <w:rFonts w:hint="eastAsia"/>
                      <w:b/>
                      <w:bCs/>
                      <w:color w:val="000000" w:themeColor="text1"/>
                      <w14:textFill>
                        <w14:solidFill>
                          <w14:schemeClr w14:val="tx1"/>
                        </w14:solidFill>
                      </w14:textFill>
                    </w:rPr>
                    <w:t>（原料）</w:t>
                  </w:r>
                </w:p>
              </w:tc>
              <w:tc>
                <w:tcPr>
                  <w:tcW w:w="2055" w:type="dxa"/>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17</w:t>
                  </w:r>
                  <w:r>
                    <w:rPr>
                      <w:b/>
                      <w:bCs/>
                      <w:color w:val="000000" w:themeColor="text1"/>
                      <w14:textFill>
                        <w14:solidFill>
                          <w14:schemeClr w14:val="tx1"/>
                        </w14:solidFill>
                      </w14:textFill>
                    </w:rPr>
                    <w:t>skg/t</w:t>
                  </w:r>
                  <w:r>
                    <w:rPr>
                      <w:rFonts w:hint="eastAsia"/>
                      <w:b/>
                      <w:bCs/>
                      <w:color w:val="000000" w:themeColor="text1"/>
                      <w14:textFill>
                        <w14:solidFill>
                          <w14:schemeClr w14:val="tx1"/>
                        </w14:solidFill>
                      </w14:textFill>
                    </w:rPr>
                    <w:t>（原料）</w:t>
                  </w:r>
                </w:p>
              </w:tc>
              <w:tc>
                <w:tcPr>
                  <w:tcW w:w="2055" w:type="dxa"/>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1.02</w:t>
                  </w:r>
                  <w:r>
                    <w:rPr>
                      <w:b/>
                      <w:bCs/>
                      <w:color w:val="000000" w:themeColor="text1"/>
                      <w14:textFill>
                        <w14:solidFill>
                          <w14:schemeClr w14:val="tx1"/>
                        </w14:solidFill>
                      </w14:textFill>
                    </w:rPr>
                    <w:t>kg/t</w:t>
                  </w:r>
                  <w:r>
                    <w:rPr>
                      <w:rFonts w:hint="eastAsia"/>
                      <w:b/>
                      <w:bCs/>
                      <w:color w:val="000000" w:themeColor="text1"/>
                      <w14:textFill>
                        <w14:solidFill>
                          <w14:schemeClr w14:val="tx1"/>
                        </w14:solidFill>
                      </w14:textFill>
                    </w:rPr>
                    <w:t>（原料）</w:t>
                  </w:r>
                </w:p>
              </w:tc>
              <w:tc>
                <w:tcPr>
                  <w:tcW w:w="2055" w:type="dxa"/>
                  <w:tcBorders>
                    <w:top w:val="single" w:color="auto" w:sz="12" w:space="0"/>
                    <w:left w:val="single" w:color="auto" w:sz="4" w:space="0"/>
                    <w:bottom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6240</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³</w:t>
                  </w:r>
                  <w:r>
                    <w:rPr>
                      <w:b/>
                      <w:bCs/>
                      <w:color w:val="000000" w:themeColor="text1"/>
                      <w14:textFill>
                        <w14:solidFill>
                          <w14:schemeClr w14:val="tx1"/>
                        </w14:solidFill>
                      </w14:textFill>
                    </w:rPr>
                    <w:t>/t</w:t>
                  </w:r>
                  <w:r>
                    <w:rPr>
                      <w:rFonts w:hint="eastAsia"/>
                      <w:b/>
                      <w:bCs/>
                      <w:color w:val="000000" w:themeColor="text1"/>
                      <w14:textFill>
                        <w14:solidFill>
                          <w14:schemeClr w14:val="tx1"/>
                        </w14:solidFill>
                      </w14:textFill>
                    </w:rPr>
                    <w: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220" w:type="dxa"/>
                  <w:gridSpan w:val="4"/>
                  <w:tcBorders>
                    <w:top w:val="single" w:color="auto" w:sz="4" w:space="0"/>
                    <w:bottom w:val="single" w:color="auto" w:sz="12" w:space="0"/>
                  </w:tcBorders>
                  <w:vAlign w:val="center"/>
                </w:tcPr>
                <w:p>
                  <w:pPr>
                    <w:pStyle w:val="15"/>
                    <w:bidi w:val="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产排污系数表中二氧化硫的产排污系数是以含硫量</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的形式表示的，其中含硫量</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是指</w:t>
                  </w:r>
                  <w:r>
                    <w:rPr>
                      <w:rFonts w:hint="eastAsia"/>
                      <w:color w:val="000000" w:themeColor="text1"/>
                      <w:lang w:val="en-US" w:eastAsia="zh-CN"/>
                      <w14:textFill>
                        <w14:solidFill>
                          <w14:schemeClr w14:val="tx1"/>
                        </w14:solidFill>
                      </w14:textFill>
                    </w:rPr>
                    <w:t>燃料</w:t>
                  </w:r>
                  <w:r>
                    <w:rPr>
                      <w:rFonts w:hint="eastAsia"/>
                      <w:color w:val="000000" w:themeColor="text1"/>
                      <w14:textFill>
                        <w14:solidFill>
                          <w14:schemeClr w14:val="tx1"/>
                        </w14:solidFill>
                      </w14:textFill>
                    </w:rPr>
                    <w:t>收到基硫分含量，以质量百分数的形式表示。例如燃料中含硫量</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，则</w:t>
                  </w:r>
                  <w:r>
                    <w:rPr>
                      <w:color w:val="000000" w:themeColor="text1"/>
                      <w14:textFill>
                        <w14:solidFill>
                          <w14:schemeClr w14:val="tx1"/>
                        </w14:solidFill>
                      </w14:textFill>
                    </w:rPr>
                    <w:t>S=3</w:t>
                  </w:r>
                  <w:r>
                    <w:rPr>
                      <w:rFonts w:hint="eastAsia"/>
                      <w:color w:val="000000" w:themeColor="text1"/>
                      <w14:textFill>
                        <w14:solidFill>
                          <w14:schemeClr w14:val="tx1"/>
                        </w14:solidFill>
                      </w14:textFill>
                    </w:rPr>
                    <w:t>。</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根据建设单位提供</w:t>
            </w:r>
            <w:r>
              <w:rPr>
                <w:rFonts w:hint="eastAsia"/>
                <w:color w:val="000000" w:themeColor="text1"/>
                <w:sz w:val="24"/>
                <w:szCs w:val="24"/>
                <w:lang w:val="en-US" w:eastAsia="zh-CN"/>
                <w14:textFill>
                  <w14:solidFill>
                    <w14:schemeClr w14:val="tx1"/>
                  </w14:solidFill>
                </w14:textFill>
              </w:rPr>
              <w:t>生物质燃料组分表</w:t>
            </w:r>
            <w:r>
              <w:rPr>
                <w:rFonts w:hint="eastAsia"/>
                <w:color w:val="000000" w:themeColor="text1"/>
                <w:sz w:val="24"/>
                <w:szCs w:val="24"/>
                <w14:textFill>
                  <w14:solidFill>
                    <w14:schemeClr w14:val="tx1"/>
                  </w14:solidFill>
                </w14:textFill>
              </w:rPr>
              <w:t>可知，本项目</w:t>
            </w:r>
            <w:r>
              <w:rPr>
                <w:rFonts w:hint="eastAsia"/>
                <w:color w:val="000000" w:themeColor="text1"/>
                <w:sz w:val="24"/>
                <w:szCs w:val="24"/>
                <w:lang w:val="en-US" w:eastAsia="zh-CN"/>
                <w14:textFill>
                  <w14:solidFill>
                    <w14:schemeClr w14:val="tx1"/>
                  </w14:solidFill>
                </w14:textFill>
              </w:rPr>
              <w:t>生物质</w:t>
            </w:r>
            <w:r>
              <w:rPr>
                <w:rFonts w:hint="eastAsia"/>
                <w:color w:val="000000" w:themeColor="text1"/>
                <w:sz w:val="24"/>
                <w:szCs w:val="24"/>
                <w14:textFill>
                  <w14:solidFill>
                    <w14:schemeClr w14:val="tx1"/>
                  </w14:solidFill>
                </w14:textFill>
              </w:rPr>
              <w:t>灰分为</w:t>
            </w:r>
            <w:r>
              <w:rPr>
                <w:rFonts w:hint="eastAsia"/>
                <w:color w:val="000000" w:themeColor="text1"/>
                <w:sz w:val="24"/>
                <w:szCs w:val="24"/>
                <w:lang w:val="en-US" w:eastAsia="zh-CN"/>
                <w14:textFill>
                  <w14:solidFill>
                    <w14:schemeClr w14:val="tx1"/>
                  </w14:solidFill>
                </w14:textFill>
              </w:rPr>
              <w:t>3.08</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收到基</w:t>
            </w:r>
            <w:r>
              <w:rPr>
                <w:rFonts w:hint="eastAsia"/>
                <w:color w:val="000000" w:themeColor="text1"/>
                <w:sz w:val="24"/>
                <w:szCs w:val="24"/>
                <w14:textFill>
                  <w14:solidFill>
                    <w14:schemeClr w14:val="tx1"/>
                  </w14:solidFill>
                </w14:textFill>
              </w:rPr>
              <w:t>硫分为</w:t>
            </w:r>
            <w:r>
              <w:rPr>
                <w:rFonts w:hint="eastAsia"/>
                <w:color w:val="000000" w:themeColor="text1"/>
                <w:sz w:val="24"/>
                <w:szCs w:val="24"/>
                <w:lang w:val="en-US" w:eastAsia="zh-CN"/>
                <w14:textFill>
                  <w14:solidFill>
                    <w14:schemeClr w14:val="tx1"/>
                  </w14:solidFill>
                </w14:textFill>
              </w:rPr>
              <w:t>0.052</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生物质</w:t>
            </w:r>
            <w:r>
              <w:rPr>
                <w:rFonts w:hint="eastAsia"/>
                <w:color w:val="000000" w:themeColor="text1"/>
                <w:sz w:val="24"/>
                <w:szCs w:val="24"/>
                <w14:textFill>
                  <w14:solidFill>
                    <w14:schemeClr w14:val="tx1"/>
                  </w14:solidFill>
                </w14:textFill>
              </w:rPr>
              <w:t>使用量为</w:t>
            </w:r>
            <w:r>
              <w:rPr>
                <w:rFonts w:hint="eastAsia"/>
                <w:color w:val="000000" w:themeColor="text1"/>
                <w:sz w:val="24"/>
                <w:szCs w:val="24"/>
                <w:lang w:val="en-US" w:eastAsia="zh-CN"/>
                <w14:textFill>
                  <w14:solidFill>
                    <w14:schemeClr w14:val="tx1"/>
                  </w14:solidFill>
                </w14:textFill>
              </w:rPr>
              <w:t>25</w:t>
            </w:r>
            <w:r>
              <w:rPr>
                <w:color w:val="000000" w:themeColor="text1"/>
                <w:sz w:val="24"/>
                <w:szCs w:val="24"/>
                <w14:textFill>
                  <w14:solidFill>
                    <w14:schemeClr w14:val="tx1"/>
                  </w14:solidFill>
                </w14:textFill>
              </w:rPr>
              <w:t>00t/a</w:t>
            </w:r>
            <w:r>
              <w:rPr>
                <w:rFonts w:hint="eastAsia"/>
                <w:color w:val="000000" w:themeColor="text1"/>
                <w:sz w:val="24"/>
                <w:szCs w:val="24"/>
                <w14:textFill>
                  <w14:solidFill>
                    <w14:schemeClr w14:val="tx1"/>
                  </w14:solidFill>
                </w14:textFill>
              </w:rPr>
              <w:t>，则可知本项目</w:t>
            </w:r>
            <w:r>
              <w:rPr>
                <w:rFonts w:hint="eastAsia"/>
                <w:color w:val="000000" w:themeColor="text1"/>
                <w:sz w:val="24"/>
                <w:szCs w:val="24"/>
                <w:lang w:val="en-US" w:eastAsia="zh-CN"/>
                <w14:textFill>
                  <w14:solidFill>
                    <w14:schemeClr w14:val="tx1"/>
                  </w14:solidFill>
                </w14:textFill>
              </w:rPr>
              <w:t>生物质</w:t>
            </w:r>
            <w:r>
              <w:rPr>
                <w:rFonts w:hint="eastAsia"/>
                <w:color w:val="000000" w:themeColor="text1"/>
                <w:sz w:val="24"/>
                <w:szCs w:val="24"/>
                <w14:textFill>
                  <w14:solidFill>
                    <w14:schemeClr w14:val="tx1"/>
                  </w14:solidFill>
                </w14:textFill>
              </w:rPr>
              <w:t>热风炉产污情况如下表。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4-7</w:t>
            </w:r>
            <w:r>
              <w:rPr>
                <w:b/>
                <w:bCs/>
                <w:color w:val="000000" w:themeColor="text1"/>
                <w14:textFill>
                  <w14:solidFill>
                    <w14:schemeClr w14:val="tx1"/>
                  </w14:solidFill>
                </w14:textFill>
              </w:rPr>
              <w:t xml:space="preserve">   </w:t>
            </w:r>
            <w:r>
              <w:rPr>
                <w:rFonts w:hint="eastAsia"/>
                <w:b/>
                <w:bCs/>
                <w:color w:val="000000" w:themeColor="text1"/>
                <w:lang w:eastAsia="zh-CN"/>
                <w14:textFill>
                  <w14:solidFill>
                    <w14:schemeClr w14:val="tx1"/>
                  </w14:solidFill>
                </w14:textFill>
              </w:rPr>
              <w:t>生物质热风炉</w:t>
            </w:r>
            <w:r>
              <w:rPr>
                <w:rFonts w:hint="eastAsia"/>
                <w:b/>
                <w:bCs/>
                <w:color w:val="000000" w:themeColor="text1"/>
                <w14:textFill>
                  <w14:solidFill>
                    <w14:schemeClr w14:val="tx1"/>
                  </w14:solidFill>
                </w14:textFill>
              </w:rPr>
              <w:t>产污情况一览表</w:t>
            </w:r>
          </w:p>
          <w:tbl>
            <w:tblPr>
              <w:tblStyle w:val="10"/>
              <w:tblW w:w="822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40"/>
              <w:gridCol w:w="2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12" w:space="0"/>
                    <w:bottom w:val="single" w:color="auto" w:sz="12" w:space="0"/>
                    <w:right w:val="single" w:color="auto" w:sz="4"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2740" w:type="dxa"/>
                  <w:tcBorders>
                    <w:top w:val="single" w:color="auto" w:sz="12" w:space="0"/>
                    <w:left w:val="single" w:color="auto" w:sz="4" w:space="0"/>
                    <w:bottom w:val="single" w:color="auto" w:sz="12" w:space="0"/>
                    <w:right w:val="single" w:color="auto" w:sz="4"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产生浓度</w:t>
                  </w:r>
                </w:p>
              </w:tc>
              <w:tc>
                <w:tcPr>
                  <w:tcW w:w="2741" w:type="dxa"/>
                  <w:tcBorders>
                    <w:top w:val="single" w:color="auto" w:sz="12" w:space="0"/>
                    <w:left w:val="single" w:color="auto" w:sz="4" w:space="0"/>
                    <w:bottom w:val="single" w:color="auto" w:sz="12"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12"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烟气量</w:t>
                  </w:r>
                </w:p>
              </w:tc>
              <w:tc>
                <w:tcPr>
                  <w:tcW w:w="2740" w:type="dxa"/>
                  <w:tcBorders>
                    <w:top w:val="single" w:color="auto" w:sz="12" w:space="0"/>
                    <w:left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741" w:type="dxa"/>
                  <w:tcBorders>
                    <w:top w:val="single" w:color="auto" w:sz="12"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15600000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³</w:t>
                  </w:r>
                  <w:r>
                    <w:rPr>
                      <w:color w:val="000000" w:themeColor="text1"/>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烟尘</w:t>
                  </w:r>
                </w:p>
              </w:tc>
              <w:tc>
                <w:tcPr>
                  <w:tcW w:w="2740" w:type="dxa"/>
                  <w:tcBorders>
                    <w:top w:val="single" w:color="auto" w:sz="4" w:space="0"/>
                    <w:left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80.13</w:t>
                  </w:r>
                  <w:r>
                    <w:rPr>
                      <w:color w:val="000000" w:themeColor="text1"/>
                      <w14:textFill>
                        <w14:solidFill>
                          <w14:schemeClr w14:val="tx1"/>
                        </w14:solidFill>
                      </w14:textFill>
                    </w:rPr>
                    <w:t>mg/m</w:t>
                  </w:r>
                  <w:r>
                    <w:rPr>
                      <w:rFonts w:hint="eastAsia"/>
                      <w:color w:val="000000" w:themeColor="text1"/>
                      <w14:textFill>
                        <w14:solidFill>
                          <w14:schemeClr w14:val="tx1"/>
                        </w14:solidFill>
                      </w14:textFill>
                    </w:rPr>
                    <w:t>³</w:t>
                  </w:r>
                </w:p>
              </w:tc>
              <w:tc>
                <w:tcPr>
                  <w:tcW w:w="2741" w:type="dxa"/>
                  <w:tcBorders>
                    <w:top w:val="single" w:color="auto" w:sz="4"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1.25</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2740" w:type="dxa"/>
                  <w:tcBorders>
                    <w:top w:val="single" w:color="auto" w:sz="4" w:space="0"/>
                    <w:left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141.67</w:t>
                  </w:r>
                  <w:r>
                    <w:rPr>
                      <w:color w:val="000000" w:themeColor="text1"/>
                      <w14:textFill>
                        <w14:solidFill>
                          <w14:schemeClr w14:val="tx1"/>
                        </w14:solidFill>
                      </w14:textFill>
                    </w:rPr>
                    <w:t>mg/m</w:t>
                  </w:r>
                  <w:r>
                    <w:rPr>
                      <w:rFonts w:hint="eastAsia"/>
                      <w:color w:val="000000" w:themeColor="text1"/>
                      <w14:textFill>
                        <w14:solidFill>
                          <w14:schemeClr w14:val="tx1"/>
                        </w14:solidFill>
                      </w14:textFill>
                    </w:rPr>
                    <w:t>³</w:t>
                  </w:r>
                </w:p>
              </w:tc>
              <w:tc>
                <w:tcPr>
                  <w:tcW w:w="2741" w:type="dxa"/>
                  <w:tcBorders>
                    <w:top w:val="single" w:color="auto" w:sz="4"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2.21</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4" w:space="0"/>
                    <w:bottom w:val="single" w:color="auto" w:sz="12"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2740" w:type="dxa"/>
                  <w:tcBorders>
                    <w:top w:val="single" w:color="auto" w:sz="4" w:space="0"/>
                    <w:left w:val="single" w:color="auto" w:sz="4" w:space="0"/>
                    <w:bottom w:val="single" w:color="auto" w:sz="12"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163.46</w:t>
                  </w:r>
                  <w:r>
                    <w:rPr>
                      <w:color w:val="000000" w:themeColor="text1"/>
                      <w14:textFill>
                        <w14:solidFill>
                          <w14:schemeClr w14:val="tx1"/>
                        </w14:solidFill>
                      </w14:textFill>
                    </w:rPr>
                    <w:t>mg/m</w:t>
                  </w:r>
                  <w:r>
                    <w:rPr>
                      <w:rFonts w:hint="eastAsia"/>
                      <w:color w:val="000000" w:themeColor="text1"/>
                      <w14:textFill>
                        <w14:solidFill>
                          <w14:schemeClr w14:val="tx1"/>
                        </w14:solidFill>
                      </w14:textFill>
                    </w:rPr>
                    <w:t>³</w:t>
                  </w:r>
                </w:p>
              </w:tc>
              <w:tc>
                <w:tcPr>
                  <w:tcW w:w="2741" w:type="dxa"/>
                  <w:tcBorders>
                    <w:top w:val="single" w:color="auto" w:sz="4" w:space="0"/>
                    <w:left w:val="single" w:color="auto" w:sz="4" w:space="0"/>
                    <w:bottom w:val="single" w:color="auto" w:sz="12"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2.55t</w:t>
                  </w:r>
                  <w:r>
                    <w:rPr>
                      <w:color w:val="000000" w:themeColor="text1"/>
                      <w14:textFill>
                        <w14:solidFill>
                          <w14:schemeClr w14:val="tx1"/>
                        </w14:solidFill>
                      </w14:textFill>
                    </w:rPr>
                    <w:t>/a</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本项目采用布袋除尘器脱硫、</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脱硝，</w:t>
            </w:r>
            <w:r>
              <w:rPr>
                <w:rFonts w:hint="eastAsia"/>
                <w:lang w:val="en-US" w:eastAsia="zh-CN"/>
              </w:rPr>
              <w:t>钙钠双碱法</w:t>
            </w:r>
            <w:r>
              <w:rPr>
                <w:rFonts w:hint="eastAsia"/>
                <w:color w:val="000000" w:themeColor="text1"/>
                <w:sz w:val="24"/>
                <w:szCs w:val="24"/>
                <w14:textFill>
                  <w14:solidFill>
                    <w14:schemeClr w14:val="tx1"/>
                  </w14:solidFill>
                </w14:textFill>
              </w:rPr>
              <w:t>。其</w:t>
            </w:r>
            <w:r>
              <w:rPr>
                <w:rFonts w:hint="eastAsia"/>
                <w:color w:val="000000" w:themeColor="text1"/>
                <w:sz w:val="24"/>
                <w:szCs w:val="24"/>
                <w:lang w:val="en-US" w:eastAsia="zh-CN"/>
                <w14:textFill>
                  <w14:solidFill>
                    <w14:schemeClr w14:val="tx1"/>
                  </w14:solidFill>
                </w14:textFill>
              </w:rPr>
              <w:t>去除</w:t>
            </w:r>
            <w:r>
              <w:rPr>
                <w:rFonts w:hint="eastAsia"/>
                <w:color w:val="000000" w:themeColor="text1"/>
                <w:sz w:val="24"/>
                <w:szCs w:val="24"/>
                <w14:textFill>
                  <w14:solidFill>
                    <w14:schemeClr w14:val="tx1"/>
                  </w14:solidFill>
                </w14:textFill>
              </w:rPr>
              <w:t>效率分别如下表。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4-8</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净化效率一览表</w:t>
            </w:r>
          </w:p>
          <w:tbl>
            <w:tblPr>
              <w:tblStyle w:val="10"/>
              <w:tblW w:w="822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055"/>
              <w:gridCol w:w="2057"/>
              <w:gridCol w:w="2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Borders>
                    <w:top w:val="single" w:color="auto" w:sz="12" w:space="0"/>
                    <w:bottom w:val="single" w:color="auto" w:sz="12" w:space="0"/>
                    <w:right w:val="single" w:color="auto" w:sz="4" w:space="0"/>
                  </w:tcBorders>
                  <w:vAlign w:val="center"/>
                </w:tcPr>
                <w:p>
                  <w:pPr>
                    <w:pStyle w:val="15"/>
                    <w:bidi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治理措施</w:t>
                  </w:r>
                </w:p>
              </w:tc>
              <w:tc>
                <w:tcPr>
                  <w:tcW w:w="2055"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烟尘的</w:t>
                  </w:r>
                  <w:r>
                    <w:rPr>
                      <w:rFonts w:hint="eastAsia"/>
                      <w:b/>
                      <w:bCs/>
                      <w:color w:val="000000" w:themeColor="text1"/>
                      <w:lang w:val="en-US" w:eastAsia="zh-CN"/>
                      <w14:textFill>
                        <w14:solidFill>
                          <w14:schemeClr w14:val="tx1"/>
                        </w14:solidFill>
                      </w14:textFill>
                    </w:rPr>
                    <w:t>去除</w:t>
                  </w:r>
                  <w:r>
                    <w:rPr>
                      <w:rFonts w:hint="eastAsia"/>
                      <w:b/>
                      <w:bCs/>
                      <w:color w:val="000000" w:themeColor="text1"/>
                      <w14:textFill>
                        <w14:solidFill>
                          <w14:schemeClr w14:val="tx1"/>
                        </w14:solidFill>
                      </w14:textFill>
                    </w:rPr>
                    <w:t>效率</w:t>
                  </w:r>
                </w:p>
              </w:tc>
              <w:tc>
                <w:tcPr>
                  <w:tcW w:w="2057"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脱硫效率</w:t>
                  </w:r>
                </w:p>
              </w:tc>
              <w:tc>
                <w:tcPr>
                  <w:tcW w:w="2052"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脱硝效率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Borders>
                    <w:top w:val="single" w:color="auto" w:sz="12" w:space="0"/>
                    <w:bottom w:val="single" w:color="auto" w:sz="4" w:space="0"/>
                    <w:right w:val="single" w:color="auto" w:sz="4" w:space="0"/>
                  </w:tcBorders>
                  <w:vAlign w:val="center"/>
                </w:tcPr>
                <w:p>
                  <w:pPr>
                    <w:pStyle w:val="15"/>
                    <w:bidi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高效布袋除尘器</w:t>
                  </w:r>
                </w:p>
              </w:tc>
              <w:tc>
                <w:tcPr>
                  <w:tcW w:w="2055" w:type="dxa"/>
                  <w:tcBorders>
                    <w:top w:val="single" w:color="auto" w:sz="12" w:space="0"/>
                    <w:left w:val="single" w:color="auto" w:sz="4" w:space="0"/>
                    <w:bottom w:val="single" w:color="auto" w:sz="4" w:space="0"/>
                    <w:right w:val="single" w:color="auto" w:sz="4" w:space="0"/>
                  </w:tcBorders>
                  <w:vAlign w:val="center"/>
                </w:tcPr>
                <w:p>
                  <w:pPr>
                    <w:pStyle w:val="15"/>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99.7</w:t>
                  </w:r>
                  <w:r>
                    <w:rPr>
                      <w:color w:val="000000" w:themeColor="text1"/>
                      <w14:textFill>
                        <w14:solidFill>
                          <w14:schemeClr w14:val="tx1"/>
                        </w14:solidFill>
                      </w14:textFill>
                    </w:rPr>
                    <w:t>%</w:t>
                  </w:r>
                </w:p>
              </w:tc>
              <w:tc>
                <w:tcPr>
                  <w:tcW w:w="2057" w:type="dxa"/>
                  <w:tcBorders>
                    <w:top w:val="single" w:color="auto" w:sz="12" w:space="0"/>
                    <w:left w:val="single" w:color="auto" w:sz="4" w:space="0"/>
                    <w:bottom w:val="single" w:color="auto" w:sz="4" w:space="0"/>
                    <w:right w:val="single" w:color="auto" w:sz="4"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2" w:type="dxa"/>
                  <w:tcBorders>
                    <w:top w:val="single" w:color="auto" w:sz="12" w:space="0"/>
                    <w:left w:val="single" w:color="auto" w:sz="4" w:space="0"/>
                    <w:bottom w:val="single" w:color="auto" w:sz="4"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Borders>
                    <w:top w:val="single" w:color="auto" w:sz="4" w:space="0"/>
                    <w:bottom w:val="single" w:color="auto" w:sz="4" w:space="0"/>
                    <w:right w:val="single" w:color="auto" w:sz="4" w:space="0"/>
                  </w:tcBorders>
                  <w:vAlign w:val="center"/>
                </w:tcPr>
                <w:p>
                  <w:pPr>
                    <w:pStyle w:val="15"/>
                    <w:bidi w:val="0"/>
                    <w:jc w:val="center"/>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SNCR</w:t>
                  </w:r>
                  <w:r>
                    <w:rPr>
                      <w:rFonts w:hint="eastAsia"/>
                      <w:color w:val="000000" w:themeColor="text1"/>
                      <w:lang w:val="en-US" w:eastAsia="zh-CN"/>
                      <w14:textFill>
                        <w14:solidFill>
                          <w14:schemeClr w14:val="tx1"/>
                        </w14:solidFill>
                      </w14:textFill>
                    </w:rPr>
                    <w:t>+低氮燃烧</w:t>
                  </w:r>
                </w:p>
              </w:tc>
              <w:tc>
                <w:tcPr>
                  <w:tcW w:w="2055"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7"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2" w:type="dxa"/>
                  <w:tcBorders>
                    <w:top w:val="single" w:color="auto" w:sz="4" w:space="0"/>
                    <w:left w:val="single" w:color="auto" w:sz="4" w:space="0"/>
                    <w:bottom w:val="single" w:color="auto" w:sz="4" w:space="0"/>
                  </w:tcBorders>
                  <w:vAlign w:val="center"/>
                </w:tcPr>
                <w:p>
                  <w:pPr>
                    <w:pStyle w:val="15"/>
                    <w:bidi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45.4</w:t>
                  </w: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Borders>
                    <w:top w:val="single" w:color="auto" w:sz="4" w:space="0"/>
                    <w:bottom w:val="single" w:color="auto" w:sz="12" w:space="0"/>
                    <w:right w:val="single" w:color="auto" w:sz="4" w:space="0"/>
                  </w:tcBorders>
                  <w:vAlign w:val="center"/>
                </w:tcPr>
                <w:p>
                  <w:pPr>
                    <w:pStyle w:val="15"/>
                    <w:bidi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钙钠双碱法</w:t>
                  </w:r>
                </w:p>
              </w:tc>
              <w:tc>
                <w:tcPr>
                  <w:tcW w:w="2055"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7"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w:t>
                  </w:r>
                </w:p>
              </w:tc>
              <w:tc>
                <w:tcPr>
                  <w:tcW w:w="2052" w:type="dxa"/>
                  <w:tcBorders>
                    <w:top w:val="single" w:color="auto" w:sz="4" w:space="0"/>
                    <w:left w:val="single" w:color="auto" w:sz="4" w:space="0"/>
                    <w:bottom w:val="single" w:color="auto" w:sz="12" w:space="0"/>
                  </w:tcBorders>
                  <w:vAlign w:val="center"/>
                </w:tcPr>
                <w:p>
                  <w:pPr>
                    <w:pStyle w:val="15"/>
                    <w:bidi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根据上表各项净化措施的净化效率，可知本项目最终通过</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高排气筒排放的各项污染物情况，具体如下表。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4-9</w:t>
            </w:r>
            <w:r>
              <w:rPr>
                <w:b/>
                <w:bCs/>
                <w:color w:val="000000" w:themeColor="text1"/>
                <w14:textFill>
                  <w14:solidFill>
                    <w14:schemeClr w14:val="tx1"/>
                  </w14:solidFill>
                </w14:textFill>
              </w:rPr>
              <w:t xml:space="preserve">   </w:t>
            </w:r>
            <w:r>
              <w:rPr>
                <w:rFonts w:hint="eastAsia"/>
                <w:b/>
                <w:bCs/>
                <w:color w:val="000000" w:themeColor="text1"/>
                <w:lang w:eastAsia="zh-CN"/>
                <w14:textFill>
                  <w14:solidFill>
                    <w14:schemeClr w14:val="tx1"/>
                  </w14:solidFill>
                </w14:textFill>
              </w:rPr>
              <w:t>生物质热风炉</w:t>
            </w:r>
            <w:r>
              <w:rPr>
                <w:rFonts w:hint="eastAsia"/>
                <w:b/>
                <w:bCs/>
                <w:color w:val="000000" w:themeColor="text1"/>
                <w14:textFill>
                  <w14:solidFill>
                    <w14:schemeClr w14:val="tx1"/>
                  </w14:solidFill>
                </w14:textFill>
              </w:rPr>
              <w:t>排污情况一览表</w:t>
            </w:r>
          </w:p>
          <w:tbl>
            <w:tblPr>
              <w:tblStyle w:val="10"/>
              <w:tblW w:w="822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40"/>
              <w:gridCol w:w="2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12" w:space="0"/>
                    <w:bottom w:val="single" w:color="auto" w:sz="12" w:space="0"/>
                    <w:right w:val="single" w:color="auto" w:sz="4"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2740" w:type="dxa"/>
                  <w:tcBorders>
                    <w:top w:val="single" w:color="auto" w:sz="12" w:space="0"/>
                    <w:left w:val="single" w:color="auto" w:sz="4" w:space="0"/>
                    <w:bottom w:val="single" w:color="auto" w:sz="12" w:space="0"/>
                    <w:right w:val="single" w:color="auto" w:sz="4"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排放浓度</w:t>
                  </w:r>
                </w:p>
              </w:tc>
              <w:tc>
                <w:tcPr>
                  <w:tcW w:w="2741" w:type="dxa"/>
                  <w:tcBorders>
                    <w:top w:val="single" w:color="auto" w:sz="12" w:space="0"/>
                    <w:left w:val="single" w:color="auto" w:sz="4" w:space="0"/>
                    <w:bottom w:val="single" w:color="auto" w:sz="12"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12"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烟气量</w:t>
                  </w:r>
                </w:p>
              </w:tc>
              <w:tc>
                <w:tcPr>
                  <w:tcW w:w="2740" w:type="dxa"/>
                  <w:tcBorders>
                    <w:top w:val="single" w:color="auto" w:sz="12" w:space="0"/>
                    <w:left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741" w:type="dxa"/>
                  <w:tcBorders>
                    <w:top w:val="single" w:color="auto" w:sz="12"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15600000</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³</w:t>
                  </w:r>
                  <w:r>
                    <w:rPr>
                      <w:color w:val="000000" w:themeColor="text1"/>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烟尘</w:t>
                  </w:r>
                </w:p>
              </w:tc>
              <w:tc>
                <w:tcPr>
                  <w:tcW w:w="2740" w:type="dxa"/>
                  <w:tcBorders>
                    <w:top w:val="single" w:color="auto" w:sz="4" w:space="0"/>
                    <w:left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0.24</w:t>
                  </w:r>
                  <w:r>
                    <w:rPr>
                      <w:color w:val="000000" w:themeColor="text1"/>
                      <w14:textFill>
                        <w14:solidFill>
                          <w14:schemeClr w14:val="tx1"/>
                        </w14:solidFill>
                      </w14:textFill>
                    </w:rPr>
                    <w:t>mg/m</w:t>
                  </w:r>
                  <w:r>
                    <w:rPr>
                      <w:rFonts w:hint="eastAsia"/>
                      <w:color w:val="000000" w:themeColor="text1"/>
                      <w14:textFill>
                        <w14:solidFill>
                          <w14:schemeClr w14:val="tx1"/>
                        </w14:solidFill>
                      </w14:textFill>
                    </w:rPr>
                    <w:t>³</w:t>
                  </w:r>
                </w:p>
              </w:tc>
              <w:tc>
                <w:tcPr>
                  <w:tcW w:w="2741" w:type="dxa"/>
                  <w:tcBorders>
                    <w:top w:val="single" w:color="auto" w:sz="4"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3.75×10</w:t>
                  </w:r>
                  <w:r>
                    <w:rPr>
                      <w:rFonts w:hint="eastAsia"/>
                      <w:color w:val="000000" w:themeColor="text1"/>
                      <w:vertAlign w:val="superscript"/>
                      <w:lang w:val="en-US" w:eastAsia="zh-CN"/>
                      <w14:textFill>
                        <w14:solidFill>
                          <w14:schemeClr w14:val="tx1"/>
                        </w14:solidFill>
                      </w14:textFill>
                    </w:rPr>
                    <w:t>-3</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2740" w:type="dxa"/>
                  <w:tcBorders>
                    <w:top w:val="single" w:color="auto" w:sz="4" w:space="0"/>
                    <w:left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10.63</w:t>
                  </w:r>
                  <w:r>
                    <w:rPr>
                      <w:color w:val="000000" w:themeColor="text1"/>
                      <w14:textFill>
                        <w14:solidFill>
                          <w14:schemeClr w14:val="tx1"/>
                        </w14:solidFill>
                      </w14:textFill>
                    </w:rPr>
                    <w:t>mg/m</w:t>
                  </w:r>
                  <w:r>
                    <w:rPr>
                      <w:rFonts w:hint="eastAsia"/>
                      <w:color w:val="000000" w:themeColor="text1"/>
                      <w14:textFill>
                        <w14:solidFill>
                          <w14:schemeClr w14:val="tx1"/>
                        </w14:solidFill>
                      </w14:textFill>
                    </w:rPr>
                    <w:t>³</w:t>
                  </w:r>
                </w:p>
              </w:tc>
              <w:tc>
                <w:tcPr>
                  <w:tcW w:w="2741" w:type="dxa"/>
                  <w:tcBorders>
                    <w:top w:val="single" w:color="auto" w:sz="4"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0.166</w:t>
                  </w:r>
                  <w:r>
                    <w:rPr>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739" w:type="dxa"/>
                  <w:tcBorders>
                    <w:top w:val="single" w:color="auto" w:sz="4" w:space="0"/>
                    <w:bottom w:val="single" w:color="auto" w:sz="12"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2740" w:type="dxa"/>
                  <w:tcBorders>
                    <w:top w:val="single" w:color="auto" w:sz="4" w:space="0"/>
                    <w:left w:val="single" w:color="auto" w:sz="4" w:space="0"/>
                    <w:bottom w:val="single" w:color="auto" w:sz="12"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89.25</w:t>
                  </w:r>
                  <w:r>
                    <w:rPr>
                      <w:color w:val="000000" w:themeColor="text1"/>
                      <w14:textFill>
                        <w14:solidFill>
                          <w14:schemeClr w14:val="tx1"/>
                        </w14:solidFill>
                      </w14:textFill>
                    </w:rPr>
                    <w:t>mg/m</w:t>
                  </w:r>
                  <w:r>
                    <w:rPr>
                      <w:rFonts w:hint="eastAsia"/>
                      <w:color w:val="000000" w:themeColor="text1"/>
                      <w14:textFill>
                        <w14:solidFill>
                          <w14:schemeClr w14:val="tx1"/>
                        </w14:solidFill>
                      </w14:textFill>
                    </w:rPr>
                    <w:t>³</w:t>
                  </w:r>
                </w:p>
              </w:tc>
              <w:tc>
                <w:tcPr>
                  <w:tcW w:w="2741" w:type="dxa"/>
                  <w:tcBorders>
                    <w:top w:val="single" w:color="auto" w:sz="4" w:space="0"/>
                    <w:left w:val="single" w:color="auto" w:sz="4" w:space="0"/>
                    <w:bottom w:val="single" w:color="auto" w:sz="12" w:space="0"/>
                  </w:tcBorders>
                  <w:vAlign w:val="top"/>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1.392t</w:t>
                  </w:r>
                  <w:r>
                    <w:rPr>
                      <w:color w:val="000000" w:themeColor="text1"/>
                      <w14:textFill>
                        <w14:solidFill>
                          <w14:schemeClr w14:val="tx1"/>
                        </w14:solidFill>
                      </w14:textFill>
                    </w:rPr>
                    <w:t>/a</w:t>
                  </w:r>
                </w:p>
              </w:tc>
            </w:tr>
          </w:tbl>
          <w:p>
            <w:pPr>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b/>
                <w:bCs/>
                <w:color w:val="000000" w:themeColor="text1"/>
                <w:sz w:val="24"/>
                <w:szCs w:val="24"/>
                <w14:textFill>
                  <w14:solidFill>
                    <w14:schemeClr w14:val="tx1"/>
                  </w14:solidFill>
                </w14:textFill>
              </w:rPr>
              <w:t>1.2</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湿料筛选</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本项目湿料上料及筛选过程会产生一定量的颗粒物，</w:t>
            </w:r>
            <w:r>
              <w:rPr>
                <w:rFonts w:hint="eastAsia"/>
                <w:color w:val="000000" w:themeColor="text1"/>
                <w:sz w:val="24"/>
                <w:szCs w:val="24"/>
                <w:lang w:val="en-US" w:eastAsia="zh-CN"/>
                <w14:textFill>
                  <w14:solidFill>
                    <w14:schemeClr w14:val="tx1"/>
                  </w14:solidFill>
                </w14:textFill>
              </w:rPr>
              <w:t>根据建设单位提供资料</w:t>
            </w:r>
            <w:r>
              <w:rPr>
                <w:rFonts w:hint="eastAsia"/>
                <w:color w:val="000000" w:themeColor="text1"/>
                <w:sz w:val="24"/>
                <w:szCs w:val="24"/>
                <w14:textFill>
                  <w14:solidFill>
                    <w14:schemeClr w14:val="tx1"/>
                  </w14:solidFill>
                </w14:textFill>
              </w:rPr>
              <w:t>，其湿料颗粒物的产生量为湿料种杂质量的</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，湿料中杂质的含量为</w:t>
            </w:r>
            <w:r>
              <w:rPr>
                <w:color w:val="000000" w:themeColor="text1"/>
                <w:sz w:val="24"/>
                <w:szCs w:val="24"/>
                <w14:textFill>
                  <w14:solidFill>
                    <w14:schemeClr w14:val="tx1"/>
                  </w14:solidFill>
                </w14:textFill>
              </w:rPr>
              <w:t>0.1%</w:t>
            </w:r>
            <w:r>
              <w:rPr>
                <w:rFonts w:hint="eastAsia"/>
                <w:color w:val="000000" w:themeColor="text1"/>
                <w:sz w:val="24"/>
                <w:szCs w:val="24"/>
                <w14:textFill>
                  <w14:solidFill>
                    <w14:schemeClr w14:val="tx1"/>
                  </w14:solidFill>
                </w14:textFill>
              </w:rPr>
              <w:t>。则本项目上料及筛选工段产生的的颗粒物的量为</w:t>
            </w:r>
            <w:r>
              <w:rPr>
                <w:rFonts w:hint="eastAsia"/>
                <w:color w:val="000000" w:themeColor="text1"/>
                <w:sz w:val="24"/>
                <w:szCs w:val="24"/>
                <w:lang w:val="en-US" w:eastAsia="zh-CN"/>
                <w14:textFill>
                  <w14:solidFill>
                    <w14:schemeClr w14:val="tx1"/>
                  </w14:solidFill>
                </w14:textFill>
              </w:rPr>
              <w:t>0.13</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，这部分粉尘通过控制落差，封闭式筛分等措施，能减少其排放量的</w:t>
            </w:r>
            <w:r>
              <w:rPr>
                <w:color w:val="000000" w:themeColor="text1"/>
                <w:sz w:val="24"/>
                <w:szCs w:val="24"/>
                <w14:textFill>
                  <w14:solidFill>
                    <w14:schemeClr w14:val="tx1"/>
                  </w14:solidFill>
                </w14:textFill>
              </w:rPr>
              <w:t>90%</w:t>
            </w:r>
            <w:r>
              <w:rPr>
                <w:rFonts w:hint="eastAsia"/>
                <w:color w:val="000000" w:themeColor="text1"/>
                <w:sz w:val="24"/>
                <w:szCs w:val="24"/>
                <w14:textFill>
                  <w14:solidFill>
                    <w14:schemeClr w14:val="tx1"/>
                  </w14:solidFill>
                </w14:textFill>
              </w:rPr>
              <w:t>，则最终湿料筛选产生的无组织颗粒物的量为</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013</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w:t>
            </w:r>
          </w:p>
          <w:p>
            <w:pPr>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b/>
                <w:bCs/>
                <w:color w:val="000000" w:themeColor="text1"/>
                <w:sz w:val="24"/>
                <w:szCs w:val="24"/>
                <w14:textFill>
                  <w14:solidFill>
                    <w14:schemeClr w14:val="tx1"/>
                  </w14:solidFill>
                </w14:textFill>
              </w:rPr>
              <w:t>1.3</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烘干塔起尘</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本项目烘干塔采用过滤网整体封闭，杜绝了玉米烘干过程产生的红衣碎屑的外排，红衣自然沉降到底部，全部收集暂存后</w:t>
            </w:r>
            <w:r>
              <w:rPr>
                <w:rFonts w:hint="eastAsia"/>
                <w:color w:val="000000" w:themeColor="text1"/>
                <w:sz w:val="24"/>
                <w:szCs w:val="24"/>
                <w:lang w:val="en-US" w:eastAsia="zh-CN"/>
                <w14:textFill>
                  <w14:solidFill>
                    <w14:schemeClr w14:val="tx1"/>
                  </w14:solidFill>
                </w14:textFill>
              </w:rPr>
              <w:t>外售</w:t>
            </w:r>
            <w:r>
              <w:rPr>
                <w:rFonts w:hint="eastAsia"/>
                <w:color w:val="000000" w:themeColor="text1"/>
                <w:sz w:val="24"/>
                <w:szCs w:val="24"/>
                <w14:textFill>
                  <w14:solidFill>
                    <w14:schemeClr w14:val="tx1"/>
                  </w14:solidFill>
                </w14:textFill>
              </w:rPr>
              <w:t>。烘干塔内需对干料进行二次筛选，根据《玉米干燥技术规范》（</w:t>
            </w:r>
            <w:r>
              <w:rPr>
                <w:color w:val="000000" w:themeColor="text1"/>
                <w:sz w:val="24"/>
                <w:szCs w:val="24"/>
                <w14:textFill>
                  <w14:solidFill>
                    <w14:schemeClr w14:val="tx1"/>
                  </w14:solidFill>
                </w14:textFill>
              </w:rPr>
              <w:t>GB/T21017-2007</w:t>
            </w:r>
            <w:r>
              <w:rPr>
                <w:rFonts w:hint="eastAsia"/>
                <w:color w:val="000000" w:themeColor="text1"/>
                <w:sz w:val="24"/>
                <w:szCs w:val="24"/>
                <w14:textFill>
                  <w14:solidFill>
                    <w14:schemeClr w14:val="tx1"/>
                  </w14:solidFill>
                </w14:textFill>
              </w:rPr>
              <w:t>）中要求干燥后玉米中杂质含量必须</w:t>
            </w:r>
            <w:r>
              <w:rPr>
                <w:color w:val="000000" w:themeColor="text1"/>
                <w:sz w:val="24"/>
                <w:szCs w:val="24"/>
                <w14:textFill>
                  <w14:solidFill>
                    <w14:schemeClr w14:val="tx1"/>
                  </w14:solidFill>
                </w14:textFill>
              </w:rPr>
              <w:t>≤2.0%</w:t>
            </w:r>
            <w:r>
              <w:rPr>
                <w:rFonts w:hint="eastAsia"/>
                <w:color w:val="000000" w:themeColor="text1"/>
                <w:sz w:val="24"/>
                <w:szCs w:val="24"/>
                <w14:textFill>
                  <w14:solidFill>
                    <w14:schemeClr w14:val="tx1"/>
                  </w14:solidFill>
                </w14:textFill>
              </w:rPr>
              <w:t>（本环评取</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计），烘干系统产生粉尘量约占</w:t>
            </w:r>
            <w:r>
              <w:rPr>
                <w:rFonts w:hint="eastAsia"/>
                <w:color w:val="000000" w:themeColor="text1"/>
                <w:sz w:val="24"/>
                <w:szCs w:val="24"/>
                <w:lang w:val="en-US" w:eastAsia="zh-CN"/>
                <w14:textFill>
                  <w14:solidFill>
                    <w14:schemeClr w14:val="tx1"/>
                  </w14:solidFill>
                </w14:textFill>
              </w:rPr>
              <w:t>烘干总量</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0.5</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，本项目玉米为</w:t>
            </w:r>
            <w:r>
              <w:rPr>
                <w:rFonts w:hint="eastAsia"/>
                <w:color w:val="000000" w:themeColor="text1"/>
                <w:sz w:val="24"/>
                <w:szCs w:val="24"/>
                <w:lang w:val="en-US" w:eastAsia="zh-CN"/>
                <w14:textFill>
                  <w14:solidFill>
                    <w14:schemeClr w14:val="tx1"/>
                  </w14:solidFill>
                </w14:textFill>
              </w:rPr>
              <w:t>13000</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，故烘干起尘量约为</w:t>
            </w:r>
            <w:r>
              <w:rPr>
                <w:rFonts w:hint="eastAsia"/>
                <w:color w:val="000000" w:themeColor="text1"/>
                <w:sz w:val="24"/>
                <w:szCs w:val="24"/>
                <w:lang w:val="en-US" w:eastAsia="zh-CN"/>
                <w14:textFill>
                  <w14:solidFill>
                    <w14:schemeClr w14:val="tx1"/>
                  </w14:solidFill>
                </w14:textFill>
              </w:rPr>
              <w:t>6.5</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。建设单位拟在烘干塔上部排气孔处设置</w:t>
            </w:r>
            <w:r>
              <w:rPr>
                <w:rFonts w:hint="eastAsia"/>
                <w:color w:val="000000" w:themeColor="text1"/>
                <w:sz w:val="24"/>
                <w:szCs w:val="24"/>
                <w:lang w:val="en-US" w:eastAsia="zh-CN"/>
                <w14:textFill>
                  <w14:solidFill>
                    <w14:schemeClr w14:val="tx1"/>
                  </w14:solidFill>
                </w14:textFill>
              </w:rPr>
              <w:t>自吸式</w:t>
            </w:r>
            <w:r>
              <w:rPr>
                <w:rFonts w:hint="eastAsia"/>
                <w:color w:val="000000" w:themeColor="text1"/>
                <w:sz w:val="24"/>
                <w:szCs w:val="24"/>
                <w14:textFill>
                  <w14:solidFill>
                    <w14:schemeClr w14:val="tx1"/>
                  </w14:solidFill>
                </w14:textFill>
              </w:rPr>
              <w:t>布袋除尘器，</w:t>
            </w:r>
            <w:r>
              <w:rPr>
                <w:rFonts w:hint="eastAsia"/>
                <w:color w:val="000000" w:themeColor="text1"/>
                <w:sz w:val="24"/>
                <w:szCs w:val="24"/>
                <w:lang w:val="en-US" w:eastAsia="zh-CN"/>
                <w14:textFill>
                  <w14:solidFill>
                    <w14:schemeClr w14:val="tx1"/>
                  </w14:solidFill>
                </w14:textFill>
              </w:rPr>
              <w:t>烘干塔配套的过滤网封闭+</w:t>
            </w:r>
            <w:r>
              <w:rPr>
                <w:rFonts w:hint="eastAsia"/>
                <w:color w:val="000000" w:themeColor="text1"/>
                <w:sz w:val="24"/>
                <w:szCs w:val="24"/>
                <w14:textFill>
                  <w14:solidFill>
                    <w14:schemeClr w14:val="tx1"/>
                  </w14:solidFill>
                </w14:textFill>
              </w:rPr>
              <w:t>布袋除尘器的净化效率以</w:t>
            </w:r>
            <w:r>
              <w:rPr>
                <w:color w:val="000000" w:themeColor="text1"/>
                <w:sz w:val="24"/>
                <w:szCs w:val="24"/>
                <w14:textFill>
                  <w14:solidFill>
                    <w14:schemeClr w14:val="tx1"/>
                  </w14:solidFill>
                </w14:textFill>
              </w:rPr>
              <w:t>95%</w:t>
            </w:r>
            <w:r>
              <w:rPr>
                <w:rFonts w:hint="eastAsia"/>
                <w:color w:val="000000" w:themeColor="text1"/>
                <w:sz w:val="24"/>
                <w:szCs w:val="24"/>
                <w14:textFill>
                  <w14:solidFill>
                    <w14:schemeClr w14:val="tx1"/>
                  </w14:solidFill>
                </w14:textFill>
              </w:rPr>
              <w:t>计，则可知，最终烘干塔外排的颗粒物量为</w:t>
            </w:r>
            <w:r>
              <w:rPr>
                <w:rFonts w:hint="eastAsia"/>
                <w:color w:val="000000" w:themeColor="text1"/>
                <w:sz w:val="24"/>
                <w:szCs w:val="24"/>
                <w:lang w:val="en-US" w:eastAsia="zh-CN"/>
                <w14:textFill>
                  <w14:solidFill>
                    <w14:schemeClr w14:val="tx1"/>
                  </w14:solidFill>
                </w14:textFill>
              </w:rPr>
              <w:t>0.325</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，这部分颗粒物以无组织的形式逸散至项目区大气环境中。</w:t>
            </w:r>
          </w:p>
          <w:p>
            <w:pPr>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b/>
                <w:bCs/>
                <w:color w:val="000000" w:themeColor="text1"/>
                <w:sz w:val="24"/>
                <w:szCs w:val="24"/>
                <w14:textFill>
                  <w14:solidFill>
                    <w14:schemeClr w14:val="tx1"/>
                  </w14:solidFill>
                </w14:textFill>
              </w:rPr>
              <w:t>1.4</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灰渣库及</w:t>
            </w:r>
            <w:r>
              <w:rPr>
                <w:rFonts w:hint="eastAsia"/>
                <w:b/>
                <w:bCs/>
                <w:color w:val="000000" w:themeColor="text1"/>
                <w:sz w:val="24"/>
                <w:szCs w:val="24"/>
                <w:lang w:val="en-US" w:eastAsia="zh-CN"/>
                <w14:textFill>
                  <w14:solidFill>
                    <w14:schemeClr w14:val="tx1"/>
                  </w14:solidFill>
                </w14:textFill>
              </w:rPr>
              <w:t>生物质燃料仓库</w:t>
            </w:r>
            <w:r>
              <w:rPr>
                <w:rFonts w:hint="eastAsia"/>
                <w:b/>
                <w:bCs/>
                <w:color w:val="000000" w:themeColor="text1"/>
                <w:sz w:val="24"/>
                <w:szCs w:val="24"/>
                <w14:textFill>
                  <w14:solidFill>
                    <w14:schemeClr w14:val="tx1"/>
                  </w14:solidFill>
                </w14:textFill>
              </w:rPr>
              <w:t>起尘</w:t>
            </w:r>
          </w:p>
          <w:p>
            <w:pPr>
              <w:bidi w:val="0"/>
            </w:pPr>
            <w:r>
              <w:rPr>
                <w:rFonts w:hint="eastAsia"/>
              </w:rPr>
              <w:t>本项目炉渣进入炉渣池降温后，灰渣为含水率较高的灰渣，在灰渣库内暂存过程，基本无粉尘产生。灰渣库及</w:t>
            </w:r>
            <w:r>
              <w:rPr>
                <w:rFonts w:hint="eastAsia"/>
                <w:lang w:val="en-US" w:eastAsia="zh-CN"/>
              </w:rPr>
              <w:t>生物质燃料仓</w:t>
            </w:r>
            <w:r>
              <w:rPr>
                <w:rFonts w:hint="eastAsia"/>
              </w:rPr>
              <w:t>均为全封闭式，</w:t>
            </w:r>
            <w:r>
              <w:rPr>
                <w:rFonts w:hint="eastAsia"/>
                <w:lang w:val="en-US" w:eastAsia="zh-CN"/>
              </w:rPr>
              <w:t>生物质燃料堆存</w:t>
            </w:r>
            <w:r>
              <w:rPr>
                <w:rFonts w:hint="eastAsia"/>
              </w:rPr>
              <w:t>起尘分为两大类：一类是堆场表面的静态起尘；另一类是在装卸料等过程中的动态起尘。前者主要与物料表面含水率、环境风速等关系密切，后者主要与作业落差、装卸强度等相关联。对于散料堆场，只有在外界风速达到一定强度，该风力使料堆表面颗粒产生向上迁移的动力足以克服颗粒自身重力和颗粒之间的摩擦力以及其他阻碍颗粒迁移的外力时，颗粒就离开堆垛表面而扬起，此时的风速就称为起动风速，一般认为启动风速处于</w:t>
            </w:r>
            <w:r>
              <w:t>3.8</w:t>
            </w:r>
            <w:r>
              <w:rPr>
                <w:rFonts w:hint="eastAsia"/>
              </w:rPr>
              <w:t>～</w:t>
            </w:r>
            <w:r>
              <w:t>6m/s</w:t>
            </w:r>
            <w:r>
              <w:rPr>
                <w:rFonts w:hint="eastAsia"/>
              </w:rPr>
              <w:t>。本项目采取全封闭式</w:t>
            </w:r>
            <w:r>
              <w:rPr>
                <w:rFonts w:hint="eastAsia"/>
                <w:lang w:val="en-US" w:eastAsia="zh-CN"/>
              </w:rPr>
              <w:t>生物质燃料仓库</w:t>
            </w:r>
            <w:r>
              <w:rPr>
                <w:rFonts w:hint="eastAsia"/>
              </w:rPr>
              <w:t>，</w:t>
            </w:r>
            <w:r>
              <w:rPr>
                <w:rFonts w:hint="eastAsia"/>
                <w:lang w:val="en-US" w:eastAsia="zh-CN"/>
              </w:rPr>
              <w:t>生物质燃料仓库</w:t>
            </w:r>
            <w:r>
              <w:rPr>
                <w:rFonts w:hint="eastAsia"/>
              </w:rPr>
              <w:t>内风速无法达到启动风速，故认为</w:t>
            </w:r>
            <w:r>
              <w:rPr>
                <w:rFonts w:hint="eastAsia"/>
                <w:lang w:val="en-US" w:eastAsia="zh-CN"/>
              </w:rPr>
              <w:t>生物质燃料</w:t>
            </w:r>
            <w:r>
              <w:rPr>
                <w:rFonts w:hint="eastAsia"/>
              </w:rPr>
              <w:t>在</w:t>
            </w:r>
            <w:r>
              <w:rPr>
                <w:rFonts w:hint="eastAsia"/>
                <w:lang w:val="en-US" w:eastAsia="zh-CN"/>
              </w:rPr>
              <w:t>仓库</w:t>
            </w:r>
            <w:r>
              <w:rPr>
                <w:rFonts w:hint="eastAsia"/>
              </w:rPr>
              <w:t>内暂存过程无静态起尘。本项目动态起尘主要产生在</w:t>
            </w:r>
            <w:r>
              <w:rPr>
                <w:rFonts w:hint="eastAsia"/>
                <w:lang w:val="en-US" w:eastAsia="zh-CN"/>
              </w:rPr>
              <w:t>生物质燃料</w:t>
            </w:r>
            <w:r>
              <w:rPr>
                <w:rFonts w:hint="eastAsia"/>
              </w:rPr>
              <w:t>装卸过程，这部分粉尘短期内存在，且主要产生在</w:t>
            </w:r>
            <w:r>
              <w:rPr>
                <w:rFonts w:hint="eastAsia"/>
                <w:lang w:val="en-US" w:eastAsia="zh-CN"/>
              </w:rPr>
              <w:t>生物质燃料仓库</w:t>
            </w:r>
            <w:r>
              <w:rPr>
                <w:rFonts w:hint="eastAsia"/>
              </w:rPr>
              <w:t>内部，带装卸作业结束后，基本全部沉降在</w:t>
            </w:r>
            <w:r>
              <w:rPr>
                <w:rFonts w:hint="eastAsia"/>
                <w:lang w:val="en-US" w:eastAsia="zh-CN"/>
              </w:rPr>
              <w:t>仓库</w:t>
            </w:r>
            <w:r>
              <w:rPr>
                <w:rFonts w:hint="eastAsia"/>
              </w:rPr>
              <w:t>内，外排的粉尘量极小，且本项目</w:t>
            </w:r>
            <w:r>
              <w:rPr>
                <w:rFonts w:hint="eastAsia"/>
                <w:lang w:val="en-US" w:eastAsia="zh-CN"/>
              </w:rPr>
              <w:t>生物质燃料仓库</w:t>
            </w:r>
            <w:r>
              <w:rPr>
                <w:rFonts w:hint="eastAsia"/>
              </w:rPr>
              <w:t>储量较低，使用周期仅为</w:t>
            </w:r>
            <w:r>
              <w:rPr>
                <w:rFonts w:hint="eastAsia"/>
                <w:lang w:val="en-US" w:eastAsia="zh-CN"/>
              </w:rPr>
              <w:t>60</w:t>
            </w:r>
            <w:r>
              <w:t>d</w:t>
            </w:r>
            <w:r>
              <w:rPr>
                <w:rFonts w:hint="eastAsia"/>
              </w:rPr>
              <w:t>，故不考虑灰渣库和</w:t>
            </w:r>
            <w:r>
              <w:rPr>
                <w:rFonts w:hint="eastAsia"/>
                <w:lang w:val="en-US" w:eastAsia="zh-CN"/>
              </w:rPr>
              <w:t>生物质燃料仓库</w:t>
            </w:r>
            <w:r>
              <w:rPr>
                <w:rFonts w:hint="eastAsia"/>
              </w:rPr>
              <w:t>起尘。</w:t>
            </w:r>
          </w:p>
          <w:p>
            <w:pPr>
              <w:adjustRightInd w:val="0"/>
              <w:spacing w:line="360" w:lineRule="auto"/>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w:t>
            </w:r>
            <w:r>
              <w:rPr>
                <w:b/>
                <w:bCs/>
                <w:color w:val="000000" w:themeColor="text1"/>
                <w:sz w:val="24"/>
                <w:szCs w:val="24"/>
                <w14:textFill>
                  <w14:solidFill>
                    <w14:schemeClr w14:val="tx1"/>
                  </w14:solidFill>
                </w14:textFill>
              </w:rPr>
              <w:t>1.5</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餐饮油烟</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厂区内设有职工食堂，运营期会产生少量厨房油烟，油烟具有瞬时排放量大、排放点集中等特点。原国家环保总局颁布的《饮食业油烟排放标准（试行）》（</w:t>
            </w:r>
            <w:r>
              <w:rPr>
                <w:color w:val="000000" w:themeColor="text1"/>
                <w:sz w:val="24"/>
                <w14:textFill>
                  <w14:solidFill>
                    <w14:schemeClr w14:val="tx1"/>
                  </w14:solidFill>
                </w14:textFill>
              </w:rPr>
              <w:t>GB18483-2001</w:t>
            </w:r>
            <w:r>
              <w:rPr>
                <w:rFonts w:hint="eastAsia"/>
                <w:color w:val="000000" w:themeColor="text1"/>
                <w:sz w:val="24"/>
                <w14:textFill>
                  <w14:solidFill>
                    <w14:schemeClr w14:val="tx1"/>
                  </w14:solidFill>
                </w14:textFill>
              </w:rPr>
              <w:t>），根据饮食业的基准灶头数量不同，把规模划为小型、中型和大型三种，详见下表。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4-10</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饮食业规模划分</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96"/>
              <w:gridCol w:w="1899"/>
              <w:gridCol w:w="1696"/>
              <w:gridCol w:w="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3796"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规模</w:t>
                  </w:r>
                </w:p>
              </w:tc>
              <w:tc>
                <w:tcPr>
                  <w:tcW w:w="1899"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小型</w:t>
                  </w:r>
                </w:p>
              </w:tc>
              <w:tc>
                <w:tcPr>
                  <w:tcW w:w="1696"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中型</w:t>
                  </w:r>
                </w:p>
              </w:tc>
              <w:tc>
                <w:tcPr>
                  <w:tcW w:w="829"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3796"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基准灶头数</w:t>
                  </w:r>
                </w:p>
              </w:tc>
              <w:tc>
                <w:tcPr>
                  <w:tcW w:w="1899"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p>
              </w:tc>
              <w:tc>
                <w:tcPr>
                  <w:tcW w:w="1696"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p>
              </w:tc>
              <w:tc>
                <w:tcPr>
                  <w:tcW w:w="829"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3796"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总功率（</w:t>
                  </w:r>
                  <w:r>
                    <w:rPr>
                      <w:color w:val="000000" w:themeColor="text1"/>
                      <w14:textFill>
                        <w14:solidFill>
                          <w14:schemeClr w14:val="tx1"/>
                        </w14:solidFill>
                      </w14:textFill>
                    </w:rPr>
                    <w:t>108J/h</w:t>
                  </w:r>
                  <w:r>
                    <w:rPr>
                      <w:rFonts w:hint="eastAsia"/>
                      <w:color w:val="000000" w:themeColor="text1"/>
                      <w14:textFill>
                        <w14:solidFill>
                          <w14:schemeClr w14:val="tx1"/>
                        </w14:solidFill>
                      </w14:textFill>
                    </w:rPr>
                    <w:t>）</w:t>
                  </w:r>
                </w:p>
              </w:tc>
              <w:tc>
                <w:tcPr>
                  <w:tcW w:w="1899"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≥1.67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5.00</w:t>
                  </w:r>
                </w:p>
              </w:tc>
              <w:tc>
                <w:tcPr>
                  <w:tcW w:w="1696"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p>
              </w:tc>
              <w:tc>
                <w:tcPr>
                  <w:tcW w:w="829"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 w:hRule="atLeast"/>
                <w:jc w:val="center"/>
              </w:trPr>
              <w:tc>
                <w:tcPr>
                  <w:tcW w:w="3796" w:type="dxa"/>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排气罩灶面总投影面积（</w:t>
                  </w:r>
                  <w:r>
                    <w:rPr>
                      <w:color w:val="000000" w:themeColor="text1"/>
                      <w14:textFill>
                        <w14:solidFill>
                          <w14:schemeClr w14:val="tx1"/>
                        </w14:solidFill>
                      </w14:textFill>
                    </w:rPr>
                    <w:t>m</w:t>
                  </w:r>
                  <w:r>
                    <w:rPr>
                      <w:rFonts w:hint="eastAsia"/>
                      <w:color w:val="000000" w:themeColor="text1"/>
                      <w:lang w:val="en-US" w:eastAsia="zh-CN"/>
                      <w14:textFill>
                        <w14:solidFill>
                          <w14:schemeClr w14:val="tx1"/>
                        </w14:solidFill>
                      </w14:textFill>
                    </w:rPr>
                    <w:t>²</w:t>
                  </w:r>
                  <w:r>
                    <w:rPr>
                      <w:rFonts w:hint="eastAsia"/>
                      <w:color w:val="000000" w:themeColor="text1"/>
                      <w14:textFill>
                        <w14:solidFill>
                          <w14:schemeClr w14:val="tx1"/>
                        </w14:solidFill>
                      </w14:textFill>
                    </w:rPr>
                    <w:t>）</w:t>
                  </w:r>
                </w:p>
              </w:tc>
              <w:tc>
                <w:tcPr>
                  <w:tcW w:w="1899"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3.3</w:t>
                  </w:r>
                </w:p>
              </w:tc>
              <w:tc>
                <w:tcPr>
                  <w:tcW w:w="1696"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6.6</w:t>
                  </w:r>
                </w:p>
              </w:tc>
              <w:tc>
                <w:tcPr>
                  <w:tcW w:w="829"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≥6.6</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标准要求各种规模的饮食行业油烟排放浓度都必须低于</w:t>
            </w:r>
            <w:r>
              <w:rPr>
                <w:color w:val="000000" w:themeColor="text1"/>
                <w:sz w:val="24"/>
                <w14:textFill>
                  <w14:solidFill>
                    <w14:schemeClr w14:val="tx1"/>
                  </w14:solidFill>
                </w14:textFill>
              </w:rPr>
              <w:t>2mg/m³</w:t>
            </w:r>
            <w:r>
              <w:rPr>
                <w:rFonts w:hint="eastAsia"/>
                <w:color w:val="000000" w:themeColor="text1"/>
                <w:sz w:val="24"/>
                <w14:textFill>
                  <w14:solidFill>
                    <w14:schemeClr w14:val="tx1"/>
                  </w14:solidFill>
                </w14:textFill>
              </w:rPr>
              <w:t>，详见下表。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饮食业单位油烟最高允许排放浓度和净化设施最低允许去除率</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887"/>
              <w:gridCol w:w="1400"/>
              <w:gridCol w:w="1499"/>
              <w:gridCol w:w="14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3887" w:type="dxa"/>
                  <w:tcBorders>
                    <w:top w:val="single" w:color="auto" w:sz="12"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规模</w:t>
                  </w:r>
                </w:p>
              </w:tc>
              <w:tc>
                <w:tcPr>
                  <w:tcW w:w="1400"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小型</w:t>
                  </w:r>
                </w:p>
              </w:tc>
              <w:tc>
                <w:tcPr>
                  <w:tcW w:w="1499"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中型</w:t>
                  </w:r>
                </w:p>
              </w:tc>
              <w:tc>
                <w:tcPr>
                  <w:tcW w:w="1434" w:type="dxa"/>
                  <w:tcBorders>
                    <w:top w:val="single" w:color="auto" w:sz="12" w:space="0"/>
                    <w:left w:val="single" w:color="auto" w:sz="6"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大型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3887" w:type="dxa"/>
                  <w:tcBorders>
                    <w:top w:val="single" w:color="auto" w:sz="12"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允许排放浓度（</w:t>
                  </w:r>
                  <w:r>
                    <w:rPr>
                      <w:color w:val="000000" w:themeColor="text1"/>
                      <w14:textFill>
                        <w14:solidFill>
                          <w14:schemeClr w14:val="tx1"/>
                        </w14:solidFill>
                      </w14:textFill>
                    </w:rPr>
                    <w:t>mg/m³</w:t>
                  </w:r>
                  <w:r>
                    <w:rPr>
                      <w:rFonts w:hint="eastAsia"/>
                      <w:color w:val="000000" w:themeColor="text1"/>
                      <w14:textFill>
                        <w14:solidFill>
                          <w14:schemeClr w14:val="tx1"/>
                        </w14:solidFill>
                      </w14:textFill>
                    </w:rPr>
                    <w:t>）</w:t>
                  </w:r>
                </w:p>
              </w:tc>
              <w:tc>
                <w:tcPr>
                  <w:tcW w:w="4333" w:type="dxa"/>
                  <w:gridSpan w:val="3"/>
                  <w:tcBorders>
                    <w:top w:val="single" w:color="auto" w:sz="12" w:space="0"/>
                    <w:left w:val="single" w:color="auto" w:sz="6" w:space="0"/>
                    <w:bottom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 w:hRule="atLeast"/>
                <w:jc w:val="center"/>
              </w:trPr>
              <w:tc>
                <w:tcPr>
                  <w:tcW w:w="3887" w:type="dxa"/>
                  <w:tcBorders>
                    <w:top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设施最低允许净化率（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tc>
                <w:tcPr>
                  <w:tcW w:w="1400" w:type="dxa"/>
                  <w:tcBorders>
                    <w:top w:val="single" w:color="auto" w:sz="6" w:space="0"/>
                    <w:left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499" w:type="dxa"/>
                  <w:tcBorders>
                    <w:top w:val="single" w:color="auto" w:sz="6" w:space="0"/>
                    <w:left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434" w:type="dxa"/>
                  <w:tcBorders>
                    <w:top w:val="single" w:color="auto" w:sz="6" w:space="0"/>
                    <w:left w:val="single" w:color="auto" w:sz="6" w:space="0"/>
                    <w:bottom w:val="single" w:color="auto" w:sz="12"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85</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本项目设有职工食堂，主要供应</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名员工用餐，作为工程的生活配套设施，基准灶头按</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个计，总功率约为</w:t>
            </w:r>
            <w:r>
              <w:rPr>
                <w:color w:val="000000" w:themeColor="text1"/>
                <w:sz w:val="24"/>
                <w14:textFill>
                  <w14:solidFill>
                    <w14:schemeClr w14:val="tx1"/>
                  </w14:solidFill>
                </w14:textFill>
              </w:rPr>
              <w:t>2.0</w:t>
            </w:r>
            <w:r>
              <w:rPr>
                <w:color w:val="000000" w:themeColor="text1"/>
                <w:sz w:val="24"/>
                <w:szCs w:val="24"/>
                <w14:textFill>
                  <w14:solidFill>
                    <w14:schemeClr w14:val="tx1"/>
                  </w14:solidFill>
                </w14:textFill>
              </w:rPr>
              <w:t>×10</w:t>
            </w:r>
            <w:r>
              <w:rPr>
                <w:color w:val="000000" w:themeColor="text1"/>
                <w:sz w:val="24"/>
                <w:szCs w:val="24"/>
                <w:vertAlign w:val="superscript"/>
                <w14:textFill>
                  <w14:solidFill>
                    <w14:schemeClr w14:val="tx1"/>
                  </w14:solidFill>
                </w14:textFill>
              </w:rPr>
              <w:t>8</w:t>
            </w:r>
            <w:r>
              <w:rPr>
                <w:color w:val="000000" w:themeColor="text1"/>
                <w:sz w:val="24"/>
                <w:szCs w:val="24"/>
                <w14:textFill>
                  <w14:solidFill>
                    <w14:schemeClr w14:val="tx1"/>
                  </w14:solidFill>
                </w14:textFill>
              </w:rPr>
              <w:t>J/h</w:t>
            </w:r>
            <w:r>
              <w:rPr>
                <w:rFonts w:hint="eastAsia"/>
                <w:color w:val="000000" w:themeColor="text1"/>
                <w:sz w:val="24"/>
                <w:szCs w:val="24"/>
                <w14:textFill>
                  <w14:solidFill>
                    <w14:schemeClr w14:val="tx1"/>
                  </w14:solidFill>
                </w14:textFill>
              </w:rPr>
              <w:t>，排气罩灶面总投影面积约为</w:t>
            </w:r>
            <w:r>
              <w:rPr>
                <w:color w:val="000000" w:themeColor="text1"/>
                <w:sz w:val="24"/>
                <w:szCs w:val="24"/>
                <w14:textFill>
                  <w14:solidFill>
                    <w14:schemeClr w14:val="tx1"/>
                  </w14:solidFill>
                </w14:textFill>
              </w:rPr>
              <w:t>2.0m</w:t>
            </w:r>
            <w:r>
              <w:rPr>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灶头排风量以</w:t>
            </w:r>
            <w:r>
              <w:rPr>
                <w:color w:val="000000" w:themeColor="text1"/>
                <w:sz w:val="24"/>
                <w14:textFill>
                  <w14:solidFill>
                    <w14:schemeClr w14:val="tx1"/>
                  </w14:solidFill>
                </w14:textFill>
              </w:rPr>
              <w:t>3000m³/h</w:t>
            </w:r>
            <w:r>
              <w:rPr>
                <w:rFonts w:hint="eastAsia"/>
                <w:color w:val="000000" w:themeColor="text1"/>
                <w:sz w:val="24"/>
                <w14:textFill>
                  <w14:solidFill>
                    <w14:schemeClr w14:val="tx1"/>
                  </w14:solidFill>
                </w14:textFill>
              </w:rPr>
              <w:t>计，年工作日</w:t>
            </w:r>
            <w:r>
              <w:rPr>
                <w:rFonts w:hint="eastAsia"/>
                <w:color w:val="000000" w:themeColor="text1"/>
                <w:sz w:val="24"/>
                <w:lang w:val="en-US" w:eastAsia="zh-CN"/>
                <w14:textFill>
                  <w14:solidFill>
                    <w14:schemeClr w14:val="tx1"/>
                  </w14:solidFill>
                </w14:textFill>
              </w:rPr>
              <w:t>60</w:t>
            </w:r>
            <w:r>
              <w:rPr>
                <w:rFonts w:hint="eastAsia"/>
                <w:color w:val="000000" w:themeColor="text1"/>
                <w:sz w:val="24"/>
                <w14:textFill>
                  <w14:solidFill>
                    <w14:schemeClr w14:val="tx1"/>
                  </w14:solidFill>
                </w14:textFill>
              </w:rPr>
              <w:t>天，日工作时间约</w:t>
            </w:r>
            <w:r>
              <w:rPr>
                <w:color w:val="000000" w:themeColor="text1"/>
                <w:sz w:val="24"/>
                <w14:textFill>
                  <w14:solidFill>
                    <w14:schemeClr w14:val="tx1"/>
                  </w14:solidFill>
                </w14:textFill>
              </w:rPr>
              <w:t>4h</w:t>
            </w:r>
            <w:r>
              <w:rPr>
                <w:rFonts w:hint="eastAsia"/>
                <w:color w:val="000000" w:themeColor="text1"/>
                <w:sz w:val="24"/>
                <w14:textFill>
                  <w14:solidFill>
                    <w14:schemeClr w14:val="tx1"/>
                  </w14:solidFill>
                </w14:textFill>
              </w:rPr>
              <w:t>，则年油烟排放量为</w:t>
            </w:r>
            <w:r>
              <w:rPr>
                <w:rFonts w:hint="eastAsia"/>
                <w:color w:val="000000" w:themeColor="text1"/>
                <w:sz w:val="24"/>
                <w:lang w:val="en-US" w:eastAsia="zh-CN"/>
                <w14:textFill>
                  <w14:solidFill>
                    <w14:schemeClr w14:val="tx1"/>
                  </w14:solidFill>
                </w14:textFill>
              </w:rPr>
              <w:t>72</w:t>
            </w:r>
            <w:r>
              <w:rPr>
                <w:rFonts w:hint="eastAsia"/>
                <w:color w:val="000000" w:themeColor="text1"/>
                <w:sz w:val="24"/>
                <w14:textFill>
                  <w14:solidFill>
                    <w14:schemeClr w14:val="tx1"/>
                  </w14:solidFill>
                </w14:textFill>
              </w:rPr>
              <w:t>万</w:t>
            </w:r>
            <w:r>
              <w:rPr>
                <w:color w:val="000000" w:themeColor="text1"/>
                <w:sz w:val="24"/>
                <w14:textFill>
                  <w14:solidFill>
                    <w14:schemeClr w14:val="tx1"/>
                  </w14:solidFill>
                </w14:textFill>
              </w:rPr>
              <w:t>m³</w:t>
            </w:r>
            <w:r>
              <w:rPr>
                <w:rFonts w:hint="eastAsia"/>
                <w:color w:val="000000" w:themeColor="text1"/>
                <w:sz w:val="24"/>
                <w14:textFill>
                  <w14:solidFill>
                    <w14:schemeClr w14:val="tx1"/>
                  </w14:solidFill>
                </w14:textFill>
              </w:rPr>
              <w:t>。油烟处理设备安装在灶头上方，配套风机安装在窗口，排放口位于屋顶。</w:t>
            </w:r>
          </w:p>
          <w:p>
            <w:pPr>
              <w:adjustRightInd w:val="0"/>
              <w:spacing w:line="360" w:lineRule="auto"/>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根据对居民及餐饮企业的类比调查，目前居民人均日使用油用量约</w:t>
            </w:r>
            <w:r>
              <w:rPr>
                <w:color w:val="000000" w:themeColor="text1"/>
                <w:sz w:val="24"/>
                <w14:textFill>
                  <w14:solidFill>
                    <w14:schemeClr w14:val="tx1"/>
                  </w14:solidFill>
                </w14:textFill>
              </w:rPr>
              <w:t>30g/</w:t>
            </w:r>
            <w:r>
              <w:rPr>
                <w:rFonts w:hint="eastAsia"/>
                <w:color w:val="000000" w:themeColor="text1"/>
                <w:sz w:val="24"/>
                <w14:textFill>
                  <w14:solidFill>
                    <w14:schemeClr w14:val="tx1"/>
                  </w14:solidFill>
                </w14:textFill>
              </w:rPr>
              <w:t>人</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，本项目就餐人数为</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人，则年消耗食用油</w:t>
            </w:r>
            <w:r>
              <w:rPr>
                <w:rFonts w:hint="eastAsia"/>
                <w:color w:val="000000" w:themeColor="text1"/>
                <w:sz w:val="24"/>
                <w:lang w:val="en-US" w:eastAsia="zh-CN"/>
                <w14:textFill>
                  <w14:solidFill>
                    <w14:schemeClr w14:val="tx1"/>
                  </w14:solidFill>
                </w14:textFill>
              </w:rPr>
              <w:t>27000</w:t>
            </w:r>
            <w:r>
              <w:rPr>
                <w:color w:val="000000" w:themeColor="text1"/>
                <w:sz w:val="24"/>
                <w14:textFill>
                  <w14:solidFill>
                    <w14:schemeClr w14:val="tx1"/>
                  </w14:solidFill>
                </w14:textFill>
              </w:rPr>
              <w:t>g/a</w:t>
            </w:r>
            <w:r>
              <w:rPr>
                <w:rFonts w:hint="eastAsia"/>
                <w:color w:val="000000" w:themeColor="text1"/>
                <w:sz w:val="24"/>
                <w14:textFill>
                  <w14:solidFill>
                    <w14:schemeClr w14:val="tx1"/>
                  </w14:solidFill>
                </w14:textFill>
              </w:rPr>
              <w:t>，一般油烟挥发量占耗油量的</w:t>
            </w:r>
            <w:r>
              <w:rPr>
                <w:color w:val="000000" w:themeColor="text1"/>
                <w:sz w:val="24"/>
                <w14:textFill>
                  <w14:solidFill>
                    <w14:schemeClr w14:val="tx1"/>
                  </w14:solidFill>
                </w14:textFill>
              </w:rPr>
              <w:t>2-4%</w:t>
            </w:r>
            <w:r>
              <w:rPr>
                <w:rFonts w:hint="eastAsia"/>
                <w:color w:val="000000" w:themeColor="text1"/>
                <w:sz w:val="24"/>
                <w14:textFill>
                  <w14:solidFill>
                    <w14:schemeClr w14:val="tx1"/>
                  </w14:solidFill>
                </w14:textFill>
              </w:rPr>
              <w:t>，平均为</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。则本项目油烟产生量最大值为</w:t>
            </w:r>
            <w:r>
              <w:rPr>
                <w:rFonts w:hint="eastAsia"/>
                <w:color w:val="000000" w:themeColor="text1"/>
                <w:sz w:val="24"/>
                <w:lang w:val="en-US" w:eastAsia="zh-CN"/>
                <w14:textFill>
                  <w14:solidFill>
                    <w14:schemeClr w14:val="tx1"/>
                  </w14:solidFill>
                </w14:textFill>
              </w:rPr>
              <w:t>1080</w:t>
            </w:r>
            <w:r>
              <w:rPr>
                <w:color w:val="000000" w:themeColor="text1"/>
                <w:sz w:val="24"/>
                <w14:textFill>
                  <w14:solidFill>
                    <w14:schemeClr w14:val="tx1"/>
                  </w14:solidFill>
                </w14:textFill>
              </w:rPr>
              <w:t>g/a</w:t>
            </w:r>
            <w:r>
              <w:rPr>
                <w:rFonts w:hint="eastAsia"/>
                <w:color w:val="000000" w:themeColor="text1"/>
                <w:sz w:val="24"/>
                <w14:textFill>
                  <w14:solidFill>
                    <w14:schemeClr w14:val="tx1"/>
                  </w14:solidFill>
                </w14:textFill>
              </w:rPr>
              <w:t>，建设方拟在职工食堂安装一套净化效率为</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的油烟净化器，则职工食堂油烟排放浓度为</w:t>
            </w:r>
            <w:r>
              <w:rPr>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mg/m³</w:t>
            </w:r>
            <w:r>
              <w:rPr>
                <w:rFonts w:hint="eastAsia"/>
                <w:color w:val="000000" w:themeColor="text1"/>
                <w:sz w:val="24"/>
                <w14:textFill>
                  <w14:solidFill>
                    <w14:schemeClr w14:val="tx1"/>
                  </w14:solidFill>
                </w14:textFill>
              </w:rPr>
              <w:t>，排放量为</w:t>
            </w:r>
            <w:r>
              <w:rPr>
                <w:rFonts w:hint="eastAsia"/>
                <w:color w:val="000000" w:themeColor="text1"/>
                <w:sz w:val="24"/>
                <w:lang w:val="en-US" w:eastAsia="zh-CN"/>
                <w14:textFill>
                  <w14:solidFill>
                    <w14:schemeClr w14:val="tx1"/>
                  </w14:solidFill>
                </w14:textFill>
              </w:rPr>
              <w:t>4.30</w:t>
            </w:r>
            <w:r>
              <w:rPr>
                <w:color w:val="000000" w:themeColor="text1"/>
                <w:sz w:val="24"/>
                <w14:textFill>
                  <w14:solidFill>
                    <w14:schemeClr w14:val="tx1"/>
                  </w14:solidFill>
                </w14:textFill>
              </w:rPr>
              <w:t>×10</w:t>
            </w:r>
            <w:r>
              <w:rPr>
                <w:color w:val="000000" w:themeColor="text1"/>
                <w:sz w:val="24"/>
                <w:vertAlign w:val="superscript"/>
                <w14:textFill>
                  <w14:solidFill>
                    <w14:schemeClr w14:val="tx1"/>
                  </w14:solidFill>
                </w14:textFill>
              </w:rPr>
              <w:t>-</w:t>
            </w:r>
            <w:r>
              <w:rPr>
                <w:rFonts w:hint="eastAsia"/>
                <w:color w:val="000000" w:themeColor="text1"/>
                <w:sz w:val="24"/>
                <w:vertAlign w:val="superscript"/>
                <w:lang w:val="en-US" w:eastAsia="zh-CN"/>
                <w14:textFill>
                  <w14:solidFill>
                    <w14:schemeClr w14:val="tx1"/>
                  </w14:solidFill>
                </w14:textFill>
              </w:rPr>
              <w:t>4</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p>
          <w:p>
            <w:pPr>
              <w:adjustRightInd w:val="0"/>
              <w:spacing w:line="360" w:lineRule="auto"/>
              <w:ind w:firstLine="482" w:firstLineChars="200"/>
              <w:rPr>
                <w:rFonts w:hint="eastAsia"/>
                <w:b/>
                <w:bCs/>
                <w:color w:val="0000FF"/>
                <w:sz w:val="24"/>
                <w:lang w:val="en-US" w:eastAsia="zh-CN"/>
              </w:rPr>
            </w:pPr>
            <w:r>
              <w:rPr>
                <w:rFonts w:hint="eastAsia"/>
                <w:b/>
                <w:bCs/>
                <w:color w:val="0000FF"/>
                <w:sz w:val="24"/>
                <w:lang w:val="en-US" w:eastAsia="zh-CN"/>
              </w:rPr>
              <w:t>1.1.6 晾晒场颗粒物</w:t>
            </w:r>
          </w:p>
          <w:p>
            <w:pPr>
              <w:adjustRightInd w:val="0"/>
              <w:spacing w:line="360" w:lineRule="auto"/>
              <w:ind w:firstLine="480" w:firstLineChars="200"/>
              <w:rPr>
                <w:rFonts w:hint="eastAsia"/>
                <w:color w:val="0000FF"/>
                <w:sz w:val="24"/>
                <w:lang w:val="en-US" w:eastAsia="zh-CN"/>
              </w:rPr>
            </w:pPr>
            <w:r>
              <w:rPr>
                <w:rFonts w:hint="eastAsia"/>
                <w:color w:val="0000FF"/>
                <w:sz w:val="24"/>
                <w:lang w:val="en-US" w:eastAsia="zh-CN"/>
              </w:rPr>
              <w:t>根据建设单位提供资料可知，晾晒场面积8890m²，年晾晒玉米1.3万t，晾晒的玉米为脱粒后的湿玉米粒，仅在生产期短暂晾晒，一般玉米从含水率30%晾晒至含水率10%起尘量为0.525kg/t，本项目玉米晾晒场晾晒时间较短，平均仅将玉米含水率晾晒至25%即进入烘干区进行烘干，故起尘量以0.131kg/t计，则晾晒过程粉尘产生量为1.703t/a，晾晒场四周设置有2m高围墙进行围挡，围挡的控制效率以60%计，则最终无组织排放的颗粒物量为0.68t/a。</w:t>
            </w:r>
          </w:p>
          <w:p>
            <w:pPr>
              <w:adjustRightInd w:val="0"/>
              <w:spacing w:line="360" w:lineRule="auto"/>
              <w:ind w:firstLine="482" w:firstLineChars="200"/>
              <w:rPr>
                <w:rFonts w:hint="eastAsia"/>
                <w:b/>
                <w:bCs/>
                <w:color w:val="0000FF"/>
                <w:sz w:val="24"/>
                <w:lang w:val="en-US" w:eastAsia="zh-CN"/>
              </w:rPr>
            </w:pPr>
            <w:r>
              <w:rPr>
                <w:rFonts w:hint="eastAsia"/>
                <w:b/>
                <w:bCs/>
                <w:color w:val="0000FF"/>
                <w:sz w:val="24"/>
                <w:lang w:val="en-US" w:eastAsia="zh-CN"/>
              </w:rPr>
              <w:t>1.1.7 SNCR氨逃逸</w:t>
            </w:r>
          </w:p>
          <w:p>
            <w:pPr>
              <w:bidi w:val="0"/>
              <w:rPr>
                <w:rFonts w:hint="default"/>
                <w:color w:val="0000FF"/>
                <w:lang w:val="en-US" w:eastAsia="zh-CN"/>
              </w:rPr>
            </w:pPr>
            <w:r>
              <w:rPr>
                <w:color w:val="0000FF"/>
              </w:rPr>
              <w:t>氨逃逸浓度=浓度（mg/m³）/转换系数。其中，浓度（mg/m³）为SNCR</w:t>
            </w:r>
            <w:r>
              <w:rPr>
                <w:rFonts w:hint="eastAsia"/>
                <w:color w:val="0000FF"/>
                <w:lang w:val="en-US" w:eastAsia="zh-CN"/>
              </w:rPr>
              <w:t>脱硝</w:t>
            </w:r>
            <w:r>
              <w:rPr>
                <w:color w:val="0000FF"/>
              </w:rPr>
              <w:t>工艺出口，未参与还原反应的NH₃与出口烟气总量的体积占比，一般计量单位为PPM；转换系数为气体分子量/22.4</w:t>
            </w:r>
            <w:r>
              <w:rPr>
                <w:rFonts w:hint="eastAsia"/>
                <w:color w:val="0000FF"/>
                <w:lang w:eastAsia="zh-CN"/>
              </w:rPr>
              <w:t>。</w:t>
            </w:r>
            <w:r>
              <w:rPr>
                <w:rFonts w:hint="eastAsia"/>
                <w:color w:val="0000FF"/>
                <w:lang w:val="en-US" w:eastAsia="zh-CN"/>
              </w:rPr>
              <w:t>本项目SNCR采用①</w:t>
            </w:r>
            <w:r>
              <w:rPr>
                <w:rFonts w:hint="default"/>
                <w:color w:val="0000FF"/>
              </w:rPr>
              <w:t>调整氨水喷枪前的球阀控制，在平时操作中尽可能使旋转喷枪枪头朝下，增加反应时间，每只枪喷氨分布均匀，减少氨逃逸。</w:t>
            </w:r>
            <w:r>
              <w:rPr>
                <w:rFonts w:hint="eastAsia"/>
                <w:color w:val="0000FF"/>
                <w:lang w:val="en-US" w:eastAsia="zh-CN"/>
              </w:rPr>
              <w:t>②</w:t>
            </w:r>
            <w:r>
              <w:rPr>
                <w:rFonts w:hint="default"/>
                <w:color w:val="0000FF"/>
              </w:rPr>
              <w:t>确保氨水喷枪正常投运，当氨水喷枪喷嘴堵塞时，应及时疏通或更换。</w:t>
            </w:r>
            <w:r>
              <w:rPr>
                <w:rFonts w:hint="eastAsia"/>
                <w:color w:val="0000FF"/>
                <w:lang w:val="en-US" w:eastAsia="zh-CN"/>
              </w:rPr>
              <w:t>控制氨逃逸浓度不高于10ppm（8mg/m³），从而避免影响后续脱硫效率。</w:t>
            </w:r>
          </w:p>
          <w:p>
            <w:pPr>
              <w:adjustRightInd w:val="0"/>
              <w:spacing w:line="360" w:lineRule="auto"/>
              <w:ind w:firstLine="498" w:firstLineChars="200"/>
              <w:rPr>
                <w:b/>
                <w:bCs/>
                <w:color w:val="000000" w:themeColor="text1"/>
                <w:spacing w:val="4"/>
                <w:sz w:val="24"/>
                <w:szCs w:val="24"/>
                <w14:textFill>
                  <w14:solidFill>
                    <w14:schemeClr w14:val="tx1"/>
                  </w14:solidFill>
                </w14:textFill>
              </w:rPr>
            </w:pPr>
            <w:r>
              <w:rPr>
                <w:b/>
                <w:bCs/>
                <w:color w:val="000000" w:themeColor="text1"/>
                <w:spacing w:val="4"/>
                <w:sz w:val="24"/>
                <w:szCs w:val="24"/>
                <w14:textFill>
                  <w14:solidFill>
                    <w14:schemeClr w14:val="tx1"/>
                  </w14:solidFill>
                </w14:textFill>
              </w:rPr>
              <w:t>1.</w:t>
            </w:r>
            <w:r>
              <w:rPr>
                <w:rFonts w:hint="eastAsia"/>
                <w:b/>
                <w:bCs/>
                <w:color w:val="000000" w:themeColor="text1"/>
                <w:spacing w:val="4"/>
                <w:sz w:val="24"/>
                <w:szCs w:val="24"/>
                <w:lang w:val="en-US" w:eastAsia="zh-CN"/>
                <w14:textFill>
                  <w14:solidFill>
                    <w14:schemeClr w14:val="tx1"/>
                  </w14:solidFill>
                </w14:textFill>
              </w:rPr>
              <w:t xml:space="preserve">1.7 </w:t>
            </w:r>
            <w:r>
              <w:rPr>
                <w:rFonts w:hint="eastAsia"/>
                <w:b/>
                <w:bCs/>
                <w:color w:val="000000" w:themeColor="text1"/>
                <w:spacing w:val="4"/>
                <w:sz w:val="24"/>
                <w:szCs w:val="24"/>
                <w14:textFill>
                  <w14:solidFill>
                    <w14:schemeClr w14:val="tx1"/>
                  </w14:solidFill>
                </w14:textFill>
              </w:rPr>
              <w:t>大气污染源汇总</w:t>
            </w:r>
          </w:p>
          <w:p>
            <w:pPr>
              <w:adjustRightInd w:val="0"/>
              <w:spacing w:line="360" w:lineRule="auto"/>
              <w:ind w:firstLine="496" w:firstLineChars="200"/>
              <w:rPr>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综上，本项目大气污染物产排情况具体如下。</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4-12</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大气污染物汇总表</w:t>
            </w:r>
          </w:p>
          <w:tbl>
            <w:tblPr>
              <w:tblStyle w:val="10"/>
              <w:tblW w:w="822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83"/>
              <w:gridCol w:w="870"/>
              <w:gridCol w:w="801"/>
              <w:gridCol w:w="1024"/>
              <w:gridCol w:w="1024"/>
              <w:gridCol w:w="1024"/>
              <w:gridCol w:w="960"/>
              <w:gridCol w:w="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83" w:type="dxa"/>
                  <w:tcBorders>
                    <w:top w:val="single" w:color="auto" w:sz="12" w:space="0"/>
                    <w:bottom w:val="single" w:color="auto" w:sz="12" w:space="0"/>
                    <w:right w:val="single" w:color="auto" w:sz="4" w:space="0"/>
                  </w:tcBorders>
                  <w:vAlign w:val="center"/>
                </w:tcPr>
                <w:p>
                  <w:pPr>
                    <w:pStyle w:val="15"/>
                    <w:bidi w:val="0"/>
                    <w:jc w:val="center"/>
                    <w:rPr>
                      <w:b/>
                      <w:bCs/>
                      <w:color w:val="0000FF"/>
                    </w:rPr>
                  </w:pPr>
                  <w:r>
                    <w:rPr>
                      <w:rFonts w:hint="eastAsia"/>
                      <w:b/>
                      <w:bCs/>
                      <w:color w:val="0000FF"/>
                    </w:rPr>
                    <w:t>排放源</w:t>
                  </w:r>
                </w:p>
              </w:tc>
              <w:tc>
                <w:tcPr>
                  <w:tcW w:w="883"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b/>
                      <w:bCs/>
                      <w:color w:val="0000FF"/>
                    </w:rPr>
                  </w:pPr>
                  <w:r>
                    <w:rPr>
                      <w:rFonts w:hint="eastAsia"/>
                      <w:b/>
                      <w:bCs/>
                      <w:color w:val="0000FF"/>
                    </w:rPr>
                    <w:t>污染物名称</w:t>
                  </w:r>
                </w:p>
              </w:tc>
              <w:tc>
                <w:tcPr>
                  <w:tcW w:w="870"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b/>
                      <w:bCs/>
                      <w:color w:val="0000FF"/>
                    </w:rPr>
                  </w:pPr>
                  <w:r>
                    <w:rPr>
                      <w:rFonts w:hint="eastAsia"/>
                      <w:b/>
                      <w:bCs/>
                      <w:color w:val="0000FF"/>
                    </w:rPr>
                    <w:t>控制项目</w:t>
                  </w:r>
                </w:p>
              </w:tc>
              <w:tc>
                <w:tcPr>
                  <w:tcW w:w="801"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b/>
                      <w:bCs/>
                      <w:color w:val="0000FF"/>
                    </w:rPr>
                  </w:pPr>
                  <w:r>
                    <w:rPr>
                      <w:rFonts w:hint="eastAsia"/>
                      <w:b/>
                      <w:bCs/>
                      <w:color w:val="0000FF"/>
                    </w:rPr>
                    <w:t>产生</w:t>
                  </w:r>
                </w:p>
              </w:tc>
              <w:tc>
                <w:tcPr>
                  <w:tcW w:w="1024"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rFonts w:hint="default" w:eastAsia="宋体"/>
                      <w:b/>
                      <w:bCs/>
                      <w:color w:val="0000FF"/>
                      <w:lang w:val="en-US" w:eastAsia="zh-CN"/>
                    </w:rPr>
                  </w:pPr>
                  <w:r>
                    <w:rPr>
                      <w:rFonts w:hint="eastAsia"/>
                      <w:b/>
                      <w:bCs/>
                      <w:color w:val="0000FF"/>
                      <w:lang w:val="en-US" w:eastAsia="zh-CN"/>
                    </w:rPr>
                    <w:t>控制措施及效率</w:t>
                  </w:r>
                </w:p>
              </w:tc>
              <w:tc>
                <w:tcPr>
                  <w:tcW w:w="1024"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rFonts w:hint="default"/>
                      <w:b/>
                      <w:bCs/>
                      <w:color w:val="0000FF"/>
                      <w:lang w:val="en-US" w:eastAsia="zh-CN"/>
                    </w:rPr>
                  </w:pPr>
                  <w:r>
                    <w:rPr>
                      <w:rFonts w:hint="eastAsia"/>
                      <w:b/>
                      <w:bCs/>
                      <w:color w:val="0000FF"/>
                      <w:lang w:val="en-US" w:eastAsia="zh-CN"/>
                    </w:rPr>
                    <w:t>排放形式</w:t>
                  </w:r>
                </w:p>
              </w:tc>
              <w:tc>
                <w:tcPr>
                  <w:tcW w:w="1024"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b/>
                      <w:bCs/>
                      <w:color w:val="0000FF"/>
                    </w:rPr>
                  </w:pPr>
                  <w:r>
                    <w:rPr>
                      <w:rFonts w:hint="eastAsia"/>
                      <w:b/>
                      <w:bCs/>
                      <w:color w:val="0000FF"/>
                    </w:rPr>
                    <w:t>排放浓度</w:t>
                  </w:r>
                </w:p>
              </w:tc>
              <w:tc>
                <w:tcPr>
                  <w:tcW w:w="960" w:type="dxa"/>
                  <w:tcBorders>
                    <w:top w:val="single" w:color="auto" w:sz="12" w:space="0"/>
                    <w:left w:val="single" w:color="auto" w:sz="4" w:space="0"/>
                    <w:bottom w:val="single" w:color="auto" w:sz="12" w:space="0"/>
                    <w:right w:val="single" w:color="auto" w:sz="4" w:space="0"/>
                  </w:tcBorders>
                  <w:vAlign w:val="center"/>
                </w:tcPr>
                <w:p>
                  <w:pPr>
                    <w:pStyle w:val="15"/>
                    <w:bidi w:val="0"/>
                    <w:jc w:val="center"/>
                    <w:rPr>
                      <w:b/>
                      <w:bCs/>
                      <w:color w:val="0000FF"/>
                    </w:rPr>
                  </w:pPr>
                  <w:r>
                    <w:rPr>
                      <w:rFonts w:hint="eastAsia"/>
                      <w:b/>
                      <w:bCs/>
                      <w:color w:val="0000FF"/>
                    </w:rPr>
                    <w:t>排放</w:t>
                  </w:r>
                </w:p>
              </w:tc>
              <w:tc>
                <w:tcPr>
                  <w:tcW w:w="751" w:type="dxa"/>
                  <w:tcBorders>
                    <w:top w:val="single" w:color="auto" w:sz="12" w:space="0"/>
                    <w:left w:val="single" w:color="auto" w:sz="4" w:space="0"/>
                    <w:bottom w:val="single" w:color="auto" w:sz="12" w:space="0"/>
                  </w:tcBorders>
                  <w:vAlign w:val="center"/>
                </w:tcPr>
                <w:p>
                  <w:pPr>
                    <w:pStyle w:val="15"/>
                    <w:bidi w:val="0"/>
                    <w:jc w:val="center"/>
                    <w:rPr>
                      <w:b/>
                      <w:bCs/>
                      <w:color w:val="0000FF"/>
                    </w:rPr>
                  </w:pPr>
                  <w:r>
                    <w:rPr>
                      <w:rFonts w:hint="eastAsia"/>
                      <w:b/>
                      <w:bCs/>
                      <w:color w:val="0000FF"/>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883" w:type="dxa"/>
                  <w:vMerge w:val="restart"/>
                  <w:tcBorders>
                    <w:top w:val="single" w:color="auto" w:sz="12" w:space="0"/>
                    <w:bottom w:val="single" w:color="auto" w:sz="4" w:space="0"/>
                    <w:right w:val="single" w:color="auto" w:sz="4" w:space="0"/>
                  </w:tcBorders>
                  <w:vAlign w:val="center"/>
                </w:tcPr>
                <w:p>
                  <w:pPr>
                    <w:pStyle w:val="15"/>
                    <w:bidi w:val="0"/>
                    <w:jc w:val="center"/>
                    <w:rPr>
                      <w:color w:val="0000FF"/>
                    </w:rPr>
                  </w:pPr>
                  <w:r>
                    <w:rPr>
                      <w:rFonts w:hint="eastAsia"/>
                      <w:color w:val="0000FF"/>
                    </w:rPr>
                    <w:t>热风炉</w:t>
                  </w:r>
                  <w:r>
                    <w:rPr>
                      <w:color w:val="0000FF"/>
                    </w:rPr>
                    <w:t>45</w:t>
                  </w:r>
                  <w:r>
                    <w:rPr>
                      <w:rFonts w:hint="eastAsia"/>
                      <w:color w:val="0000FF"/>
                    </w:rPr>
                    <w:t>高排气筒</w:t>
                  </w:r>
                </w:p>
              </w:tc>
              <w:tc>
                <w:tcPr>
                  <w:tcW w:w="883"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lang w:val="en-US" w:eastAsia="zh-CN"/>
                    </w:rPr>
                    <w:t>生物质燃烧</w:t>
                  </w:r>
                  <w:r>
                    <w:rPr>
                      <w:rFonts w:hint="eastAsia"/>
                      <w:color w:val="0000FF"/>
                    </w:rPr>
                    <w:t>废气</w:t>
                  </w:r>
                </w:p>
              </w:tc>
              <w:tc>
                <w:tcPr>
                  <w:tcW w:w="870" w:type="dxa"/>
                  <w:tcBorders>
                    <w:top w:val="single" w:color="auto" w:sz="12"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烟尘</w:t>
                  </w:r>
                </w:p>
              </w:tc>
              <w:tc>
                <w:tcPr>
                  <w:tcW w:w="801" w:type="dxa"/>
                  <w:tcBorders>
                    <w:top w:val="single" w:color="auto" w:sz="12"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eastAsia="宋体"/>
                      <w:color w:val="0000FF"/>
                      <w:lang w:val="en-US" w:eastAsia="zh-CN"/>
                    </w:rPr>
                  </w:pPr>
                  <w:r>
                    <w:rPr>
                      <w:rFonts w:hint="eastAsia"/>
                      <w:color w:val="0000FF"/>
                      <w:lang w:val="en-US" w:eastAsia="zh-CN"/>
                    </w:rPr>
                    <w:t>1.25t/a</w:t>
                  </w:r>
                </w:p>
              </w:tc>
              <w:tc>
                <w:tcPr>
                  <w:tcW w:w="1024" w:type="dxa"/>
                  <w:tcBorders>
                    <w:top w:val="single" w:color="auto" w:sz="12"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color w:val="0000FF"/>
                      <w:lang w:val="en-US" w:eastAsia="zh-CN"/>
                    </w:rPr>
                  </w:pPr>
                  <w:r>
                    <w:rPr>
                      <w:rFonts w:hint="eastAsia"/>
                      <w:color w:val="0000FF"/>
                      <w:lang w:val="en-US" w:eastAsia="zh-CN"/>
                    </w:rPr>
                    <w:t>布袋除尘器效率99.7%</w:t>
                  </w:r>
                </w:p>
              </w:tc>
              <w:tc>
                <w:tcPr>
                  <w:tcW w:w="1024" w:type="dxa"/>
                  <w:vMerge w:val="restart"/>
                  <w:tcBorders>
                    <w:top w:val="single" w:color="auto" w:sz="12" w:space="0"/>
                    <w:left w:val="single" w:color="auto" w:sz="4" w:space="0"/>
                    <w:right w:val="single" w:color="auto" w:sz="4" w:space="0"/>
                  </w:tcBorders>
                  <w:vAlign w:val="center"/>
                </w:tcPr>
                <w:p>
                  <w:pPr>
                    <w:pStyle w:val="15"/>
                    <w:bidi w:val="0"/>
                    <w:ind w:left="0" w:leftChars="0" w:firstLine="0" w:firstLineChars="0"/>
                    <w:jc w:val="center"/>
                    <w:rPr>
                      <w:rFonts w:hint="default"/>
                      <w:color w:val="0000FF"/>
                      <w:lang w:val="en-US" w:eastAsia="zh-CN"/>
                    </w:rPr>
                  </w:pPr>
                  <w:r>
                    <w:rPr>
                      <w:rFonts w:hint="eastAsia"/>
                      <w:color w:val="0000FF"/>
                      <w:lang w:val="en-US" w:eastAsia="zh-CN"/>
                    </w:rPr>
                    <w:t>45m高排气筒无组织排放</w:t>
                  </w:r>
                </w:p>
              </w:tc>
              <w:tc>
                <w:tcPr>
                  <w:tcW w:w="1024" w:type="dxa"/>
                  <w:tcBorders>
                    <w:top w:val="single" w:color="auto" w:sz="12"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color w:val="0000FF"/>
                    </w:rPr>
                  </w:pPr>
                  <w:r>
                    <w:rPr>
                      <w:rFonts w:hint="eastAsia"/>
                      <w:color w:val="0000FF"/>
                      <w:lang w:val="en-US" w:eastAsia="zh-CN"/>
                    </w:rPr>
                    <w:t>10.24</w:t>
                  </w:r>
                  <w:r>
                    <w:rPr>
                      <w:color w:val="0000FF"/>
                    </w:rPr>
                    <w:t>mg/m</w:t>
                  </w:r>
                  <w:r>
                    <w:rPr>
                      <w:rFonts w:hint="eastAsia"/>
                      <w:color w:val="0000FF"/>
                    </w:rPr>
                    <w:t>³</w:t>
                  </w:r>
                </w:p>
              </w:tc>
              <w:tc>
                <w:tcPr>
                  <w:tcW w:w="960" w:type="dxa"/>
                  <w:tcBorders>
                    <w:top w:val="single" w:color="auto" w:sz="12"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color w:val="0000FF"/>
                    </w:rPr>
                  </w:pPr>
                  <w:r>
                    <w:rPr>
                      <w:rFonts w:hint="eastAsia"/>
                      <w:color w:val="0000FF"/>
                      <w:lang w:val="en-US" w:eastAsia="zh-CN"/>
                    </w:rPr>
                    <w:t>3.75×10</w:t>
                  </w:r>
                  <w:r>
                    <w:rPr>
                      <w:rFonts w:hint="eastAsia"/>
                      <w:color w:val="0000FF"/>
                      <w:vertAlign w:val="superscript"/>
                      <w:lang w:val="en-US" w:eastAsia="zh-CN"/>
                    </w:rPr>
                    <w:t>-3</w:t>
                  </w:r>
                  <w:r>
                    <w:rPr>
                      <w:color w:val="0000FF"/>
                    </w:rPr>
                    <w:t>t/a</w:t>
                  </w:r>
                </w:p>
              </w:tc>
              <w:tc>
                <w:tcPr>
                  <w:tcW w:w="751" w:type="dxa"/>
                  <w:tcBorders>
                    <w:top w:val="single" w:color="auto" w:sz="12" w:space="0"/>
                    <w:left w:val="single" w:color="auto" w:sz="4" w:space="0"/>
                    <w:bottom w:val="single" w:color="auto" w:sz="4" w:space="0"/>
                  </w:tcBorders>
                  <w:vAlign w:val="center"/>
                </w:tcPr>
                <w:p>
                  <w:pPr>
                    <w:pStyle w:val="15"/>
                    <w:bidi w:val="0"/>
                    <w:jc w:val="center"/>
                    <w:rPr>
                      <w:color w:val="0000FF"/>
                    </w:rPr>
                  </w:pPr>
                  <w:r>
                    <w:rPr>
                      <w:rFonts w:hint="eastAsia"/>
                      <w:color w:val="0000FF"/>
                      <w:lang w:val="en-US" w:eastAsia="zh-CN"/>
                    </w:rPr>
                    <w:t>20</w:t>
                  </w:r>
                  <w:r>
                    <w:rPr>
                      <w:color w:val="0000FF"/>
                    </w:rPr>
                    <w:t>mg/m</w:t>
                  </w:r>
                  <w:r>
                    <w:rPr>
                      <w:rFonts w:hint="eastAsia"/>
                      <w:color w:val="0000FF"/>
                    </w:rPr>
                    <w:t>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83" w:type="dxa"/>
                  <w:vMerge w:val="continue"/>
                  <w:tcBorders>
                    <w:top w:val="single" w:color="auto" w:sz="4" w:space="0"/>
                    <w:bottom w:val="single" w:color="auto" w:sz="4" w:space="0"/>
                    <w:right w:val="single" w:color="auto" w:sz="4" w:space="0"/>
                  </w:tcBorders>
                  <w:vAlign w:val="center"/>
                </w:tcPr>
                <w:p>
                  <w:pPr>
                    <w:pStyle w:val="15"/>
                    <w:bidi w:val="0"/>
                    <w:jc w:val="center"/>
                    <w:rPr>
                      <w:color w:val="0000FF"/>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p>
              </w:tc>
              <w:tc>
                <w:tcPr>
                  <w:tcW w:w="870"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二氧化硫</w:t>
                  </w:r>
                </w:p>
              </w:tc>
              <w:tc>
                <w:tcPr>
                  <w:tcW w:w="801"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eastAsia="宋体"/>
                      <w:color w:val="0000FF"/>
                      <w:lang w:val="en-US" w:eastAsia="zh-CN"/>
                    </w:rPr>
                  </w:pPr>
                  <w:r>
                    <w:rPr>
                      <w:rFonts w:hint="eastAsia"/>
                      <w:color w:val="0000FF"/>
                      <w:lang w:val="en-US" w:eastAsia="zh-CN"/>
                    </w:rPr>
                    <w:t>2.21t/a</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color w:val="0000FF"/>
                      <w:lang w:val="en-US" w:eastAsia="zh-CN"/>
                    </w:rPr>
                  </w:pPr>
                  <w:r>
                    <w:rPr>
                      <w:rFonts w:hint="eastAsia"/>
                      <w:color w:val="0000FF"/>
                      <w:lang w:val="en-US" w:eastAsia="zh-CN"/>
                    </w:rPr>
                    <w:t>脱硫塔效率效率92.5%</w:t>
                  </w:r>
                </w:p>
              </w:tc>
              <w:tc>
                <w:tcPr>
                  <w:tcW w:w="1024" w:type="dxa"/>
                  <w:vMerge w:val="continue"/>
                  <w:tcBorders>
                    <w:left w:val="single" w:color="auto" w:sz="4" w:space="0"/>
                    <w:right w:val="single" w:color="auto" w:sz="4" w:space="0"/>
                  </w:tcBorders>
                  <w:vAlign w:val="center"/>
                </w:tcPr>
                <w:p>
                  <w:pPr>
                    <w:pStyle w:val="15"/>
                    <w:bidi w:val="0"/>
                    <w:ind w:left="0" w:leftChars="0" w:firstLine="0" w:firstLineChars="0"/>
                    <w:jc w:val="center"/>
                    <w:rPr>
                      <w:rFonts w:hint="eastAsia"/>
                      <w:color w:val="0000FF"/>
                      <w:lang w:val="en-US" w:eastAsia="zh-CN"/>
                    </w:rPr>
                  </w:pP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color w:val="0000FF"/>
                    </w:rPr>
                  </w:pPr>
                  <w:r>
                    <w:rPr>
                      <w:rFonts w:hint="eastAsia"/>
                      <w:color w:val="0000FF"/>
                      <w:lang w:val="en-US" w:eastAsia="zh-CN"/>
                    </w:rPr>
                    <w:t>10.63</w:t>
                  </w:r>
                  <w:r>
                    <w:rPr>
                      <w:color w:val="0000FF"/>
                    </w:rPr>
                    <w:t>mg/m</w:t>
                  </w:r>
                  <w:r>
                    <w:rPr>
                      <w:rFonts w:hint="eastAsia"/>
                      <w:color w:val="0000FF"/>
                    </w:rPr>
                    <w:t>³</w:t>
                  </w:r>
                </w:p>
              </w:tc>
              <w:tc>
                <w:tcPr>
                  <w:tcW w:w="960"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color w:val="0000FF"/>
                    </w:rPr>
                  </w:pPr>
                  <w:r>
                    <w:rPr>
                      <w:rFonts w:hint="eastAsia"/>
                      <w:color w:val="0000FF"/>
                      <w:lang w:val="en-US" w:eastAsia="zh-CN"/>
                    </w:rPr>
                    <w:t>0.166</w:t>
                  </w:r>
                  <w:r>
                    <w:rPr>
                      <w:color w:val="0000FF"/>
                    </w:rPr>
                    <w:t>t/a</w:t>
                  </w:r>
                </w:p>
              </w:tc>
              <w:tc>
                <w:tcPr>
                  <w:tcW w:w="751" w:type="dxa"/>
                  <w:tcBorders>
                    <w:top w:val="single" w:color="auto" w:sz="4" w:space="0"/>
                    <w:left w:val="single" w:color="auto" w:sz="4" w:space="0"/>
                    <w:bottom w:val="single" w:color="auto" w:sz="4" w:space="0"/>
                  </w:tcBorders>
                  <w:vAlign w:val="center"/>
                </w:tcPr>
                <w:p>
                  <w:pPr>
                    <w:pStyle w:val="15"/>
                    <w:bidi w:val="0"/>
                    <w:jc w:val="center"/>
                    <w:rPr>
                      <w:color w:val="0000FF"/>
                    </w:rPr>
                  </w:pPr>
                  <w:r>
                    <w:rPr>
                      <w:rFonts w:hint="eastAsia"/>
                      <w:color w:val="0000FF"/>
                      <w:lang w:val="en-US" w:eastAsia="zh-CN"/>
                    </w:rPr>
                    <w:t>50</w:t>
                  </w:r>
                  <w:r>
                    <w:rPr>
                      <w:color w:val="0000FF"/>
                    </w:rPr>
                    <w:t>mg/m</w:t>
                  </w:r>
                  <w:r>
                    <w:rPr>
                      <w:rFonts w:hint="eastAsia"/>
                      <w:color w:val="0000FF"/>
                    </w:rPr>
                    <w:t>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83" w:type="dxa"/>
                  <w:vMerge w:val="continue"/>
                  <w:tcBorders>
                    <w:top w:val="single" w:color="auto" w:sz="4" w:space="0"/>
                    <w:bottom w:val="single" w:color="auto" w:sz="4" w:space="0"/>
                    <w:right w:val="single" w:color="auto" w:sz="4" w:space="0"/>
                  </w:tcBorders>
                  <w:vAlign w:val="center"/>
                </w:tcPr>
                <w:p>
                  <w:pPr>
                    <w:pStyle w:val="15"/>
                    <w:bidi w:val="0"/>
                    <w:jc w:val="center"/>
                    <w:rPr>
                      <w:color w:val="0000FF"/>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p>
              </w:tc>
              <w:tc>
                <w:tcPr>
                  <w:tcW w:w="870"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氮氧化物</w:t>
                  </w:r>
                </w:p>
              </w:tc>
              <w:tc>
                <w:tcPr>
                  <w:tcW w:w="801"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eastAsia="宋体"/>
                      <w:color w:val="0000FF"/>
                      <w:lang w:val="en-US" w:eastAsia="zh-CN"/>
                    </w:rPr>
                  </w:pPr>
                  <w:r>
                    <w:rPr>
                      <w:rFonts w:hint="eastAsia"/>
                      <w:color w:val="0000FF"/>
                      <w:lang w:val="en-US" w:eastAsia="zh-CN"/>
                    </w:rPr>
                    <w:t>2.55t/a</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color w:val="0000FF"/>
                      <w:lang w:val="en-US" w:eastAsia="zh-CN"/>
                    </w:rPr>
                  </w:pPr>
                  <w:r>
                    <w:rPr>
                      <w:rFonts w:hint="eastAsia"/>
                      <w:color w:val="0000FF"/>
                      <w:lang w:val="en-US" w:eastAsia="zh-CN"/>
                    </w:rPr>
                    <w:t>低氮燃烧+SNCR，效率45.4%</w:t>
                  </w:r>
                </w:p>
              </w:tc>
              <w:tc>
                <w:tcPr>
                  <w:tcW w:w="1024" w:type="dxa"/>
                  <w:vMerge w:val="continue"/>
                  <w:tcBorders>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eastAsia"/>
                      <w:color w:val="0000FF"/>
                      <w:lang w:val="en-US" w:eastAsia="zh-CN"/>
                    </w:rPr>
                  </w:pP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color w:val="0000FF"/>
                    </w:rPr>
                  </w:pPr>
                  <w:r>
                    <w:rPr>
                      <w:rFonts w:hint="eastAsia"/>
                      <w:color w:val="0000FF"/>
                      <w:lang w:val="en-US" w:eastAsia="zh-CN"/>
                    </w:rPr>
                    <w:t>89.25</w:t>
                  </w:r>
                  <w:r>
                    <w:rPr>
                      <w:color w:val="0000FF"/>
                    </w:rPr>
                    <w:t>mg/m</w:t>
                  </w:r>
                  <w:r>
                    <w:rPr>
                      <w:rFonts w:hint="eastAsia"/>
                      <w:color w:val="0000FF"/>
                    </w:rPr>
                    <w:t>³</w:t>
                  </w:r>
                </w:p>
              </w:tc>
              <w:tc>
                <w:tcPr>
                  <w:tcW w:w="960"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color w:val="0000FF"/>
                    </w:rPr>
                  </w:pPr>
                  <w:r>
                    <w:rPr>
                      <w:rFonts w:hint="eastAsia"/>
                      <w:color w:val="0000FF"/>
                      <w:lang w:val="en-US" w:eastAsia="zh-CN"/>
                    </w:rPr>
                    <w:t>1.392t</w:t>
                  </w:r>
                  <w:r>
                    <w:rPr>
                      <w:color w:val="0000FF"/>
                    </w:rPr>
                    <w:t>/a</w:t>
                  </w:r>
                </w:p>
              </w:tc>
              <w:tc>
                <w:tcPr>
                  <w:tcW w:w="751" w:type="dxa"/>
                  <w:tcBorders>
                    <w:top w:val="single" w:color="auto" w:sz="4" w:space="0"/>
                    <w:left w:val="single" w:color="auto" w:sz="4" w:space="0"/>
                    <w:bottom w:val="single" w:color="auto" w:sz="4" w:space="0"/>
                  </w:tcBorders>
                  <w:vAlign w:val="center"/>
                </w:tcPr>
                <w:p>
                  <w:pPr>
                    <w:pStyle w:val="15"/>
                    <w:bidi w:val="0"/>
                    <w:jc w:val="center"/>
                    <w:rPr>
                      <w:color w:val="0000FF"/>
                    </w:rPr>
                  </w:pPr>
                  <w:r>
                    <w:rPr>
                      <w:rFonts w:hint="eastAsia"/>
                      <w:color w:val="0000FF"/>
                      <w:lang w:val="en-US" w:eastAsia="zh-CN"/>
                    </w:rPr>
                    <w:t>200</w:t>
                  </w:r>
                  <w:r>
                    <w:rPr>
                      <w:color w:val="0000FF"/>
                    </w:rPr>
                    <w:t>mg/m</w:t>
                  </w:r>
                  <w:r>
                    <w:rPr>
                      <w:rFonts w:hint="eastAsia"/>
                      <w:color w:val="0000FF"/>
                    </w:rPr>
                    <w:t>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83" w:type="dxa"/>
                  <w:tcBorders>
                    <w:top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食堂</w:t>
                  </w:r>
                </w:p>
              </w:tc>
              <w:tc>
                <w:tcPr>
                  <w:tcW w:w="883"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餐饮油烟</w:t>
                  </w:r>
                </w:p>
              </w:tc>
              <w:tc>
                <w:tcPr>
                  <w:tcW w:w="870"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油烟</w:t>
                  </w:r>
                </w:p>
              </w:tc>
              <w:tc>
                <w:tcPr>
                  <w:tcW w:w="801"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lang w:val="en-US" w:eastAsia="zh-CN"/>
                    </w:rPr>
                    <w:t>1080</w:t>
                  </w:r>
                  <w:r>
                    <w:rPr>
                      <w:color w:val="0000FF"/>
                    </w:rPr>
                    <w:t>g/a</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餐饮油烟净化器效率60%</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jc w:val="center"/>
                    <w:rPr>
                      <w:rFonts w:hint="default" w:ascii="Times New Roman" w:hAnsi="Times New Roman" w:eastAsia="宋体" w:cs="Times New Roman"/>
                      <w:color w:val="0000FF"/>
                      <w:kern w:val="2"/>
                      <w:sz w:val="21"/>
                      <w:szCs w:val="21"/>
                      <w:lang w:val="en-US" w:eastAsia="zh-CN" w:bidi="ar-SA"/>
                    </w:rPr>
                  </w:pPr>
                  <w:r>
                    <w:rPr>
                      <w:rFonts w:hint="eastAsia" w:cs="Times New Roman"/>
                      <w:color w:val="0000FF"/>
                      <w:kern w:val="2"/>
                      <w:sz w:val="21"/>
                      <w:szCs w:val="21"/>
                      <w:lang w:val="en-US" w:eastAsia="zh-CN" w:bidi="ar-SA"/>
                    </w:rPr>
                    <w:t>/</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jc w:val="center"/>
                    <w:rPr>
                      <w:rFonts w:hint="eastAsia"/>
                      <w:color w:val="0000FF"/>
                      <w:lang w:eastAsia="zh-CN"/>
                    </w:rPr>
                  </w:pPr>
                  <w:r>
                    <w:rPr>
                      <w:color w:val="0000FF"/>
                    </w:rPr>
                    <w:t>0.</w:t>
                  </w:r>
                  <w:r>
                    <w:rPr>
                      <w:rFonts w:hint="eastAsia"/>
                      <w:color w:val="0000FF"/>
                      <w:lang w:val="en-US" w:eastAsia="zh-CN"/>
                    </w:rPr>
                    <w:t>6</w:t>
                  </w:r>
                  <w:r>
                    <w:rPr>
                      <w:color w:val="0000FF"/>
                    </w:rPr>
                    <w:t>mg/</w:t>
                  </w:r>
                  <w:r>
                    <w:rPr>
                      <w:rFonts w:hint="eastAsia"/>
                      <w:color w:val="0000FF"/>
                      <w:lang w:val="en-US" w:eastAsia="zh-CN"/>
                    </w:rPr>
                    <w:t>m³</w:t>
                  </w:r>
                </w:p>
              </w:tc>
              <w:tc>
                <w:tcPr>
                  <w:tcW w:w="960"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lang w:val="en-US" w:eastAsia="zh-CN"/>
                    </w:rPr>
                    <w:t>4.30</w:t>
                  </w:r>
                  <w:r>
                    <w:rPr>
                      <w:color w:val="0000FF"/>
                    </w:rPr>
                    <w:t>×10</w:t>
                  </w:r>
                  <w:r>
                    <w:rPr>
                      <w:color w:val="0000FF"/>
                      <w:vertAlign w:val="superscript"/>
                    </w:rPr>
                    <w:t>-</w:t>
                  </w:r>
                  <w:r>
                    <w:rPr>
                      <w:rFonts w:hint="eastAsia"/>
                      <w:color w:val="0000FF"/>
                      <w:vertAlign w:val="superscript"/>
                      <w:lang w:val="en-US" w:eastAsia="zh-CN"/>
                    </w:rPr>
                    <w:t>4</w:t>
                  </w:r>
                  <w:r>
                    <w:rPr>
                      <w:color w:val="0000FF"/>
                    </w:rPr>
                    <w:t>t/a</w:t>
                  </w:r>
                </w:p>
              </w:tc>
              <w:tc>
                <w:tcPr>
                  <w:tcW w:w="751" w:type="dxa"/>
                  <w:tcBorders>
                    <w:top w:val="single" w:color="auto" w:sz="4" w:space="0"/>
                    <w:left w:val="single" w:color="auto" w:sz="4" w:space="0"/>
                    <w:bottom w:val="single" w:color="auto" w:sz="4" w:space="0"/>
                  </w:tcBorders>
                  <w:vAlign w:val="center"/>
                </w:tcPr>
                <w:p>
                  <w:pPr>
                    <w:pStyle w:val="15"/>
                    <w:bidi w:val="0"/>
                    <w:jc w:val="center"/>
                    <w:rPr>
                      <w:color w:val="0000FF"/>
                    </w:rPr>
                  </w:pPr>
                  <w:r>
                    <w:rPr>
                      <w:color w:val="0000FF"/>
                    </w:rPr>
                    <w:t>2.0mg/</w:t>
                  </w:r>
                  <w:r>
                    <w:rPr>
                      <w:rFonts w:hint="eastAsia"/>
                      <w:color w:val="0000FF"/>
                      <w:lang w:val="en-US" w:eastAsia="zh-CN"/>
                    </w:rPr>
                    <w:t>m</w:t>
                  </w:r>
                  <w:r>
                    <w:rPr>
                      <w:rFonts w:hint="eastAsia"/>
                      <w:color w:val="0000FF"/>
                    </w:rPr>
                    <w:t>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83" w:type="dxa"/>
                  <w:tcBorders>
                    <w:top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生产区</w:t>
                  </w:r>
                </w:p>
              </w:tc>
              <w:tc>
                <w:tcPr>
                  <w:tcW w:w="883"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上料及筛选废气</w:t>
                  </w:r>
                </w:p>
              </w:tc>
              <w:tc>
                <w:tcPr>
                  <w:tcW w:w="870"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rPr>
                    <w:t>颗粒物</w:t>
                  </w:r>
                </w:p>
              </w:tc>
              <w:tc>
                <w:tcPr>
                  <w:tcW w:w="801"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lang w:val="en-US" w:eastAsia="zh-CN"/>
                    </w:rPr>
                    <w:t>6.63</w:t>
                  </w:r>
                  <w:r>
                    <w:rPr>
                      <w:color w:val="0000FF"/>
                    </w:rPr>
                    <w:t>t/a</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封闭+自吸式布袋除尘器效率95%</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无组织</w:t>
                  </w:r>
                </w:p>
              </w:tc>
              <w:tc>
                <w:tcPr>
                  <w:tcW w:w="1024"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color w:val="0000FF"/>
                    </w:rPr>
                    <w:t>/</w:t>
                  </w:r>
                </w:p>
              </w:tc>
              <w:tc>
                <w:tcPr>
                  <w:tcW w:w="960" w:type="dxa"/>
                  <w:tcBorders>
                    <w:top w:val="single" w:color="auto" w:sz="4" w:space="0"/>
                    <w:left w:val="single" w:color="auto" w:sz="4" w:space="0"/>
                    <w:bottom w:val="single" w:color="auto" w:sz="4" w:space="0"/>
                    <w:right w:val="single" w:color="auto" w:sz="4" w:space="0"/>
                  </w:tcBorders>
                  <w:vAlign w:val="center"/>
                </w:tcPr>
                <w:p>
                  <w:pPr>
                    <w:pStyle w:val="15"/>
                    <w:bidi w:val="0"/>
                    <w:jc w:val="center"/>
                    <w:rPr>
                      <w:color w:val="0000FF"/>
                    </w:rPr>
                  </w:pPr>
                  <w:r>
                    <w:rPr>
                      <w:rFonts w:hint="eastAsia"/>
                      <w:color w:val="0000FF"/>
                      <w:lang w:val="en-US" w:eastAsia="zh-CN"/>
                    </w:rPr>
                    <w:t>0.338t</w:t>
                  </w:r>
                  <w:r>
                    <w:rPr>
                      <w:color w:val="0000FF"/>
                    </w:rPr>
                    <w:t>/a</w:t>
                  </w:r>
                </w:p>
              </w:tc>
              <w:tc>
                <w:tcPr>
                  <w:tcW w:w="751" w:type="dxa"/>
                  <w:tcBorders>
                    <w:top w:val="single" w:color="auto" w:sz="4" w:space="0"/>
                    <w:left w:val="single" w:color="auto" w:sz="4" w:space="0"/>
                    <w:bottom w:val="single" w:color="auto" w:sz="4" w:space="0"/>
                  </w:tcBorders>
                  <w:vAlign w:val="center"/>
                </w:tcPr>
                <w:p>
                  <w:pPr>
                    <w:pStyle w:val="15"/>
                    <w:bidi w:val="0"/>
                    <w:jc w:val="center"/>
                    <w:rPr>
                      <w:color w:val="0000FF"/>
                    </w:rPr>
                  </w:pPr>
                  <w:r>
                    <w:rPr>
                      <w:color w:val="0000FF"/>
                    </w:rPr>
                    <w:t>1mg/m</w:t>
                  </w:r>
                  <w:r>
                    <w:rPr>
                      <w:rFonts w:hint="eastAsia"/>
                      <w:color w:val="0000FF"/>
                    </w:rPr>
                    <w:t>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83" w:type="dxa"/>
                  <w:tcBorders>
                    <w:top w:val="single" w:color="auto" w:sz="4" w:space="0"/>
                    <w:bottom w:val="single" w:color="auto" w:sz="12" w:space="0"/>
                    <w:right w:val="single" w:color="auto" w:sz="4" w:space="0"/>
                  </w:tcBorders>
                  <w:vAlign w:val="center"/>
                </w:tcPr>
                <w:p>
                  <w:pPr>
                    <w:pStyle w:val="15"/>
                    <w:bidi w:val="0"/>
                    <w:jc w:val="center"/>
                    <w:rPr>
                      <w:rFonts w:hint="eastAsia" w:eastAsia="宋体"/>
                      <w:color w:val="0000FF"/>
                      <w:lang w:val="en-US" w:eastAsia="zh-CN"/>
                    </w:rPr>
                  </w:pPr>
                  <w:r>
                    <w:rPr>
                      <w:rFonts w:hint="eastAsia"/>
                      <w:color w:val="0000FF"/>
                      <w:lang w:val="en-US" w:eastAsia="zh-CN"/>
                    </w:rPr>
                    <w:t>晾晒场</w:t>
                  </w:r>
                </w:p>
              </w:tc>
              <w:tc>
                <w:tcPr>
                  <w:tcW w:w="883"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default" w:eastAsia="宋体"/>
                      <w:color w:val="0000FF"/>
                      <w:lang w:val="en-US" w:eastAsia="zh-CN"/>
                    </w:rPr>
                  </w:pPr>
                  <w:r>
                    <w:rPr>
                      <w:rFonts w:hint="eastAsia"/>
                      <w:color w:val="0000FF"/>
                      <w:lang w:val="en-US" w:eastAsia="zh-CN"/>
                    </w:rPr>
                    <w:t>晾晒起尘</w:t>
                  </w:r>
                </w:p>
              </w:tc>
              <w:tc>
                <w:tcPr>
                  <w:tcW w:w="870"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eastAsia"/>
                      <w:color w:val="0000FF"/>
                    </w:rPr>
                  </w:pPr>
                  <w:r>
                    <w:rPr>
                      <w:rFonts w:hint="eastAsia"/>
                      <w:color w:val="0000FF"/>
                    </w:rPr>
                    <w:t>颗粒物</w:t>
                  </w:r>
                </w:p>
              </w:tc>
              <w:tc>
                <w:tcPr>
                  <w:tcW w:w="801"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1.703t/a</w:t>
                  </w:r>
                </w:p>
              </w:tc>
              <w:tc>
                <w:tcPr>
                  <w:tcW w:w="1024"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2m高围挡，效率60%</w:t>
                  </w:r>
                </w:p>
              </w:tc>
              <w:tc>
                <w:tcPr>
                  <w:tcW w:w="1024"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无组织</w:t>
                  </w:r>
                </w:p>
              </w:tc>
              <w:tc>
                <w:tcPr>
                  <w:tcW w:w="1024"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eastAsia" w:eastAsia="宋体"/>
                      <w:color w:val="0000FF"/>
                      <w:lang w:val="en-US" w:eastAsia="zh-CN"/>
                    </w:rPr>
                  </w:pPr>
                  <w:r>
                    <w:rPr>
                      <w:rFonts w:hint="eastAsia"/>
                      <w:color w:val="0000FF"/>
                      <w:lang w:val="en-US" w:eastAsia="zh-CN"/>
                    </w:rPr>
                    <w:t>/</w:t>
                  </w:r>
                </w:p>
              </w:tc>
              <w:tc>
                <w:tcPr>
                  <w:tcW w:w="960" w:type="dxa"/>
                  <w:tcBorders>
                    <w:top w:val="single" w:color="auto" w:sz="4" w:space="0"/>
                    <w:left w:val="single" w:color="auto" w:sz="4" w:space="0"/>
                    <w:bottom w:val="single" w:color="auto" w:sz="12" w:space="0"/>
                    <w:right w:val="single" w:color="auto" w:sz="4" w:space="0"/>
                  </w:tcBorders>
                  <w:vAlign w:val="center"/>
                </w:tcPr>
                <w:p>
                  <w:pPr>
                    <w:pStyle w:val="15"/>
                    <w:bidi w:val="0"/>
                    <w:jc w:val="center"/>
                    <w:rPr>
                      <w:rFonts w:hint="default"/>
                      <w:color w:val="0000FF"/>
                      <w:lang w:val="en-US" w:eastAsia="zh-CN"/>
                    </w:rPr>
                  </w:pPr>
                  <w:r>
                    <w:rPr>
                      <w:rFonts w:hint="eastAsia"/>
                      <w:color w:val="0000FF"/>
                      <w:lang w:val="en-US" w:eastAsia="zh-CN"/>
                    </w:rPr>
                    <w:t>0.68t/a</w:t>
                  </w:r>
                </w:p>
              </w:tc>
              <w:tc>
                <w:tcPr>
                  <w:tcW w:w="751" w:type="dxa"/>
                  <w:tcBorders>
                    <w:top w:val="single" w:color="auto" w:sz="4" w:space="0"/>
                    <w:left w:val="single" w:color="auto" w:sz="4" w:space="0"/>
                    <w:bottom w:val="single" w:color="auto" w:sz="12" w:space="0"/>
                  </w:tcBorders>
                  <w:vAlign w:val="center"/>
                </w:tcPr>
                <w:p>
                  <w:pPr>
                    <w:pStyle w:val="15"/>
                    <w:bidi w:val="0"/>
                    <w:jc w:val="center"/>
                    <w:rPr>
                      <w:color w:val="0000FF"/>
                    </w:rPr>
                  </w:pPr>
                  <w:r>
                    <w:rPr>
                      <w:color w:val="0000FF"/>
                    </w:rPr>
                    <w:t>1mg/m</w:t>
                  </w:r>
                  <w:r>
                    <w:rPr>
                      <w:rFonts w:hint="eastAsia"/>
                      <w:color w:val="0000FF"/>
                    </w:rPr>
                    <w:t>³</w:t>
                  </w:r>
                </w:p>
              </w:tc>
            </w:tr>
          </w:tbl>
          <w:p>
            <w:pPr>
              <w:snapToGrid w:val="0"/>
              <w:spacing w:line="360" w:lineRule="auto"/>
              <w:ind w:firstLine="480"/>
              <w:rPr>
                <w:rFonts w:hint="default" w:ascii="Times New Roman" w:hAnsi="Times New Roman" w:eastAsia="宋体" w:cs="Times New Roman"/>
                <w:color w:val="000000" w:themeColor="text1"/>
                <w:kern w:val="0"/>
                <w:szCs w:val="22"/>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根据上表可知，本项目</w:t>
            </w:r>
            <w:r>
              <w:rPr>
                <w:rFonts w:hint="eastAsia"/>
                <w:color w:val="000000" w:themeColor="text1"/>
                <w:sz w:val="24"/>
                <w:szCs w:val="24"/>
                <w:lang w:eastAsia="zh-CN"/>
                <w14:textFill>
                  <w14:solidFill>
                    <w14:schemeClr w14:val="tx1"/>
                  </w14:solidFill>
                </w14:textFill>
              </w:rPr>
              <w:t>生物质热风炉</w:t>
            </w:r>
            <w:r>
              <w:rPr>
                <w:rFonts w:hint="eastAsia"/>
                <w:color w:val="000000" w:themeColor="text1"/>
                <w:sz w:val="24"/>
                <w:szCs w:val="24"/>
                <w:lang w:val="en-US" w:eastAsia="zh-CN"/>
                <w14:textFill>
                  <w14:solidFill>
                    <w14:schemeClr w14:val="tx1"/>
                  </w14:solidFill>
                </w14:textFill>
              </w:rPr>
              <w:t>燃烧</w:t>
            </w:r>
            <w:r>
              <w:rPr>
                <w:rFonts w:hint="eastAsia"/>
                <w:color w:val="000000" w:themeColor="text1"/>
                <w:sz w:val="24"/>
                <w:szCs w:val="24"/>
                <w14:textFill>
                  <w14:solidFill>
                    <w14:schemeClr w14:val="tx1"/>
                  </w14:solidFill>
                </w14:textFill>
              </w:rPr>
              <w:t>烟气排放烟尘、氮氧化物、二氧化硫通过脱硫、脱硝、除尘后经</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高排气筒外排，期排放高度和浓度均满足《锅炉大气污染物排放标准》（</w:t>
            </w:r>
            <w:r>
              <w:rPr>
                <w:color w:val="000000" w:themeColor="text1"/>
                <w:sz w:val="24"/>
                <w:szCs w:val="24"/>
                <w14:textFill>
                  <w14:solidFill>
                    <w14:schemeClr w14:val="tx1"/>
                  </w14:solidFill>
                </w14:textFill>
              </w:rPr>
              <w:t>GB13271-2014</w:t>
            </w:r>
            <w:r>
              <w:rPr>
                <w:rFonts w:hint="eastAsia"/>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中的</w:t>
            </w:r>
            <w:r>
              <w:rPr>
                <w:rFonts w:hint="eastAsia"/>
                <w:color w:val="000000" w:themeColor="text1"/>
                <w:sz w:val="24"/>
                <w:szCs w:val="24"/>
                <w:lang w:val="en-US" w:eastAsia="zh-CN"/>
                <w14:textFill>
                  <w14:solidFill>
                    <w14:schemeClr w14:val="tx1"/>
                  </w14:solidFill>
                </w14:textFill>
              </w:rPr>
              <w:t>燃气锅炉</w:t>
            </w:r>
            <w:r>
              <w:rPr>
                <w:rFonts w:hint="eastAsia"/>
                <w:color w:val="000000" w:themeColor="text1"/>
                <w:sz w:val="24"/>
                <w:szCs w:val="24"/>
                <w14:textFill>
                  <w14:solidFill>
                    <w14:schemeClr w14:val="tx1"/>
                  </w14:solidFill>
                </w14:textFill>
              </w:rPr>
              <w:t>排放浓度限值，排气筒高度</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满足表</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中的</w:t>
            </w:r>
            <w:r>
              <w:rPr>
                <w:rFonts w:hint="eastAsia"/>
                <w:color w:val="000000" w:themeColor="text1"/>
                <w:sz w:val="24"/>
                <w:szCs w:val="24"/>
                <w:lang w:val="en-US" w:eastAsia="zh-CN"/>
                <w14:textFill>
                  <w14:solidFill>
                    <w14:schemeClr w14:val="tx1"/>
                  </w14:solidFill>
                </w14:textFill>
              </w:rPr>
              <w:t>燃煤锅炉</w:t>
            </w:r>
            <w:r>
              <w:rPr>
                <w:rFonts w:hint="eastAsia"/>
                <w:color w:val="000000" w:themeColor="text1"/>
                <w:sz w:val="24"/>
                <w:szCs w:val="24"/>
                <w14:textFill>
                  <w14:solidFill>
                    <w14:schemeClr w14:val="tx1"/>
                  </w14:solidFill>
                </w14:textFill>
              </w:rPr>
              <w:t>排气筒高度要求。餐饮油烟排放浓度满足《饮食业油烟排放标准（试行）》（</w:t>
            </w:r>
            <w:r>
              <w:rPr>
                <w:color w:val="000000" w:themeColor="text1"/>
                <w:sz w:val="24"/>
                <w:szCs w:val="24"/>
                <w14:textFill>
                  <w14:solidFill>
                    <w14:schemeClr w14:val="tx1"/>
                  </w14:solidFill>
                </w14:textFill>
              </w:rPr>
              <w:t>GB18483-2001</w:t>
            </w:r>
            <w:r>
              <w:rPr>
                <w:rFonts w:hint="eastAsia"/>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中的排放浓度限值，油烟净化器净化效率满足最低去除效率要求</w:t>
            </w:r>
          </w:p>
          <w:p>
            <w:pPr>
              <w:spacing w:line="360" w:lineRule="auto"/>
              <w:ind w:firstLine="482" w:firstLineChars="200"/>
              <w:rPr>
                <w:rFonts w:hint="default" w:ascii="Times New Roman" w:hAnsi="Times New Roman" w:eastAsia="宋体" w:cs="Times New Roman"/>
                <w:b/>
                <w:bCs/>
                <w:color w:val="000000" w:themeColor="text1"/>
                <w:kern w:val="0"/>
                <w:sz w:val="24"/>
                <w:szCs w:val="22"/>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2"/>
                <w:lang w:val="en-US" w:eastAsia="zh-CN"/>
                <w14:textFill>
                  <w14:solidFill>
                    <w14:schemeClr w14:val="tx1"/>
                  </w14:solidFill>
                </w14:textFill>
              </w:rPr>
              <w:t>1.2</w:t>
            </w:r>
            <w:r>
              <w:rPr>
                <w:rFonts w:hint="eastAsia" w:cs="Times New Roman"/>
                <w:b/>
                <w:bCs/>
                <w:color w:val="000000" w:themeColor="text1"/>
                <w:kern w:val="0"/>
                <w:sz w:val="24"/>
                <w:szCs w:val="22"/>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2"/>
                <w:lang w:val="en-US" w:eastAsia="zh-CN"/>
                <w14:textFill>
                  <w14:solidFill>
                    <w14:schemeClr w14:val="tx1"/>
                  </w14:solidFill>
                </w14:textFill>
              </w:rPr>
              <w:t>大气污染物</w:t>
            </w:r>
            <w:r>
              <w:rPr>
                <w:rFonts w:hint="default" w:ascii="Times New Roman" w:hAnsi="Times New Roman" w:eastAsia="宋体" w:cs="Times New Roman"/>
                <w:b/>
                <w:bCs/>
                <w:color w:val="000000" w:themeColor="text1"/>
                <w:kern w:val="0"/>
                <w:sz w:val="24"/>
                <w:szCs w:val="22"/>
                <w14:textFill>
                  <w14:solidFill>
                    <w14:schemeClr w14:val="tx1"/>
                  </w14:solidFill>
                </w14:textFill>
              </w:rPr>
              <w:t>落地浓度估算</w:t>
            </w:r>
          </w:p>
          <w:p>
            <w:pPr>
              <w:spacing w:line="360" w:lineRule="auto"/>
              <w:ind w:firstLine="480" w:firstLineChars="200"/>
              <w:rPr>
                <w:color w:val="000000" w:themeColor="text1"/>
                <w:kern w:val="0"/>
                <w:sz w:val="24"/>
                <w:szCs w:val="22"/>
                <w14:textFill>
                  <w14:solidFill>
                    <w14:schemeClr w14:val="tx1"/>
                  </w14:solidFill>
                </w14:textFill>
              </w:rPr>
            </w:pPr>
            <w:r>
              <w:rPr>
                <w:rFonts w:hint="eastAsia"/>
                <w:color w:val="000000" w:themeColor="text1"/>
                <w:sz w:val="24"/>
                <w:szCs w:val="24"/>
                <w14:textFill>
                  <w14:solidFill>
                    <w14:schemeClr w14:val="tx1"/>
                  </w14:solidFill>
                </w14:textFill>
              </w:rPr>
              <w:t>根据导则推荐的</w:t>
            </w:r>
            <w:r>
              <w:rPr>
                <w:rFonts w:hint="eastAsia"/>
                <w:color w:val="000000" w:themeColor="text1"/>
                <w:sz w:val="24"/>
                <w:szCs w:val="24"/>
                <w:lang w:eastAsia="zh-CN"/>
                <w14:textFill>
                  <w14:solidFill>
                    <w14:schemeClr w14:val="tx1"/>
                  </w14:solidFill>
                </w14:textFill>
              </w:rPr>
              <w:t>AERscreen</w:t>
            </w:r>
            <w:r>
              <w:rPr>
                <w:rFonts w:hint="eastAsia"/>
                <w:color w:val="000000" w:themeColor="text1"/>
                <w:sz w:val="24"/>
                <w:szCs w:val="24"/>
                <w14:textFill>
                  <w14:solidFill>
                    <w14:schemeClr w14:val="tx1"/>
                  </w14:solidFill>
                </w14:textFill>
              </w:rPr>
              <w:t>模式对本项目各类废气污染物落地浓度进行估算。</w:t>
            </w:r>
            <w:r>
              <w:rPr>
                <w:rFonts w:hint="eastAsia"/>
                <w:color w:val="000000" w:themeColor="text1"/>
                <w:kern w:val="0"/>
                <w:sz w:val="24"/>
                <w:szCs w:val="22"/>
                <w14:textFill>
                  <w14:solidFill>
                    <w14:schemeClr w14:val="tx1"/>
                  </w14:solidFill>
                </w14:textFill>
              </w:rPr>
              <w:t>估算模型见表</w:t>
            </w:r>
            <w:r>
              <w:rPr>
                <w:rFonts w:hint="eastAsia"/>
                <w:color w:val="000000" w:themeColor="text1"/>
                <w:kern w:val="0"/>
                <w:sz w:val="24"/>
                <w:szCs w:val="22"/>
                <w:lang w:val="en-US" w:eastAsia="zh-CN"/>
                <w14:textFill>
                  <w14:solidFill>
                    <w14:schemeClr w14:val="tx1"/>
                  </w14:solidFill>
                </w14:textFill>
              </w:rPr>
              <w:t>4-13</w:t>
            </w:r>
            <w:r>
              <w:rPr>
                <w:rFonts w:hint="eastAsia"/>
                <w:color w:val="000000" w:themeColor="text1"/>
                <w:kern w:val="0"/>
                <w:sz w:val="24"/>
                <w:szCs w:val="22"/>
                <w14:textFill>
                  <w14:solidFill>
                    <w14:schemeClr w14:val="tx1"/>
                  </w14:solidFill>
                </w14:textFill>
              </w:rPr>
              <w:t>，评价等级判别见表</w:t>
            </w:r>
            <w:r>
              <w:rPr>
                <w:rFonts w:hint="eastAsia"/>
                <w:color w:val="000000" w:themeColor="text1"/>
                <w:kern w:val="0"/>
                <w:sz w:val="24"/>
                <w:szCs w:val="22"/>
                <w:lang w:val="en-US" w:eastAsia="zh-CN"/>
                <w14:textFill>
                  <w14:solidFill>
                    <w14:schemeClr w14:val="tx1"/>
                  </w14:solidFill>
                </w14:textFill>
              </w:rPr>
              <w:t>4-14</w:t>
            </w:r>
            <w:r>
              <w:rPr>
                <w:rFonts w:hint="eastAsia"/>
                <w:color w:val="000000" w:themeColor="text1"/>
                <w:kern w:val="0"/>
                <w:sz w:val="24"/>
                <w:szCs w:val="22"/>
                <w14:textFill>
                  <w14:solidFill>
                    <w14:schemeClr w14:val="tx1"/>
                  </w14:solidFill>
                </w14:textFill>
              </w:rPr>
              <w:t>。</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4-13</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估算模型参数表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2560"/>
              <w:gridCol w:w="3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4783" w:type="dxa"/>
                  <w:gridSpan w:val="2"/>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参数</w:t>
                  </w:r>
                </w:p>
              </w:tc>
              <w:tc>
                <w:tcPr>
                  <w:tcW w:w="3437"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2223" w:type="dxa"/>
                  <w:vMerge w:val="restart"/>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城市农村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选项</w:t>
                  </w:r>
                </w:p>
              </w:tc>
              <w:tc>
                <w:tcPr>
                  <w:tcW w:w="2560"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城市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农村</w:t>
                  </w:r>
                </w:p>
              </w:tc>
              <w:tc>
                <w:tcPr>
                  <w:tcW w:w="3437"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2223"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256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人口数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城市人口数</w:t>
                  </w:r>
                  <w:r>
                    <w:rPr>
                      <w:color w:val="000000" w:themeColor="text1"/>
                      <w14:textFill>
                        <w14:solidFill>
                          <w14:schemeClr w14:val="tx1"/>
                        </w14:solidFill>
                      </w14:textFill>
                    </w:rPr>
                    <w:t>)</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4783" w:type="dxa"/>
                  <w:gridSpan w:val="2"/>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最高环境温度</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40°C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4783" w:type="dxa"/>
                  <w:gridSpan w:val="2"/>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最低环境温度</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-40°C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4783" w:type="dxa"/>
                  <w:gridSpan w:val="2"/>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土地利用类型</w:t>
                  </w:r>
                </w:p>
              </w:tc>
              <w:tc>
                <w:tcPr>
                  <w:tcW w:w="3437" w:type="dxa"/>
                  <w:tcBorders>
                    <w:top w:val="single" w:color="auto" w:sz="4" w:space="0"/>
                    <w:left w:val="single" w:color="auto" w:sz="4" w:space="0"/>
                    <w:bottom w:val="single" w:color="auto" w:sz="4" w:space="0"/>
                  </w:tcBorders>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农用地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jc w:val="center"/>
              </w:trPr>
              <w:tc>
                <w:tcPr>
                  <w:tcW w:w="4783" w:type="dxa"/>
                  <w:gridSpan w:val="2"/>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区域湿度条件</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2223" w:type="dxa"/>
                  <w:vMerge w:val="restart"/>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是否考虑地形</w:t>
                  </w:r>
                </w:p>
              </w:tc>
              <w:tc>
                <w:tcPr>
                  <w:tcW w:w="256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考虑地形</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2223"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256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地形数据分辨率</w:t>
                  </w:r>
                  <w:r>
                    <w:rPr>
                      <w:color w:val="000000" w:themeColor="text1"/>
                      <w14:textFill>
                        <w14:solidFill>
                          <w14:schemeClr w14:val="tx1"/>
                        </w14:solidFill>
                      </w14:textFill>
                    </w:rPr>
                    <w:t>(m)</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2223" w:type="dxa"/>
                  <w:vMerge w:val="restart"/>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是否考虑海岸线熏烟</w:t>
                  </w:r>
                </w:p>
              </w:tc>
              <w:tc>
                <w:tcPr>
                  <w:tcW w:w="256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考虑海岸线熏烟</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2223"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256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海岸线距离</w:t>
                  </w:r>
                  <w:r>
                    <w:rPr>
                      <w:color w:val="000000" w:themeColor="text1"/>
                      <w14:textFill>
                        <w14:solidFill>
                          <w14:schemeClr w14:val="tx1"/>
                        </w14:solidFill>
                      </w14:textFill>
                    </w:rPr>
                    <w:t>/m</w:t>
                  </w:r>
                </w:p>
              </w:tc>
              <w:tc>
                <w:tcPr>
                  <w:tcW w:w="343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2223" w:type="dxa"/>
                  <w:vMerge w:val="continue"/>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p>
              </w:tc>
              <w:tc>
                <w:tcPr>
                  <w:tcW w:w="256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海岸线方向</w:t>
                  </w:r>
                  <w:r>
                    <w:rPr>
                      <w:color w:val="000000" w:themeColor="text1"/>
                      <w14:textFill>
                        <w14:solidFill>
                          <w14:schemeClr w14:val="tx1"/>
                        </w14:solidFill>
                      </w14:textFill>
                    </w:rPr>
                    <w:t>/o</w:t>
                  </w:r>
                </w:p>
              </w:tc>
              <w:tc>
                <w:tcPr>
                  <w:tcW w:w="3437"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4-14</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评价等级判别表</w:t>
            </w:r>
          </w:p>
          <w:tbl>
            <w:tblPr>
              <w:tblStyle w:val="10"/>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4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10" w:type="dxa"/>
                  <w:tcBorders>
                    <w:top w:val="single" w:color="auto" w:sz="12" w:space="0"/>
                    <w:bottom w:val="single" w:color="auto" w:sz="12" w:space="0"/>
                    <w:right w:val="single" w:color="auto" w:sz="4"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评价工作等级</w:t>
                  </w:r>
                </w:p>
              </w:tc>
              <w:tc>
                <w:tcPr>
                  <w:tcW w:w="4110" w:type="dxa"/>
                  <w:tcBorders>
                    <w:top w:val="single" w:color="auto" w:sz="12" w:space="0"/>
                    <w:left w:val="single" w:color="auto" w:sz="4" w:space="0"/>
                    <w:bottom w:val="single" w:color="auto" w:sz="12" w:space="0"/>
                  </w:tcBorders>
                  <w:vAlign w:val="top"/>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10" w:type="dxa"/>
                  <w:tcBorders>
                    <w:top w:val="single" w:color="auto" w:sz="12"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一级评价</w:t>
                  </w:r>
                </w:p>
              </w:tc>
              <w:tc>
                <w:tcPr>
                  <w:tcW w:w="4110" w:type="dxa"/>
                  <w:tcBorders>
                    <w:top w:val="single" w:color="auto" w:sz="12"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10" w:type="dxa"/>
                  <w:tcBorders>
                    <w:top w:val="single" w:color="auto" w:sz="4" w:space="0"/>
                    <w:bottom w:val="single" w:color="auto" w:sz="4"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二级评价</w:t>
                  </w:r>
                </w:p>
              </w:tc>
              <w:tc>
                <w:tcPr>
                  <w:tcW w:w="4110" w:type="dxa"/>
                  <w:tcBorders>
                    <w:top w:val="single" w:color="auto" w:sz="4" w:space="0"/>
                    <w:left w:val="single" w:color="auto" w:sz="4" w:space="0"/>
                    <w:bottom w:val="single" w:color="auto" w:sz="4" w:space="0"/>
                  </w:tcBorders>
                  <w:vAlign w:val="top"/>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10" w:type="dxa"/>
                  <w:tcBorders>
                    <w:top w:val="single" w:color="auto" w:sz="4" w:space="0"/>
                    <w:bottom w:val="single" w:color="auto" w:sz="12" w:space="0"/>
                    <w:right w:val="single" w:color="auto" w:sz="4" w:space="0"/>
                  </w:tcBorders>
                  <w:vAlign w:val="top"/>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三级评价</w:t>
                  </w:r>
                </w:p>
              </w:tc>
              <w:tc>
                <w:tcPr>
                  <w:tcW w:w="4110" w:type="dxa"/>
                  <w:tcBorders>
                    <w:top w:val="single" w:color="auto" w:sz="4" w:space="0"/>
                    <w:left w:val="single" w:color="auto" w:sz="4" w:space="0"/>
                    <w:bottom w:val="single" w:color="auto" w:sz="12" w:space="0"/>
                  </w:tcBorders>
                  <w:vAlign w:val="top"/>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Pmax&lt;1%</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以整个生产区颗粒物污染物排放视为面源，面源参数具体如下表。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面源参数表</w:t>
            </w:r>
          </w:p>
          <w:tbl>
            <w:tblPr>
              <w:tblStyle w:val="10"/>
              <w:tblW w:w="8220"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690"/>
              <w:gridCol w:w="690"/>
              <w:gridCol w:w="690"/>
              <w:gridCol w:w="690"/>
              <w:gridCol w:w="826"/>
              <w:gridCol w:w="728"/>
              <w:gridCol w:w="677"/>
              <w:gridCol w:w="647"/>
              <w:gridCol w:w="1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380" w:type="dxa"/>
                  <w:gridSpan w:val="2"/>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坐标</w:t>
                  </w:r>
                </w:p>
              </w:tc>
              <w:tc>
                <w:tcPr>
                  <w:tcW w:w="690"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海拔高度（</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690"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长度</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690"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宽度</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826"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与正北夹角（</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w:t>
                  </w:r>
                </w:p>
              </w:tc>
              <w:tc>
                <w:tcPr>
                  <w:tcW w:w="728"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排放高度（</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677"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年排放小时数</w:t>
                  </w:r>
                </w:p>
              </w:tc>
              <w:tc>
                <w:tcPr>
                  <w:tcW w:w="647"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排放工况</w:t>
                  </w:r>
                </w:p>
              </w:tc>
              <w:tc>
                <w:tcPr>
                  <w:tcW w:w="1892" w:type="dxa"/>
                  <w:tcBorders>
                    <w:top w:val="single" w:color="auto" w:sz="12" w:space="0"/>
                    <w:left w:val="single" w:color="auto" w:sz="4" w:space="0"/>
                    <w:bottom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排放速率（</w:t>
                  </w:r>
                  <w:r>
                    <w:rPr>
                      <w:rFonts w:hint="eastAsia"/>
                      <w:b/>
                      <w:bCs/>
                      <w:color w:val="000000" w:themeColor="text1"/>
                      <w:lang w:val="en-US" w:eastAsia="zh-CN"/>
                      <w14:textFill>
                        <w14:solidFill>
                          <w14:schemeClr w14:val="tx1"/>
                        </w14:solidFill>
                      </w14:textFill>
                    </w:rPr>
                    <w:t>t</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a</w:t>
                  </w:r>
                  <w:r>
                    <w:rPr>
                      <w:rFonts w:hint="eastAsia"/>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690" w:type="dxa"/>
                  <w:tcBorders>
                    <w:top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N</w:t>
                  </w:r>
                </w:p>
              </w:tc>
              <w:tc>
                <w:tcPr>
                  <w:tcW w:w="690"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E</w:t>
                  </w:r>
                </w:p>
              </w:tc>
              <w:tc>
                <w:tcPr>
                  <w:tcW w:w="690"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90"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90"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826"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728"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77"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47"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1892" w:type="dxa"/>
                  <w:tcBorders>
                    <w:top w:val="single" w:color="auto" w:sz="4"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90" w:type="dxa"/>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44°11'5.89"</w:t>
                  </w:r>
                </w:p>
              </w:tc>
              <w:tc>
                <w:tcPr>
                  <w:tcW w:w="69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88°49'13.02"</w:t>
                  </w:r>
                </w:p>
              </w:tc>
              <w:tc>
                <w:tcPr>
                  <w:tcW w:w="690" w:type="dxa"/>
                  <w:tcBorders>
                    <w:top w:val="single" w:color="auto" w:sz="4"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595</w:t>
                  </w:r>
                </w:p>
              </w:tc>
              <w:tc>
                <w:tcPr>
                  <w:tcW w:w="69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69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26" w:type="dxa"/>
                  <w:tcBorders>
                    <w:top w:val="single" w:color="auto" w:sz="4"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728"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77" w:type="dxa"/>
                  <w:tcBorders>
                    <w:top w:val="single" w:color="auto" w:sz="4"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1440</w:t>
                  </w:r>
                </w:p>
              </w:tc>
              <w:tc>
                <w:tcPr>
                  <w:tcW w:w="647"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1892" w:type="dxa"/>
                  <w:tcBorders>
                    <w:top w:val="single" w:color="auto" w:sz="4" w:space="0"/>
                    <w:left w:val="single" w:color="auto" w:sz="4" w:space="0"/>
                    <w:bottom w:val="single" w:color="auto" w:sz="12"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0.338</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生物质热风炉</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高排气筒为点源，则点源参数具体如下表。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4-16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点源参数表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632"/>
              <w:gridCol w:w="631"/>
              <w:gridCol w:w="632"/>
              <w:gridCol w:w="632"/>
              <w:gridCol w:w="632"/>
              <w:gridCol w:w="632"/>
              <w:gridCol w:w="633"/>
              <w:gridCol w:w="633"/>
              <w:gridCol w:w="549"/>
              <w:gridCol w:w="717"/>
              <w:gridCol w:w="632"/>
              <w:gridCol w:w="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2" w:type="dxa"/>
                  <w:vMerge w:val="restart"/>
                  <w:tcBorders>
                    <w:top w:val="single" w:color="auto" w:sz="12"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1263" w:type="dxa"/>
                  <w:gridSpan w:val="2"/>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排气筒底部中心坐标</w:t>
                  </w:r>
                </w:p>
              </w:tc>
              <w:tc>
                <w:tcPr>
                  <w:tcW w:w="632"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排气筒底部海拔高度</w:t>
                  </w:r>
                  <w:r>
                    <w:rPr>
                      <w:b/>
                      <w:bCs/>
                      <w:color w:val="000000" w:themeColor="text1"/>
                      <w14:textFill>
                        <w14:solidFill>
                          <w14:schemeClr w14:val="tx1"/>
                        </w14:solidFill>
                      </w14:textFill>
                    </w:rPr>
                    <w:t>/m</w:t>
                  </w:r>
                </w:p>
              </w:tc>
              <w:tc>
                <w:tcPr>
                  <w:tcW w:w="632"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排气筒高度</w:t>
                  </w:r>
                  <w:r>
                    <w:rPr>
                      <w:b/>
                      <w:bCs/>
                      <w:color w:val="000000" w:themeColor="text1"/>
                      <w14:textFill>
                        <w14:solidFill>
                          <w14:schemeClr w14:val="tx1"/>
                        </w14:solidFill>
                      </w14:textFill>
                    </w:rPr>
                    <w:t>/m</w:t>
                  </w:r>
                </w:p>
              </w:tc>
              <w:tc>
                <w:tcPr>
                  <w:tcW w:w="632"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排气筒出口内径</w:t>
                  </w:r>
                  <w:r>
                    <w:rPr>
                      <w:b/>
                      <w:bCs/>
                      <w:color w:val="000000" w:themeColor="text1"/>
                      <w14:textFill>
                        <w14:solidFill>
                          <w14:schemeClr w14:val="tx1"/>
                        </w14:solidFill>
                      </w14:textFill>
                    </w:rPr>
                    <w:t>/m</w:t>
                  </w:r>
                </w:p>
              </w:tc>
              <w:tc>
                <w:tcPr>
                  <w:tcW w:w="632"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烟气流速</w:t>
                  </w:r>
                  <w:r>
                    <w:rPr>
                      <w:b/>
                      <w:bCs/>
                      <w:color w:val="000000" w:themeColor="text1"/>
                      <w14:textFill>
                        <w14:solidFill>
                          <w14:schemeClr w14:val="tx1"/>
                        </w14:solidFill>
                      </w14:textFill>
                    </w:rPr>
                    <w:t>/m/s</w:t>
                  </w:r>
                </w:p>
              </w:tc>
              <w:tc>
                <w:tcPr>
                  <w:tcW w:w="633"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烟气温度</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w:t>
                  </w:r>
                </w:p>
              </w:tc>
              <w:tc>
                <w:tcPr>
                  <w:tcW w:w="633"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年排放小时</w:t>
                  </w:r>
                  <w:r>
                    <w:rPr>
                      <w:b/>
                      <w:bCs/>
                      <w:color w:val="000000" w:themeColor="text1"/>
                      <w14:textFill>
                        <w14:solidFill>
                          <w14:schemeClr w14:val="tx1"/>
                        </w14:solidFill>
                      </w14:textFill>
                    </w:rPr>
                    <w:t>/h</w:t>
                  </w:r>
                </w:p>
              </w:tc>
              <w:tc>
                <w:tcPr>
                  <w:tcW w:w="549"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排放工况</w:t>
                  </w:r>
                </w:p>
              </w:tc>
              <w:tc>
                <w:tcPr>
                  <w:tcW w:w="1982" w:type="dxa"/>
                  <w:gridSpan w:val="3"/>
                  <w:tcBorders>
                    <w:top w:val="single" w:color="auto" w:sz="12" w:space="0"/>
                    <w:left w:val="single" w:color="auto" w:sz="4" w:space="0"/>
                    <w:bottom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污染物排放速率</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t</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a</w:t>
                  </w:r>
                  <w:r>
                    <w:rPr>
                      <w:rFonts w:hint="eastAsia"/>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2" w:type="dxa"/>
                  <w:vMerge w:val="continue"/>
                  <w:tcBorders>
                    <w:top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32"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N</w:t>
                  </w:r>
                </w:p>
              </w:tc>
              <w:tc>
                <w:tcPr>
                  <w:tcW w:w="631"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E</w:t>
                  </w:r>
                </w:p>
              </w:tc>
              <w:tc>
                <w:tcPr>
                  <w:tcW w:w="632"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32"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32"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32"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33"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633"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549" w:type="dxa"/>
                  <w:vMerge w:val="continue"/>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p>
              </w:tc>
              <w:tc>
                <w:tcPr>
                  <w:tcW w:w="717" w:type="dxa"/>
                  <w:tcBorders>
                    <w:top w:val="single" w:color="auto" w:sz="4" w:space="0"/>
                    <w:left w:val="single" w:color="auto" w:sz="4" w:space="0"/>
                    <w:bottom w:val="single" w:color="auto" w:sz="12" w:space="0"/>
                    <w:right w:val="single" w:color="auto" w:sz="4" w:space="0"/>
                  </w:tcBorders>
                  <w:vAlign w:val="center"/>
                </w:tcPr>
                <w:p>
                  <w:pPr>
                    <w:pStyle w:val="15"/>
                    <w:bidi w:val="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PM</w:t>
                  </w:r>
                  <w:r>
                    <w:rPr>
                      <w:rFonts w:hint="eastAsia"/>
                      <w:b/>
                      <w:bCs/>
                      <w:color w:val="000000" w:themeColor="text1"/>
                      <w:vertAlign w:val="subscript"/>
                      <w:lang w:val="en-US" w:eastAsia="zh-CN"/>
                      <w14:textFill>
                        <w14:solidFill>
                          <w14:schemeClr w14:val="tx1"/>
                        </w14:solidFill>
                      </w14:textFill>
                    </w:rPr>
                    <w:t>10</w:t>
                  </w:r>
                </w:p>
              </w:tc>
              <w:tc>
                <w:tcPr>
                  <w:tcW w:w="632" w:type="dxa"/>
                  <w:tcBorders>
                    <w:top w:val="single" w:color="auto" w:sz="4"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SO</w:t>
                  </w:r>
                  <w:r>
                    <w:rPr>
                      <w:b/>
                      <w:bCs/>
                      <w:color w:val="000000" w:themeColor="text1"/>
                      <w:vertAlign w:val="subscript"/>
                      <w14:textFill>
                        <w14:solidFill>
                          <w14:schemeClr w14:val="tx1"/>
                        </w14:solidFill>
                      </w14:textFill>
                    </w:rPr>
                    <w:t>2</w:t>
                  </w:r>
                </w:p>
              </w:tc>
              <w:tc>
                <w:tcPr>
                  <w:tcW w:w="633" w:type="dxa"/>
                  <w:tcBorders>
                    <w:top w:val="single" w:color="auto" w:sz="4"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NO</w:t>
                  </w:r>
                  <w:r>
                    <w:rPr>
                      <w:b/>
                      <w:bCs/>
                      <w:color w:val="000000" w:themeColor="text1"/>
                      <w:vertAlign w:val="subscript"/>
                      <w14:textFill>
                        <w14:solidFill>
                          <w14:schemeClr w14:val="tx1"/>
                        </w14:solidFill>
                      </w14:textFill>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632" w:type="dxa"/>
                  <w:tcBorders>
                    <w:top w:val="single" w:color="auto" w:sz="12"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45m</w:t>
                  </w:r>
                  <w:r>
                    <w:rPr>
                      <w:rFonts w:hint="eastAsia"/>
                      <w:color w:val="000000" w:themeColor="text1"/>
                      <w14:textFill>
                        <w14:solidFill>
                          <w14:schemeClr w14:val="tx1"/>
                        </w14:solidFill>
                      </w14:textFill>
                    </w:rPr>
                    <w:t>排气筒</w:t>
                  </w:r>
                </w:p>
              </w:tc>
              <w:tc>
                <w:tcPr>
                  <w:tcW w:w="632"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44°11'7.09"</w:t>
                  </w:r>
                </w:p>
              </w:tc>
              <w:tc>
                <w:tcPr>
                  <w:tcW w:w="631"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88°49'13.38"</w:t>
                  </w:r>
                </w:p>
              </w:tc>
              <w:tc>
                <w:tcPr>
                  <w:tcW w:w="632" w:type="dxa"/>
                  <w:tcBorders>
                    <w:top w:val="single" w:color="auto" w:sz="12"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595</w:t>
                  </w:r>
                </w:p>
              </w:tc>
              <w:tc>
                <w:tcPr>
                  <w:tcW w:w="632"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45</w:t>
                  </w:r>
                </w:p>
              </w:tc>
              <w:tc>
                <w:tcPr>
                  <w:tcW w:w="632" w:type="dxa"/>
                  <w:tcBorders>
                    <w:top w:val="single" w:color="auto" w:sz="12" w:space="0"/>
                    <w:left w:val="single" w:color="auto" w:sz="4" w:space="0"/>
                    <w:bottom w:val="single" w:color="auto" w:sz="12" w:space="0"/>
                    <w:right w:val="single" w:color="auto" w:sz="4" w:space="0"/>
                  </w:tcBorders>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32" w:type="dxa"/>
                  <w:tcBorders>
                    <w:top w:val="single" w:color="auto" w:sz="12"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9.59</w:t>
                  </w:r>
                </w:p>
              </w:tc>
              <w:tc>
                <w:tcPr>
                  <w:tcW w:w="633" w:type="dxa"/>
                  <w:tcBorders>
                    <w:top w:val="single" w:color="auto" w:sz="12"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p>
              </w:tc>
              <w:tc>
                <w:tcPr>
                  <w:tcW w:w="633" w:type="dxa"/>
                  <w:tcBorders>
                    <w:top w:val="single" w:color="auto" w:sz="12"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1440</w:t>
                  </w:r>
                </w:p>
              </w:tc>
              <w:tc>
                <w:tcPr>
                  <w:tcW w:w="549" w:type="dxa"/>
                  <w:tcBorders>
                    <w:top w:val="single" w:color="auto" w:sz="12"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717" w:type="dxa"/>
                  <w:tcBorders>
                    <w:top w:val="single" w:color="auto" w:sz="12"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3.75×10</w:t>
                  </w:r>
                  <w:r>
                    <w:rPr>
                      <w:rFonts w:hint="eastAsia"/>
                      <w:color w:val="000000" w:themeColor="text1"/>
                      <w:vertAlign w:val="superscript"/>
                      <w:lang w:val="en-US" w:eastAsia="zh-CN"/>
                      <w14:textFill>
                        <w14:solidFill>
                          <w14:schemeClr w14:val="tx1"/>
                        </w14:solidFill>
                      </w14:textFill>
                    </w:rPr>
                    <w:t>-3</w:t>
                  </w:r>
                </w:p>
              </w:tc>
              <w:tc>
                <w:tcPr>
                  <w:tcW w:w="632" w:type="dxa"/>
                  <w:tcBorders>
                    <w:top w:val="single" w:color="auto" w:sz="12"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0.166</w:t>
                  </w:r>
                  <w:r>
                    <w:rPr>
                      <w:color w:val="000000" w:themeColor="text1"/>
                      <w14:textFill>
                        <w14:solidFill>
                          <w14:schemeClr w14:val="tx1"/>
                        </w14:solidFill>
                      </w14:textFill>
                    </w:rPr>
                    <w:t>t</w:t>
                  </w:r>
                </w:p>
              </w:tc>
              <w:tc>
                <w:tcPr>
                  <w:tcW w:w="633" w:type="dxa"/>
                  <w:tcBorders>
                    <w:top w:val="single" w:color="auto" w:sz="12" w:space="0"/>
                    <w:left w:val="single" w:color="auto" w:sz="4" w:space="0"/>
                    <w:bottom w:val="single" w:color="auto" w:sz="12"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1.392</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根据导则推荐</w:t>
            </w:r>
            <w:r>
              <w:rPr>
                <w:rFonts w:hint="eastAsia"/>
                <w:color w:val="000000" w:themeColor="text1"/>
                <w:sz w:val="24"/>
                <w:szCs w:val="24"/>
                <w:lang w:eastAsia="zh-CN"/>
                <w14:textFill>
                  <w14:solidFill>
                    <w14:schemeClr w14:val="tx1"/>
                  </w14:solidFill>
                </w14:textFill>
              </w:rPr>
              <w:t>AERscreen</w:t>
            </w:r>
            <w:r>
              <w:rPr>
                <w:rFonts w:hint="eastAsia"/>
                <w:color w:val="000000" w:themeColor="text1"/>
                <w:sz w:val="24"/>
                <w:szCs w:val="24"/>
                <w14:textFill>
                  <w14:solidFill>
                    <w14:schemeClr w14:val="tx1"/>
                  </w14:solidFill>
                </w14:textFill>
              </w:rPr>
              <w:t>模式进行估算，估算结果如下表。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4-17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估算结果一览表</w:t>
            </w:r>
          </w:p>
          <w:tbl>
            <w:tblPr>
              <w:tblStyle w:val="10"/>
              <w:tblW w:w="82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887"/>
              <w:gridCol w:w="1418"/>
              <w:gridCol w:w="1500"/>
              <w:gridCol w:w="1200"/>
              <w:gridCol w:w="1101"/>
              <w:gridCol w:w="1239"/>
            </w:tblGrid>
            <w:tr>
              <w:tblPrEx>
                <w:tblLayout w:type="fixed"/>
                <w:tblCellMar>
                  <w:top w:w="0" w:type="dxa"/>
                  <w:left w:w="108" w:type="dxa"/>
                  <w:bottom w:w="0" w:type="dxa"/>
                  <w:right w:w="108" w:type="dxa"/>
                </w:tblCellMar>
              </w:tblPrEx>
              <w:trPr>
                <w:jc w:val="center"/>
              </w:trPr>
              <w:tc>
                <w:tcPr>
                  <w:tcW w:w="875"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887"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污染因子</w:t>
                  </w:r>
                </w:p>
              </w:tc>
              <w:tc>
                <w:tcPr>
                  <w:tcW w:w="1418"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最大落地浓度（</w:t>
                  </w:r>
                  <w:r>
                    <w:rPr>
                      <w:b/>
                      <w:bCs/>
                      <w:color w:val="000000" w:themeColor="text1"/>
                      <w14:textFill>
                        <w14:solidFill>
                          <w14:schemeClr w14:val="tx1"/>
                        </w14:solidFill>
                      </w14:textFill>
                    </w:rPr>
                    <w:t>ug/m³</w:t>
                  </w:r>
                  <w:r>
                    <w:rPr>
                      <w:rFonts w:hint="eastAsia"/>
                      <w:b/>
                      <w:bCs/>
                      <w:color w:val="000000" w:themeColor="text1"/>
                      <w14:textFill>
                        <w14:solidFill>
                          <w14:schemeClr w14:val="tx1"/>
                        </w14:solidFill>
                      </w14:textFill>
                    </w:rPr>
                    <w:t>）</w:t>
                  </w:r>
                </w:p>
              </w:tc>
              <w:tc>
                <w:tcPr>
                  <w:tcW w:w="1500"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最大浓度落地点（</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1200"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占标率（</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w:t>
                  </w:r>
                </w:p>
              </w:tc>
              <w:tc>
                <w:tcPr>
                  <w:tcW w:w="1101"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D10%</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1239"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评价等级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5" w:type="dxa"/>
                  <w:vMerge w:val="restart"/>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bookmarkStart w:id="4" w:name="OLE_LINK1" w:colFirst="2" w:colLast="2"/>
                  <w:bookmarkStart w:id="5" w:name="OLE_LINK2" w:colFirst="3" w:colLast="6"/>
                  <w:r>
                    <w:rPr>
                      <w:color w:val="000000" w:themeColor="text1"/>
                      <w14:textFill>
                        <w14:solidFill>
                          <w14:schemeClr w14:val="tx1"/>
                        </w14:solidFill>
                      </w14:textFill>
                    </w:rPr>
                    <w:t>45m</w:t>
                  </w:r>
                  <w:r>
                    <w:rPr>
                      <w:rFonts w:hint="eastAsia"/>
                      <w:color w:val="000000" w:themeColor="text1"/>
                      <w14:textFill>
                        <w14:solidFill>
                          <w14:schemeClr w14:val="tx1"/>
                        </w14:solidFill>
                      </w14:textFill>
                    </w:rPr>
                    <w:t>高排气筒</w:t>
                  </w:r>
                </w:p>
              </w:tc>
              <w:tc>
                <w:tcPr>
                  <w:tcW w:w="887" w:type="dxa"/>
                  <w:tcBorders>
                    <w:top w:val="single" w:color="auto" w:sz="12"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PM</w:t>
                  </w:r>
                  <w:r>
                    <w:rPr>
                      <w:rFonts w:hint="eastAsia"/>
                      <w:color w:val="000000" w:themeColor="text1"/>
                      <w:vertAlign w:val="subscript"/>
                      <w:lang w:val="en-US" w:eastAsia="zh-CN"/>
                      <w14:textFill>
                        <w14:solidFill>
                          <w14:schemeClr w14:val="tx1"/>
                        </w14:solidFill>
                      </w14:textFill>
                    </w:rPr>
                    <w:t>10</w:t>
                  </w:r>
                </w:p>
              </w:tc>
              <w:tc>
                <w:tcPr>
                  <w:tcW w:w="1418" w:type="dxa"/>
                  <w:tcBorders>
                    <w:top w:val="single" w:color="auto" w:sz="12"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1.182</w:t>
                  </w:r>
                </w:p>
              </w:tc>
              <w:tc>
                <w:tcPr>
                  <w:tcW w:w="1500" w:type="dxa"/>
                  <w:tcBorders>
                    <w:top w:val="single" w:color="auto" w:sz="12"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675</w:t>
                  </w:r>
                </w:p>
              </w:tc>
              <w:tc>
                <w:tcPr>
                  <w:tcW w:w="1200" w:type="dxa"/>
                  <w:tcBorders>
                    <w:top w:val="single" w:color="auto" w:sz="12"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26</w:t>
                  </w:r>
                </w:p>
              </w:tc>
              <w:tc>
                <w:tcPr>
                  <w:tcW w:w="1101"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9"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5"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二氧化硫</w:t>
                  </w:r>
                </w:p>
              </w:tc>
              <w:tc>
                <w:tcPr>
                  <w:tcW w:w="1418"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4.597</w:t>
                  </w:r>
                </w:p>
              </w:tc>
              <w:tc>
                <w:tcPr>
                  <w:tcW w:w="150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675</w:t>
                  </w:r>
                </w:p>
              </w:tc>
              <w:tc>
                <w:tcPr>
                  <w:tcW w:w="1200"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0.92</w:t>
                  </w:r>
                </w:p>
              </w:tc>
              <w:tc>
                <w:tcPr>
                  <w:tcW w:w="1101"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9"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5" w:type="dxa"/>
                  <w:vMerge w:val="continue"/>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887"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氮氧化物</w:t>
                  </w:r>
                </w:p>
              </w:tc>
              <w:tc>
                <w:tcPr>
                  <w:tcW w:w="1418"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9.391</w:t>
                  </w:r>
                </w:p>
              </w:tc>
              <w:tc>
                <w:tcPr>
                  <w:tcW w:w="1500"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675</w:t>
                  </w:r>
                </w:p>
              </w:tc>
              <w:tc>
                <w:tcPr>
                  <w:tcW w:w="1200"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4.70</w:t>
                  </w:r>
                </w:p>
              </w:tc>
              <w:tc>
                <w:tcPr>
                  <w:tcW w:w="1101"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9"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5" w:type="dxa"/>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生产区</w:t>
                  </w:r>
                </w:p>
              </w:tc>
              <w:tc>
                <w:tcPr>
                  <w:tcW w:w="887"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418"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81</w:t>
                  </w:r>
                  <w:r>
                    <w:rPr>
                      <w:color w:val="000000" w:themeColor="text1"/>
                      <w14:textFill>
                        <w14:solidFill>
                          <w14:schemeClr w14:val="tx1"/>
                        </w14:solidFill>
                      </w14:textFill>
                    </w:rPr>
                    <w:t>.62</w:t>
                  </w:r>
                </w:p>
              </w:tc>
              <w:tc>
                <w:tcPr>
                  <w:tcW w:w="150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57</w:t>
                  </w:r>
                </w:p>
              </w:tc>
              <w:tc>
                <w:tcPr>
                  <w:tcW w:w="1200" w:type="dxa"/>
                  <w:tcBorders>
                    <w:top w:val="single" w:color="auto" w:sz="4" w:space="0"/>
                    <w:left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9.07</w:t>
                  </w:r>
                </w:p>
              </w:tc>
              <w:tc>
                <w:tcPr>
                  <w:tcW w:w="1101"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1239"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r>
            <w:bookmarkEnd w:id="4"/>
            <w:bookmarkEnd w:id="5"/>
          </w:tbl>
          <w:p>
            <w:p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根据上表可知，本项目</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高排气筒排放的烟尘、二氧化硫、氮氧化物最大浓度落地距离为</w:t>
            </w:r>
            <w:r>
              <w:rPr>
                <w:rFonts w:hint="eastAsia"/>
                <w:color w:val="000000" w:themeColor="text1"/>
                <w:sz w:val="24"/>
                <w:szCs w:val="24"/>
                <w:lang w:val="en-US" w:eastAsia="zh-CN"/>
                <w14:textFill>
                  <w14:solidFill>
                    <w14:schemeClr w14:val="tx1"/>
                  </w14:solidFill>
                </w14:textFill>
              </w:rPr>
              <w:t>675</w:t>
            </w:r>
            <w:r>
              <w:rPr>
                <w:color w:val="000000" w:themeColor="text1"/>
                <w:sz w:val="24"/>
                <w:szCs w:val="24"/>
                <w14:textFill>
                  <w14:solidFill>
                    <w14:schemeClr w14:val="tx1"/>
                  </w14:solidFill>
                </w14:textFill>
              </w:rPr>
              <w:t>m</w:t>
            </w:r>
            <w:r>
              <w:rPr>
                <w:rFonts w:hint="eastAsia"/>
                <w:color w:val="000000" w:themeColor="text1"/>
                <w:sz w:val="24"/>
                <w:szCs w:val="24"/>
                <w14:textFill>
                  <w14:solidFill>
                    <w14:schemeClr w14:val="tx1"/>
                  </w14:solidFill>
                </w14:textFill>
              </w:rPr>
              <w:t>，占标率分别为</w:t>
            </w:r>
            <w:r>
              <w:rPr>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26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3.06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4.70</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。项目区无组织排放的颗粒物最大浓度落地点出现在</w:t>
            </w:r>
            <w:r>
              <w:rPr>
                <w:color w:val="000000" w:themeColor="text1"/>
                <w:sz w:val="24"/>
                <w:szCs w:val="24"/>
                <w14:textFill>
                  <w14:solidFill>
                    <w14:schemeClr w14:val="tx1"/>
                  </w14:solidFill>
                </w14:textFill>
              </w:rPr>
              <w:t>57m</w:t>
            </w:r>
            <w:r>
              <w:rPr>
                <w:rFonts w:hint="eastAsia"/>
                <w:color w:val="000000" w:themeColor="text1"/>
                <w:sz w:val="24"/>
                <w:szCs w:val="24"/>
                <w14:textFill>
                  <w14:solidFill>
                    <w14:schemeClr w14:val="tx1"/>
                  </w14:solidFill>
                </w14:textFill>
              </w:rPr>
              <w:t>处，占标率为</w:t>
            </w:r>
            <w:r>
              <w:rPr>
                <w:rFonts w:hint="eastAsia"/>
                <w:color w:val="000000" w:themeColor="text1"/>
                <w:sz w:val="24"/>
                <w:szCs w:val="24"/>
                <w:lang w:val="en-US" w:eastAsia="zh-CN"/>
                <w14:textFill>
                  <w14:solidFill>
                    <w14:schemeClr w14:val="tx1"/>
                  </w14:solidFill>
                </w14:textFill>
              </w:rPr>
              <w:t>9.07</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w:t>
            </w:r>
            <w:r>
              <w:rPr>
                <w:rFonts w:hint="eastAsia"/>
                <w:color w:val="000000" w:themeColor="text1"/>
                <w:lang w:val="en-US" w:eastAsia="zh-CN"/>
                <w14:textFill>
                  <w14:solidFill>
                    <w14:schemeClr w14:val="tx1"/>
                  </w14:solidFill>
                </w14:textFill>
              </w:rPr>
              <w:t>各污染物占标率均小于10%，均能满足《环境空气质量标准》（GB3095-2012）二级标准要求限值，</w:t>
            </w:r>
            <w:r>
              <w:rPr>
                <w:rFonts w:hint="eastAsia"/>
                <w:color w:val="000000" w:themeColor="text1"/>
                <w14:textFill>
                  <w14:solidFill>
                    <w14:schemeClr w14:val="tx1"/>
                  </w14:solidFill>
                </w14:textFill>
              </w:rPr>
              <w:t>本项目产生的</w:t>
            </w:r>
            <w:r>
              <w:rPr>
                <w:rFonts w:hint="eastAsia"/>
                <w:color w:val="000000" w:themeColor="text1"/>
                <w:lang w:val="en-US" w:eastAsia="zh-CN"/>
                <w14:textFill>
                  <w14:solidFill>
                    <w14:schemeClr w14:val="tx1"/>
                  </w14:solidFill>
                </w14:textFill>
              </w:rPr>
              <w:t>大气污染对</w:t>
            </w:r>
            <w:r>
              <w:rPr>
                <w:rFonts w:hint="eastAsia"/>
                <w:color w:val="000000" w:themeColor="text1"/>
                <w14:textFill>
                  <w14:solidFill>
                    <w14:schemeClr w14:val="tx1"/>
                  </w14:solidFill>
                </w14:textFill>
              </w:rPr>
              <w:t>周围环境</w:t>
            </w:r>
            <w:r>
              <w:rPr>
                <w:rFonts w:hint="eastAsia"/>
                <w:color w:val="000000" w:themeColor="text1"/>
                <w:lang w:val="en-US" w:eastAsia="zh-CN"/>
                <w14:textFill>
                  <w14:solidFill>
                    <w14:schemeClr w14:val="tx1"/>
                  </w14:solidFill>
                </w14:textFill>
              </w:rPr>
              <w:t>的</w:t>
            </w:r>
            <w:r>
              <w:rPr>
                <w:rFonts w:hint="eastAsia"/>
                <w:color w:val="000000" w:themeColor="text1"/>
                <w14:textFill>
                  <w14:solidFill>
                    <w14:schemeClr w14:val="tx1"/>
                  </w14:solidFill>
                </w14:textFill>
              </w:rPr>
              <w:t>影响</w:t>
            </w:r>
            <w:r>
              <w:rPr>
                <w:rFonts w:hint="eastAsia"/>
                <w:color w:val="000000" w:themeColor="text1"/>
                <w:lang w:val="en-US" w:eastAsia="zh-CN"/>
                <w14:textFill>
                  <w14:solidFill>
                    <w14:schemeClr w14:val="tx1"/>
                  </w14:solidFill>
                </w14:textFill>
              </w:rPr>
              <w:t>可接受</w:t>
            </w:r>
            <w:r>
              <w:rPr>
                <w:rFonts w:hint="eastAsia"/>
                <w:color w:val="000000" w:themeColor="text1"/>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olor w:val="000000" w:themeColor="text1"/>
                <w:lang w:val="zh-CN" w:eastAsia="zh-CN"/>
                <w14:textFill>
                  <w14:solidFill>
                    <w14:schemeClr w14:val="tx1"/>
                  </w14:solidFill>
                </w14:textFill>
              </w:rPr>
              <w:t>根据《环境影响评价技术导则 大气环境》（HJ2.2-2018）分级判据，确定本项目大气环境影响评价工作等级为二级，二级评价项目不进行进一步预测与评价，以估算模式（AERscreen）的计算结果作为预测与分析依据，</w:t>
            </w:r>
            <w:r>
              <w:rPr>
                <w:rFonts w:hint="default"/>
                <w:color w:val="000000" w:themeColor="text1"/>
                <w14:textFill>
                  <w14:solidFill>
                    <w14:schemeClr w14:val="tx1"/>
                  </w14:solidFill>
                </w14:textFill>
              </w:rPr>
              <w:t>对污染物排放量进行核算。</w:t>
            </w:r>
          </w:p>
          <w:p>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1.3</w:t>
            </w: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14:textFill>
                  <w14:solidFill>
                    <w14:schemeClr w14:val="tx1"/>
                  </w14:solidFill>
                </w14:textFill>
              </w:rPr>
              <w:t>大气污染物排放治理措施及合理性分析</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生物质热风炉</w:t>
            </w:r>
            <w:r>
              <w:rPr>
                <w:rFonts w:hint="eastAsia"/>
                <w:color w:val="000000" w:themeColor="text1"/>
                <w:sz w:val="24"/>
                <w:szCs w:val="24"/>
                <w14:textFill>
                  <w14:solidFill>
                    <w14:schemeClr w14:val="tx1"/>
                  </w14:solidFill>
                </w14:textFill>
              </w:rPr>
              <w:t>排气筒高度合理性分析</w:t>
            </w:r>
          </w:p>
          <w:p>
            <w:pPr>
              <w:snapToGrid w:val="0"/>
              <w:spacing w:line="360" w:lineRule="auto"/>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根据《锅炉大气污染物排放标准》（</w:t>
            </w:r>
            <w:r>
              <w:rPr>
                <w:color w:val="000000" w:themeColor="text1"/>
                <w:sz w:val="24"/>
                <w:szCs w:val="24"/>
                <w14:textFill>
                  <w14:solidFill>
                    <w14:schemeClr w14:val="tx1"/>
                  </w14:solidFill>
                </w14:textFill>
              </w:rPr>
              <w:t>GB13271-2014</w:t>
            </w:r>
            <w:r>
              <w:rPr>
                <w:rFonts w:hint="eastAsia"/>
                <w:color w:val="000000" w:themeColor="text1"/>
                <w:sz w:val="24"/>
                <w:szCs w:val="24"/>
                <w14:textFill>
                  <w14:solidFill>
                    <w14:schemeClr w14:val="tx1"/>
                  </w14:solidFill>
                </w14:textFill>
              </w:rPr>
              <w:t>）规定：</w:t>
            </w:r>
            <w:r>
              <w:rPr>
                <w:rFonts w:hint="eastAsia"/>
                <w:color w:val="000000" w:themeColor="text1"/>
                <w:sz w:val="24"/>
                <w:szCs w:val="24"/>
                <w:lang w:val="en-US" w:eastAsia="zh-CN"/>
                <w14:textFill>
                  <w14:solidFill>
                    <w14:schemeClr w14:val="tx1"/>
                  </w14:solidFill>
                </w14:textFill>
              </w:rPr>
              <w:t>使用型煤、水煤浆、煤矸石、石油焦、油页岩、生物质成型燃料等的锅炉，参照本标准中燃煤锅炉排放控制要求执行，</w:t>
            </w:r>
            <w:r>
              <w:rPr>
                <w:rFonts w:hint="eastAsia"/>
                <w:color w:val="000000" w:themeColor="text1"/>
                <w:sz w:val="24"/>
                <w:szCs w:val="24"/>
                <w14:textFill>
                  <w14:solidFill>
                    <w14:schemeClr w14:val="tx1"/>
                  </w14:solidFill>
                </w14:textFill>
              </w:rPr>
              <w:t>每个新建燃煤锅炉房只能设一根烟囱，烟囱高度应根据锅炉房装机总容量，按《锅炉大气污染物排放标准》（</w:t>
            </w:r>
            <w:r>
              <w:rPr>
                <w:color w:val="000000" w:themeColor="text1"/>
                <w:sz w:val="24"/>
                <w:szCs w:val="24"/>
                <w14:textFill>
                  <w14:solidFill>
                    <w14:schemeClr w14:val="tx1"/>
                  </w14:solidFill>
                </w14:textFill>
              </w:rPr>
              <w:t>GB13271-2014</w:t>
            </w:r>
            <w:r>
              <w:rPr>
                <w:rFonts w:hint="eastAsia"/>
                <w:color w:val="000000" w:themeColor="text1"/>
                <w:sz w:val="24"/>
                <w:szCs w:val="24"/>
                <w14:textFill>
                  <w14:solidFill>
                    <w14:schemeClr w14:val="tx1"/>
                  </w14:solidFill>
                </w14:textFill>
              </w:rPr>
              <w:t>）中表</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规定执行（即：</w:t>
            </w:r>
            <w:r>
              <w:rPr>
                <w:color w:val="000000" w:themeColor="text1"/>
                <w:sz w:val="24"/>
                <w:szCs w:val="24"/>
                <w14:textFill>
                  <w14:solidFill>
                    <w14:schemeClr w14:val="tx1"/>
                  </w14:solidFill>
                </w14:textFill>
              </w:rPr>
              <w:t>14MW</w:t>
            </w:r>
            <w:r>
              <w:rPr>
                <w:rFonts w:hint="eastAsia"/>
                <w:color w:val="000000" w:themeColor="text1"/>
                <w:sz w:val="24"/>
                <w:szCs w:val="24"/>
                <w14:textFill>
                  <w14:solidFill>
                    <w14:schemeClr w14:val="tx1"/>
                  </w14:solidFill>
                </w14:textFill>
              </w:rPr>
              <w:t>以上的锅炉烟囱高度不得低于</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，当周围半径</w:t>
            </w:r>
            <w:r>
              <w:rPr>
                <w:color w:val="000000" w:themeColor="text1"/>
                <w:sz w:val="24"/>
                <w:szCs w:val="24"/>
                <w14:textFill>
                  <w14:solidFill>
                    <w14:schemeClr w14:val="tx1"/>
                  </w14:solidFill>
                </w14:textFill>
              </w:rPr>
              <w:t>200m</w:t>
            </w:r>
            <w:r>
              <w:rPr>
                <w:rFonts w:hint="eastAsia"/>
                <w:color w:val="000000" w:themeColor="text1"/>
                <w:sz w:val="24"/>
                <w:szCs w:val="24"/>
                <w14:textFill>
                  <w14:solidFill>
                    <w14:schemeClr w14:val="tx1"/>
                  </w14:solidFill>
                </w14:textFill>
              </w:rPr>
              <w:t>范围内有建筑物时，应高出最高建筑物</w:t>
            </w:r>
            <w:r>
              <w:rPr>
                <w:color w:val="000000" w:themeColor="text1"/>
                <w:sz w:val="24"/>
                <w:szCs w:val="24"/>
                <w14:textFill>
                  <w14:solidFill>
                    <w14:schemeClr w14:val="tx1"/>
                  </w14:solidFill>
                </w14:textFill>
              </w:rPr>
              <w:t>3m</w:t>
            </w:r>
            <w:r>
              <w:rPr>
                <w:rFonts w:hint="eastAsia"/>
                <w:color w:val="000000" w:themeColor="text1"/>
                <w:sz w:val="24"/>
                <w:szCs w:val="24"/>
                <w14:textFill>
                  <w14:solidFill>
                    <w14:schemeClr w14:val="tx1"/>
                  </w14:solidFill>
                </w14:textFill>
              </w:rPr>
              <w:t>以上。锅炉烟囱的具体高度按批复的环境影响评价文件确定）。</w:t>
            </w:r>
          </w:p>
          <w:p>
            <w:pPr>
              <w:snapToGrid w:val="0"/>
              <w:spacing w:line="360" w:lineRule="auto"/>
              <w:ind w:firstLine="48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同时根据</w:t>
            </w:r>
            <w:r>
              <w:rPr>
                <w:rFonts w:hint="eastAsia"/>
                <w:lang w:val="en-US" w:eastAsia="zh-CN"/>
              </w:rPr>
              <w:t>《国家发改委  国家能源局关于印发促进生物质能供热发展指导意见的通知》（发改能源﹝2017﹞2123号）中要求生物质燃料锅炉废气排放达到燃气锅炉排放水平，故本项目生物质锅炉需采用脱硫、脱硝、除尘等措施，方能确保生物质燃烧废气达到燃气锅炉的污染物排放水平。</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本项目烟气经采用</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炉内脱硝、袋式除尘器和脱硫塔对烟气进行处理后，通过</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高的烟囱排放，烟囱内径</w:t>
            </w:r>
            <w:r>
              <w:rPr>
                <w:color w:val="000000" w:themeColor="text1"/>
                <w:sz w:val="24"/>
                <w:szCs w:val="24"/>
                <w14:textFill>
                  <w14:solidFill>
                    <w14:schemeClr w14:val="tx1"/>
                  </w14:solidFill>
                </w14:textFill>
              </w:rPr>
              <w:t>1.0m</w:t>
            </w:r>
            <w:r>
              <w:rPr>
                <w:rFonts w:hint="eastAsia"/>
                <w:color w:val="000000" w:themeColor="text1"/>
                <w:sz w:val="24"/>
                <w:szCs w:val="24"/>
                <w14:textFill>
                  <w14:solidFill>
                    <w14:schemeClr w14:val="tx1"/>
                  </w14:solidFill>
                </w14:textFill>
              </w:rPr>
              <w:t>，周边</w:t>
            </w:r>
            <w:r>
              <w:rPr>
                <w:color w:val="000000" w:themeColor="text1"/>
                <w:sz w:val="24"/>
                <w:szCs w:val="24"/>
                <w14:textFill>
                  <w14:solidFill>
                    <w14:schemeClr w14:val="tx1"/>
                  </w14:solidFill>
                </w14:textFill>
              </w:rPr>
              <w:t>200m</w:t>
            </w:r>
            <w:r>
              <w:rPr>
                <w:rFonts w:hint="eastAsia"/>
                <w:color w:val="000000" w:themeColor="text1"/>
                <w:sz w:val="24"/>
                <w:szCs w:val="24"/>
                <w14:textFill>
                  <w14:solidFill>
                    <w14:schemeClr w14:val="tx1"/>
                  </w14:solidFill>
                </w14:textFill>
              </w:rPr>
              <w:t>范围内无高度大于</w:t>
            </w:r>
            <w:r>
              <w:rPr>
                <w:color w:val="000000" w:themeColor="text1"/>
                <w:sz w:val="24"/>
                <w:szCs w:val="24"/>
                <w14:textFill>
                  <w14:solidFill>
                    <w14:schemeClr w14:val="tx1"/>
                  </w14:solidFill>
                </w14:textFill>
              </w:rPr>
              <w:t>42m</w:t>
            </w:r>
            <w:r>
              <w:rPr>
                <w:rFonts w:hint="eastAsia"/>
                <w:color w:val="000000" w:themeColor="text1"/>
                <w:sz w:val="24"/>
                <w:szCs w:val="24"/>
                <w14:textFill>
                  <w14:solidFill>
                    <w14:schemeClr w14:val="tx1"/>
                  </w14:solidFill>
                </w14:textFill>
              </w:rPr>
              <w:t>的建筑物，因此锅炉烟囱高度符合标准要求。</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生物质热风炉</w:t>
            </w:r>
            <w:r>
              <w:rPr>
                <w:rFonts w:hint="eastAsia"/>
                <w:color w:val="000000" w:themeColor="text1"/>
                <w:sz w:val="24"/>
                <w:szCs w:val="24"/>
                <w14:textFill>
                  <w14:solidFill>
                    <w14:schemeClr w14:val="tx1"/>
                  </w14:solidFill>
                </w14:textFill>
              </w:rPr>
              <w:t>烟气治理措施合理性分析</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①锅炉烟尘治理采用布袋除尘器。</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袋除尘器工作原理：当含尘气体由进风口进入灰斗后，一部分较粗的尘粒在这里由于惯性碰撞、自然沉降等原因落入灰斗，大部分尘粒随气流上升进入袋室，经滤袋过滤后，尘粒被阻留在滤袋外侧，净化后的气体则由滤袋内部进入箱体，再由阀板孔、出风口排入大气中，达到除尘的目的。</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布袋除尘器在我国技术成熟，设计、制造、调试和运行管理经验等方面都比较系统而成熟，得到较为广泛的应用，其优点主要表现在除尘效率高、占地面积小、性能稳定可靠，对负荷变化适应性好、运行管理简便等方面。布袋除尘器特别适宜捕集细微而干燥的粉尘，所收的干尘便于处理和回收利用。能实现不停机检修并能按场地要求作专门设计。自动化程度较高，对除尘系统所有设备均有检测报警功能，对操作人员要求较低。从经济指标的角度看，只要布袋除尘器的除尘效率满足本项目对除尘效率的要求，本项目拟采用布袋除尘器是合理可行的。</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②脱硝采用</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工艺。</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随着国家环保要求的不断提高，新建机组均需要同步装设脱硝装置才能适应新的环保要求。目前脱硝工艺主要分为</w:t>
            </w:r>
            <w:r>
              <w:rPr>
                <w:color w:val="000000" w:themeColor="text1"/>
                <w:sz w:val="24"/>
                <w:szCs w:val="24"/>
                <w14:textFill>
                  <w14:solidFill>
                    <w14:schemeClr w14:val="tx1"/>
                  </w14:solidFill>
                </w14:textFill>
              </w:rPr>
              <w:t>SCR</w:t>
            </w:r>
            <w:r>
              <w:rPr>
                <w:rFonts w:hint="eastAsia"/>
                <w:color w:val="000000" w:themeColor="text1"/>
                <w:sz w:val="24"/>
                <w:szCs w:val="24"/>
                <w14:textFill>
                  <w14:solidFill>
                    <w14:schemeClr w14:val="tx1"/>
                  </w14:solidFill>
                </w14:textFill>
              </w:rPr>
              <w:t>工艺和</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工艺，</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工艺是向高温烟气中喷射氨或尿素等还原剂，将</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还原成</w:t>
            </w:r>
            <w:r>
              <w:rPr>
                <w:color w:val="000000" w:themeColor="text1"/>
                <w:sz w:val="24"/>
                <w:szCs w:val="24"/>
                <w14:textFill>
                  <w14:solidFill>
                    <w14:schemeClr w14:val="tx1"/>
                  </w14:solidFill>
                </w14:textFill>
              </w:rPr>
              <w:t>N</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，其化学反应与</w:t>
            </w:r>
            <w:r>
              <w:rPr>
                <w:color w:val="000000" w:themeColor="text1"/>
                <w:sz w:val="24"/>
                <w:szCs w:val="24"/>
                <w14:textFill>
                  <w14:solidFill>
                    <w14:schemeClr w14:val="tx1"/>
                  </w14:solidFill>
                </w14:textFill>
              </w:rPr>
              <w:t>SCR</w:t>
            </w:r>
            <w:r>
              <w:rPr>
                <w:rFonts w:hint="eastAsia"/>
                <w:color w:val="000000" w:themeColor="text1"/>
                <w:sz w:val="24"/>
                <w:szCs w:val="24"/>
                <w14:textFill>
                  <w14:solidFill>
                    <w14:schemeClr w14:val="tx1"/>
                  </w14:solidFill>
                </w14:textFill>
              </w:rPr>
              <w:t>法相同，所用的还原剂可为氨、氨水和尿素等，</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较</w:t>
            </w:r>
            <w:r>
              <w:rPr>
                <w:color w:val="000000" w:themeColor="text1"/>
                <w:sz w:val="24"/>
                <w:szCs w:val="24"/>
                <w14:textFill>
                  <w14:solidFill>
                    <w14:schemeClr w14:val="tx1"/>
                  </w14:solidFill>
                </w14:textFill>
              </w:rPr>
              <w:t>SCR</w:t>
            </w:r>
            <w:r>
              <w:rPr>
                <w:rFonts w:hint="eastAsia"/>
                <w:color w:val="000000" w:themeColor="text1"/>
                <w:sz w:val="24"/>
                <w:szCs w:val="24"/>
                <w14:textFill>
                  <w14:solidFill>
                    <w14:schemeClr w14:val="tx1"/>
                  </w14:solidFill>
                </w14:textFill>
              </w:rPr>
              <w:t>具有系统简单、而根据</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脱硝技术的基本特点和项目锅炉独有特性，</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脱硝技术适用于本项目锅炉。</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脱硝技术是在没有催化剂作用下，向</w:t>
            </w:r>
            <w:r>
              <w:rPr>
                <w:color w:val="000000" w:themeColor="text1"/>
                <w:sz w:val="24"/>
                <w:szCs w:val="24"/>
                <w14:textFill>
                  <w14:solidFill>
                    <w14:schemeClr w14:val="tx1"/>
                  </w14:solidFill>
                </w14:textFill>
              </w:rPr>
              <w:t>850</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1150</w:t>
            </w:r>
            <w:r>
              <w:rPr>
                <w:rFonts w:hint="eastAsia" w:ascii="宋体" w:hAnsi="宋体" w:cs="宋体"/>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高温烟气中喷射氨还原剂，还原剂与烟气中</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反应生成</w:t>
            </w:r>
            <w:r>
              <w:rPr>
                <w:color w:val="000000" w:themeColor="text1"/>
                <w:sz w:val="24"/>
                <w:szCs w:val="24"/>
                <w14:textFill>
                  <w14:solidFill>
                    <w14:schemeClr w14:val="tx1"/>
                  </w14:solidFill>
                </w14:textFill>
              </w:rPr>
              <w:t>N</w:t>
            </w:r>
            <w:r>
              <w:rPr>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和</w:t>
            </w:r>
            <w:r>
              <w:rPr>
                <w:color w:val="000000" w:themeColor="text1"/>
                <w:sz w:val="24"/>
                <w:szCs w:val="24"/>
                <w14:textFill>
                  <w14:solidFill>
                    <w14:schemeClr w14:val="tx1"/>
                  </w14:solidFill>
                </w14:textFill>
              </w:rPr>
              <w:t>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O</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烟气脱硝技术的主要特点为：脱硝效果较明显，在大型锅炉上能够达到</w:t>
            </w:r>
            <w:r>
              <w:rPr>
                <w:color w:val="000000" w:themeColor="text1"/>
                <w:sz w:val="24"/>
                <w:szCs w:val="24"/>
                <w14:textFill>
                  <w14:solidFill>
                    <w14:schemeClr w14:val="tx1"/>
                  </w14:solidFill>
                </w14:textFill>
              </w:rPr>
              <w:t>30%~50%</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NOx</w:t>
            </w:r>
            <w:r>
              <w:rPr>
                <w:rFonts w:hint="eastAsia"/>
                <w:color w:val="000000" w:themeColor="text1"/>
                <w:sz w:val="24"/>
                <w:szCs w:val="24"/>
                <w14:textFill>
                  <w14:solidFill>
                    <w14:schemeClr w14:val="tx1"/>
                  </w14:solidFill>
                </w14:textFill>
              </w:rPr>
              <w:t>脱除率；在中小型锅炉上可达到</w:t>
            </w:r>
            <w:r>
              <w:rPr>
                <w:color w:val="000000" w:themeColor="text1"/>
                <w:sz w:val="24"/>
                <w:szCs w:val="24"/>
                <w14:textFill>
                  <w14:solidFill>
                    <w14:schemeClr w14:val="tx1"/>
                  </w14:solidFill>
                </w14:textFill>
              </w:rPr>
              <w:t>50%~70%</w:t>
            </w:r>
            <w:r>
              <w:rPr>
                <w:rFonts w:hint="eastAsia"/>
                <w:color w:val="000000" w:themeColor="text1"/>
                <w:sz w:val="24"/>
                <w:szCs w:val="24"/>
                <w14:textFill>
                  <w14:solidFill>
                    <w14:schemeClr w14:val="tx1"/>
                  </w14:solidFill>
                </w14:textFill>
              </w:rPr>
              <w:t>的</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14:textFill>
                  <w14:solidFill>
                    <w14:schemeClr w14:val="tx1"/>
                  </w14:solidFill>
                </w14:textFill>
              </w:rPr>
              <w:t>脱除率；还原剂多样易得；脱除</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 xml:space="preserve">X </w:t>
            </w:r>
            <w:r>
              <w:rPr>
                <w:rFonts w:hint="eastAsia"/>
                <w:color w:val="000000" w:themeColor="text1"/>
                <w:sz w:val="24"/>
                <w:szCs w:val="24"/>
                <w14:textFill>
                  <w14:solidFill>
                    <w14:schemeClr w14:val="tx1"/>
                  </w14:solidFill>
                </w14:textFill>
              </w:rPr>
              <w:t>的还原剂一般都是含氮的物质，包括氨、尿素和各种铵盐，应用广泛的是氨和尿素；</w:t>
            </w:r>
            <w:r>
              <w:rPr>
                <w:color w:val="000000" w:themeColor="text1"/>
                <w:sz w:val="24"/>
                <w:szCs w:val="24"/>
                <w14:textFill>
                  <w14:solidFill>
                    <w14:schemeClr w14:val="tx1"/>
                  </w14:solidFill>
                </w14:textFill>
              </w:rPr>
              <w:t xml:space="preserve">SNCR </w:t>
            </w:r>
            <w:r>
              <w:rPr>
                <w:rFonts w:hint="eastAsia"/>
                <w:color w:val="000000" w:themeColor="text1"/>
                <w:sz w:val="24"/>
                <w:szCs w:val="24"/>
                <w14:textFill>
                  <w14:solidFill>
                    <w14:schemeClr w14:val="tx1"/>
                  </w14:solidFill>
                </w14:textFill>
              </w:rPr>
              <w:t>脱硝系统运行过程没有任何固体或液体的污染物或副产物生成，无二次污染；阻力小，对锅炉的正常运行影响较小；经济性好，投资成本和运行成本低；系统简单；施工时间短等。</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综上所述，本项目脱硝选用</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工艺合理，一次性投资较小，排放浓度可达设计排放浓度，工艺选取合理。</w:t>
            </w:r>
          </w:p>
          <w:p>
            <w:pPr>
              <w:snapToGrid w:val="0"/>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③脱硫措施合理性分析</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本项目主要考虑烟气脱硫，目前</w:t>
            </w:r>
            <w:r>
              <w:rPr>
                <w:rFonts w:hint="eastAsia"/>
                <w:snapToGrid w:val="0"/>
                <w:color w:val="000000" w:themeColor="text1"/>
                <w:spacing w:val="-2"/>
                <w:kern w:val="0"/>
                <w:sz w:val="24"/>
                <w:szCs w:val="24"/>
                <w:lang w:val="en-US" w:eastAsia="zh-CN"/>
                <w14:textFill>
                  <w14:solidFill>
                    <w14:schemeClr w14:val="tx1"/>
                  </w14:solidFill>
                </w14:textFill>
              </w:rPr>
              <w:t>各类锅炉</w:t>
            </w:r>
            <w:r>
              <w:rPr>
                <w:rFonts w:hint="eastAsia"/>
                <w:snapToGrid w:val="0"/>
                <w:color w:val="000000" w:themeColor="text1"/>
                <w:spacing w:val="-2"/>
                <w:kern w:val="0"/>
                <w:sz w:val="24"/>
                <w:szCs w:val="24"/>
                <w14:textFill>
                  <w14:solidFill>
                    <w14:schemeClr w14:val="tx1"/>
                  </w14:solidFill>
                </w14:textFill>
              </w:rPr>
              <w:t>主要采用的烟气脱硫方法有碱法脱硫、石灰石</w:t>
            </w:r>
            <w:r>
              <w:rPr>
                <w:snapToGrid w:val="0"/>
                <w:color w:val="000000" w:themeColor="text1"/>
                <w:spacing w:val="-2"/>
                <w:kern w:val="0"/>
                <w:sz w:val="24"/>
                <w:szCs w:val="24"/>
                <w14:textFill>
                  <w14:solidFill>
                    <w14:schemeClr w14:val="tx1"/>
                  </w14:solidFill>
                </w14:textFill>
              </w:rPr>
              <w:t>-</w:t>
            </w:r>
            <w:r>
              <w:rPr>
                <w:rFonts w:hint="eastAsia"/>
                <w:snapToGrid w:val="0"/>
                <w:color w:val="000000" w:themeColor="text1"/>
                <w:spacing w:val="-2"/>
                <w:kern w:val="0"/>
                <w:sz w:val="24"/>
                <w:szCs w:val="24"/>
                <w14:textFill>
                  <w14:solidFill>
                    <w14:schemeClr w14:val="tx1"/>
                  </w14:solidFill>
                </w14:textFill>
              </w:rPr>
              <w:t>石膏湿法脱硫、氨法脱硫。</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snapToGrid w:val="0"/>
                <w:color w:val="000000" w:themeColor="text1"/>
                <w:spacing w:val="-2"/>
                <w:kern w:val="0"/>
                <w:sz w:val="24"/>
                <w:szCs w:val="24"/>
                <w14:textFill>
                  <w14:solidFill>
                    <w14:schemeClr w14:val="tx1"/>
                  </w14:solidFill>
                </w14:textFill>
              </w:rPr>
              <w:t>a</w:t>
            </w:r>
            <w:r>
              <w:rPr>
                <w:rFonts w:hint="eastAsia"/>
                <w:snapToGrid w:val="0"/>
                <w:color w:val="000000" w:themeColor="text1"/>
                <w:spacing w:val="-2"/>
                <w:kern w:val="0"/>
                <w:sz w:val="24"/>
                <w:szCs w:val="24"/>
                <w14:textFill>
                  <w14:solidFill>
                    <w14:schemeClr w14:val="tx1"/>
                  </w14:solidFill>
                </w14:textFill>
              </w:rPr>
              <w:t>、碱法脱硫：钠碱法脱硫工艺，简称碱法。该法主要是脱除气体中的</w:t>
            </w:r>
            <w:r>
              <w:rPr>
                <w:snapToGrid w:val="0"/>
                <w:color w:val="000000" w:themeColor="text1"/>
                <w:spacing w:val="-2"/>
                <w:kern w:val="0"/>
                <w:sz w:val="24"/>
                <w:szCs w:val="24"/>
                <w14:textFill>
                  <w14:solidFill>
                    <w14:schemeClr w14:val="tx1"/>
                  </w14:solidFill>
                </w14:textFill>
              </w:rPr>
              <w:t>SO</w:t>
            </w:r>
            <w:r>
              <w:rPr>
                <w:snapToGrid w:val="0"/>
                <w:color w:val="000000" w:themeColor="text1"/>
                <w:spacing w:val="-2"/>
                <w:kern w:val="0"/>
                <w:sz w:val="24"/>
                <w:szCs w:val="24"/>
                <w:vertAlign w:val="subscript"/>
                <w14:textFill>
                  <w14:solidFill>
                    <w14:schemeClr w14:val="tx1"/>
                  </w14:solidFill>
                </w14:textFill>
              </w:rPr>
              <w:t>2</w:t>
            </w:r>
            <w:r>
              <w:rPr>
                <w:rFonts w:hint="eastAsia"/>
                <w:snapToGrid w:val="0"/>
                <w:color w:val="000000" w:themeColor="text1"/>
                <w:spacing w:val="-2"/>
                <w:kern w:val="0"/>
                <w:sz w:val="24"/>
                <w:szCs w:val="24"/>
                <w14:textFill>
                  <w14:solidFill>
                    <w14:schemeClr w14:val="tx1"/>
                  </w14:solidFill>
                </w14:textFill>
              </w:rPr>
              <w:t>气体。适用于锅炉烟气、焦炉气、锅炉生产废气等的脱硫。</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钠双碱法是用钠碱性吸收液进行烟气脱硫，由于整个反应过程是液</w:t>
            </w:r>
            <w:r>
              <w:rPr>
                <w:rFonts w:hint="eastAsia"/>
                <w:snapToGrid w:val="0"/>
                <w:color w:val="000000" w:themeColor="text1"/>
                <w:spacing w:val="-2"/>
                <w:kern w:val="0"/>
                <w:sz w:val="24"/>
                <w:szCs w:val="24"/>
                <w:lang w:eastAsia="zh-CN"/>
                <w14:textFill>
                  <w14:solidFill>
                    <w14:schemeClr w14:val="tx1"/>
                  </w14:solidFill>
                </w14:textFill>
              </w:rPr>
              <w:t>、</w:t>
            </w:r>
            <w:r>
              <w:rPr>
                <w:rFonts w:hint="eastAsia"/>
                <w:snapToGrid w:val="0"/>
                <w:color w:val="000000" w:themeColor="text1"/>
                <w:spacing w:val="-2"/>
                <w:kern w:val="0"/>
                <w:sz w:val="24"/>
                <w:szCs w:val="24"/>
                <w14:textFill>
                  <w14:solidFill>
                    <w14:schemeClr w14:val="tx1"/>
                  </w14:solidFill>
                </w14:textFill>
              </w:rPr>
              <w:t>气相之间进行，避免了系统结垢问题，而且吸收速率高，液气比低，吸收剂利用率高，投资费用省，运行成本低。</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snapToGrid w:val="0"/>
                <w:color w:val="000000" w:themeColor="text1"/>
                <w:spacing w:val="-2"/>
                <w:kern w:val="0"/>
                <w:sz w:val="24"/>
                <w:szCs w:val="24"/>
                <w14:textFill>
                  <w14:solidFill>
                    <w14:schemeClr w14:val="tx1"/>
                  </w14:solidFill>
                </w14:textFill>
              </w:rPr>
              <w:t>b</w:t>
            </w:r>
            <w:r>
              <w:rPr>
                <w:rFonts w:hint="eastAsia"/>
                <w:snapToGrid w:val="0"/>
                <w:color w:val="000000" w:themeColor="text1"/>
                <w:spacing w:val="-2"/>
                <w:kern w:val="0"/>
                <w:sz w:val="24"/>
                <w:szCs w:val="24"/>
                <w14:textFill>
                  <w14:solidFill>
                    <w14:schemeClr w14:val="tx1"/>
                  </w14:solidFill>
                </w14:textFill>
              </w:rPr>
              <w:t>、石灰石</w:t>
            </w:r>
            <w:r>
              <w:rPr>
                <w:snapToGrid w:val="0"/>
                <w:color w:val="000000" w:themeColor="text1"/>
                <w:spacing w:val="-2"/>
                <w:kern w:val="0"/>
                <w:sz w:val="24"/>
                <w:szCs w:val="24"/>
                <w14:textFill>
                  <w14:solidFill>
                    <w14:schemeClr w14:val="tx1"/>
                  </w14:solidFill>
                </w14:textFill>
              </w:rPr>
              <w:t>-</w:t>
            </w:r>
            <w:r>
              <w:rPr>
                <w:rFonts w:hint="eastAsia"/>
                <w:snapToGrid w:val="0"/>
                <w:color w:val="000000" w:themeColor="text1"/>
                <w:spacing w:val="-2"/>
                <w:kern w:val="0"/>
                <w:sz w:val="24"/>
                <w:szCs w:val="24"/>
                <w14:textFill>
                  <w14:solidFill>
                    <w14:schemeClr w14:val="tx1"/>
                  </w14:solidFill>
                </w14:textFill>
              </w:rPr>
              <w:t>石膏湿法脱硫：石灰石－石膏湿法脱硫工艺是目前世界上应用最广泛、技术最为成熟的</w:t>
            </w:r>
            <w:r>
              <w:rPr>
                <w:snapToGrid w:val="0"/>
                <w:color w:val="000000" w:themeColor="text1"/>
                <w:spacing w:val="-2"/>
                <w:kern w:val="0"/>
                <w:sz w:val="24"/>
                <w:szCs w:val="24"/>
                <w14:textFill>
                  <w14:solidFill>
                    <w14:schemeClr w14:val="tx1"/>
                  </w14:solidFill>
                </w14:textFill>
              </w:rPr>
              <w:t>SO</w:t>
            </w:r>
            <w:r>
              <w:rPr>
                <w:snapToGrid w:val="0"/>
                <w:color w:val="000000" w:themeColor="text1"/>
                <w:spacing w:val="-2"/>
                <w:kern w:val="0"/>
                <w:sz w:val="24"/>
                <w:szCs w:val="24"/>
                <w:vertAlign w:val="subscript"/>
                <w14:textFill>
                  <w14:solidFill>
                    <w14:schemeClr w14:val="tx1"/>
                  </w14:solidFill>
                </w14:textFill>
              </w:rPr>
              <w:t>2</w:t>
            </w:r>
            <w:r>
              <w:rPr>
                <w:rFonts w:hint="eastAsia"/>
                <w:snapToGrid w:val="0"/>
                <w:color w:val="000000" w:themeColor="text1"/>
                <w:spacing w:val="-2"/>
                <w:kern w:val="0"/>
                <w:sz w:val="24"/>
                <w:szCs w:val="24"/>
                <w14:textFill>
                  <w14:solidFill>
                    <w14:schemeClr w14:val="tx1"/>
                  </w14:solidFill>
                </w14:textFill>
              </w:rPr>
              <w:t>脱除技术，约占全部安装</w:t>
            </w:r>
            <w:r>
              <w:rPr>
                <w:snapToGrid w:val="0"/>
                <w:color w:val="000000" w:themeColor="text1"/>
                <w:spacing w:val="-2"/>
                <w:kern w:val="0"/>
                <w:sz w:val="24"/>
                <w:szCs w:val="24"/>
                <w14:textFill>
                  <w14:solidFill>
                    <w14:schemeClr w14:val="tx1"/>
                  </w14:solidFill>
                </w14:textFill>
              </w:rPr>
              <w:t>FGD</w:t>
            </w:r>
            <w:r>
              <w:rPr>
                <w:rFonts w:hint="eastAsia"/>
                <w:snapToGrid w:val="0"/>
                <w:color w:val="000000" w:themeColor="text1"/>
                <w:spacing w:val="-2"/>
                <w:kern w:val="0"/>
                <w:sz w:val="24"/>
                <w:szCs w:val="24"/>
                <w14:textFill>
                  <w14:solidFill>
                    <w14:schemeClr w14:val="tx1"/>
                  </w14:solidFill>
                </w14:textFill>
              </w:rPr>
              <w:t>容量的</w:t>
            </w:r>
            <w:r>
              <w:rPr>
                <w:snapToGrid w:val="0"/>
                <w:color w:val="000000" w:themeColor="text1"/>
                <w:spacing w:val="-2"/>
                <w:kern w:val="0"/>
                <w:sz w:val="24"/>
                <w:szCs w:val="24"/>
                <w14:textFill>
                  <w14:solidFill>
                    <w14:schemeClr w14:val="tx1"/>
                  </w14:solidFill>
                </w14:textFill>
              </w:rPr>
              <w:t>70</w:t>
            </w:r>
            <w:r>
              <w:rPr>
                <w:rFonts w:hint="eastAsia"/>
                <w:snapToGrid w:val="0"/>
                <w:color w:val="000000" w:themeColor="text1"/>
                <w:spacing w:val="-2"/>
                <w:kern w:val="0"/>
                <w:sz w:val="24"/>
                <w:szCs w:val="24"/>
                <w14:textFill>
                  <w14:solidFill>
                    <w14:schemeClr w14:val="tx1"/>
                  </w14:solidFill>
                </w14:textFill>
              </w:rPr>
              <w:t>％。它是以石灰石为脱硫吸收剂，通过向吸收塔内喷入吸收剂浆液，使之与烟气充分接触、混合，并对烟气进行洗涤，使得烟气中的</w:t>
            </w:r>
            <w:r>
              <w:rPr>
                <w:snapToGrid w:val="0"/>
                <w:color w:val="000000" w:themeColor="text1"/>
                <w:spacing w:val="-2"/>
                <w:kern w:val="0"/>
                <w:sz w:val="24"/>
                <w:szCs w:val="24"/>
                <w14:textFill>
                  <w14:solidFill>
                    <w14:schemeClr w14:val="tx1"/>
                  </w14:solidFill>
                </w14:textFill>
              </w:rPr>
              <w:t>SO</w:t>
            </w:r>
            <w:r>
              <w:rPr>
                <w:snapToGrid w:val="0"/>
                <w:color w:val="000000" w:themeColor="text1"/>
                <w:spacing w:val="-2"/>
                <w:kern w:val="0"/>
                <w:sz w:val="24"/>
                <w:szCs w:val="24"/>
                <w:vertAlign w:val="subscript"/>
                <w14:textFill>
                  <w14:solidFill>
                    <w14:schemeClr w14:val="tx1"/>
                  </w14:solidFill>
                </w14:textFill>
              </w:rPr>
              <w:t>2</w:t>
            </w:r>
            <w:r>
              <w:rPr>
                <w:rFonts w:hint="eastAsia"/>
                <w:snapToGrid w:val="0"/>
                <w:color w:val="000000" w:themeColor="text1"/>
                <w:spacing w:val="-2"/>
                <w:kern w:val="0"/>
                <w:sz w:val="24"/>
                <w:szCs w:val="24"/>
                <w14:textFill>
                  <w14:solidFill>
                    <w14:schemeClr w14:val="tx1"/>
                  </w14:solidFill>
                </w14:textFill>
              </w:rPr>
              <w:t>与浆液中的碳酸钙以及鼓入的强制氧化空气发生化学反应，最后生成石膏，从而达到脱除</w:t>
            </w:r>
            <w:r>
              <w:rPr>
                <w:snapToGrid w:val="0"/>
                <w:color w:val="000000" w:themeColor="text1"/>
                <w:spacing w:val="-2"/>
                <w:kern w:val="0"/>
                <w:sz w:val="24"/>
                <w:szCs w:val="24"/>
                <w14:textFill>
                  <w14:solidFill>
                    <w14:schemeClr w14:val="tx1"/>
                  </w14:solidFill>
                </w14:textFill>
              </w:rPr>
              <w:t>SO</w:t>
            </w:r>
            <w:r>
              <w:rPr>
                <w:snapToGrid w:val="0"/>
                <w:color w:val="000000" w:themeColor="text1"/>
                <w:spacing w:val="-2"/>
                <w:kern w:val="0"/>
                <w:sz w:val="24"/>
                <w:szCs w:val="24"/>
                <w:vertAlign w:val="subscript"/>
                <w14:textFill>
                  <w14:solidFill>
                    <w14:schemeClr w14:val="tx1"/>
                  </w14:solidFill>
                </w14:textFill>
              </w:rPr>
              <w:t>2</w:t>
            </w:r>
            <w:r>
              <w:rPr>
                <w:rFonts w:hint="eastAsia"/>
                <w:snapToGrid w:val="0"/>
                <w:color w:val="000000" w:themeColor="text1"/>
                <w:spacing w:val="-2"/>
                <w:kern w:val="0"/>
                <w:sz w:val="24"/>
                <w:szCs w:val="24"/>
                <w14:textFill>
                  <w14:solidFill>
                    <w14:schemeClr w14:val="tx1"/>
                  </w14:solidFill>
                </w14:textFill>
              </w:rPr>
              <w:t>的目的。</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snapToGrid w:val="0"/>
                <w:color w:val="000000" w:themeColor="text1"/>
                <w:spacing w:val="-2"/>
                <w:kern w:val="0"/>
                <w:sz w:val="24"/>
                <w:szCs w:val="24"/>
                <w14:textFill>
                  <w14:solidFill>
                    <w14:schemeClr w14:val="tx1"/>
                  </w14:solidFill>
                </w14:textFill>
              </w:rPr>
              <w:t>c</w:t>
            </w:r>
            <w:r>
              <w:rPr>
                <w:rFonts w:hint="eastAsia"/>
                <w:snapToGrid w:val="0"/>
                <w:color w:val="000000" w:themeColor="text1"/>
                <w:spacing w:val="-2"/>
                <w:kern w:val="0"/>
                <w:sz w:val="24"/>
                <w:szCs w:val="24"/>
                <w14:textFill>
                  <w14:solidFill>
                    <w14:schemeClr w14:val="tx1"/>
                  </w14:solidFill>
                </w14:textFill>
              </w:rPr>
              <w:t>、氨法脱硫：高效除尘后的烟气经喷水冷却到饱和温度从下部进入洗涤塔。若烟气中含尘浓度较高，则需增设一个喷水冷却除尘装置，以提高副产品硫酸铵的纯度。饱和烟气在一体化床式洗涤塔内，先后通过二段循环床式洗涤区，烟气与自上而下喷淋的洗涤液逆行，在床体中液、气进行剧烈的接触反应，</w:t>
            </w:r>
            <w:r>
              <w:rPr>
                <w:snapToGrid w:val="0"/>
                <w:color w:val="000000" w:themeColor="text1"/>
                <w:spacing w:val="-2"/>
                <w:kern w:val="0"/>
                <w:sz w:val="24"/>
                <w:szCs w:val="24"/>
                <w14:textFill>
                  <w14:solidFill>
                    <w14:schemeClr w14:val="tx1"/>
                  </w14:solidFill>
                </w14:textFill>
              </w:rPr>
              <w:t>SO</w:t>
            </w:r>
            <w:r>
              <w:rPr>
                <w:snapToGrid w:val="0"/>
                <w:color w:val="000000" w:themeColor="text1"/>
                <w:spacing w:val="-2"/>
                <w:kern w:val="0"/>
                <w:sz w:val="24"/>
                <w:szCs w:val="24"/>
                <w:vertAlign w:val="subscript"/>
                <w14:textFill>
                  <w14:solidFill>
                    <w14:schemeClr w14:val="tx1"/>
                  </w14:solidFill>
                </w14:textFill>
              </w:rPr>
              <w:t>2</w:t>
            </w:r>
            <w:r>
              <w:rPr>
                <w:rFonts w:hint="eastAsia"/>
                <w:snapToGrid w:val="0"/>
                <w:color w:val="000000" w:themeColor="text1"/>
                <w:spacing w:val="-2"/>
                <w:kern w:val="0"/>
                <w:sz w:val="24"/>
                <w:szCs w:val="24"/>
                <w14:textFill>
                  <w14:solidFill>
                    <w14:schemeClr w14:val="tx1"/>
                  </w14:solidFill>
                </w14:textFill>
              </w:rPr>
              <w:t>基本上被完全吸收。当烟气中</w:t>
            </w:r>
            <w:r>
              <w:rPr>
                <w:snapToGrid w:val="0"/>
                <w:color w:val="000000" w:themeColor="text1"/>
                <w:spacing w:val="-2"/>
                <w:kern w:val="0"/>
                <w:sz w:val="24"/>
                <w:szCs w:val="24"/>
                <w14:textFill>
                  <w14:solidFill>
                    <w14:schemeClr w14:val="tx1"/>
                  </w14:solidFill>
                </w14:textFill>
              </w:rPr>
              <w:t>SO</w:t>
            </w:r>
            <w:r>
              <w:rPr>
                <w:snapToGrid w:val="0"/>
                <w:color w:val="000000" w:themeColor="text1"/>
                <w:spacing w:val="-2"/>
                <w:kern w:val="0"/>
                <w:sz w:val="24"/>
                <w:szCs w:val="24"/>
                <w:vertAlign w:val="subscript"/>
                <w14:textFill>
                  <w14:solidFill>
                    <w14:schemeClr w14:val="tx1"/>
                  </w14:solidFill>
                </w14:textFill>
              </w:rPr>
              <w:t>2</w:t>
            </w:r>
            <w:r>
              <w:rPr>
                <w:rFonts w:hint="eastAsia"/>
                <w:snapToGrid w:val="0"/>
                <w:color w:val="000000" w:themeColor="text1"/>
                <w:spacing w:val="-2"/>
                <w:kern w:val="0"/>
                <w:sz w:val="24"/>
                <w:szCs w:val="24"/>
                <w14:textFill>
                  <w14:solidFill>
                    <w14:schemeClr w14:val="tx1"/>
                  </w14:solidFill>
                </w14:textFill>
              </w:rPr>
              <w:t>浓度较大（</w:t>
            </w:r>
            <w:r>
              <w:rPr>
                <w:snapToGrid w:val="0"/>
                <w:color w:val="000000" w:themeColor="text1"/>
                <w:spacing w:val="-2"/>
                <w:kern w:val="0"/>
                <w:sz w:val="24"/>
                <w:szCs w:val="24"/>
                <w14:textFill>
                  <w14:solidFill>
                    <w14:schemeClr w14:val="tx1"/>
                  </w14:solidFill>
                </w14:textFill>
              </w:rPr>
              <w:t>1000ppm</w:t>
            </w:r>
            <w:r>
              <w:rPr>
                <w:rFonts w:hint="eastAsia"/>
                <w:snapToGrid w:val="0"/>
                <w:color w:val="000000" w:themeColor="text1"/>
                <w:spacing w:val="-2"/>
                <w:kern w:val="0"/>
                <w:sz w:val="24"/>
                <w:szCs w:val="24"/>
                <w14:textFill>
                  <w14:solidFill>
                    <w14:schemeClr w14:val="tx1"/>
                  </w14:solidFill>
                </w14:textFill>
              </w:rPr>
              <w:t>以上）时，脱硫系统会产生铵盐的气溶胶（亚微米粒子）。净化后烟气排入烟囱。</w:t>
            </w:r>
          </w:p>
          <w:p>
            <w:pPr>
              <w:bidi w:val="0"/>
              <w:rPr>
                <w:lang w:val="en-GB"/>
              </w:rPr>
            </w:pPr>
            <w:r>
              <w:t>d</w:t>
            </w:r>
            <w:r>
              <w:rPr>
                <w:rFonts w:hint="eastAsia"/>
              </w:rPr>
              <w:t>、</w:t>
            </w:r>
            <w:r>
              <w:rPr>
                <w:rFonts w:hint="eastAsia"/>
                <w:lang w:val="en-GB"/>
              </w:rPr>
              <w:t>脱硫方法的比较</w:t>
            </w:r>
          </w:p>
          <w:p>
            <w:pPr>
              <w:bidi w:val="0"/>
              <w:rPr>
                <w:lang w:val="en-GB"/>
              </w:rPr>
            </w:pPr>
            <w:r>
              <w:rPr>
                <w:rFonts w:hint="eastAsia"/>
                <w:lang w:val="en-GB"/>
              </w:rPr>
              <w:t>锅炉几种典型脱硫方法的简单比较如</w:t>
            </w:r>
            <w:r>
              <w:rPr>
                <w:rFonts w:hint="eastAsia"/>
              </w:rPr>
              <w:t>下表</w:t>
            </w:r>
            <w:r>
              <w:rPr>
                <w:rFonts w:hint="eastAsia"/>
                <w:lang w:val="en-GB"/>
              </w:rPr>
              <w:t>。</w:t>
            </w:r>
          </w:p>
          <w:p>
            <w:pPr>
              <w:pStyle w:val="15"/>
              <w:bidi w:val="0"/>
              <w:rPr>
                <w:b/>
                <w:bCs/>
                <w:color w:val="000000" w:themeColor="text1"/>
                <w:lang w:val="en-GB"/>
                <w14:textFill>
                  <w14:solidFill>
                    <w14:schemeClr w14:val="tx1"/>
                  </w14:solidFill>
                </w14:textFill>
              </w:rPr>
            </w:pPr>
            <w:r>
              <w:rPr>
                <w:rFonts w:hint="eastAsia"/>
                <w:b/>
                <w:bCs/>
                <w:color w:val="000000" w:themeColor="text1"/>
                <w:lang w:val="en-GB"/>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4-18 </w:t>
            </w:r>
            <w:r>
              <w:rPr>
                <w:b/>
                <w:bCs/>
                <w:color w:val="000000" w:themeColor="text1"/>
                <w:lang w:val="en-GB"/>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锅炉</w:t>
            </w:r>
            <w:r>
              <w:rPr>
                <w:rFonts w:hint="eastAsia"/>
                <w:b/>
                <w:bCs/>
                <w:color w:val="000000" w:themeColor="text1"/>
                <w14:textFill>
                  <w14:solidFill>
                    <w14:schemeClr w14:val="tx1"/>
                  </w14:solidFill>
                </w14:textFill>
              </w:rPr>
              <w:t>烟气</w:t>
            </w:r>
            <w:r>
              <w:rPr>
                <w:rFonts w:hint="eastAsia"/>
                <w:b/>
                <w:bCs/>
                <w:color w:val="000000" w:themeColor="text1"/>
                <w:lang w:val="en-GB"/>
                <w14:textFill>
                  <w14:solidFill>
                    <w14:schemeClr w14:val="tx1"/>
                  </w14:solidFill>
                </w14:textFill>
              </w:rPr>
              <w:t>几种典型脱硫方法比较表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670"/>
              <w:gridCol w:w="1793"/>
              <w:gridCol w:w="2172"/>
              <w:gridCol w:w="1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670"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1793"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碱法脱硫</w:t>
                  </w:r>
                </w:p>
              </w:tc>
              <w:tc>
                <w:tcPr>
                  <w:tcW w:w="2172"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石灰石</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石膏湿法</w:t>
                  </w:r>
                </w:p>
              </w:tc>
              <w:tc>
                <w:tcPr>
                  <w:tcW w:w="1758"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氨法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670"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技术成熟程度</w:t>
                  </w:r>
                </w:p>
              </w:tc>
              <w:tc>
                <w:tcPr>
                  <w:tcW w:w="1793"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成熟</w:t>
                  </w:r>
                </w:p>
              </w:tc>
              <w:tc>
                <w:tcPr>
                  <w:tcW w:w="2172"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成熟</w:t>
                  </w:r>
                </w:p>
              </w:tc>
              <w:tc>
                <w:tcPr>
                  <w:tcW w:w="1758"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成熟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670" w:type="dxa"/>
                  <w:tcBorders>
                    <w:top w:val="single" w:color="auto" w:sz="4" w:space="0"/>
                    <w:left w:val="single" w:color="auto" w:sz="4" w:space="0"/>
                    <w:bottom w:val="single" w:color="auto" w:sz="4" w:space="0"/>
                    <w:right w:val="single" w:color="auto" w:sz="4" w:space="0"/>
                  </w:tcBorders>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适用</w:t>
                  </w:r>
                  <w:r>
                    <w:rPr>
                      <w:rFonts w:hint="eastAsia"/>
                      <w:color w:val="000000" w:themeColor="text1"/>
                      <w:lang w:val="en-US" w:eastAsia="zh-CN"/>
                      <w14:textFill>
                        <w14:solidFill>
                          <w14:schemeClr w14:val="tx1"/>
                        </w14:solidFill>
                      </w14:textFill>
                    </w:rPr>
                    <w:t>燃料</w:t>
                  </w:r>
                </w:p>
              </w:tc>
              <w:tc>
                <w:tcPr>
                  <w:tcW w:w="17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不受含硫量限制</w:t>
                  </w:r>
                </w:p>
              </w:tc>
              <w:tc>
                <w:tcPr>
                  <w:tcW w:w="2172"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不受含硫量限制</w:t>
                  </w:r>
                </w:p>
              </w:tc>
              <w:tc>
                <w:tcPr>
                  <w:tcW w:w="175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不受含硫量限制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6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应用单机规模</w:t>
                  </w:r>
                </w:p>
              </w:tc>
              <w:tc>
                <w:tcPr>
                  <w:tcW w:w="17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没有限制</w:t>
                  </w:r>
                </w:p>
              </w:tc>
              <w:tc>
                <w:tcPr>
                  <w:tcW w:w="2172"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没有限制</w:t>
                  </w:r>
                </w:p>
              </w:tc>
              <w:tc>
                <w:tcPr>
                  <w:tcW w:w="175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中小机组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6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能达到的脱硫率</w:t>
                  </w:r>
                </w:p>
              </w:tc>
              <w:tc>
                <w:tcPr>
                  <w:tcW w:w="17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95%</w:t>
                  </w:r>
                  <w:r>
                    <w:rPr>
                      <w:rFonts w:hint="eastAsia"/>
                      <w:color w:val="000000" w:themeColor="text1"/>
                      <w14:textFill>
                        <w14:solidFill>
                          <w14:schemeClr w14:val="tx1"/>
                        </w14:solidFill>
                      </w14:textFill>
                    </w:rPr>
                    <w:t>以上</w:t>
                  </w:r>
                </w:p>
              </w:tc>
              <w:tc>
                <w:tcPr>
                  <w:tcW w:w="2172"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95%</w:t>
                  </w:r>
                  <w:r>
                    <w:rPr>
                      <w:rFonts w:hint="eastAsia"/>
                      <w:color w:val="000000" w:themeColor="text1"/>
                      <w14:textFill>
                        <w14:solidFill>
                          <w14:schemeClr w14:val="tx1"/>
                        </w14:solidFill>
                      </w14:textFill>
                    </w:rPr>
                    <w:t>以上</w:t>
                  </w:r>
                </w:p>
              </w:tc>
              <w:tc>
                <w:tcPr>
                  <w:tcW w:w="175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90%</w:t>
                  </w:r>
                  <w:r>
                    <w:rPr>
                      <w:rFonts w:hint="eastAsia"/>
                      <w:color w:val="000000" w:themeColor="text1"/>
                      <w14:textFill>
                        <w14:solidFill>
                          <w14:schemeClr w14:val="tx1"/>
                        </w14:solidFill>
                      </w14:textFill>
                    </w:rPr>
                    <w:t>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6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吸收剂种类</w:t>
                  </w:r>
                </w:p>
              </w:tc>
              <w:tc>
                <w:tcPr>
                  <w:tcW w:w="17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可溶性钠碱</w:t>
                  </w:r>
                </w:p>
              </w:tc>
              <w:tc>
                <w:tcPr>
                  <w:tcW w:w="2172"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石灰石</w:t>
                  </w:r>
                </w:p>
              </w:tc>
              <w:tc>
                <w:tcPr>
                  <w:tcW w:w="175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6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吸收剂来源</w:t>
                  </w:r>
                </w:p>
              </w:tc>
              <w:tc>
                <w:tcPr>
                  <w:tcW w:w="17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当地可以满足</w:t>
                  </w:r>
                </w:p>
              </w:tc>
              <w:tc>
                <w:tcPr>
                  <w:tcW w:w="2172"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当地可以满足</w:t>
                  </w:r>
                </w:p>
              </w:tc>
              <w:tc>
                <w:tcPr>
                  <w:tcW w:w="175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当地难以满足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6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副产物种类</w:t>
                  </w:r>
                </w:p>
              </w:tc>
              <w:tc>
                <w:tcPr>
                  <w:tcW w:w="17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石膏浆</w:t>
                  </w:r>
                </w:p>
              </w:tc>
              <w:tc>
                <w:tcPr>
                  <w:tcW w:w="2172"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石膏</w:t>
                  </w:r>
                </w:p>
              </w:tc>
              <w:tc>
                <w:tcPr>
                  <w:tcW w:w="1758"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硫酸铵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7" w:type="dxa"/>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167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副产物出路</w:t>
                  </w:r>
                </w:p>
              </w:tc>
              <w:tc>
                <w:tcPr>
                  <w:tcW w:w="1793"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较容易</w:t>
                  </w:r>
                </w:p>
              </w:tc>
              <w:tc>
                <w:tcPr>
                  <w:tcW w:w="2172"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可作水泥缓凝剂，如有条件还可进一步利用</w:t>
                  </w:r>
                </w:p>
              </w:tc>
              <w:tc>
                <w:tcPr>
                  <w:tcW w:w="1758"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较容易</w:t>
                  </w:r>
                </w:p>
              </w:tc>
            </w:tr>
          </w:tbl>
          <w:p>
            <w:pPr>
              <w:spacing w:line="360" w:lineRule="auto"/>
              <w:ind w:firstLine="472" w:firstLineChars="200"/>
              <w:rPr>
                <w:rFonts w:hint="default" w:eastAsia="宋体"/>
                <w:snapToGrid w:val="0"/>
                <w:color w:val="000000" w:themeColor="text1"/>
                <w:spacing w:val="-2"/>
                <w:kern w:val="0"/>
                <w:sz w:val="24"/>
                <w:szCs w:val="24"/>
                <w:lang w:val="en-US" w:eastAsia="zh-CN"/>
                <w14:textFill>
                  <w14:solidFill>
                    <w14:schemeClr w14:val="tx1"/>
                  </w14:solidFill>
                </w14:textFill>
              </w:rPr>
            </w:pPr>
            <w:r>
              <w:rPr>
                <w:rFonts w:hint="eastAsia"/>
                <w:snapToGrid w:val="0"/>
                <w:color w:val="000000" w:themeColor="text1"/>
                <w:spacing w:val="-2"/>
                <w:kern w:val="0"/>
                <w:sz w:val="24"/>
                <w:szCs w:val="24"/>
                <w:lang w:val="en-GB"/>
                <w14:textFill>
                  <w14:solidFill>
                    <w14:schemeClr w14:val="tx1"/>
                  </w14:solidFill>
                </w14:textFill>
              </w:rPr>
              <w:t>通过上述的比较与新疆各地</w:t>
            </w:r>
            <w:r>
              <w:rPr>
                <w:rFonts w:hint="eastAsia"/>
                <w:snapToGrid w:val="0"/>
                <w:color w:val="000000" w:themeColor="text1"/>
                <w:spacing w:val="-2"/>
                <w:kern w:val="0"/>
                <w:sz w:val="24"/>
                <w:szCs w:val="24"/>
                <w:lang w:val="en-US" w:eastAsia="zh-CN"/>
                <w14:textFill>
                  <w14:solidFill>
                    <w14:schemeClr w14:val="tx1"/>
                  </w14:solidFill>
                </w14:textFill>
              </w:rPr>
              <w:t>锅</w:t>
            </w:r>
            <w:r>
              <w:rPr>
                <w:rFonts w:hint="eastAsia"/>
                <w:snapToGrid w:val="0"/>
                <w:color w:val="000000" w:themeColor="text1"/>
                <w:spacing w:val="-2"/>
                <w:kern w:val="0"/>
                <w:sz w:val="24"/>
                <w:szCs w:val="24"/>
                <w14:textFill>
                  <w14:solidFill>
                    <w14:schemeClr w14:val="tx1"/>
                  </w14:solidFill>
                </w14:textFill>
              </w:rPr>
              <w:t>炉</w:t>
            </w:r>
            <w:r>
              <w:rPr>
                <w:rFonts w:hint="eastAsia"/>
                <w:snapToGrid w:val="0"/>
                <w:color w:val="000000" w:themeColor="text1"/>
                <w:spacing w:val="-2"/>
                <w:kern w:val="0"/>
                <w:sz w:val="24"/>
                <w:szCs w:val="24"/>
                <w:lang w:val="en-GB"/>
                <w14:textFill>
                  <w14:solidFill>
                    <w14:schemeClr w14:val="tx1"/>
                  </w14:solidFill>
                </w14:textFill>
              </w:rPr>
              <w:t>脱硫设备的运行经验，</w:t>
            </w:r>
            <w:r>
              <w:rPr>
                <w:rFonts w:hint="eastAsia"/>
                <w:snapToGrid w:val="0"/>
                <w:color w:val="000000" w:themeColor="text1"/>
                <w:spacing w:val="-2"/>
                <w:kern w:val="0"/>
                <w:sz w:val="24"/>
                <w:szCs w:val="24"/>
                <w:lang w:val="en-US" w:eastAsia="zh-CN"/>
                <w14:textFill>
                  <w14:solidFill>
                    <w14:schemeClr w14:val="tx1"/>
                  </w14:solidFill>
                </w14:textFill>
              </w:rPr>
              <w:t>钙钠双碱法</w:t>
            </w:r>
            <w:r>
              <w:rPr>
                <w:rFonts w:hint="eastAsia"/>
                <w:snapToGrid w:val="0"/>
                <w:color w:val="000000" w:themeColor="text1"/>
                <w:spacing w:val="-2"/>
                <w:kern w:val="0"/>
                <w:sz w:val="24"/>
                <w:szCs w:val="24"/>
                <w14:textFill>
                  <w14:solidFill>
                    <w14:schemeClr w14:val="tx1"/>
                  </w14:solidFill>
                </w14:textFill>
              </w:rPr>
              <w:t>脱硫</w:t>
            </w:r>
            <w:r>
              <w:rPr>
                <w:rFonts w:hint="eastAsia"/>
                <w:snapToGrid w:val="0"/>
                <w:color w:val="000000" w:themeColor="text1"/>
                <w:spacing w:val="-2"/>
                <w:kern w:val="0"/>
                <w:sz w:val="24"/>
                <w:szCs w:val="24"/>
                <w:lang w:val="en-US" w:eastAsia="zh-CN"/>
                <w14:textFill>
                  <w14:solidFill>
                    <w14:schemeClr w14:val="tx1"/>
                  </w14:solidFill>
                </w14:textFill>
              </w:rPr>
              <w:t>运营成本较低，技术成熟，安装方便，处理效率较好，副产物处理较为简单，故</w:t>
            </w:r>
            <w:r>
              <w:rPr>
                <w:rFonts w:hint="eastAsia"/>
                <w:snapToGrid w:val="0"/>
                <w:color w:val="000000" w:themeColor="text1"/>
                <w:spacing w:val="-2"/>
                <w:kern w:val="0"/>
                <w:sz w:val="24"/>
                <w:szCs w:val="24"/>
                <w:lang w:val="en-GB"/>
                <w14:textFill>
                  <w14:solidFill>
                    <w14:schemeClr w14:val="tx1"/>
                  </w14:solidFill>
                </w14:textFill>
              </w:rPr>
              <w:t>适用于本项目的脱硫工艺为</w:t>
            </w:r>
            <w:r>
              <w:rPr>
                <w:rFonts w:hint="eastAsia"/>
                <w:snapToGrid w:val="0"/>
                <w:color w:val="000000" w:themeColor="text1"/>
                <w:spacing w:val="-2"/>
                <w:kern w:val="0"/>
                <w:sz w:val="24"/>
                <w:szCs w:val="24"/>
                <w:lang w:val="en-US" w:eastAsia="zh-CN"/>
                <w14:textFill>
                  <w14:solidFill>
                    <w14:schemeClr w14:val="tx1"/>
                  </w14:solidFill>
                </w14:textFill>
              </w:rPr>
              <w:t>钙钠双碱法</w:t>
            </w:r>
            <w:r>
              <w:rPr>
                <w:rFonts w:hint="eastAsia"/>
                <w:snapToGrid w:val="0"/>
                <w:color w:val="000000" w:themeColor="text1"/>
                <w:spacing w:val="-2"/>
                <w:kern w:val="0"/>
                <w:sz w:val="24"/>
                <w:szCs w:val="24"/>
                <w:lang w:val="en-GB"/>
                <w14:textFill>
                  <w14:solidFill>
                    <w14:schemeClr w14:val="tx1"/>
                  </w14:solidFill>
                </w14:textFill>
              </w:rPr>
              <w:t>，</w:t>
            </w:r>
            <w:r>
              <w:rPr>
                <w:rFonts w:hint="eastAsia"/>
                <w:snapToGrid w:val="0"/>
                <w:color w:val="000000" w:themeColor="text1"/>
                <w:spacing w:val="-2"/>
                <w:kern w:val="0"/>
                <w:sz w:val="24"/>
                <w:szCs w:val="24"/>
                <w14:textFill>
                  <w14:solidFill>
                    <w14:schemeClr w14:val="tx1"/>
                  </w14:solidFill>
                </w14:textFill>
              </w:rPr>
              <w:t>脱硫效率可达设计效率，烟气中二氧化硫浓度可达设计浓度，故选取的工艺较为合理</w:t>
            </w:r>
            <w:r>
              <w:rPr>
                <w:rFonts w:hint="eastAsia"/>
                <w:snapToGrid w:val="0"/>
                <w:color w:val="000000" w:themeColor="text1"/>
                <w:spacing w:val="-2"/>
                <w:kern w:val="0"/>
                <w:sz w:val="24"/>
                <w:szCs w:val="24"/>
                <w:lang w:val="en-GB"/>
                <w14:textFill>
                  <w14:solidFill>
                    <w14:schemeClr w14:val="tx1"/>
                  </w14:solidFill>
                </w14:textFill>
              </w:rPr>
              <w:t>。</w:t>
            </w:r>
            <w:r>
              <w:rPr>
                <w:rFonts w:hint="eastAsia"/>
                <w:snapToGrid w:val="0"/>
                <w:color w:val="000000" w:themeColor="text1"/>
                <w:spacing w:val="-2"/>
                <w:kern w:val="0"/>
                <w:sz w:val="24"/>
                <w:szCs w:val="24"/>
                <w:lang w:val="en-US" w:eastAsia="zh-CN"/>
                <w14:textFill>
                  <w14:solidFill>
                    <w14:schemeClr w14:val="tx1"/>
                  </w14:solidFill>
                </w14:textFill>
              </w:rPr>
              <w:t>同时，钙钠双碱法为</w:t>
            </w:r>
            <w:r>
              <w:rPr>
                <w:rFonts w:hint="default"/>
                <w:lang w:val="en-US" w:eastAsia="zh-CN"/>
              </w:rPr>
              <w:t>《排污许可证申请与核发技术规范 锅炉》（HJ953—2018）所列的污染防治可行技术</w:t>
            </w:r>
            <w:r>
              <w:rPr>
                <w:rFonts w:hint="eastAsia"/>
                <w:lang w:val="en-US" w:eastAsia="zh-CN"/>
              </w:rPr>
              <w:t>，脱硫工程建设过程应符合《工业锅炉烟气治理工程技术规范》（HJ462-2021）中的一般规定。</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w:t>
            </w:r>
            <w:r>
              <w:rPr>
                <w:snapToGrid w:val="0"/>
                <w:color w:val="000000" w:themeColor="text1"/>
                <w:spacing w:val="-2"/>
                <w:kern w:val="0"/>
                <w:sz w:val="24"/>
                <w:szCs w:val="24"/>
                <w14:textFill>
                  <w14:solidFill>
                    <w14:schemeClr w14:val="tx1"/>
                  </w14:solidFill>
                </w14:textFill>
              </w:rPr>
              <w:t>3</w:t>
            </w:r>
            <w:r>
              <w:rPr>
                <w:rFonts w:hint="eastAsia"/>
                <w:snapToGrid w:val="0"/>
                <w:color w:val="000000" w:themeColor="text1"/>
                <w:spacing w:val="-2"/>
                <w:kern w:val="0"/>
                <w:sz w:val="24"/>
                <w:szCs w:val="24"/>
                <w14:textFill>
                  <w14:solidFill>
                    <w14:schemeClr w14:val="tx1"/>
                  </w14:solidFill>
                </w14:textFill>
              </w:rPr>
              <w:t>）无组织颗粒物控制措施及合理性分析</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防止在卸粮、清粮等过程中粉尘外泄，减少粉尘的外逸和累积，建设单位拟采取以下治理措施：</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①进厂粮食直接进入卸粮口，经滚筒筛清粮后的玉米进入湿料仓，减少粮食的露天堆放；若出现进粮过多，致使无法及时清粮。</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②通过对原粮接收斗、滚筒筛进料口处设置集气罩收尘。</w:t>
            </w:r>
          </w:p>
          <w:p>
            <w:pPr>
              <w:spacing w:line="360" w:lineRule="auto"/>
              <w:ind w:firstLine="472" w:firstLineChars="200"/>
              <w:rPr>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③在输送带加装密闭罩，采用全封闭形式输送玉米；</w:t>
            </w:r>
          </w:p>
          <w:p>
            <w:pPr>
              <w:spacing w:line="360" w:lineRule="auto"/>
              <w:ind w:firstLine="472" w:firstLineChars="200"/>
              <w:rPr>
                <w:rFonts w:hint="eastAsia"/>
                <w:snapToGrid w:val="0"/>
                <w:color w:val="000000" w:themeColor="text1"/>
                <w:spacing w:val="-2"/>
                <w:kern w:val="0"/>
                <w:sz w:val="24"/>
                <w:szCs w:val="24"/>
                <w14:textFill>
                  <w14:solidFill>
                    <w14:schemeClr w14:val="tx1"/>
                  </w14:solidFill>
                </w14:textFill>
              </w:rPr>
            </w:pPr>
            <w:r>
              <w:rPr>
                <w:rFonts w:hint="eastAsia"/>
                <w:snapToGrid w:val="0"/>
                <w:color w:val="000000" w:themeColor="text1"/>
                <w:spacing w:val="-2"/>
                <w:kern w:val="0"/>
                <w:sz w:val="24"/>
                <w:szCs w:val="24"/>
                <w14:textFill>
                  <w14:solidFill>
                    <w14:schemeClr w14:val="tx1"/>
                  </w14:solidFill>
                </w14:textFill>
              </w:rPr>
              <w:t>④在作业区设置抑尘网拦挡地面粉尘向外围扩散。同时在生产过程中建议工厂员工佩戴口罩等防护措施，避免粉尘进入口鼻中。</w:t>
            </w:r>
          </w:p>
          <w:p>
            <w:pPr>
              <w:spacing w:line="360" w:lineRule="auto"/>
              <w:ind w:firstLine="472" w:firstLineChars="200"/>
              <w:rPr>
                <w:rFonts w:hint="eastAsia"/>
                <w:snapToGrid w:val="0"/>
                <w:color w:val="0000FF"/>
                <w:spacing w:val="-2"/>
                <w:kern w:val="0"/>
                <w:sz w:val="24"/>
                <w:szCs w:val="24"/>
                <w:lang w:val="en-US" w:eastAsia="zh-CN"/>
              </w:rPr>
            </w:pPr>
            <w:r>
              <w:rPr>
                <w:rFonts w:hint="eastAsia"/>
                <w:snapToGrid w:val="0"/>
                <w:color w:val="0000FF"/>
                <w:spacing w:val="-2"/>
                <w:kern w:val="0"/>
                <w:sz w:val="24"/>
                <w:szCs w:val="24"/>
                <w:lang w:val="en-US" w:eastAsia="zh-CN"/>
              </w:rPr>
              <w:t>⑤晾晒场四周设置2m高围墙，防止</w:t>
            </w:r>
            <w:r>
              <w:rPr>
                <w:rFonts w:hint="eastAsia"/>
                <w:snapToGrid w:val="0"/>
                <w:color w:val="0000FF"/>
                <w:spacing w:val="-2"/>
                <w:kern w:val="0"/>
                <w:sz w:val="24"/>
                <w:szCs w:val="24"/>
              </w:rPr>
              <w:t>在自然风的作用下形成扬尘</w:t>
            </w:r>
            <w:r>
              <w:rPr>
                <w:rFonts w:hint="eastAsia"/>
                <w:snapToGrid w:val="0"/>
                <w:color w:val="0000FF"/>
                <w:spacing w:val="-2"/>
                <w:kern w:val="0"/>
                <w:sz w:val="24"/>
                <w:szCs w:val="24"/>
                <w:lang w:val="en-US" w:eastAsia="zh-CN"/>
              </w:rPr>
              <w:t>。</w:t>
            </w:r>
          </w:p>
          <w:p>
            <w:pPr>
              <w:spacing w:line="360" w:lineRule="auto"/>
              <w:ind w:firstLine="472" w:firstLineChars="200"/>
              <w:rPr>
                <w:rFonts w:hint="default"/>
                <w:snapToGrid w:val="0"/>
                <w:color w:val="0000FF"/>
                <w:spacing w:val="-2"/>
                <w:kern w:val="0"/>
                <w:sz w:val="24"/>
                <w:szCs w:val="24"/>
                <w:lang w:val="en-US" w:eastAsia="zh-CN"/>
              </w:rPr>
            </w:pPr>
            <w:r>
              <w:rPr>
                <w:rFonts w:hint="eastAsia"/>
                <w:snapToGrid w:val="0"/>
                <w:color w:val="0000FF"/>
                <w:spacing w:val="-2"/>
                <w:kern w:val="0"/>
                <w:sz w:val="24"/>
                <w:szCs w:val="24"/>
                <w:lang w:val="en-US" w:eastAsia="zh-CN"/>
              </w:rPr>
              <w:t>⑥烘干塔整体封闭，顶部配套自吸式布袋除尘器，减少烘干过程产生的粉尘。</w:t>
            </w:r>
          </w:p>
          <w:p>
            <w:pPr>
              <w:snapToGrid w:val="0"/>
              <w:spacing w:line="360" w:lineRule="auto"/>
              <w:ind w:firstLine="480"/>
              <w:rPr>
                <w:rFonts w:hint="default" w:ascii="Times New Roman" w:hAnsi="Times New Roman" w:eastAsia="宋体" w:cs="Times New Roman"/>
                <w:color w:val="0000FF"/>
                <w:sz w:val="24"/>
                <w:lang w:val="en-US" w:eastAsia="zh-CN"/>
              </w:rPr>
            </w:pPr>
            <w:r>
              <w:rPr>
                <w:rFonts w:hint="eastAsia"/>
                <w:color w:val="0000FF"/>
                <w:sz w:val="24"/>
                <w:szCs w:val="24"/>
              </w:rPr>
              <w:t>在厂区上述措施，项目区的无组织排放颗粒物可减少</w:t>
            </w:r>
            <w:r>
              <w:rPr>
                <w:color w:val="0000FF"/>
                <w:sz w:val="24"/>
                <w:szCs w:val="24"/>
              </w:rPr>
              <w:t>90%</w:t>
            </w:r>
            <w:r>
              <w:rPr>
                <w:rFonts w:hint="eastAsia"/>
                <w:color w:val="0000FF"/>
                <w:sz w:val="24"/>
                <w:szCs w:val="24"/>
              </w:rPr>
              <w:t>以上，最终排放量为</w:t>
            </w:r>
            <w:r>
              <w:rPr>
                <w:rFonts w:hint="eastAsia"/>
                <w:color w:val="0000FF"/>
                <w:sz w:val="24"/>
                <w:szCs w:val="24"/>
                <w:lang w:val="en-US" w:eastAsia="zh-CN"/>
              </w:rPr>
              <w:t>1.018</w:t>
            </w:r>
            <w:r>
              <w:rPr>
                <w:color w:val="0000FF"/>
                <w:sz w:val="24"/>
                <w:szCs w:val="24"/>
              </w:rPr>
              <w:t>t/a</w:t>
            </w:r>
            <w:r>
              <w:rPr>
                <w:rFonts w:hint="eastAsia"/>
                <w:color w:val="0000FF"/>
                <w:sz w:val="24"/>
                <w:szCs w:val="24"/>
              </w:rPr>
              <w:t>。故采取上述措施控制项目区无组织颗粒物排放措施合理，经济可行。</w:t>
            </w:r>
          </w:p>
          <w:p>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1.4</w:t>
            </w: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14:textFill>
                  <w14:solidFill>
                    <w14:schemeClr w14:val="tx1"/>
                  </w14:solidFill>
                </w14:textFill>
              </w:rPr>
              <w:t>大气防护距离</w:t>
            </w:r>
          </w:p>
          <w:p>
            <w:pPr>
              <w:keepNext w:val="0"/>
              <w:keepLines w:val="0"/>
              <w:widowControl w:val="0"/>
              <w:suppressLineNumbers w:val="0"/>
              <w:spacing w:before="0" w:beforeAutospacing="0" w:after="0" w:afterAutospacing="0" w:line="360" w:lineRule="auto"/>
              <w:ind w:left="0"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本次评价采用《环境影响评价技术导则  大气环境》（HJ2.2-2018）推荐的估算模型</w:t>
            </w:r>
            <w:r>
              <w:rPr>
                <w:rFonts w:hint="eastAsia"/>
                <w:color w:val="000000" w:themeColor="text1"/>
                <w:lang w:eastAsia="zh-CN"/>
                <w14:textFill>
                  <w14:solidFill>
                    <w14:schemeClr w14:val="tx1"/>
                  </w14:solidFill>
                </w14:textFill>
              </w:rPr>
              <w:t>AERscreen</w:t>
            </w:r>
            <w:r>
              <w:rPr>
                <w:rFonts w:hint="eastAsia"/>
                <w:color w:val="000000" w:themeColor="text1"/>
                <w14:textFill>
                  <w14:solidFill>
                    <w14:schemeClr w14:val="tx1"/>
                  </w14:solidFill>
                </w14:textFill>
              </w:rPr>
              <w:t>计算，本项目</w:t>
            </w:r>
            <w:r>
              <w:rPr>
                <w:rFonts w:hint="eastAsia"/>
                <w:color w:val="000000" w:themeColor="text1"/>
                <w:lang w:val="en-US" w:eastAsia="zh-CN"/>
                <w14:textFill>
                  <w14:solidFill>
                    <w14:schemeClr w14:val="tx1"/>
                  </w14:solidFill>
                </w14:textFill>
              </w:rPr>
              <w:t>评价等级为二级，不进行进一步预测，</w:t>
            </w:r>
            <w:r>
              <w:rPr>
                <w:rFonts w:hint="eastAsia"/>
                <w:color w:val="000000" w:themeColor="text1"/>
                <w14:textFill>
                  <w14:solidFill>
                    <w14:schemeClr w14:val="tx1"/>
                  </w14:solidFill>
                </w14:textFill>
              </w:rPr>
              <w:t>因此项目不需设大气环境防护距离。</w:t>
            </w:r>
          </w:p>
          <w:p>
            <w:pPr>
              <w:keepNext w:val="0"/>
              <w:keepLines w:val="0"/>
              <w:suppressLineNumbers w:val="0"/>
              <w:bidi w:val="0"/>
              <w:spacing w:before="0" w:beforeAutospacing="0" w:after="0" w:afterAutospacing="0"/>
              <w:ind w:left="0" w:right="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1.5 非正常情况分析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结合源强核算指南，本次非正常工况考虑锅炉烟气处理设施运行不稳定，脱硝效率按0%、除尘效率按90%、脱硫效率按</w:t>
            </w:r>
            <w:r>
              <w:rPr>
                <w:rFonts w:hint="eastAsia"/>
                <w:color w:val="000000" w:themeColor="text1"/>
                <w:lang w:val="en-US" w:eastAsia="zh-CN"/>
                <w14:textFill>
                  <w14:solidFill>
                    <w14:schemeClr w14:val="tx1"/>
                  </w14:solidFill>
                </w14:textFill>
              </w:rPr>
              <w:t>0</w:t>
            </w:r>
            <w:r>
              <w:rPr>
                <w:rFonts w:hint="default"/>
                <w:color w:val="000000" w:themeColor="text1"/>
                <w:lang w:val="en-US" w:eastAsia="zh-CN"/>
                <w14:textFill>
                  <w14:solidFill>
                    <w14:schemeClr w14:val="tx1"/>
                  </w14:solidFill>
                </w14:textFill>
              </w:rPr>
              <w:t>%计算，非正常工况</w:t>
            </w:r>
            <w:r>
              <w:rPr>
                <w:rFonts w:hint="eastAsia"/>
                <w:color w:val="000000" w:themeColor="text1"/>
                <w:lang w:val="en-US" w:eastAsia="zh-CN"/>
                <w14:textFill>
                  <w14:solidFill>
                    <w14:schemeClr w14:val="tx1"/>
                  </w14:solidFill>
                </w14:textFill>
              </w:rPr>
              <w:t>持续时间2h，则非正常工况</w:t>
            </w:r>
            <w:r>
              <w:rPr>
                <w:rFonts w:hint="default"/>
                <w:color w:val="000000" w:themeColor="text1"/>
                <w:lang w:val="en-US" w:eastAsia="zh-CN"/>
                <w14:textFill>
                  <w14:solidFill>
                    <w14:schemeClr w14:val="tx1"/>
                  </w14:solidFill>
                </w14:textFill>
              </w:rPr>
              <w:t>下污染物排放情况见下表</w:t>
            </w:r>
            <w:r>
              <w:rPr>
                <w:rFonts w:hint="eastAsia"/>
                <w:color w:val="000000" w:themeColor="text1"/>
                <w:lang w:val="en-US" w:eastAsia="zh-CN"/>
                <w14:textFill>
                  <w14:solidFill>
                    <w14:schemeClr w14:val="tx1"/>
                  </w14:solidFill>
                </w14:textFill>
              </w:rPr>
              <w:t>4-19</w:t>
            </w:r>
            <w:r>
              <w:rPr>
                <w:rFonts w:hint="default"/>
                <w:color w:val="000000" w:themeColor="text1"/>
                <w:lang w:val="en-US" w:eastAsia="zh-CN"/>
                <w14:textFill>
                  <w14:solidFill>
                    <w14:schemeClr w14:val="tx1"/>
                  </w14:solidFill>
                </w14:textFill>
              </w:rPr>
              <w:t>。</w:t>
            </w:r>
          </w:p>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4-19</w:t>
            </w:r>
            <w:r>
              <w:rPr>
                <w:rFonts w:hint="default"/>
                <w:b/>
                <w:bCs/>
                <w:color w:val="000000" w:themeColor="text1"/>
                <w:lang w:val="en-US" w:eastAsia="zh-CN"/>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w:t>
            </w:r>
            <w:r>
              <w:rPr>
                <w:rFonts w:hint="default"/>
                <w:b/>
                <w:bCs/>
                <w:color w:val="000000" w:themeColor="text1"/>
                <w:lang w:val="en-US" w:eastAsia="zh-CN"/>
                <w14:textFill>
                  <w14:solidFill>
                    <w14:schemeClr w14:val="tx1"/>
                  </w14:solidFill>
                </w14:textFill>
              </w:rPr>
              <w:t xml:space="preserve"> </w:t>
            </w:r>
            <w:r>
              <w:rPr>
                <w:rFonts w:hint="default"/>
                <w:b/>
                <w:bCs/>
                <w:color w:val="000000" w:themeColor="text1"/>
                <w:lang w:eastAsia="zh-CN"/>
                <w14:textFill>
                  <w14:solidFill>
                    <w14:schemeClr w14:val="tx1"/>
                  </w14:solidFill>
                </w14:textFill>
              </w:rPr>
              <w:t>非正常工况下污染物排放</w:t>
            </w:r>
            <w:r>
              <w:rPr>
                <w:rFonts w:hint="default"/>
                <w:b/>
                <w:bCs/>
                <w:color w:val="000000" w:themeColor="text1"/>
                <w:lang w:val="en-US" w:eastAsia="zh-CN"/>
                <w14:textFill>
                  <w14:solidFill>
                    <w14:schemeClr w14:val="tx1"/>
                  </w14:solidFill>
                </w14:textFill>
              </w:rPr>
              <w:t>情况</w:t>
            </w:r>
          </w:p>
          <w:tbl>
            <w:tblPr>
              <w:tblStyle w:val="11"/>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174"/>
              <w:gridCol w:w="1039"/>
              <w:gridCol w:w="1310"/>
              <w:gridCol w:w="1174"/>
              <w:gridCol w:w="1174"/>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7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污染物</w:t>
                  </w:r>
                </w:p>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名称</w:t>
                  </w:r>
                </w:p>
              </w:tc>
              <w:tc>
                <w:tcPr>
                  <w:tcW w:w="117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排放量kg/h</w:t>
                  </w:r>
                </w:p>
              </w:tc>
              <w:tc>
                <w:tcPr>
                  <w:tcW w:w="1039"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频率</w:t>
                  </w:r>
                </w:p>
              </w:tc>
              <w:tc>
                <w:tcPr>
                  <w:tcW w:w="1310"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持续时间/h</w:t>
                  </w:r>
                </w:p>
              </w:tc>
              <w:tc>
                <w:tcPr>
                  <w:tcW w:w="117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排放浓度mg/</w:t>
                  </w:r>
                  <w:r>
                    <w:rPr>
                      <w:rFonts w:hint="eastAsia"/>
                      <w:b/>
                      <w:bCs/>
                      <w:color w:val="000000" w:themeColor="text1"/>
                      <w:lang w:val="en-US" w:eastAsia="zh-CN"/>
                      <w14:textFill>
                        <w14:solidFill>
                          <w14:schemeClr w14:val="tx1"/>
                        </w14:solidFill>
                      </w14:textFill>
                    </w:rPr>
                    <w:t>m³</w:t>
                  </w:r>
                </w:p>
              </w:tc>
              <w:tc>
                <w:tcPr>
                  <w:tcW w:w="117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浓度标准mg/</w:t>
                  </w:r>
                  <w:r>
                    <w:rPr>
                      <w:rFonts w:hint="eastAsia"/>
                      <w:b/>
                      <w:bCs/>
                      <w:color w:val="000000" w:themeColor="text1"/>
                      <w:lang w:val="en-US" w:eastAsia="zh-CN"/>
                      <w14:textFill>
                        <w14:solidFill>
                          <w14:schemeClr w14:val="tx1"/>
                        </w14:solidFill>
                      </w14:textFill>
                    </w:rPr>
                    <w:t>m³</w:t>
                  </w:r>
                </w:p>
              </w:tc>
              <w:tc>
                <w:tcPr>
                  <w:tcW w:w="117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74"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颗粒物</w:t>
                  </w:r>
                </w:p>
              </w:tc>
              <w:tc>
                <w:tcPr>
                  <w:tcW w:w="1174"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0.87</w:t>
                  </w:r>
                </w:p>
              </w:tc>
              <w:tc>
                <w:tcPr>
                  <w:tcW w:w="1039"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1次/a</w:t>
                  </w:r>
                </w:p>
              </w:tc>
              <w:tc>
                <w:tcPr>
                  <w:tcW w:w="1310"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1174" w:type="dxa"/>
                  <w:tcBorders>
                    <w:top w:val="single" w:color="auto" w:sz="12" w:space="0"/>
                    <w:tl2br w:val="nil"/>
                    <w:tr2bl w:val="nil"/>
                  </w:tcBorders>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80.13</w:t>
                  </w:r>
                </w:p>
              </w:tc>
              <w:tc>
                <w:tcPr>
                  <w:tcW w:w="1174"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17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1174"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SO</w:t>
                  </w:r>
                  <w:r>
                    <w:rPr>
                      <w:rFonts w:hint="default"/>
                      <w:color w:val="000000" w:themeColor="text1"/>
                      <w:vertAlign w:val="subscript"/>
                      <w:lang w:val="en-US" w:eastAsia="zh-CN"/>
                      <w14:textFill>
                        <w14:solidFill>
                          <w14:schemeClr w14:val="tx1"/>
                        </w14:solidFill>
                      </w14:textFill>
                    </w:rPr>
                    <w:t>2</w:t>
                  </w:r>
                </w:p>
              </w:tc>
              <w:tc>
                <w:tcPr>
                  <w:tcW w:w="1174"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1.53</w:t>
                  </w:r>
                </w:p>
              </w:tc>
              <w:tc>
                <w:tcPr>
                  <w:tcW w:w="103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1次/a</w:t>
                  </w:r>
                </w:p>
              </w:tc>
              <w:tc>
                <w:tcPr>
                  <w:tcW w:w="1310"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1174" w:type="dxa"/>
                  <w:tcBorders>
                    <w:tl2br w:val="nil"/>
                    <w:tr2bl w:val="nil"/>
                  </w:tcBorders>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141.67</w:t>
                  </w:r>
                </w:p>
              </w:tc>
              <w:tc>
                <w:tcPr>
                  <w:tcW w:w="1174"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17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超标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74"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NO</w:t>
                  </w:r>
                  <w:r>
                    <w:rPr>
                      <w:rFonts w:hint="default"/>
                      <w:color w:val="000000" w:themeColor="text1"/>
                      <w:vertAlign w:val="subscript"/>
                      <w:lang w:val="en-US" w:eastAsia="zh-CN"/>
                      <w14:textFill>
                        <w14:solidFill>
                          <w14:schemeClr w14:val="tx1"/>
                        </w14:solidFill>
                      </w14:textFill>
                    </w:rPr>
                    <w:t>x</w:t>
                  </w:r>
                </w:p>
              </w:tc>
              <w:tc>
                <w:tcPr>
                  <w:tcW w:w="1174"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1.77</w:t>
                  </w:r>
                </w:p>
              </w:tc>
              <w:tc>
                <w:tcPr>
                  <w:tcW w:w="1039"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1次/a</w:t>
                  </w:r>
                </w:p>
              </w:tc>
              <w:tc>
                <w:tcPr>
                  <w:tcW w:w="1310"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w:t>
                  </w:r>
                </w:p>
              </w:tc>
              <w:tc>
                <w:tcPr>
                  <w:tcW w:w="1174" w:type="dxa"/>
                  <w:tcBorders>
                    <w:tl2br w:val="nil"/>
                    <w:tr2bl w:val="nil"/>
                  </w:tcBorders>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163.46</w:t>
                  </w:r>
                </w:p>
              </w:tc>
              <w:tc>
                <w:tcPr>
                  <w:tcW w:w="1174"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w:t>
                  </w:r>
                </w:p>
              </w:tc>
              <w:tc>
                <w:tcPr>
                  <w:tcW w:w="1175" w:type="dxa"/>
                  <w:tcBorders>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达</w:t>
                  </w:r>
                  <w:r>
                    <w:rPr>
                      <w:rFonts w:hint="default"/>
                      <w:color w:val="000000" w:themeColor="text1"/>
                      <w:lang w:val="en-US" w:eastAsia="zh-CN"/>
                      <w14:textFill>
                        <w14:solidFill>
                          <w14:schemeClr w14:val="tx1"/>
                        </w14:solidFill>
                      </w14:textFill>
                    </w:rPr>
                    <w:t>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非正常工况下，本项目烟囱出口</w:t>
            </w:r>
            <w:r>
              <w:rPr>
                <w:rFonts w:hint="eastAsia"/>
                <w:color w:val="000000" w:themeColor="text1"/>
                <w:lang w:val="en-US" w:eastAsia="zh-CN"/>
                <w14:textFill>
                  <w14:solidFill>
                    <w14:schemeClr w14:val="tx1"/>
                  </w14:solidFill>
                </w14:textFill>
              </w:rPr>
              <w:t>颗粒物、二氧化硫</w:t>
            </w:r>
            <w:r>
              <w:rPr>
                <w:rFonts w:hint="default"/>
                <w:color w:val="000000" w:themeColor="text1"/>
                <w:lang w:val="en-US" w:eastAsia="zh-CN"/>
                <w14:textFill>
                  <w14:solidFill>
                    <w14:schemeClr w14:val="tx1"/>
                  </w14:solidFill>
                </w14:textFill>
              </w:rPr>
              <w:t>排放浓度均不能满足《锅炉大气污染物排放标准（GB13271-2014）新建</w:t>
            </w:r>
            <w:r>
              <w:rPr>
                <w:rFonts w:hint="eastAsia"/>
                <w:color w:val="000000" w:themeColor="text1"/>
                <w:lang w:val="en-US" w:eastAsia="zh-CN"/>
                <w14:textFill>
                  <w14:solidFill>
                    <w14:schemeClr w14:val="tx1"/>
                  </w14:solidFill>
                </w14:textFill>
              </w:rPr>
              <w:t>燃气</w:t>
            </w:r>
            <w:r>
              <w:rPr>
                <w:rFonts w:hint="default"/>
                <w:color w:val="000000" w:themeColor="text1"/>
                <w:lang w:val="en-US" w:eastAsia="zh-CN"/>
                <w14:textFill>
                  <w14:solidFill>
                    <w14:schemeClr w14:val="tx1"/>
                  </w14:solidFill>
                </w14:textFill>
              </w:rPr>
              <w:t>锅炉大气污染物排放浓度限值规定。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建设单位应强化厂区运行管理、定期对除尘器、脱硫设施及脱硝系统进行检修，降低非正常工况的发生频次，减少非正常工况的持续时间。为保证脱硫、脱硝、除尘设施的正常运行，应采取如下预防措施：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（1）加强对</w:t>
            </w:r>
            <w:r>
              <w:rPr>
                <w:rFonts w:hint="eastAsia"/>
                <w:color w:val="000000" w:themeColor="text1"/>
                <w:lang w:val="en-US" w:eastAsia="zh-CN"/>
                <w14:textFill>
                  <w14:solidFill>
                    <w14:schemeClr w14:val="tx1"/>
                  </w14:solidFill>
                </w14:textFill>
              </w:rPr>
              <w:t>热风炉</w:t>
            </w:r>
            <w:r>
              <w:rPr>
                <w:rFonts w:hint="default"/>
                <w:color w:val="000000" w:themeColor="text1"/>
                <w:lang w:val="en-US" w:eastAsia="zh-CN"/>
                <w14:textFill>
                  <w14:solidFill>
                    <w14:schemeClr w14:val="tx1"/>
                  </w14:solidFill>
                </w14:textFill>
              </w:rPr>
              <w:t>操作人员岗位培训，使其熟练掌握脱硫、脱硝及除尘的操作规程和技术。熟悉除尘器</w:t>
            </w:r>
            <w:r>
              <w:rPr>
                <w:rFonts w:hint="eastAsia"/>
                <w:color w:val="000000" w:themeColor="text1"/>
                <w:lang w:val="en-US" w:eastAsia="zh-CN"/>
                <w14:textFill>
                  <w14:solidFill>
                    <w14:schemeClr w14:val="tx1"/>
                  </w14:solidFill>
                </w14:textFill>
              </w:rPr>
              <w:t>、脱硫、脱硝</w:t>
            </w:r>
            <w:r>
              <w:rPr>
                <w:rFonts w:hint="default"/>
                <w:color w:val="000000" w:themeColor="text1"/>
                <w:lang w:val="en-US" w:eastAsia="zh-CN"/>
                <w14:textFill>
                  <w14:solidFill>
                    <w14:schemeClr w14:val="tx1"/>
                  </w14:solidFill>
                </w14:textFill>
              </w:rPr>
              <w:t>设施的维护和维修</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确保</w:t>
            </w:r>
            <w:r>
              <w:rPr>
                <w:rFonts w:hint="eastAsia"/>
                <w:color w:val="000000" w:themeColor="text1"/>
                <w:lang w:val="en-US" w:eastAsia="zh-CN"/>
                <w14:textFill>
                  <w14:solidFill>
                    <w14:schemeClr w14:val="tx1"/>
                  </w14:solidFill>
                </w14:textFill>
              </w:rPr>
              <w:t>设施效率满足达标排放的要求</w:t>
            </w:r>
            <w:r>
              <w:rPr>
                <w:rFonts w:hint="default"/>
                <w:color w:val="000000" w:themeColor="text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（2）应积极联系脱硫剂、脱硝剂供应的备选企业，保证充足供应。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（3）加强企业的运行管理，通过规章制度约束工人按操作规程工作。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（4）如果炉后脱硫设施、脱硝设施或除尘器发生事故，应视情况停炉检修，避免对周围环境造成污染。</w:t>
            </w:r>
          </w:p>
          <w:p>
            <w:pPr>
              <w:keepNext w:val="0"/>
              <w:keepLines w:val="0"/>
              <w:suppressLineNumbers w:val="0"/>
              <w:bidi w:val="0"/>
              <w:spacing w:before="0" w:beforeAutospacing="0" w:after="0" w:afterAutospacing="0"/>
              <w:ind w:left="0" w:right="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1.5 项目排放口</w:t>
            </w:r>
          </w:p>
          <w:p>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本项目排放口设置情况如下表4-20。</w:t>
            </w:r>
          </w:p>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表4-20   </w:t>
            </w:r>
            <w:r>
              <w:rPr>
                <w:rFonts w:hint="default"/>
                <w:b/>
                <w:bCs/>
                <w:color w:val="000000" w:themeColor="text1"/>
                <w14:textFill>
                  <w14:solidFill>
                    <w14:schemeClr w14:val="tx1"/>
                  </w14:solidFill>
                </w14:textFill>
              </w:rPr>
              <w:t>大气污染物</w:t>
            </w:r>
            <w:r>
              <w:rPr>
                <w:rFonts w:hint="default"/>
                <w:b/>
                <w:bCs/>
                <w:color w:val="000000" w:themeColor="text1"/>
                <w:lang w:val="en-US" w:eastAsia="zh-CN"/>
                <w14:textFill>
                  <w14:solidFill>
                    <w14:schemeClr w14:val="tx1"/>
                  </w14:solidFill>
                </w14:textFill>
              </w:rPr>
              <w:t>排放口基本情况</w:t>
            </w:r>
            <w:r>
              <w:rPr>
                <w:rFonts w:hint="default"/>
                <w:b/>
                <w:bCs/>
                <w:color w:val="000000" w:themeColor="text1"/>
                <w14:textFill>
                  <w14:solidFill>
                    <w14:schemeClr w14:val="tx1"/>
                  </w14:solidFill>
                </w14:textFill>
              </w:rPr>
              <w:t>一览表</w:t>
            </w:r>
          </w:p>
          <w:tbl>
            <w:tblPr>
              <w:tblStyle w:val="11"/>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421"/>
              <w:gridCol w:w="1919"/>
              <w:gridCol w:w="755"/>
              <w:gridCol w:w="1112"/>
              <w:gridCol w:w="1124"/>
              <w:gridCol w:w="1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编号</w:t>
                  </w:r>
                </w:p>
              </w:tc>
              <w:tc>
                <w:tcPr>
                  <w:tcW w:w="1421"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排放口名称</w:t>
                  </w:r>
                </w:p>
              </w:tc>
              <w:tc>
                <w:tcPr>
                  <w:tcW w:w="1919"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地理坐标</w:t>
                  </w:r>
                </w:p>
              </w:tc>
              <w:tc>
                <w:tcPr>
                  <w:tcW w:w="75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高度</w:t>
                  </w:r>
                </w:p>
              </w:tc>
              <w:tc>
                <w:tcPr>
                  <w:tcW w:w="1112"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出口内径</w:t>
                  </w:r>
                </w:p>
              </w:tc>
              <w:tc>
                <w:tcPr>
                  <w:tcW w:w="112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排气温度</w:t>
                  </w:r>
                </w:p>
              </w:tc>
              <w:tc>
                <w:tcPr>
                  <w:tcW w:w="1025"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64"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DA001</w:t>
                  </w:r>
                </w:p>
              </w:tc>
              <w:tc>
                <w:tcPr>
                  <w:tcW w:w="1421"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锅炉</w:t>
                  </w:r>
                  <w:r>
                    <w:rPr>
                      <w:rFonts w:hint="eastAsia"/>
                      <w:color w:val="000000" w:themeColor="text1"/>
                      <w:lang w:val="en-US" w:eastAsia="zh-CN"/>
                      <w14:textFill>
                        <w14:solidFill>
                          <w14:schemeClr w14:val="tx1"/>
                        </w14:solidFill>
                      </w14:textFill>
                    </w:rPr>
                    <w:t>烟囱</w:t>
                  </w:r>
                  <w:r>
                    <w:rPr>
                      <w:rFonts w:hint="default"/>
                      <w:color w:val="000000" w:themeColor="text1"/>
                      <w:lang w:val="en-US" w:eastAsia="zh-CN"/>
                      <w14:textFill>
                        <w14:solidFill>
                          <w14:schemeClr w14:val="tx1"/>
                        </w14:solidFill>
                      </w14:textFill>
                    </w:rPr>
                    <w:t>（脱硫塔）</w:t>
                  </w:r>
                </w:p>
              </w:tc>
              <w:tc>
                <w:tcPr>
                  <w:tcW w:w="1919"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t>
                  </w:r>
                  <w:r>
                    <w:rPr>
                      <w:rFonts w:hint="eastAsia"/>
                      <w:color w:val="000000" w:themeColor="text1"/>
                      <w:lang w:eastAsia="zh-CN"/>
                      <w14:textFill>
                        <w14:solidFill>
                          <w14:schemeClr w14:val="tx1"/>
                        </w14:solidFill>
                      </w14:textFill>
                    </w:rPr>
                    <w:t>44°11'7.09</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p>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w:t>
                  </w:r>
                  <w:r>
                    <w:rPr>
                      <w:rFonts w:hint="eastAsia"/>
                      <w:color w:val="000000" w:themeColor="text1"/>
                      <w:lang w:eastAsia="zh-CN"/>
                      <w14:textFill>
                        <w14:solidFill>
                          <w14:schemeClr w14:val="tx1"/>
                        </w14:solidFill>
                      </w14:textFill>
                    </w:rPr>
                    <w:t>88°49'13.38</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p>
              </w:tc>
              <w:tc>
                <w:tcPr>
                  <w:tcW w:w="75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45m</w:t>
                  </w:r>
                </w:p>
              </w:tc>
              <w:tc>
                <w:tcPr>
                  <w:tcW w:w="1112"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m</w:t>
                  </w:r>
                </w:p>
              </w:tc>
              <w:tc>
                <w:tcPr>
                  <w:tcW w:w="1124"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r>
                    <w:rPr>
                      <w:rFonts w:hint="default"/>
                      <w:color w:val="000000" w:themeColor="text1"/>
                      <w:lang w:val="en-US" w:eastAsia="zh-CN"/>
                      <w14:textFill>
                        <w14:solidFill>
                          <w14:schemeClr w14:val="tx1"/>
                        </w14:solidFill>
                      </w14:textFill>
                    </w:rPr>
                    <w:t>0℃</w:t>
                  </w:r>
                </w:p>
              </w:tc>
              <w:tc>
                <w:tcPr>
                  <w:tcW w:w="1025" w:type="dxa"/>
                  <w:tcBorders>
                    <w:top w:val="single" w:color="auto" w:sz="12" w:space="0"/>
                    <w:tl2br w:val="nil"/>
                    <w:tr2bl w:val="nil"/>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有组织</w:t>
                  </w:r>
                </w:p>
              </w:tc>
            </w:tr>
          </w:tbl>
          <w:p>
            <w:pPr>
              <w:keepNext w:val="0"/>
              <w:keepLines w:val="0"/>
              <w:suppressLineNumbers w:val="0"/>
              <w:bidi w:val="0"/>
              <w:spacing w:before="0" w:beforeAutospacing="0" w:after="0" w:afterAutospacing="0"/>
              <w:ind w:left="0" w:right="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1.6 大气污染物监测</w:t>
            </w:r>
          </w:p>
          <w:p>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w:t>
            </w:r>
            <w:r>
              <w:rPr>
                <w:rFonts w:hint="default"/>
                <w:color w:val="000000" w:themeColor="text1"/>
                <w14:textFill>
                  <w14:solidFill>
                    <w14:schemeClr w14:val="tx1"/>
                  </w14:solidFill>
                </w14:textFill>
              </w:rPr>
              <w:t>营运期</w:t>
            </w:r>
            <w:r>
              <w:rPr>
                <w:rFonts w:hint="default"/>
                <w:color w:val="000000" w:themeColor="text1"/>
                <w:lang w:val="en-US" w:eastAsia="zh-CN"/>
                <w14:textFill>
                  <w14:solidFill>
                    <w14:schemeClr w14:val="tx1"/>
                  </w14:solidFill>
                </w14:textFill>
              </w:rPr>
              <w:t>大气</w:t>
            </w:r>
            <w:r>
              <w:rPr>
                <w:rFonts w:hint="default"/>
                <w:color w:val="000000" w:themeColor="text1"/>
                <w14:textFill>
                  <w14:solidFill>
                    <w14:schemeClr w14:val="tx1"/>
                  </w14:solidFill>
                </w14:textFill>
              </w:rPr>
              <w:t>污染物监测方案计划见</w:t>
            </w:r>
            <w:r>
              <w:rPr>
                <w:rFonts w:hint="default"/>
                <w:color w:val="000000" w:themeColor="text1"/>
                <w:lang w:eastAsia="zh-CN"/>
                <w14:textFill>
                  <w14:solidFill>
                    <w14:schemeClr w14:val="tx1"/>
                  </w14:solidFill>
                </w14:textFill>
              </w:rPr>
              <w:t>下</w:t>
            </w:r>
            <w:r>
              <w:rPr>
                <w:rFonts w:hint="default"/>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4-21。</w:t>
            </w:r>
          </w:p>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4-21  </w:t>
            </w:r>
            <w:r>
              <w:rPr>
                <w:rFonts w:hint="default"/>
                <w:b/>
                <w:bCs/>
                <w:color w:val="000000" w:themeColor="text1"/>
                <w14:textFill>
                  <w14:solidFill>
                    <w14:schemeClr w14:val="tx1"/>
                  </w14:solidFill>
                </w14:textFill>
              </w:rPr>
              <w:t xml:space="preserve"> 运营期</w:t>
            </w:r>
            <w:r>
              <w:rPr>
                <w:rFonts w:hint="default"/>
                <w:b/>
                <w:bCs/>
                <w:color w:val="000000" w:themeColor="text1"/>
                <w:lang w:val="en-US" w:eastAsia="zh-CN"/>
                <w14:textFill>
                  <w14:solidFill>
                    <w14:schemeClr w14:val="tx1"/>
                  </w14:solidFill>
                </w14:textFill>
              </w:rPr>
              <w:t>大气</w:t>
            </w:r>
            <w:r>
              <w:rPr>
                <w:rFonts w:hint="default"/>
                <w:b/>
                <w:bCs/>
                <w:color w:val="000000" w:themeColor="text1"/>
                <w14:textFill>
                  <w14:solidFill>
                    <w14:schemeClr w14:val="tx1"/>
                  </w14:solidFill>
                </w14:textFill>
              </w:rPr>
              <w:t>污染物监测</w:t>
            </w:r>
            <w:r>
              <w:rPr>
                <w:rFonts w:hint="default"/>
                <w:b/>
                <w:bCs/>
                <w:color w:val="000000" w:themeColor="text1"/>
                <w:lang w:val="en-US" w:eastAsia="zh-CN"/>
                <w14:textFill>
                  <w14:solidFill>
                    <w14:schemeClr w14:val="tx1"/>
                  </w14:solidFill>
                </w14:textFill>
              </w:rPr>
              <w:t>计划表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334"/>
              <w:gridCol w:w="1181"/>
              <w:gridCol w:w="45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16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监测点位</w:t>
                  </w:r>
                </w:p>
              </w:tc>
              <w:tc>
                <w:tcPr>
                  <w:tcW w:w="133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eastAsia="zh-CN"/>
                      <w14:textFill>
                        <w14:solidFill>
                          <w14:schemeClr w14:val="tx1"/>
                        </w14:solidFill>
                      </w14:textFill>
                    </w:rPr>
                  </w:pPr>
                  <w:r>
                    <w:rPr>
                      <w:rFonts w:hint="default"/>
                      <w:b/>
                      <w:bCs/>
                      <w:color w:val="000000" w:themeColor="text1"/>
                      <w14:textFill>
                        <w14:solidFill>
                          <w14:schemeClr w14:val="tx1"/>
                        </w14:solidFill>
                      </w14:textFill>
                    </w:rPr>
                    <w:t>监测</w:t>
                  </w:r>
                  <w:r>
                    <w:rPr>
                      <w:rFonts w:hint="default"/>
                      <w:b/>
                      <w:bCs/>
                      <w:color w:val="000000" w:themeColor="text1"/>
                      <w:lang w:eastAsia="zh-CN"/>
                      <w14:textFill>
                        <w14:solidFill>
                          <w14:schemeClr w14:val="tx1"/>
                        </w14:solidFill>
                      </w14:textFill>
                    </w:rPr>
                    <w:t>因子</w:t>
                  </w:r>
                </w:p>
              </w:tc>
              <w:tc>
                <w:tcPr>
                  <w:tcW w:w="1181"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监测频次</w:t>
                  </w:r>
                </w:p>
              </w:tc>
              <w:tc>
                <w:tcPr>
                  <w:tcW w:w="4541"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restart"/>
                  <w:tcBorders>
                    <w:top w:val="single" w:color="auto" w:sz="12" w:space="0"/>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烟囱预留监测平台</w:t>
                  </w:r>
                </w:p>
              </w:tc>
              <w:tc>
                <w:tcPr>
                  <w:tcW w:w="1334" w:type="dxa"/>
                  <w:tcBorders>
                    <w:top w:val="single" w:color="auto" w:sz="12" w:space="0"/>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颗粒物、</w:t>
                  </w:r>
                  <w:r>
                    <w:rPr>
                      <w:rFonts w:hint="default"/>
                      <w:color w:val="000000" w:themeColor="text1"/>
                      <w14:textFill>
                        <w14:solidFill>
                          <w14:schemeClr w14:val="tx1"/>
                        </w14:solidFill>
                      </w14:textFill>
                    </w:rPr>
                    <w:t>SO</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、NO</w:t>
                  </w:r>
                  <w:r>
                    <w:rPr>
                      <w:rFonts w:hint="eastAsia"/>
                      <w:color w:val="000000" w:themeColor="text1"/>
                      <w:vertAlign w:val="subscript"/>
                      <w:lang w:val="en-US" w:eastAsia="zh-CN"/>
                      <w14:textFill>
                        <w14:solidFill>
                          <w14:schemeClr w14:val="tx1"/>
                        </w14:solidFill>
                      </w14:textFill>
                    </w:rPr>
                    <w:t>x</w:t>
                  </w:r>
                  <w:r>
                    <w:rPr>
                      <w:rFonts w:hint="default"/>
                      <w:color w:val="000000" w:themeColor="text1"/>
                      <w14:textFill>
                        <w14:solidFill>
                          <w14:schemeClr w14:val="tx1"/>
                        </w14:solidFill>
                      </w14:textFill>
                    </w:rPr>
                    <w:t>、</w:t>
                  </w:r>
                </w:p>
              </w:tc>
              <w:tc>
                <w:tcPr>
                  <w:tcW w:w="1181" w:type="dxa"/>
                  <w:tcBorders>
                    <w:top w:val="single" w:color="auto" w:sz="12" w:space="0"/>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自动监测</w:t>
                  </w:r>
                </w:p>
              </w:tc>
              <w:tc>
                <w:tcPr>
                  <w:tcW w:w="4541" w:type="dxa"/>
                  <w:vMerge w:val="restart"/>
                  <w:tcBorders>
                    <w:top w:val="single" w:color="auto" w:sz="12" w:space="0"/>
                  </w:tcBorders>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eastAsia="zh-CN"/>
                      <w14:textFill>
                        <w14:solidFill>
                          <w14:schemeClr w14:val="tx1"/>
                        </w14:solidFill>
                      </w14:textFill>
                    </w:rPr>
                    <w:t>《锅炉大气污染物排放标准》（GB13271-2014）表2新建</w:t>
                  </w:r>
                  <w:r>
                    <w:rPr>
                      <w:rFonts w:hint="eastAsia"/>
                      <w:color w:val="000000" w:themeColor="text1"/>
                      <w:lang w:val="en-US" w:eastAsia="zh-CN"/>
                      <w14:textFill>
                        <w14:solidFill>
                          <w14:schemeClr w14:val="tx1"/>
                        </w14:solidFill>
                      </w14:textFill>
                    </w:rPr>
                    <w:t>燃气</w:t>
                  </w:r>
                  <w:r>
                    <w:rPr>
                      <w:rFonts w:hint="default"/>
                      <w:color w:val="000000" w:themeColor="text1"/>
                      <w:lang w:eastAsia="zh-CN"/>
                      <w14:textFill>
                        <w14:solidFill>
                          <w14:schemeClr w14:val="tx1"/>
                        </w14:solidFill>
                      </w14:textFill>
                    </w:rPr>
                    <w:t>锅炉排放标准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Merge w:val="continue"/>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p>
              </w:tc>
              <w:tc>
                <w:tcPr>
                  <w:tcW w:w="1334" w:type="dxa"/>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林格曼黑度</w:t>
                  </w:r>
                </w:p>
              </w:tc>
              <w:tc>
                <w:tcPr>
                  <w:tcW w:w="1181" w:type="dxa"/>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1次/季度</w:t>
                  </w:r>
                </w:p>
              </w:tc>
              <w:tc>
                <w:tcPr>
                  <w:tcW w:w="4541" w:type="dxa"/>
                  <w:vMerge w:val="continue"/>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64" w:type="dxa"/>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厂界</w:t>
                  </w:r>
                </w:p>
              </w:tc>
              <w:tc>
                <w:tcPr>
                  <w:tcW w:w="1334" w:type="dxa"/>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颗粒物</w:t>
                  </w:r>
                </w:p>
              </w:tc>
              <w:tc>
                <w:tcPr>
                  <w:tcW w:w="1181" w:type="dxa"/>
                  <w:vAlign w:val="center"/>
                </w:tcPr>
                <w:p>
                  <w:pPr>
                    <w:pStyle w:val="15"/>
                    <w:keepNext w:val="0"/>
                    <w:keepLines w:val="0"/>
                    <w:suppressLineNumbers w:val="0"/>
                    <w:bidi w:val="0"/>
                    <w:spacing w:before="0" w:beforeAutospacing="0" w:after="0" w:afterAutospacing="0"/>
                    <w:ind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1次/季度</w:t>
                  </w:r>
                </w:p>
              </w:tc>
              <w:tc>
                <w:tcPr>
                  <w:tcW w:w="4541" w:type="dxa"/>
                  <w:vAlign w:val="center"/>
                </w:tcPr>
                <w:p>
                  <w:pPr>
                    <w:pStyle w:val="15"/>
                    <w:keepNext w:val="0"/>
                    <w:keepLines w:val="0"/>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《大气污染物综合排放标准》（GB16297-1996）无组织排放浓度限值</w:t>
                  </w:r>
                </w:p>
              </w:tc>
            </w:tr>
          </w:tbl>
          <w:p>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sz w:val="24"/>
                <w:lang w:val="en-US" w:eastAsia="zh-CN"/>
                <w14:textFill>
                  <w14:solidFill>
                    <w14:schemeClr w14:val="tx1"/>
                  </w14:solidFill>
                </w14:textFill>
              </w:rPr>
              <w:t>大气环境影响自查表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4-22</w:t>
            </w:r>
            <w:r>
              <w:rPr>
                <w:rFonts w:hint="default"/>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 xml:space="preserve">  大气环境影响评价自查表</w:t>
            </w:r>
          </w:p>
          <w:tbl>
            <w:tblPr>
              <w:tblStyle w:val="10"/>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90"/>
              <w:gridCol w:w="1531"/>
              <w:gridCol w:w="887"/>
              <w:gridCol w:w="341"/>
              <w:gridCol w:w="103"/>
              <w:gridCol w:w="237"/>
              <w:gridCol w:w="114"/>
              <w:gridCol w:w="106"/>
              <w:gridCol w:w="257"/>
              <w:gridCol w:w="254"/>
              <w:gridCol w:w="240"/>
              <w:gridCol w:w="106"/>
              <w:gridCol w:w="96"/>
              <w:gridCol w:w="381"/>
              <w:gridCol w:w="86"/>
              <w:gridCol w:w="378"/>
              <w:gridCol w:w="164"/>
              <w:gridCol w:w="516"/>
              <w:gridCol w:w="63"/>
              <w:gridCol w:w="315"/>
              <w:gridCol w:w="54"/>
              <w:gridCol w:w="442"/>
              <w:gridCol w:w="6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2421" w:type="dxa"/>
                  <w:gridSpan w:val="2"/>
                  <w:tcBorders>
                    <w:top w:val="single" w:color="000000" w:sz="12" w:space="0"/>
                    <w:bottom w:val="single" w:color="000000" w:sz="12" w:space="0"/>
                    <w:right w:val="single" w:color="000000"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工作内容</w:t>
                  </w:r>
                </w:p>
              </w:tc>
              <w:tc>
                <w:tcPr>
                  <w:tcW w:w="5799" w:type="dxa"/>
                  <w:gridSpan w:val="21"/>
                  <w:tcBorders>
                    <w:top w:val="single" w:color="000000" w:sz="12" w:space="0"/>
                    <w:left w:val="single" w:color="000000" w:sz="4" w:space="0"/>
                    <w:bottom w:val="single" w:color="000000"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自查项目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restart"/>
                  <w:tcBorders>
                    <w:top w:val="single" w:color="000000" w:sz="12"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评价等级与范围</w:t>
                  </w:r>
                </w:p>
              </w:tc>
              <w:tc>
                <w:tcPr>
                  <w:tcW w:w="1531" w:type="dxa"/>
                  <w:tcBorders>
                    <w:top w:val="single" w:color="000000" w:sz="12"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评价等级</w:t>
                  </w:r>
                </w:p>
              </w:tc>
              <w:tc>
                <w:tcPr>
                  <w:tcW w:w="2299" w:type="dxa"/>
                  <w:gridSpan w:val="8"/>
                  <w:tcBorders>
                    <w:top w:val="single" w:color="000000" w:sz="12"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一级</w:t>
                  </w:r>
                  <w:r>
                    <w:rPr>
                      <w:color w:val="000000" w:themeColor="text1"/>
                      <w14:textFill>
                        <w14:solidFill>
                          <w14:schemeClr w14:val="tx1"/>
                        </w14:solidFill>
                      </w14:textFill>
                    </w:rPr>
                    <w:t>□</w:t>
                  </w:r>
                </w:p>
              </w:tc>
              <w:tc>
                <w:tcPr>
                  <w:tcW w:w="2030" w:type="dxa"/>
                  <w:gridSpan w:val="9"/>
                  <w:tcBorders>
                    <w:top w:val="single" w:color="000000" w:sz="12"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r>
                    <w:rPr>
                      <w:color w:val="000000" w:themeColor="text1"/>
                      <w14:textFill>
                        <w14:solidFill>
                          <w14:schemeClr w14:val="tx1"/>
                        </w14:solidFill>
                      </w14:textFill>
                    </w:rPr>
                    <w:sym w:font="Wingdings 2" w:char="F052"/>
                  </w:r>
                </w:p>
              </w:tc>
              <w:tc>
                <w:tcPr>
                  <w:tcW w:w="1470" w:type="dxa"/>
                  <w:gridSpan w:val="4"/>
                  <w:tcBorders>
                    <w:top w:val="single" w:color="000000" w:sz="12"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r>
                    <w:rPr>
                      <w:color w:val="000000" w:themeColor="text1"/>
                      <w14:textFill>
                        <w14:solidFill>
                          <w14:schemeClr w14:val="tx1"/>
                        </w14:solidFill>
                      </w14:textFill>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评价范围</w:t>
                  </w:r>
                </w:p>
              </w:tc>
              <w:tc>
                <w:tcPr>
                  <w:tcW w:w="2299" w:type="dxa"/>
                  <w:gridSpan w:val="8"/>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边长</w:t>
                  </w:r>
                  <w:r>
                    <w:rPr>
                      <w:color w:val="000000" w:themeColor="text1"/>
                      <w14:textFill>
                        <w14:solidFill>
                          <w14:schemeClr w14:val="tx1"/>
                        </w14:solidFill>
                      </w14:textFill>
                    </w:rPr>
                    <w:t>=50km□</w:t>
                  </w:r>
                </w:p>
              </w:tc>
              <w:tc>
                <w:tcPr>
                  <w:tcW w:w="2030" w:type="dxa"/>
                  <w:gridSpan w:val="9"/>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边长</w:t>
                  </w:r>
                  <w:r>
                    <w:rPr>
                      <w:color w:val="000000" w:themeColor="text1"/>
                      <w14:textFill>
                        <w14:solidFill>
                          <w14:schemeClr w14:val="tx1"/>
                        </w14:solidFill>
                      </w14:textFill>
                    </w:rPr>
                    <w:t xml:space="preserve"> 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50km</w:t>
                  </w:r>
                  <w:r>
                    <w:rPr>
                      <w:color w:val="000000" w:themeColor="text1"/>
                      <w14:textFill>
                        <w14:solidFill>
                          <w14:schemeClr w14:val="tx1"/>
                        </w14:solidFill>
                      </w14:textFill>
                    </w:rPr>
                    <w:sym w:font="Wingdings 2" w:char="F052"/>
                  </w:r>
                </w:p>
              </w:tc>
              <w:tc>
                <w:tcPr>
                  <w:tcW w:w="1470" w:type="dxa"/>
                  <w:gridSpan w:val="4"/>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边长</w:t>
                  </w:r>
                  <w:r>
                    <w:rPr>
                      <w:color w:val="000000" w:themeColor="text1"/>
                      <w14:textFill>
                        <w14:solidFill>
                          <w14:schemeClr w14:val="tx1"/>
                        </w14:solidFill>
                      </w14:textFill>
                    </w:rPr>
                    <w:t>=5 km</w:t>
                  </w:r>
                  <w:r>
                    <w:rPr>
                      <w:color w:val="000000" w:themeColor="text1"/>
                      <w14:textFill>
                        <w14:solidFill>
                          <w14:schemeClr w14:val="tx1"/>
                        </w14:solidFill>
                      </w14:textFill>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restart"/>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评价因子</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rFonts w:hint="eastAsia"/>
                      <w:color w:val="000000" w:themeColor="text1"/>
                      <w14:textFill>
                        <w14:solidFill>
                          <w14:schemeClr w14:val="tx1"/>
                        </w14:solidFill>
                      </w14:textFill>
                    </w:rPr>
                    <w:t>排放量</w:t>
                  </w:r>
                </w:p>
              </w:tc>
              <w:tc>
                <w:tcPr>
                  <w:tcW w:w="1228" w:type="dxa"/>
                  <w:gridSpan w:val="2"/>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≥2000t/a□</w:t>
                  </w:r>
                </w:p>
              </w:tc>
              <w:tc>
                <w:tcPr>
                  <w:tcW w:w="3101" w:type="dxa"/>
                  <w:gridSpan w:val="15"/>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500 ~ 2000t/a□</w:t>
                  </w:r>
                </w:p>
              </w:tc>
              <w:tc>
                <w:tcPr>
                  <w:tcW w:w="1470" w:type="dxa"/>
                  <w:gridSpan w:val="4"/>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500 t/a</w:t>
                  </w:r>
                  <w:r>
                    <w:rPr>
                      <w:color w:val="000000" w:themeColor="text1"/>
                      <w14:textFill>
                        <w14:solidFill>
                          <w14:schemeClr w14:val="tx1"/>
                        </w14:solidFill>
                      </w14:textFill>
                    </w:rPr>
                    <w:sym w:font="Wingdings" w:char="F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评价因子</w:t>
                  </w:r>
                </w:p>
              </w:tc>
              <w:tc>
                <w:tcPr>
                  <w:tcW w:w="3208" w:type="dxa"/>
                  <w:gridSpan w:val="1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基本污染物（氮氧化物、烟尘、二氧化硫</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其他污染物（）</w:t>
                  </w:r>
                </w:p>
              </w:tc>
              <w:tc>
                <w:tcPr>
                  <w:tcW w:w="2591" w:type="dxa"/>
                  <w:gridSpan w:val="8"/>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包括二次</w:t>
                  </w:r>
                  <w:r>
                    <w:rPr>
                      <w:color w:val="000000" w:themeColor="text1"/>
                      <w14:textFill>
                        <w14:solidFill>
                          <w14:schemeClr w14:val="tx1"/>
                        </w14:solidFill>
                      </w14:textFill>
                    </w:rPr>
                    <w:t xml:space="preserve"> 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不包括二次</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sym w:font="Wingdings" w:char="F0FE"/>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评价标准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评价标准</w:t>
                  </w:r>
                </w:p>
              </w:tc>
              <w:tc>
                <w:tcPr>
                  <w:tcW w:w="1788" w:type="dxa"/>
                  <w:gridSpan w:val="6"/>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国家标准</w:t>
                  </w:r>
                  <w:r>
                    <w:rPr>
                      <w:color w:val="000000" w:themeColor="text1"/>
                      <w14:textFill>
                        <w14:solidFill>
                          <w14:schemeClr w14:val="tx1"/>
                        </w14:solidFill>
                      </w14:textFill>
                    </w:rPr>
                    <w:sym w:font="Wingdings 2" w:char="F052"/>
                  </w:r>
                </w:p>
              </w:tc>
              <w:tc>
                <w:tcPr>
                  <w:tcW w:w="1420" w:type="dxa"/>
                  <w:gridSpan w:val="7"/>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地方标准</w:t>
                  </w:r>
                  <w:r>
                    <w:rPr>
                      <w:color w:val="000000" w:themeColor="text1"/>
                      <w14:textFill>
                        <w14:solidFill>
                          <w14:schemeClr w14:val="tx1"/>
                        </w14:solidFill>
                      </w14:textFill>
                    </w:rPr>
                    <w:sym w:font="Wingdings 2" w:char="00A3"/>
                  </w:r>
                </w:p>
              </w:tc>
              <w:tc>
                <w:tcPr>
                  <w:tcW w:w="1490" w:type="dxa"/>
                  <w:gridSpan w:val="6"/>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D</w:t>
                  </w:r>
                  <w:r>
                    <w:rPr>
                      <w:color w:val="000000" w:themeColor="text1"/>
                      <w14:textFill>
                        <w14:solidFill>
                          <w14:schemeClr w14:val="tx1"/>
                        </w14:solidFill>
                      </w14:textFill>
                    </w:rPr>
                    <w:sym w:font="Wingdings" w:char="00A8"/>
                  </w:r>
                </w:p>
              </w:tc>
              <w:tc>
                <w:tcPr>
                  <w:tcW w:w="1101" w:type="dxa"/>
                  <w:gridSpan w:val="2"/>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其他标准</w:t>
                  </w:r>
                  <w:r>
                    <w:rPr>
                      <w:color w:val="000000" w:themeColor="text1"/>
                      <w14:textFill>
                        <w14:solidFill>
                          <w14:schemeClr w14:val="tx1"/>
                        </w14:solidFill>
                      </w14:textFill>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restart"/>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现状评价</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环境功能区</w:t>
                  </w:r>
                </w:p>
              </w:tc>
              <w:tc>
                <w:tcPr>
                  <w:tcW w:w="2299" w:type="dxa"/>
                  <w:gridSpan w:val="8"/>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一类区</w:t>
                  </w:r>
                  <w:r>
                    <w:rPr>
                      <w:color w:val="000000" w:themeColor="text1"/>
                      <w14:textFill>
                        <w14:solidFill>
                          <w14:schemeClr w14:val="tx1"/>
                        </w14:solidFill>
                      </w14:textFill>
                    </w:rPr>
                    <w:t>□</w:t>
                  </w:r>
                </w:p>
              </w:tc>
              <w:tc>
                <w:tcPr>
                  <w:tcW w:w="1967" w:type="dxa"/>
                  <w:gridSpan w:val="8"/>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二类区</w:t>
                  </w:r>
                  <w:r>
                    <w:rPr>
                      <w:color w:val="000000" w:themeColor="text1"/>
                      <w14:textFill>
                        <w14:solidFill>
                          <w14:schemeClr w14:val="tx1"/>
                        </w14:solidFill>
                      </w14:textFill>
                    </w:rPr>
                    <w:sym w:font="Wingdings" w:char="00FE"/>
                  </w:r>
                </w:p>
              </w:tc>
              <w:tc>
                <w:tcPr>
                  <w:tcW w:w="1533" w:type="dxa"/>
                  <w:gridSpan w:val="5"/>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一类区和二类区</w:t>
                  </w:r>
                  <w:r>
                    <w:rPr>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评价基准年</w:t>
                  </w:r>
                </w:p>
              </w:tc>
              <w:tc>
                <w:tcPr>
                  <w:tcW w:w="5799" w:type="dxa"/>
                  <w:gridSpan w:val="21"/>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22</w:t>
                  </w:r>
                  <w:r>
                    <w:rPr>
                      <w:rFonts w:hint="eastAsia"/>
                      <w:color w:val="000000" w:themeColor="text1"/>
                      <w14:textFill>
                        <w14:solidFill>
                          <w14:schemeClr w14:val="tx1"/>
                        </w14:solidFill>
                      </w14:textFill>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环境空气质量</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现状调查数据来源</w:t>
                  </w:r>
                </w:p>
              </w:tc>
              <w:tc>
                <w:tcPr>
                  <w:tcW w:w="2299" w:type="dxa"/>
                  <w:gridSpan w:val="8"/>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长期例行监测数据</w:t>
                  </w:r>
                  <w:r>
                    <w:rPr>
                      <w:color w:val="000000" w:themeColor="text1"/>
                      <w14:textFill>
                        <w14:solidFill>
                          <w14:schemeClr w14:val="tx1"/>
                        </w14:solidFill>
                      </w14:textFill>
                    </w:rPr>
                    <w:t>□</w:t>
                  </w:r>
                </w:p>
              </w:tc>
              <w:tc>
                <w:tcPr>
                  <w:tcW w:w="2030" w:type="dxa"/>
                  <w:gridSpan w:val="9"/>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主管部门发布的数据</w:t>
                  </w:r>
                  <w:r>
                    <w:rPr>
                      <w:color w:val="000000" w:themeColor="text1"/>
                      <w14:textFill>
                        <w14:solidFill>
                          <w14:schemeClr w14:val="tx1"/>
                        </w14:solidFill>
                      </w14:textFill>
                    </w:rPr>
                    <w:sym w:font="Wingdings" w:char="F0FE"/>
                  </w:r>
                </w:p>
              </w:tc>
              <w:tc>
                <w:tcPr>
                  <w:tcW w:w="1470" w:type="dxa"/>
                  <w:gridSpan w:val="4"/>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现状补充监测</w:t>
                  </w:r>
                  <w:r>
                    <w:rPr>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现状评价</w:t>
                  </w:r>
                </w:p>
              </w:tc>
              <w:tc>
                <w:tcPr>
                  <w:tcW w:w="3208" w:type="dxa"/>
                  <w:gridSpan w:val="1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达标区</w:t>
                  </w:r>
                  <w:r>
                    <w:rPr>
                      <w:color w:val="000000" w:themeColor="text1"/>
                      <w14:textFill>
                        <w14:solidFill>
                          <w14:schemeClr w14:val="tx1"/>
                        </w14:solidFill>
                      </w14:textFill>
                    </w:rPr>
                    <w:sym w:font="Wingdings" w:char="00A8"/>
                  </w:r>
                </w:p>
              </w:tc>
              <w:tc>
                <w:tcPr>
                  <w:tcW w:w="2591" w:type="dxa"/>
                  <w:gridSpan w:val="8"/>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不达标区</w:t>
                  </w:r>
                  <w:r>
                    <w:rPr>
                      <w:color w:val="000000" w:themeColor="text1"/>
                      <w14:textFill>
                        <w14:solidFill>
                          <w14:schemeClr w14:val="tx1"/>
                        </w14:solidFill>
                      </w14:textFill>
                    </w:rPr>
                    <w:sym w:font="Wingdings 2" w:char="0052"/>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污染源调查</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调查内容</w:t>
                  </w:r>
                </w:p>
              </w:tc>
              <w:tc>
                <w:tcPr>
                  <w:tcW w:w="2045" w:type="dxa"/>
                  <w:gridSpan w:val="7"/>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本项目正常排放源</w:t>
                  </w:r>
                  <w:r>
                    <w:rPr>
                      <w:color w:val="000000" w:themeColor="text1"/>
                      <w14:textFill>
                        <w14:solidFill>
                          <w14:schemeClr w14:val="tx1"/>
                        </w14:solidFill>
                      </w14:textFill>
                    </w:rPr>
                    <w:sym w:font="Wingdings" w:char="F0FE"/>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本项目非正常排放源</w:t>
                  </w:r>
                  <w:r>
                    <w:rPr>
                      <w:color w:val="000000" w:themeColor="text1"/>
                      <w14:textFill>
                        <w14:solidFill>
                          <w14:schemeClr w14:val="tx1"/>
                        </w14:solidFill>
                      </w14:textFill>
                    </w:rPr>
                    <w:t>□</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现有污染源</w:t>
                  </w:r>
                  <w:r>
                    <w:rPr>
                      <w:color w:val="000000" w:themeColor="text1"/>
                      <w14:textFill>
                        <w14:solidFill>
                          <w14:schemeClr w14:val="tx1"/>
                        </w14:solidFill>
                      </w14:textFill>
                    </w:rPr>
                    <w:t>□</w:t>
                  </w:r>
                </w:p>
              </w:tc>
              <w:tc>
                <w:tcPr>
                  <w:tcW w:w="1163" w:type="dxa"/>
                  <w:gridSpan w:val="6"/>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拟替代的污染源</w:t>
                  </w:r>
                  <w:r>
                    <w:rPr>
                      <w:color w:val="000000" w:themeColor="text1"/>
                      <w14:textFill>
                        <w14:solidFill>
                          <w14:schemeClr w14:val="tx1"/>
                        </w14:solidFill>
                      </w14:textFill>
                    </w:rPr>
                    <w:t>□</w:t>
                  </w:r>
                </w:p>
              </w:tc>
              <w:tc>
                <w:tcPr>
                  <w:tcW w:w="1490" w:type="dxa"/>
                  <w:gridSpan w:val="6"/>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其他在建、拟建项目污染源</w:t>
                  </w:r>
                  <w:r>
                    <w:rPr>
                      <w:color w:val="000000" w:themeColor="text1"/>
                      <w14:textFill>
                        <w14:solidFill>
                          <w14:schemeClr w14:val="tx1"/>
                        </w14:solidFill>
                      </w14:textFill>
                    </w:rPr>
                    <w:t>□</w:t>
                  </w:r>
                </w:p>
              </w:tc>
              <w:tc>
                <w:tcPr>
                  <w:tcW w:w="1101" w:type="dxa"/>
                  <w:gridSpan w:val="2"/>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区域污染源</w:t>
                  </w:r>
                  <w:r>
                    <w:rPr>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restart"/>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大气环境影响预测与评价</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预测模型</w:t>
                  </w:r>
                </w:p>
              </w:tc>
              <w:tc>
                <w:tcPr>
                  <w:tcW w:w="887"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AERMOD</w:t>
                  </w:r>
                </w:p>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795" w:type="dxa"/>
                  <w:gridSpan w:val="4"/>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ADMS</w:t>
                  </w:r>
                </w:p>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963" w:type="dxa"/>
                  <w:gridSpan w:val="5"/>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AUSTAL2000□</w:t>
                  </w:r>
                </w:p>
              </w:tc>
              <w:tc>
                <w:tcPr>
                  <w:tcW w:w="941" w:type="dxa"/>
                  <w:gridSpan w:val="4"/>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EDMS/AEDT□</w:t>
                  </w:r>
                </w:p>
              </w:tc>
              <w:tc>
                <w:tcPr>
                  <w:tcW w:w="743" w:type="dxa"/>
                  <w:gridSpan w:val="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CALPUFF□</w:t>
                  </w:r>
                </w:p>
              </w:tc>
              <w:tc>
                <w:tcPr>
                  <w:tcW w:w="811" w:type="dxa"/>
                  <w:gridSpan w:val="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网格模型</w:t>
                  </w:r>
                  <w:r>
                    <w:rPr>
                      <w:color w:val="000000" w:themeColor="text1"/>
                      <w14:textFill>
                        <w14:solidFill>
                          <w14:schemeClr w14:val="tx1"/>
                        </w14:solidFill>
                      </w14:textFill>
                    </w:rPr>
                    <w:t>□</w:t>
                  </w:r>
                </w:p>
              </w:tc>
              <w:tc>
                <w:tcPr>
                  <w:tcW w:w="659" w:type="dxa"/>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预测范围</w:t>
                  </w:r>
                </w:p>
              </w:tc>
              <w:tc>
                <w:tcPr>
                  <w:tcW w:w="1682" w:type="dxa"/>
                  <w:gridSpan w:val="5"/>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边长</w:t>
                  </w:r>
                  <w:r>
                    <w:rPr>
                      <w:color w:val="000000" w:themeColor="text1"/>
                      <w14:textFill>
                        <w14:solidFill>
                          <w14:schemeClr w14:val="tx1"/>
                        </w14:solidFill>
                      </w14:textFill>
                    </w:rPr>
                    <w:t>≥50km</w:t>
                  </w:r>
                  <w:r>
                    <w:rPr>
                      <w:color w:val="000000" w:themeColor="text1"/>
                      <w14:textFill>
                        <w14:solidFill>
                          <w14:schemeClr w14:val="tx1"/>
                        </w14:solidFill>
                      </w14:textFill>
                    </w:rPr>
                    <w:sym w:font="Wingdings 2" w:char="00A3"/>
                  </w:r>
                </w:p>
              </w:tc>
              <w:tc>
                <w:tcPr>
                  <w:tcW w:w="2647" w:type="dxa"/>
                  <w:gridSpan w:val="12"/>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边长</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50km</w:t>
                  </w:r>
                  <w:r>
                    <w:rPr>
                      <w:color w:val="000000" w:themeColor="text1"/>
                      <w14:textFill>
                        <w14:solidFill>
                          <w14:schemeClr w14:val="tx1"/>
                        </w14:solidFill>
                      </w14:textFill>
                    </w:rPr>
                    <w:sym w:font="Wingdings 2" w:char="00A3"/>
                  </w:r>
                </w:p>
              </w:tc>
              <w:tc>
                <w:tcPr>
                  <w:tcW w:w="1470" w:type="dxa"/>
                  <w:gridSpan w:val="4"/>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边长</w:t>
                  </w:r>
                  <w:r>
                    <w:rPr>
                      <w:color w:val="000000" w:themeColor="text1"/>
                      <w14:textFill>
                        <w14:solidFill>
                          <w14:schemeClr w14:val="tx1"/>
                        </w14:solidFill>
                      </w14:textFill>
                    </w:rPr>
                    <w:t>= 5km</w:t>
                  </w:r>
                  <w:r>
                    <w:rPr>
                      <w:color w:val="000000" w:themeColor="text1"/>
                      <w14:textFill>
                        <w14:solidFill>
                          <w14:schemeClr w14:val="tx1"/>
                        </w14:solidFill>
                      </w14:textFill>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预测因子</w:t>
                  </w:r>
                </w:p>
              </w:tc>
              <w:tc>
                <w:tcPr>
                  <w:tcW w:w="3208" w:type="dxa"/>
                  <w:gridSpan w:val="1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预测因子（氮氧化物、烟尘、二氧化硫）</w:t>
                  </w:r>
                </w:p>
              </w:tc>
              <w:tc>
                <w:tcPr>
                  <w:tcW w:w="2591" w:type="dxa"/>
                  <w:gridSpan w:val="8"/>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包括二次</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不包括二次</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sym w:font="Wingdings" w:char="F0A8"/>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正常排放短期浓度贡献值</w:t>
                  </w:r>
                </w:p>
              </w:tc>
              <w:tc>
                <w:tcPr>
                  <w:tcW w:w="3208" w:type="dxa"/>
                  <w:gridSpan w:val="1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本项目最大占标率</w:t>
                  </w:r>
                  <w:r>
                    <w:rPr>
                      <w:color w:val="000000" w:themeColor="text1"/>
                      <w14:textFill>
                        <w14:solidFill>
                          <w14:schemeClr w14:val="tx1"/>
                        </w14:solidFill>
                      </w14:textFill>
                    </w:rPr>
                    <w:t>≤100%</w:t>
                  </w:r>
                  <w:r>
                    <w:rPr>
                      <w:color w:val="000000" w:themeColor="text1"/>
                      <w14:textFill>
                        <w14:solidFill>
                          <w14:schemeClr w14:val="tx1"/>
                        </w14:solidFill>
                      </w14:textFill>
                    </w:rPr>
                    <w:sym w:font="Wingdings" w:char="00FE"/>
                  </w:r>
                </w:p>
              </w:tc>
              <w:tc>
                <w:tcPr>
                  <w:tcW w:w="2591" w:type="dxa"/>
                  <w:gridSpan w:val="8"/>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本项目最大占标率＞</w:t>
                  </w:r>
                  <w:r>
                    <w:rPr>
                      <w:color w:val="000000" w:themeColor="text1"/>
                      <w14:textFill>
                        <w14:solidFill>
                          <w14:schemeClr w14:val="tx1"/>
                        </w14:solidFill>
                      </w14:textFill>
                    </w:rPr>
                    <w:t>100%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vMerge w:val="restart"/>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正常排放年均浓度贡献值</w:t>
                  </w:r>
                </w:p>
              </w:tc>
              <w:tc>
                <w:tcPr>
                  <w:tcW w:w="887"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一类区</w:t>
                  </w:r>
                </w:p>
              </w:tc>
              <w:tc>
                <w:tcPr>
                  <w:tcW w:w="2321" w:type="dxa"/>
                  <w:gridSpan w:val="12"/>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本项目最大占标率</w:t>
                  </w:r>
                  <w:r>
                    <w:rPr>
                      <w:color w:val="000000" w:themeColor="text1"/>
                      <w14:textFill>
                        <w14:solidFill>
                          <w14:schemeClr w14:val="tx1"/>
                        </w14:solidFill>
                      </w14:textFill>
                    </w:rPr>
                    <w:t>≤10%□</w:t>
                  </w:r>
                </w:p>
              </w:tc>
              <w:tc>
                <w:tcPr>
                  <w:tcW w:w="2591" w:type="dxa"/>
                  <w:gridSpan w:val="8"/>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本项目最大标率＞</w:t>
                  </w:r>
                  <w:r>
                    <w:rPr>
                      <w:color w:val="000000" w:themeColor="text1"/>
                      <w14:textFill>
                        <w14:solidFill>
                          <w14:schemeClr w14:val="tx1"/>
                        </w14:solidFill>
                      </w14:textFill>
                    </w:rPr>
                    <w:t>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vMerge w:val="continue"/>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887"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二类区</w:t>
                  </w:r>
                </w:p>
              </w:tc>
              <w:tc>
                <w:tcPr>
                  <w:tcW w:w="2321" w:type="dxa"/>
                  <w:gridSpan w:val="12"/>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本项目最大占标率</w:t>
                  </w:r>
                  <w:r>
                    <w:rPr>
                      <w:color w:val="000000" w:themeColor="text1"/>
                      <w14:textFill>
                        <w14:solidFill>
                          <w14:schemeClr w14:val="tx1"/>
                        </w14:solidFill>
                      </w14:textFill>
                    </w:rPr>
                    <w:t>≤30%</w:t>
                  </w:r>
                  <w:r>
                    <w:rPr>
                      <w:color w:val="000000" w:themeColor="text1"/>
                      <w14:textFill>
                        <w14:solidFill>
                          <w14:schemeClr w14:val="tx1"/>
                        </w14:solidFill>
                      </w14:textFill>
                    </w:rPr>
                    <w:sym w:font="Wingdings" w:char="F0A8"/>
                  </w:r>
                </w:p>
              </w:tc>
              <w:tc>
                <w:tcPr>
                  <w:tcW w:w="2591" w:type="dxa"/>
                  <w:gridSpan w:val="8"/>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本项目最大标率＞</w:t>
                  </w:r>
                  <w:r>
                    <w:rPr>
                      <w:color w:val="000000" w:themeColor="text1"/>
                      <w14:textFill>
                        <w14:solidFill>
                          <w14:schemeClr w14:val="tx1"/>
                        </w14:solidFill>
                      </w14:textFill>
                    </w:rPr>
                    <w:t>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非正常排放</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浓度贡献值</w:t>
                  </w:r>
                </w:p>
              </w:tc>
              <w:tc>
                <w:tcPr>
                  <w:tcW w:w="1331" w:type="dxa"/>
                  <w:gridSpan w:val="3"/>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非正常持续时长（</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p>
              </w:tc>
              <w:tc>
                <w:tcPr>
                  <w:tcW w:w="2419" w:type="dxa"/>
                  <w:gridSpan w:val="12"/>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非正常占标率</w:t>
                  </w:r>
                  <w:r>
                    <w:rPr>
                      <w:color w:val="000000" w:themeColor="text1"/>
                      <w14:textFill>
                        <w14:solidFill>
                          <w14:schemeClr w14:val="tx1"/>
                        </w14:solidFill>
                      </w14:textFill>
                    </w:rPr>
                    <w:t>≤100%</w:t>
                  </w:r>
                  <w:r>
                    <w:rPr>
                      <w:color w:val="000000" w:themeColor="text1"/>
                      <w14:textFill>
                        <w14:solidFill>
                          <w14:schemeClr w14:val="tx1"/>
                        </w14:solidFill>
                      </w14:textFill>
                    </w:rPr>
                    <w:sym w:font="Wingdings" w:char="F0A8"/>
                  </w:r>
                </w:p>
              </w:tc>
              <w:tc>
                <w:tcPr>
                  <w:tcW w:w="2049" w:type="dxa"/>
                  <w:gridSpan w:val="6"/>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占标率＞</w:t>
                  </w:r>
                  <w:r>
                    <w:rPr>
                      <w:color w:val="000000" w:themeColor="text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保证率日平均浓度和年平均浓度叠加值</w:t>
                  </w:r>
                </w:p>
              </w:tc>
              <w:tc>
                <w:tcPr>
                  <w:tcW w:w="2741" w:type="dxa"/>
                  <w:gridSpan w:val="11"/>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叠加达标</w:t>
                  </w:r>
                  <w:r>
                    <w:rPr>
                      <w:color w:val="000000" w:themeColor="text1"/>
                      <w14:textFill>
                        <w14:solidFill>
                          <w14:schemeClr w14:val="tx1"/>
                        </w14:solidFill>
                      </w14:textFill>
                    </w:rPr>
                    <w:sym w:font="Wingdings" w:char="F0A8"/>
                  </w:r>
                </w:p>
              </w:tc>
              <w:tc>
                <w:tcPr>
                  <w:tcW w:w="3058" w:type="dxa"/>
                  <w:gridSpan w:val="10"/>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叠加不达标</w:t>
                  </w:r>
                  <w:r>
                    <w:rPr>
                      <w:color w:val="000000" w:themeColor="text1"/>
                      <w14:textFill>
                        <w14:solidFill>
                          <w14:schemeClr w14:val="tx1"/>
                        </w14:solidFill>
                      </w14:textFill>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区域环境质量的整体变化情况</w:t>
                  </w:r>
                </w:p>
              </w:tc>
              <w:tc>
                <w:tcPr>
                  <w:tcW w:w="2741" w:type="dxa"/>
                  <w:gridSpan w:val="11"/>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k≤-20%</w:t>
                  </w:r>
                  <w:r>
                    <w:rPr>
                      <w:color w:val="000000" w:themeColor="text1"/>
                      <w14:textFill>
                        <w14:solidFill>
                          <w14:schemeClr w14:val="tx1"/>
                        </w14:solidFill>
                      </w14:textFill>
                    </w:rPr>
                    <w:sym w:font="Wingdings" w:char="F0A8"/>
                  </w:r>
                </w:p>
              </w:tc>
              <w:tc>
                <w:tcPr>
                  <w:tcW w:w="3058" w:type="dxa"/>
                  <w:gridSpan w:val="10"/>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k</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w:t>
                  </w:r>
                  <w:r>
                    <w:rPr>
                      <w:color w:val="000000" w:themeColor="text1"/>
                      <w14:textFill>
                        <w14:solidFill>
                          <w14:schemeClr w14:val="tx1"/>
                        </w14:solidFill>
                      </w14:textFill>
                    </w:rPr>
                    <w:sym w:font="Wingdings 2" w:char="00A3"/>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restart"/>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环境监测</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计划</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污染源监测</w:t>
                  </w:r>
                </w:p>
              </w:tc>
              <w:tc>
                <w:tcPr>
                  <w:tcW w:w="2539" w:type="dxa"/>
                  <w:gridSpan w:val="9"/>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监测因子：（颗粒物、二氧化硫、氮氧化物）</w:t>
                  </w:r>
                </w:p>
              </w:tc>
              <w:tc>
                <w:tcPr>
                  <w:tcW w:w="2159" w:type="dxa"/>
                  <w:gridSpan w:val="10"/>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有组织废气监测</w:t>
                  </w:r>
                  <w:r>
                    <w:rPr>
                      <w:color w:val="000000" w:themeColor="text1"/>
                      <w14:textFill>
                        <w14:solidFill>
                          <w14:schemeClr w14:val="tx1"/>
                        </w14:solidFill>
                      </w14:textFill>
                    </w:rPr>
                    <w:t xml:space="preserve"> </w:t>
                  </w:r>
                  <w:r>
                    <w:rPr>
                      <w:color w:val="000000" w:themeColor="text1"/>
                      <w14:textFill>
                        <w14:solidFill>
                          <w14:schemeClr w14:val="tx1"/>
                        </w14:solidFill>
                      </w14:textFill>
                    </w:rPr>
                    <w:sym w:font="Wingdings 2" w:char="F052"/>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无组织废气监测</w:t>
                  </w:r>
                  <w:r>
                    <w:rPr>
                      <w:color w:val="000000" w:themeColor="text1"/>
                      <w14:textFill>
                        <w14:solidFill>
                          <w14:schemeClr w14:val="tx1"/>
                        </w14:solidFill>
                      </w14:textFill>
                    </w:rPr>
                    <w:t xml:space="preserve"> </w:t>
                  </w:r>
                  <w:r>
                    <w:rPr>
                      <w:color w:val="000000" w:themeColor="text1"/>
                      <w14:textFill>
                        <w14:solidFill>
                          <w14:schemeClr w14:val="tx1"/>
                        </w14:solidFill>
                      </w14:textFill>
                    </w:rPr>
                    <w:sym w:font="Wingdings" w:char="F0FE"/>
                  </w:r>
                </w:p>
              </w:tc>
              <w:tc>
                <w:tcPr>
                  <w:tcW w:w="1101" w:type="dxa"/>
                  <w:gridSpan w:val="2"/>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无监测</w:t>
                  </w:r>
                  <w:r>
                    <w:rPr>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环境质量监测</w:t>
                  </w:r>
                </w:p>
              </w:tc>
              <w:tc>
                <w:tcPr>
                  <w:tcW w:w="2539" w:type="dxa"/>
                  <w:gridSpan w:val="9"/>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监测因子：（</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p>
              </w:tc>
              <w:tc>
                <w:tcPr>
                  <w:tcW w:w="2159" w:type="dxa"/>
                  <w:gridSpan w:val="10"/>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监测点位数（</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w:t>
                  </w:r>
                </w:p>
              </w:tc>
              <w:tc>
                <w:tcPr>
                  <w:tcW w:w="1101" w:type="dxa"/>
                  <w:gridSpan w:val="2"/>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无监测</w:t>
                  </w:r>
                  <w:r>
                    <w:rPr>
                      <w:color w:val="000000" w:themeColor="text1"/>
                      <w14:textFill>
                        <w14:solidFill>
                          <w14:schemeClr w14:val="tx1"/>
                        </w14:solidFill>
                      </w14:textFill>
                    </w:rPr>
                    <w:sym w:font="Wingdings 2" w:char="F052"/>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restart"/>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评价结论</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环境影响</w:t>
                  </w:r>
                </w:p>
              </w:tc>
              <w:tc>
                <w:tcPr>
                  <w:tcW w:w="5799" w:type="dxa"/>
                  <w:gridSpan w:val="21"/>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可以接受</w:t>
                  </w:r>
                  <w:r>
                    <w:rPr>
                      <w:color w:val="000000" w:themeColor="text1"/>
                      <w14:textFill>
                        <w14:solidFill>
                          <w14:schemeClr w14:val="tx1"/>
                        </w14:solidFill>
                      </w14:textFill>
                    </w:rPr>
                    <w:sym w:font="Wingdings" w:char="F0FE"/>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不可以接受</w:t>
                  </w:r>
                  <w:r>
                    <w:rPr>
                      <w:color w:val="000000" w:themeColor="text1"/>
                      <w14:textFill>
                        <w14:solidFill>
                          <w14:schemeClr w14:val="tx1"/>
                        </w14:solidFill>
                      </w14:textFill>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大气环境防护距离</w:t>
                  </w:r>
                </w:p>
              </w:tc>
              <w:tc>
                <w:tcPr>
                  <w:tcW w:w="5799" w:type="dxa"/>
                  <w:gridSpan w:val="21"/>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距（四周）厂界最远（</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90" w:type="dxa"/>
                  <w:vMerge w:val="continue"/>
                  <w:tcBorders>
                    <w:top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污染源年排放量</w:t>
                  </w:r>
                </w:p>
              </w:tc>
              <w:tc>
                <w:tcPr>
                  <w:tcW w:w="1568" w:type="dxa"/>
                  <w:gridSpan w:val="4"/>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0.166</w:t>
                  </w:r>
                  <w:r>
                    <w:rPr>
                      <w:color w:val="000000" w:themeColor="text1"/>
                      <w14:textFill>
                        <w14:solidFill>
                          <w14:schemeClr w14:val="tx1"/>
                        </w14:solidFill>
                      </w14:textFill>
                    </w:rPr>
                    <w:t>t/a</w:t>
                  </w:r>
                </w:p>
              </w:tc>
              <w:tc>
                <w:tcPr>
                  <w:tcW w:w="1554" w:type="dxa"/>
                  <w:gridSpan w:val="8"/>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1.392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t/a</w:t>
                  </w:r>
                </w:p>
              </w:tc>
              <w:tc>
                <w:tcPr>
                  <w:tcW w:w="1522" w:type="dxa"/>
                  <w:gridSpan w:val="6"/>
                  <w:tcBorders>
                    <w:top w:val="single" w:color="000000" w:sz="4" w:space="0"/>
                    <w:left w:val="single" w:color="000000" w:sz="4" w:space="0"/>
                    <w:bottom w:val="single" w:color="000000" w:sz="4" w:space="0"/>
                    <w:right w:val="single" w:color="000000"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3.75×10</w:t>
                  </w:r>
                  <w:r>
                    <w:rPr>
                      <w:rFonts w:hint="eastAsia"/>
                      <w:color w:val="000000" w:themeColor="text1"/>
                      <w:vertAlign w:val="superscript"/>
                      <w:lang w:val="en-US" w:eastAsia="zh-CN"/>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t/a</w:t>
                  </w:r>
                </w:p>
              </w:tc>
              <w:tc>
                <w:tcPr>
                  <w:tcW w:w="1155" w:type="dxa"/>
                  <w:gridSpan w:val="3"/>
                  <w:tcBorders>
                    <w:top w:val="single" w:color="000000" w:sz="4" w:space="0"/>
                    <w:left w:val="single" w:color="000000" w:sz="4" w:space="0"/>
                    <w:bottom w:val="single" w:color="000000"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8220" w:type="dxa"/>
                  <w:gridSpan w:val="23"/>
                  <w:tcBorders>
                    <w:top w:val="single" w:color="000000" w:sz="4" w:space="0"/>
                    <w:bottom w:val="single" w:color="000000" w:sz="12"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为勾选项</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，填</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为内容填写项</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14:textFill>
                  <w14:solidFill>
                    <w14:schemeClr w14:val="tx1"/>
                  </w14:solidFill>
                </w14:textFill>
              </w:rPr>
              <w:t>综上所述，本项目产生的废气经</w:t>
            </w:r>
            <w:r>
              <w:rPr>
                <w:rFonts w:hint="default" w:ascii="Times New Roman" w:hAnsi="Times New Roman" w:eastAsia="宋体" w:cs="Times New Roman"/>
                <w:snapToGrid w:val="0"/>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snapToGrid w:val="0"/>
                <w:color w:val="000000" w:themeColor="text1"/>
                <w:sz w:val="24"/>
                <w:szCs w:val="24"/>
                <w14:textFill>
                  <w14:solidFill>
                    <w14:schemeClr w14:val="tx1"/>
                  </w14:solidFill>
                </w14:textFill>
              </w:rPr>
              <w:t>能达标排放，对周边环境产生影响是可以接受的。</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w:t>
            </w:r>
            <w:r>
              <w:rPr>
                <w:rFonts w:hint="eastAsia"/>
                <w:b/>
                <w:bCs/>
                <w:color w:val="000000" w:themeColor="text1"/>
                <w14:textFill>
                  <w14:solidFill>
                    <w14:schemeClr w14:val="tx1"/>
                  </w14:solidFill>
                </w14:textFill>
              </w:rPr>
              <w:t>运营期</w:t>
            </w:r>
            <w:r>
              <w:rPr>
                <w:rFonts w:hint="eastAsia"/>
                <w:b/>
                <w:bCs/>
                <w:color w:val="000000" w:themeColor="text1"/>
                <w:lang w:val="en-US" w:eastAsia="zh-CN"/>
                <w14:textFill>
                  <w14:solidFill>
                    <w14:schemeClr w14:val="tx1"/>
                  </w14:solidFill>
                </w14:textFill>
              </w:rPr>
              <w:t>地表</w:t>
            </w:r>
            <w:r>
              <w:rPr>
                <w:rFonts w:hint="eastAsia"/>
                <w:b/>
                <w:bCs/>
                <w:color w:val="000000" w:themeColor="text1"/>
                <w14:textFill>
                  <w14:solidFill>
                    <w14:schemeClr w14:val="tx1"/>
                  </w14:solidFill>
                </w14:textFill>
              </w:rPr>
              <w:t>水环境影响分析和保护措施</w:t>
            </w:r>
          </w:p>
          <w:p>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w:t>
            </w:r>
            <w:r>
              <w:rPr>
                <w:rFonts w:hint="default" w:ascii="Times New Roman" w:hAnsi="Times New Roman" w:eastAsia="宋体" w:cs="Times New Roman"/>
                <w:color w:val="000000" w:themeColor="text1"/>
                <w:sz w:val="24"/>
                <w:lang w:val="en-US" w:eastAsia="zh-CN"/>
                <w14:textFill>
                  <w14:solidFill>
                    <w14:schemeClr w14:val="tx1"/>
                  </w14:solidFill>
                </w14:textFill>
              </w:rPr>
              <w:t>项目运营期间产生的污水主要</w:t>
            </w:r>
            <w:r>
              <w:rPr>
                <w:rFonts w:hint="eastAsia" w:cs="Times New Roman"/>
                <w:color w:val="000000" w:themeColor="text1"/>
                <w:sz w:val="24"/>
                <w:lang w:val="en-US" w:eastAsia="zh-CN"/>
                <w14:textFill>
                  <w14:solidFill>
                    <w14:schemeClr w14:val="tx1"/>
                  </w14:solidFill>
                </w14:textFill>
              </w:rPr>
              <w:t>是</w:t>
            </w:r>
            <w:r>
              <w:rPr>
                <w:rFonts w:hint="default" w:ascii="Times New Roman" w:hAnsi="Times New Roman" w:eastAsia="宋体" w:cs="Times New Roman"/>
                <w:color w:val="000000" w:themeColor="text1"/>
                <w:sz w:val="24"/>
                <w:lang w:val="en-US" w:eastAsia="zh-CN"/>
                <w14:textFill>
                  <w14:solidFill>
                    <w14:schemeClr w14:val="tx1"/>
                  </w14:solidFill>
                </w14:textFill>
              </w:rPr>
              <w:t>职工产生的生活污水</w:t>
            </w:r>
            <w:r>
              <w:rPr>
                <w:rFonts w:hint="default" w:ascii="Times New Roman" w:hAnsi="Times New Roman" w:eastAsia="宋体" w:cs="Times New Roman"/>
                <w:color w:val="000000" w:themeColor="text1"/>
                <w:sz w:val="24"/>
                <w:lang w:eastAsia="zh-CN"/>
                <w14:textFill>
                  <w14:solidFill>
                    <w14:schemeClr w14:val="tx1"/>
                  </w14:solidFill>
                </w14:textFill>
              </w:rPr>
              <w:t>。</w:t>
            </w:r>
          </w:p>
          <w:p>
            <w:pPr>
              <w:spacing w:line="360" w:lineRule="auto"/>
              <w:ind w:firstLine="482"/>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2.1</w:t>
            </w:r>
            <w:r>
              <w:rPr>
                <w:rFonts w:hint="eastAsia"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lang w:val="en-US" w:eastAsia="zh-CN"/>
                <w14:textFill>
                  <w14:solidFill>
                    <w14:schemeClr w14:val="tx1"/>
                  </w14:solidFill>
                </w14:textFill>
              </w:rPr>
              <w:t>生活污水</w:t>
            </w:r>
          </w:p>
          <w:p>
            <w:pPr>
              <w:spacing w:line="360" w:lineRule="auto"/>
              <w:ind w:firstLine="480" w:firstLineChars="200"/>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本项目建成后，拟聘用</w:t>
            </w:r>
            <w:r>
              <w:rPr>
                <w:rFonts w:hint="eastAsia"/>
                <w:color w:val="000000" w:themeColor="text1"/>
                <w:sz w:val="24"/>
                <w:szCs w:val="24"/>
                <w:lang w:val="en-US" w:eastAsia="zh-CN"/>
                <w14:textFill>
                  <w14:solidFill>
                    <w14:schemeClr w14:val="tx1"/>
                  </w14:solidFill>
                </w14:textFill>
              </w:rPr>
              <w:t>15</w:t>
            </w:r>
            <w:r>
              <w:rPr>
                <w:rFonts w:hint="eastAsia"/>
                <w:color w:val="000000" w:themeColor="text1"/>
                <w:sz w:val="24"/>
                <w:szCs w:val="24"/>
                <w14:textFill>
                  <w14:solidFill>
                    <w14:schemeClr w14:val="tx1"/>
                  </w14:solidFill>
                </w14:textFill>
              </w:rPr>
              <w:t>名职工，</w:t>
            </w:r>
            <w:r>
              <w:rPr>
                <w:rFonts w:hint="eastAsia"/>
                <w:color w:val="000000" w:themeColor="text1"/>
                <w:sz w:val="24"/>
                <w14:textFill>
                  <w14:solidFill>
                    <w14:schemeClr w14:val="tx1"/>
                  </w14:solidFill>
                </w14:textFill>
              </w:rPr>
              <w:t>废水产生量以使用量的</w:t>
            </w:r>
            <w:r>
              <w:rPr>
                <w:color w:val="000000" w:themeColor="text1"/>
                <w:sz w:val="24"/>
                <w14:textFill>
                  <w14:solidFill>
                    <w14:schemeClr w14:val="tx1"/>
                  </w14:solidFill>
                </w14:textFill>
              </w:rPr>
              <w:t>80%</w:t>
            </w:r>
            <w:r>
              <w:rPr>
                <w:rFonts w:hint="eastAsia"/>
                <w:color w:val="000000" w:themeColor="text1"/>
                <w:sz w:val="24"/>
                <w14:textFill>
                  <w14:solidFill>
                    <w14:schemeClr w14:val="tx1"/>
                  </w14:solidFill>
                </w14:textFill>
              </w:rPr>
              <w:t>计，则生活废水产生量为</w:t>
            </w:r>
            <w:r>
              <w:rPr>
                <w:rFonts w:hint="eastAsia"/>
                <w:color w:val="000000" w:themeColor="text1"/>
                <w:sz w:val="24"/>
                <w:lang w:val="en-US" w:eastAsia="zh-CN"/>
                <w14:textFill>
                  <w14:solidFill>
                    <w14:schemeClr w14:val="tx1"/>
                  </w14:solidFill>
                </w14:textFill>
              </w:rPr>
              <w:t>1.2</w:t>
            </w:r>
            <w:r>
              <w:rPr>
                <w:bCs/>
                <w:color w:val="000000" w:themeColor="text1"/>
                <w14:textFill>
                  <w14:solidFill>
                    <w14:schemeClr w14:val="tx1"/>
                  </w14:solidFill>
                </w14:textFill>
              </w:rPr>
              <w:t>m³/</w:t>
            </w:r>
            <w:r>
              <w:rPr>
                <w:bCs/>
                <w:color w:val="000000" w:themeColor="text1"/>
                <w:sz w:val="24"/>
                <w:szCs w:val="24"/>
                <w14:textFill>
                  <w14:solidFill>
                    <w14:schemeClr w14:val="tx1"/>
                  </w14:solidFill>
                </w14:textFill>
              </w:rPr>
              <w:t>d</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72</w:t>
            </w:r>
            <w:r>
              <w:rPr>
                <w:bCs/>
                <w:color w:val="000000" w:themeColor="text1"/>
                <w:sz w:val="24"/>
                <w:szCs w:val="24"/>
                <w14:textFill>
                  <w14:solidFill>
                    <w14:schemeClr w14:val="tx1"/>
                  </w14:solidFill>
                </w14:textFill>
              </w:rPr>
              <w:t>m³/a</w:t>
            </w:r>
            <w:r>
              <w:rPr>
                <w:rFonts w:hint="eastAsia"/>
                <w:color w:val="000000" w:themeColor="text1"/>
                <w:sz w:val="24"/>
                <w:szCs w:val="24"/>
                <w14:textFill>
                  <w14:solidFill>
                    <w14:schemeClr w14:val="tx1"/>
                  </w14:solidFill>
                </w14:textFill>
              </w:rPr>
              <w:t>）。食堂废水经隔油池净化后排入厂区生活污水收纳系统后进入化粪池内，</w:t>
            </w:r>
            <w:r>
              <w:rPr>
                <w:rFonts w:hint="eastAsia"/>
                <w:color w:val="000000" w:themeColor="text1"/>
                <w:sz w:val="24"/>
                <w:szCs w:val="24"/>
                <w:lang w:val="en-US" w:eastAsia="zh-CN"/>
                <w14:textFill>
                  <w14:solidFill>
                    <w14:schemeClr w14:val="tx1"/>
                  </w14:solidFill>
                </w14:textFill>
              </w:rPr>
              <w:t>根据经典生活污水污染物浓度，确定</w:t>
            </w:r>
            <w:r>
              <w:rPr>
                <w:rFonts w:hint="eastAsia"/>
                <w:color w:val="000000" w:themeColor="text1"/>
                <w:sz w:val="24"/>
                <w:szCs w:val="24"/>
                <w14:textFill>
                  <w14:solidFill>
                    <w14:schemeClr w14:val="tx1"/>
                  </w14:solidFill>
                </w14:textFill>
              </w:rPr>
              <w:t>污水污染物浓度及产生量见下表。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4-23</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生活污水主要污染物及排放情况</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5"/>
              <w:gridCol w:w="1294"/>
              <w:gridCol w:w="970"/>
              <w:gridCol w:w="984"/>
              <w:gridCol w:w="982"/>
              <w:gridCol w:w="1010"/>
              <w:gridCol w:w="963"/>
              <w:gridCol w:w="12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2059" w:type="dxa"/>
                  <w:gridSpan w:val="2"/>
                  <w:tcBorders>
                    <w:top w:val="single" w:color="auto" w:sz="12"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主要污染物</w:t>
                  </w:r>
                </w:p>
              </w:tc>
              <w:tc>
                <w:tcPr>
                  <w:tcW w:w="970"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排水量</w:t>
                  </w:r>
                </w:p>
              </w:tc>
              <w:tc>
                <w:tcPr>
                  <w:tcW w:w="984"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CODcr</w:t>
                  </w:r>
                </w:p>
              </w:tc>
              <w:tc>
                <w:tcPr>
                  <w:tcW w:w="982"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BOD</w:t>
                  </w:r>
                  <w:r>
                    <w:rPr>
                      <w:b/>
                      <w:bCs/>
                      <w:color w:val="000000" w:themeColor="text1"/>
                      <w:vertAlign w:val="subscript"/>
                      <w14:textFill>
                        <w14:solidFill>
                          <w14:schemeClr w14:val="tx1"/>
                        </w14:solidFill>
                      </w14:textFill>
                    </w:rPr>
                    <w:t>5</w:t>
                  </w:r>
                </w:p>
              </w:tc>
              <w:tc>
                <w:tcPr>
                  <w:tcW w:w="1010"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SS</w:t>
                  </w:r>
                </w:p>
              </w:tc>
              <w:tc>
                <w:tcPr>
                  <w:tcW w:w="963"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NH</w:t>
                  </w:r>
                  <w:r>
                    <w:rPr>
                      <w:b/>
                      <w:bCs/>
                      <w:color w:val="000000" w:themeColor="text1"/>
                      <w:vertAlign w:val="subscript"/>
                      <w14:textFill>
                        <w14:solidFill>
                          <w14:schemeClr w14:val="tx1"/>
                        </w14:solidFill>
                      </w14:textFill>
                    </w:rPr>
                    <w:t>3</w:t>
                  </w:r>
                  <w:r>
                    <w:rPr>
                      <w:b/>
                      <w:bCs/>
                      <w:color w:val="000000" w:themeColor="text1"/>
                      <w14:textFill>
                        <w14:solidFill>
                          <w14:schemeClr w14:val="tx1"/>
                        </w14:solidFill>
                      </w14:textFill>
                    </w:rPr>
                    <w:t>-N</w:t>
                  </w:r>
                </w:p>
              </w:tc>
              <w:tc>
                <w:tcPr>
                  <w:tcW w:w="1252" w:type="dxa"/>
                  <w:tcBorders>
                    <w:top w:val="single" w:color="auto" w:sz="12" w:space="0"/>
                    <w:left w:val="single" w:color="auto" w:sz="6"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765" w:type="dxa"/>
                  <w:vMerge w:val="restart"/>
                  <w:tcBorders>
                    <w:top w:val="single" w:color="auto" w:sz="12"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产生</w:t>
                  </w:r>
                </w:p>
              </w:tc>
              <w:tc>
                <w:tcPr>
                  <w:tcW w:w="1294"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970" w:type="dxa"/>
                  <w:vMerge w:val="restart"/>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72</w:t>
                  </w:r>
                  <w:r>
                    <w:rPr>
                      <w:color w:val="000000" w:themeColor="text1"/>
                      <w14:textFill>
                        <w14:solidFill>
                          <w14:schemeClr w14:val="tx1"/>
                        </w14:solidFill>
                      </w14:textFill>
                    </w:rPr>
                    <w:t>m³/a</w:t>
                  </w:r>
                </w:p>
              </w:tc>
              <w:tc>
                <w:tcPr>
                  <w:tcW w:w="984"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982"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010"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963"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252" w:type="dxa"/>
                  <w:tcBorders>
                    <w:top w:val="single" w:color="auto" w:sz="12" w:space="0"/>
                    <w:left w:val="single" w:color="auto" w:sz="6" w:space="0"/>
                    <w:bottom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765" w:type="dxa"/>
                  <w:vMerge w:val="continue"/>
                  <w:tcBorders>
                    <w:top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p>
              </w:tc>
              <w:tc>
                <w:tcPr>
                  <w:tcW w:w="1294" w:type="dxa"/>
                  <w:tcBorders>
                    <w:top w:val="single" w:color="auto" w:sz="6" w:space="0"/>
                    <w:left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970" w:type="dxa"/>
                  <w:vMerge w:val="continue"/>
                  <w:tcBorders>
                    <w:top w:val="single" w:color="auto" w:sz="6" w:space="0"/>
                    <w:left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p>
              </w:tc>
              <w:tc>
                <w:tcPr>
                  <w:tcW w:w="984"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22</w:t>
                  </w:r>
                </w:p>
              </w:tc>
              <w:tc>
                <w:tcPr>
                  <w:tcW w:w="982"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14</w:t>
                  </w:r>
                </w:p>
              </w:tc>
              <w:tc>
                <w:tcPr>
                  <w:tcW w:w="1010"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25</w:t>
                  </w:r>
                </w:p>
              </w:tc>
              <w:tc>
                <w:tcPr>
                  <w:tcW w:w="963"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1252" w:type="dxa"/>
                  <w:tcBorders>
                    <w:top w:val="single" w:color="auto" w:sz="6" w:space="0"/>
                    <w:left w:val="single" w:color="auto" w:sz="6" w:space="0"/>
                    <w:bottom w:val="single" w:color="auto" w:sz="12"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0.004</w:t>
                  </w:r>
                </w:p>
              </w:tc>
            </w:tr>
          </w:tbl>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本项目产生的污水进入化粪池</w:t>
            </w:r>
            <w:r>
              <w:rPr>
                <w:rFonts w:hint="eastAsia"/>
                <w:bCs/>
                <w:color w:val="000000" w:themeColor="text1"/>
                <w:sz w:val="24"/>
                <w:szCs w:val="24"/>
                <w:lang w:val="en-US" w:eastAsia="zh-CN"/>
                <w14:textFill>
                  <w14:solidFill>
                    <w14:schemeClr w14:val="tx1"/>
                  </w14:solidFill>
                </w14:textFill>
              </w:rPr>
              <w:t>预处理后，定期抽运至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进行后续处理</w:t>
            </w:r>
            <w:r>
              <w:rPr>
                <w:rFonts w:hint="eastAsia"/>
                <w:bCs/>
                <w:color w:val="000000" w:themeColor="text1"/>
                <w:sz w:val="24"/>
                <w:szCs w:val="24"/>
                <w:lang w:val="en-US"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2.2</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生产废水</w:t>
            </w:r>
          </w:p>
          <w:p>
            <w:pPr>
              <w:spacing w:line="360" w:lineRule="auto"/>
              <w:ind w:firstLine="480" w:firstLineChars="200"/>
              <w:rPr>
                <w:rFonts w:hint="eastAsia"/>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本项目生产废水主要是脱硫系统的废水和炉渣降温产生的废水，这部分废水通过循环池沉淀后全部回用，不外排，故本项目实际生产过程中无生产废水外排。</w:t>
            </w:r>
          </w:p>
          <w:p>
            <w:pPr>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2.</w:t>
            </w:r>
            <w:r>
              <w:rPr>
                <w:rFonts w:hint="eastAsia"/>
                <w:b/>
                <w:bCs/>
                <w:color w:val="000000" w:themeColor="text1"/>
                <w:lang w:val="en-US" w:eastAsia="zh-CN"/>
                <w14:textFill>
                  <w14:solidFill>
                    <w14:schemeClr w14:val="tx1"/>
                  </w14:solidFill>
                </w14:textFill>
              </w:rPr>
              <w:t xml:space="preserve">3 </w:t>
            </w:r>
            <w:r>
              <w:rPr>
                <w:rFonts w:hint="default"/>
                <w:b/>
                <w:bCs/>
                <w:color w:val="000000" w:themeColor="text1"/>
                <w:lang w:val="en-US" w:eastAsia="zh-CN"/>
                <w14:textFill>
                  <w14:solidFill>
                    <w14:schemeClr w14:val="tx1"/>
                  </w14:solidFill>
                </w14:textFill>
              </w:rPr>
              <w:t>污水排放可行性分析</w:t>
            </w:r>
          </w:p>
          <w:p>
            <w:pPr>
              <w:bidi w:val="0"/>
              <w:rPr>
                <w:rFonts w:hint="default" w:eastAsia="宋体"/>
                <w:color w:val="0000FF"/>
                <w:lang w:val="en-US" w:eastAsia="zh-CN"/>
              </w:rPr>
            </w:pPr>
            <w:r>
              <w:rPr>
                <w:rFonts w:hint="eastAsia"/>
                <w:color w:val="0000FF"/>
              </w:rPr>
              <w:t>本项目</w:t>
            </w:r>
            <w:r>
              <w:rPr>
                <w:rFonts w:hint="eastAsia"/>
                <w:color w:val="0000FF"/>
                <w:lang w:val="en-US" w:eastAsia="zh-CN"/>
              </w:rPr>
              <w:t>区生活污水排入化粪池，定期抽运至</w:t>
            </w:r>
            <w:r>
              <w:rPr>
                <w:rFonts w:hint="eastAsia"/>
                <w:color w:val="0000FF"/>
              </w:rPr>
              <w:t>吉木萨尔县北三台循环经济工业园区污水处理厂</w:t>
            </w:r>
            <w:r>
              <w:rPr>
                <w:rFonts w:hint="eastAsia"/>
                <w:color w:val="0000FF"/>
                <w:lang w:val="en-US" w:eastAsia="zh-CN"/>
              </w:rPr>
              <w:t>进行后续处理，</w:t>
            </w:r>
            <w:r>
              <w:rPr>
                <w:rFonts w:hint="eastAsia"/>
                <w:color w:val="0000FF"/>
              </w:rPr>
              <w:t>吉木萨尔县北三台循环经济工业园区污水处理厂</w:t>
            </w:r>
            <w:r>
              <w:rPr>
                <w:rFonts w:hint="eastAsia"/>
                <w:color w:val="0000FF"/>
                <w:lang w:val="en-US" w:eastAsia="zh-CN"/>
              </w:rPr>
              <w:t>设计规模为5000m³/d，处理工艺采用</w:t>
            </w:r>
            <w:r>
              <w:rPr>
                <w:rFonts w:hint="eastAsia"/>
                <w:color w:val="0000FF"/>
                <w:lang w:eastAsia="zh-CN"/>
              </w:rPr>
              <w:t>“</w:t>
            </w:r>
            <w:r>
              <w:rPr>
                <w:color w:val="0000FF"/>
              </w:rPr>
              <w:t>水解酸化+改良型活性污泥+一体化臭氧曝气生物滤池</w:t>
            </w:r>
            <w:r>
              <w:rPr>
                <w:rFonts w:hint="eastAsia"/>
                <w:color w:val="0000FF"/>
                <w:lang w:eastAsia="zh-CN"/>
              </w:rPr>
              <w:t>”，</w:t>
            </w:r>
            <w:r>
              <w:rPr>
                <w:rFonts w:hint="eastAsia"/>
                <w:color w:val="0000FF"/>
                <w:lang w:val="en-US" w:eastAsia="zh-CN"/>
              </w:rPr>
              <w:t>出水水质满足</w:t>
            </w:r>
            <w:r>
              <w:rPr>
                <w:color w:val="0000FF"/>
              </w:rPr>
              <w:t>《城镇污水处理厂污染物排放标准》(GBl8918-2002)表1一级</w:t>
            </w:r>
            <w:r>
              <w:rPr>
                <w:rFonts w:hint="eastAsia"/>
                <w:color w:val="0000FF"/>
                <w:lang w:val="en-US" w:eastAsia="zh-CN"/>
              </w:rPr>
              <w:t>A</w:t>
            </w:r>
            <w:r>
              <w:rPr>
                <w:color w:val="0000FF"/>
              </w:rPr>
              <w:t>标准</w:t>
            </w:r>
            <w:r>
              <w:rPr>
                <w:rFonts w:hint="eastAsia"/>
                <w:color w:val="0000FF"/>
              </w:rPr>
              <w:t>。</w:t>
            </w:r>
            <w:r>
              <w:rPr>
                <w:rFonts w:hint="eastAsia"/>
                <w:color w:val="0000FF"/>
                <w:lang w:val="en-US" w:eastAsia="zh-CN"/>
              </w:rPr>
              <w:t>目前实际处理量约为800~2100m³/d，处理余量丰富，可接纳本项目生活污水。</w:t>
            </w:r>
          </w:p>
          <w:p>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污水处理厂位于本项目西侧5.5km处</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本项目污水排放量为1.2m³/d，站污水处理厂设计规模的0.024%，且为生活污水，污染物浓度满足《污水综合排放标准》（GB8978-1996）三级标准，即污水处理厂的接管标准，故本项目少量生活污水</w:t>
            </w:r>
            <w:r>
              <w:rPr>
                <w:rFonts w:hint="eastAsia"/>
                <w:color w:val="000000" w:themeColor="text1"/>
                <w14:textFill>
                  <w14:solidFill>
                    <w14:schemeClr w14:val="tx1"/>
                  </w14:solidFill>
                </w14:textFill>
              </w:rPr>
              <w:t>对污水处理厂基本无影响。</w:t>
            </w:r>
            <w:r>
              <w:rPr>
                <w:rFonts w:hint="eastAsia"/>
                <w:color w:val="000000" w:themeColor="text1"/>
                <w:lang w:val="en-US" w:eastAsia="zh-CN"/>
                <w14:textFill>
                  <w14:solidFill>
                    <w14:schemeClr w14:val="tx1"/>
                  </w14:solidFill>
                </w14:textFill>
              </w:rPr>
              <w:t>污水抽运至</w:t>
            </w:r>
            <w:r>
              <w:rPr>
                <w:rFonts w:hint="eastAsia"/>
                <w:color w:val="000000" w:themeColor="text1"/>
                <w14:textFill>
                  <w14:solidFill>
                    <w14:schemeClr w14:val="tx1"/>
                  </w14:solidFill>
                </w14:textFill>
              </w:rPr>
              <w:t>吉木萨尔县北三台循环经济工业园区污水处理厂</w:t>
            </w:r>
            <w:r>
              <w:rPr>
                <w:rFonts w:hint="eastAsia"/>
                <w:color w:val="000000" w:themeColor="text1"/>
                <w:lang w:val="en-US" w:eastAsia="zh-CN"/>
                <w14:textFill>
                  <w14:solidFill>
                    <w14:schemeClr w14:val="tx1"/>
                  </w14:solidFill>
                </w14:textFill>
              </w:rPr>
              <w:t>可行。</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 xml:space="preserve">4 </w:t>
            </w:r>
            <w:r>
              <w:rPr>
                <w:rFonts w:hint="eastAsia"/>
                <w:b/>
                <w:bCs/>
                <w:color w:val="000000" w:themeColor="text1"/>
                <w14:textFill>
                  <w14:solidFill>
                    <w14:schemeClr w14:val="tx1"/>
                  </w14:solidFill>
                </w14:textFill>
              </w:rPr>
              <w:t>运营期水环境监测要求</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根据《固定污染源排污许可分类管理名录（201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年版）》，本项目属于“</w:t>
            </w:r>
            <w:r>
              <w:rPr>
                <w:rFonts w:hint="eastAsia"/>
                <w:color w:val="000000" w:themeColor="text1"/>
                <w:lang w:val="en-US" w:eastAsia="zh-CN"/>
                <w14:textFill>
                  <w14:solidFill>
                    <w14:schemeClr w14:val="tx1"/>
                  </w14:solidFill>
                </w14:textFill>
              </w:rPr>
              <w:t>简化</w:t>
            </w:r>
            <w:r>
              <w:rPr>
                <w:rFonts w:hint="eastAsia"/>
                <w:color w:val="000000" w:themeColor="text1"/>
                <w14:textFill>
                  <w14:solidFill>
                    <w14:schemeClr w14:val="tx1"/>
                  </w14:solidFill>
                </w14:textFill>
              </w:rPr>
              <w:t>管理类”，运营期监测计划参考“简化管理排污单位排放口”间接排放相关要求，具体监测内容及频次见表4-</w:t>
            </w:r>
            <w:r>
              <w:rPr>
                <w:rFonts w:hint="eastAsia"/>
                <w:color w:val="000000" w:themeColor="text1"/>
                <w:lang w:val="en-US" w:eastAsia="zh-CN"/>
                <w14:textFill>
                  <w14:solidFill>
                    <w14:schemeClr w14:val="tx1"/>
                  </w14:solidFill>
                </w14:textFill>
              </w:rPr>
              <w:t>24</w:t>
            </w:r>
            <w:r>
              <w:rPr>
                <w:rFonts w:hint="eastAsia"/>
                <w:color w:val="000000" w:themeColor="text1"/>
                <w14:textFill>
                  <w14:solidFill>
                    <w14:schemeClr w14:val="tx1"/>
                  </w14:solidFill>
                </w14:textFill>
              </w:rPr>
              <w:t>。</w:t>
            </w:r>
          </w:p>
          <w:p>
            <w:pPr>
              <w:pStyle w:val="15"/>
              <w:keepNext w:val="0"/>
              <w:keepLines w:val="0"/>
              <w:suppressLineNumbers w:val="0"/>
              <w:bidi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24</w:t>
            </w:r>
            <w:r>
              <w:rPr>
                <w:rFonts w:hint="eastAsia"/>
                <w:b/>
                <w:bCs/>
                <w:color w:val="000000" w:themeColor="text1"/>
                <w14:textFill>
                  <w14:solidFill>
                    <w14:schemeClr w14:val="tx1"/>
                  </w14:solidFill>
                </w14:textFill>
              </w:rPr>
              <w:t xml:space="preserve">   项目营运期废水监测内容及频次</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3137"/>
              <w:gridCol w:w="1334"/>
              <w:gridCol w:w="2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111"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监测点位</w:t>
                  </w:r>
                </w:p>
              </w:tc>
              <w:tc>
                <w:tcPr>
                  <w:tcW w:w="3137"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lang w:eastAsia="zh-CN"/>
                      <w14:textFill>
                        <w14:solidFill>
                          <w14:schemeClr w14:val="tx1"/>
                        </w14:solidFill>
                      </w14:textFill>
                    </w:rPr>
                  </w:pPr>
                  <w:r>
                    <w:rPr>
                      <w:rFonts w:hint="default"/>
                      <w:b/>
                      <w:bCs/>
                      <w:color w:val="000000" w:themeColor="text1"/>
                      <w14:textFill>
                        <w14:solidFill>
                          <w14:schemeClr w14:val="tx1"/>
                        </w14:solidFill>
                      </w14:textFill>
                    </w:rPr>
                    <w:t>监测</w:t>
                  </w:r>
                  <w:r>
                    <w:rPr>
                      <w:rFonts w:hint="default"/>
                      <w:b/>
                      <w:bCs/>
                      <w:color w:val="000000" w:themeColor="text1"/>
                      <w:lang w:eastAsia="zh-CN"/>
                      <w14:textFill>
                        <w14:solidFill>
                          <w14:schemeClr w14:val="tx1"/>
                        </w14:solidFill>
                      </w14:textFill>
                    </w:rPr>
                    <w:t>因子</w:t>
                  </w:r>
                </w:p>
              </w:tc>
              <w:tc>
                <w:tcPr>
                  <w:tcW w:w="1334"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监测频次</w:t>
                  </w:r>
                </w:p>
              </w:tc>
              <w:tc>
                <w:tcPr>
                  <w:tcW w:w="2638" w:type="dxa"/>
                  <w:tcBorders>
                    <w:bottom w:val="single" w:color="auto" w:sz="12" w:space="0"/>
                  </w:tcBorders>
                  <w:vAlign w:val="center"/>
                </w:tcPr>
                <w:p>
                  <w:pPr>
                    <w:pStyle w:val="15"/>
                    <w:keepNext w:val="0"/>
                    <w:keepLines w:val="0"/>
                    <w:suppressLineNumbers w:val="0"/>
                    <w:bidi w:val="0"/>
                    <w:spacing w:before="0" w:beforeAutospacing="0" w:after="0" w:afterAutospacing="0"/>
                    <w:ind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11" w:type="dxa"/>
                  <w:tcBorders>
                    <w:top w:val="single" w:color="auto" w:sz="12" w:space="0"/>
                  </w:tcBorders>
                  <w:vAlign w:val="center"/>
                </w:tcPr>
                <w:p>
                  <w:pPr>
                    <w:pStyle w:val="15"/>
                    <w:keepNext w:val="0"/>
                    <w:keepLines w:val="0"/>
                    <w:suppressLineNumbers w:val="0"/>
                    <w:bidi w:val="0"/>
                    <w:spacing w:before="0" w:beforeAutospacing="0" w:after="0" w:afterAutospacing="0"/>
                    <w:ind w:right="0"/>
                    <w:rPr>
                      <w:rFonts w:hint="default"/>
                      <w:color w:val="000000" w:themeColor="text1"/>
                      <w:lang w:eastAsia="zh-CN"/>
                      <w14:textFill>
                        <w14:solidFill>
                          <w14:schemeClr w14:val="tx1"/>
                        </w14:solidFill>
                      </w14:textFill>
                    </w:rPr>
                  </w:pPr>
                  <w:r>
                    <w:rPr>
                      <w:rFonts w:hint="default"/>
                      <w:color w:val="000000" w:themeColor="text1"/>
                      <w:lang w:val="en-US" w:eastAsia="zh-CN"/>
                      <w14:textFill>
                        <w14:solidFill>
                          <w14:schemeClr w14:val="tx1"/>
                        </w14:solidFill>
                      </w14:textFill>
                    </w:rPr>
                    <w:t>总排口</w:t>
                  </w:r>
                </w:p>
              </w:tc>
              <w:tc>
                <w:tcPr>
                  <w:tcW w:w="3137" w:type="dxa"/>
                  <w:tcBorders>
                    <w:top w:val="single" w:color="auto" w:sz="12" w:space="0"/>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pH值、化学需氧量、氨氮、悬浮物、总磷、</w:t>
                  </w:r>
                  <w:r>
                    <w:rPr>
                      <w:rFonts w:hint="eastAsia"/>
                      <w:color w:val="000000" w:themeColor="text1"/>
                      <w:lang w:val="en-US" w:eastAsia="zh-CN"/>
                      <w14:textFill>
                        <w14:solidFill>
                          <w14:schemeClr w14:val="tx1"/>
                        </w14:solidFill>
                      </w14:textFill>
                    </w:rPr>
                    <w:t>动植物油</w:t>
                  </w:r>
                  <w:r>
                    <w:rPr>
                      <w:rFonts w:hint="default"/>
                      <w:color w:val="000000" w:themeColor="text1"/>
                      <w14:textFill>
                        <w14:solidFill>
                          <w14:schemeClr w14:val="tx1"/>
                        </w14:solidFill>
                      </w14:textFill>
                    </w:rPr>
                    <w:t>类、流量</w:t>
                  </w:r>
                </w:p>
              </w:tc>
              <w:tc>
                <w:tcPr>
                  <w:tcW w:w="1334" w:type="dxa"/>
                  <w:tcBorders>
                    <w:top w:val="single" w:color="auto" w:sz="12" w:space="0"/>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每</w:t>
                  </w:r>
                  <w:r>
                    <w:rPr>
                      <w:rFonts w:hint="eastAsia"/>
                      <w:color w:val="000000" w:themeColor="text1"/>
                      <w:lang w:val="en-US" w:eastAsia="zh-CN"/>
                      <w14:textFill>
                        <w14:solidFill>
                          <w14:schemeClr w14:val="tx1"/>
                        </w14:solidFill>
                      </w14:textFill>
                    </w:rPr>
                    <w:t>月</w:t>
                  </w:r>
                  <w:r>
                    <w:rPr>
                      <w:rFonts w:hint="default"/>
                      <w:color w:val="000000" w:themeColor="text1"/>
                      <w14:textFill>
                        <w14:solidFill>
                          <w14:schemeClr w14:val="tx1"/>
                        </w14:solidFill>
                      </w14:textFill>
                    </w:rPr>
                    <w:t>一次</w:t>
                  </w:r>
                </w:p>
              </w:tc>
              <w:tc>
                <w:tcPr>
                  <w:tcW w:w="2638" w:type="dxa"/>
                  <w:tcBorders>
                    <w:top w:val="single" w:color="auto" w:sz="12" w:space="0"/>
                  </w:tcBorders>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《污水综合排放标准》（GB8978-1996）表4中的三级排放标准</w:t>
                  </w:r>
                </w:p>
              </w:tc>
            </w:tr>
          </w:tbl>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3、运营期地下水环境影响分析和保护措施</w:t>
            </w:r>
          </w:p>
          <w:p>
            <w:p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3.1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地下水污染源</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本项目危险废物暂存间在发生事故的状态下，废油下渗可能污染土壤和地下水体。</w:t>
            </w:r>
          </w:p>
          <w:p>
            <w:p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3.2 </w:t>
            </w:r>
            <w:r>
              <w:rPr>
                <w:rFonts w:hint="default" w:ascii="Times New Roman" w:hAnsi="Times New Roman" w:eastAsia="宋体" w:cs="Times New Roman"/>
                <w:b/>
                <w:bCs/>
                <w:color w:val="000000" w:themeColor="text1"/>
                <w:sz w:val="24"/>
                <w:lang w:val="en-US" w:eastAsia="zh-CN"/>
                <w14:textFill>
                  <w14:solidFill>
                    <w14:schemeClr w14:val="tx1"/>
                  </w14:solidFill>
                </w14:textFill>
              </w:rPr>
              <w:t>地下水环境影响分析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对于</w:t>
            </w:r>
            <w:r>
              <w:rPr>
                <w:rFonts w:hint="default" w:ascii="Times New Roman" w:hAnsi="Times New Roman" w:eastAsia="宋体" w:cs="Times New Roman"/>
                <w:color w:val="000000" w:themeColor="text1"/>
                <w:sz w:val="24"/>
                <w:lang w:val="en-US" w:eastAsia="zh-CN"/>
                <w14:textFill>
                  <w14:solidFill>
                    <w14:schemeClr w14:val="tx1"/>
                  </w14:solidFill>
                </w14:textFill>
              </w:rPr>
              <w:t>项目区</w:t>
            </w:r>
            <w:r>
              <w:rPr>
                <w:rFonts w:hint="default" w:ascii="Times New Roman" w:hAnsi="Times New Roman" w:eastAsia="宋体" w:cs="Times New Roman"/>
                <w:color w:val="000000" w:themeColor="text1"/>
                <w:sz w:val="24"/>
                <w14:textFill>
                  <w14:solidFill>
                    <w14:schemeClr w14:val="tx1"/>
                  </w14:solidFill>
                </w14:textFill>
              </w:rPr>
              <w:t>及废水管线地下水防污控制原则，应坚持</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注重源头控制、强化监测手段、污水集中处理、完善应急响应系统建设</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的原则，其宗旨是采取主动控制，避免废水泄漏事故及防渗措施失效事故的发生，但若发生事故，则采取应急响应处理办法，尽最快速度处理，严防污染物进入地下水环境造成不良影响。</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.1</w:t>
            </w:r>
            <w:r>
              <w:rPr>
                <w:rFonts w:hint="eastAsia" w:ascii="Times New Roman" w:hAnsi="Times New Roman" w:eastAsia="宋体" w:cs="Times New Roman"/>
                <w:b/>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14:textFill>
                  <w14:solidFill>
                    <w14:schemeClr w14:val="tx1"/>
                  </w14:solidFill>
                </w14:textFill>
              </w:rPr>
              <w:t>防污原则</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（1）注重源头控制。目前厂区内存在的主要的潜在污染源有</w:t>
            </w:r>
            <w:r>
              <w:rPr>
                <w:rFonts w:hint="default" w:ascii="Times New Roman" w:hAnsi="Times New Roman" w:eastAsia="宋体" w:cs="Times New Roman"/>
                <w:color w:val="000000" w:themeColor="text1"/>
                <w:sz w:val="24"/>
                <w:lang w:val="en-US" w:eastAsia="zh-CN"/>
                <w14:textFill>
                  <w14:solidFill>
                    <w14:schemeClr w14:val="tx1"/>
                  </w14:solidFill>
                </w14:textFill>
              </w:rPr>
              <w:t>危险废物暂存间、污水管网</w:t>
            </w:r>
            <w:r>
              <w:rPr>
                <w:rFonts w:hint="default" w:ascii="Times New Roman" w:hAnsi="Times New Roman" w:eastAsia="宋体" w:cs="Times New Roman"/>
                <w:color w:val="000000" w:themeColor="text1"/>
                <w:sz w:val="24"/>
                <w14:textFill>
                  <w14:solidFill>
                    <w14:schemeClr w14:val="tx1"/>
                  </w14:solidFill>
                </w14:textFill>
              </w:rPr>
              <w:t>等，需要对废水排放的管道或固废储存及处理区进行防漏防渗处理，防止污染物的跑、冒、滴、漏，将污染物</w:t>
            </w:r>
            <w:r>
              <w:rPr>
                <w:rFonts w:hint="eastAsia" w:cs="Times New Roman"/>
                <w:color w:val="000000" w:themeColor="text1"/>
                <w:sz w:val="24"/>
                <w:lang w:eastAsia="zh-CN"/>
                <w14:textFill>
                  <w14:solidFill>
                    <w14:schemeClr w14:val="tx1"/>
                  </w14:solidFill>
                </w14:textFill>
              </w:rPr>
              <w:t>泄漏</w:t>
            </w:r>
            <w:r>
              <w:rPr>
                <w:rFonts w:hint="default" w:ascii="Times New Roman" w:hAnsi="Times New Roman" w:eastAsia="宋体" w:cs="Times New Roman"/>
                <w:color w:val="000000" w:themeColor="text1"/>
                <w:sz w:val="24"/>
                <w14:textFill>
                  <w14:solidFill>
                    <w14:schemeClr w14:val="tx1"/>
                  </w14:solidFill>
                </w14:textFill>
              </w:rPr>
              <w:t>的环境风险事故</w:t>
            </w:r>
            <w:r>
              <w:rPr>
                <w:rFonts w:hint="eastAsia" w:cs="Times New Roman"/>
                <w:color w:val="000000" w:themeColor="text1"/>
                <w:sz w:val="24"/>
                <w:lang w:val="en-US" w:eastAsia="zh-CN"/>
                <w14:textFill>
                  <w14:solidFill>
                    <w14:schemeClr w14:val="tx1"/>
                  </w14:solidFill>
                </w14:textFill>
              </w:rPr>
              <w:t>降到</w:t>
            </w:r>
            <w:r>
              <w:rPr>
                <w:rFonts w:hint="default" w:ascii="Times New Roman" w:hAnsi="Times New Roman" w:eastAsia="宋体" w:cs="Times New Roman"/>
                <w:color w:val="000000" w:themeColor="text1"/>
                <w:sz w:val="24"/>
                <w14:textFill>
                  <w14:solidFill>
                    <w14:schemeClr w14:val="tx1"/>
                  </w14:solidFill>
                </w14:textFill>
              </w:rPr>
              <w:t>最低限度。结合建设项目各生产环节产生的废水、废水管线走向、储运装置等，划分污染防治区，建立防渗设施的检漏系统。</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（2）强化监测手段。对厂区实时监控地下水水质动态，科学、合理地设置</w:t>
            </w:r>
            <w:r>
              <w:rPr>
                <w:rFonts w:hint="default" w:ascii="Times New Roman" w:hAnsi="Times New Roman" w:eastAsia="宋体" w:cs="Times New Roman"/>
                <w:color w:val="000000" w:themeColor="text1"/>
                <w:sz w:val="24"/>
                <w:lang w:val="en-US" w:eastAsia="zh-CN"/>
                <w14:textFill>
                  <w14:solidFill>
                    <w14:schemeClr w14:val="tx1"/>
                  </w14:solidFill>
                </w14:textFill>
              </w:rPr>
              <w:t>渗漏监控措施</w:t>
            </w:r>
            <w:r>
              <w:rPr>
                <w:rFonts w:hint="default" w:ascii="Times New Roman" w:hAnsi="Times New Roman" w:eastAsia="宋体" w:cs="Times New Roman"/>
                <w:color w:val="000000" w:themeColor="text1"/>
                <w:sz w:val="24"/>
                <w14:textFill>
                  <w14:solidFill>
                    <w14:schemeClr w14:val="tx1"/>
                  </w14:solidFill>
                </w14:textFill>
              </w:rPr>
              <w:t>，及时发现污染、及时控制。</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（3）污水集中处理。要求</w:t>
            </w:r>
            <w:r>
              <w:rPr>
                <w:rFonts w:hint="default" w:ascii="Times New Roman" w:hAnsi="Times New Roman" w:eastAsia="宋体" w:cs="Times New Roman"/>
                <w:color w:val="000000" w:themeColor="text1"/>
                <w:sz w:val="24"/>
                <w:lang w:val="en-US" w:eastAsia="zh-CN"/>
                <w14:textFill>
                  <w14:solidFill>
                    <w14:schemeClr w14:val="tx1"/>
                  </w14:solidFill>
                </w14:textFill>
              </w:rPr>
              <w:t>项目区</w:t>
            </w:r>
            <w:r>
              <w:rPr>
                <w:rFonts w:hint="default" w:ascii="Times New Roman" w:hAnsi="Times New Roman" w:eastAsia="宋体" w:cs="Times New Roman"/>
                <w:color w:val="000000" w:themeColor="text1"/>
                <w:sz w:val="24"/>
                <w14:textFill>
                  <w14:solidFill>
                    <w14:schemeClr w14:val="tx1"/>
                  </w14:solidFill>
                </w14:textFill>
              </w:rPr>
              <w:t>做到污水集中处理，对</w:t>
            </w:r>
            <w:r>
              <w:rPr>
                <w:rFonts w:hint="default" w:ascii="Times New Roman" w:hAnsi="Times New Roman" w:eastAsia="宋体" w:cs="Times New Roman"/>
                <w:color w:val="000000" w:themeColor="text1"/>
                <w:sz w:val="24"/>
                <w:lang w:val="en-US" w:eastAsia="zh-CN"/>
                <w14:textFill>
                  <w14:solidFill>
                    <w14:schemeClr w14:val="tx1"/>
                  </w14:solidFill>
                </w14:textFill>
              </w:rPr>
              <w:t>污水管网、危险废物暂存间</w:t>
            </w:r>
            <w:r>
              <w:rPr>
                <w:rFonts w:hint="default" w:ascii="Times New Roman" w:hAnsi="Times New Roman" w:eastAsia="宋体" w:cs="Times New Roman"/>
                <w:color w:val="000000" w:themeColor="text1"/>
                <w:sz w:val="24"/>
                <w14:textFill>
                  <w14:solidFill>
                    <w14:schemeClr w14:val="tx1"/>
                  </w14:solidFill>
                </w14:textFill>
              </w:rPr>
              <w:t>进行重点防渗。</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（4）完善应急响应措施。污染事故一旦发生，立即启动应急防范措施，减少事故影响。</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.2</w:t>
            </w: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14:textFill>
                  <w14:solidFill>
                    <w14:schemeClr w14:val="tx1"/>
                  </w14:solidFill>
                </w14:textFill>
              </w:rPr>
              <w:t>防污防渗设计</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地面防渗措施，即末端控制措施，主要包括</w:t>
            </w:r>
            <w:r>
              <w:rPr>
                <w:rFonts w:hint="default" w:ascii="Times New Roman" w:hAnsi="Times New Roman" w:eastAsia="宋体" w:cs="Times New Roman"/>
                <w:color w:val="000000" w:themeColor="text1"/>
                <w:sz w:val="24"/>
                <w:lang w:val="en-US" w:eastAsia="zh-CN"/>
                <w14:textFill>
                  <w14:solidFill>
                    <w14:schemeClr w14:val="tx1"/>
                  </w14:solidFill>
                </w14:textFill>
              </w:rPr>
              <w:t>项目区</w:t>
            </w:r>
            <w:r>
              <w:rPr>
                <w:rFonts w:hint="default" w:ascii="Times New Roman" w:hAnsi="Times New Roman" w:eastAsia="宋体" w:cs="Times New Roman"/>
                <w:color w:val="000000" w:themeColor="text1"/>
                <w:sz w:val="24"/>
                <w14:textFill>
                  <w14:solidFill>
                    <w14:schemeClr w14:val="tx1"/>
                  </w14:solidFill>
                </w14:textFill>
              </w:rPr>
              <w:t>污染区地面的防渗措施和泄漏、渗漏污染物收集措施。通过在污染区地面进行防渗处理，防止洒落地面的污染物渗入地下，并把滞留在地面的污染物收集起来，集中送至</w:t>
            </w:r>
            <w:r>
              <w:rPr>
                <w:rFonts w:hint="default" w:ascii="Times New Roman" w:hAnsi="Times New Roman" w:eastAsia="宋体" w:cs="Times New Roman"/>
                <w:color w:val="000000" w:themeColor="text1"/>
                <w:sz w:val="24"/>
                <w:lang w:val="en-US" w:eastAsia="zh-CN"/>
                <w14:textFill>
                  <w14:solidFill>
                    <w14:schemeClr w14:val="tx1"/>
                  </w14:solidFill>
                </w14:textFill>
              </w:rPr>
              <w:t>固体废物储存处处理</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防渗工程主要参照以下原则进行：</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（1）采用国际国内先进的防渗材料、技术和实施手段，确保工程建设对区域内地下水影响较小，地下水现有水体功能不发生明显改变。</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（2）坚持分区管理和控制原则，根据场址所在地的工程地质、水文地质条件和全厂可能发生泄漏的物料性质、排放量，参照相应标准要求有针对性的分区，并分别设计地面防渗层结构。</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（3）坚持</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可视化</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原则，在满足工程和防渗层结构标准要求的前提下，尽量在地表面实施防渗措施，便于泄漏物质的收集和及时发现破损的防渗层。</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）防渗层上渗漏污染物和防渗层内渗漏污染物收集系统与全厂</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三废</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处理措施统筹考虑，统一处理。</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w:t>
            </w:r>
            <w:r>
              <w:rPr>
                <w:rFonts w:hint="default"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.3、防污设计办法</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结合项目实际，主要做好以下措施：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（1）在场内分别建立雨、污收集管网，实行雨污分流制。雨水经明沟排至</w:t>
            </w:r>
            <w:r>
              <w:rPr>
                <w:rFonts w:hint="default" w:ascii="Times New Roman" w:hAnsi="Times New Roman" w:eastAsia="宋体" w:cs="Times New Roman"/>
                <w:color w:val="000000" w:themeColor="text1"/>
                <w:sz w:val="24"/>
                <w:lang w:val="en-US" w:eastAsia="zh-CN"/>
                <w14:textFill>
                  <w14:solidFill>
                    <w14:schemeClr w14:val="tx1"/>
                  </w14:solidFill>
                </w14:textFill>
              </w:rPr>
              <w:t>厂区绿化带</w:t>
            </w:r>
            <w:r>
              <w:rPr>
                <w:rFonts w:hint="default" w:ascii="Times New Roman" w:hAnsi="Times New Roman" w:eastAsia="宋体" w:cs="Times New Roman"/>
                <w:color w:val="000000" w:themeColor="text1"/>
                <w:sz w:val="24"/>
                <w14:textFill>
                  <w14:solidFill>
                    <w14:schemeClr w14:val="tx1"/>
                  </w14:solidFill>
                </w14:textFill>
              </w:rPr>
              <w:t>，生活污水经污水管网收集后</w:t>
            </w:r>
            <w:r>
              <w:rPr>
                <w:rFonts w:hint="eastAsia" w:cs="Times New Roman"/>
                <w:color w:val="000000" w:themeColor="text1"/>
                <w:sz w:val="24"/>
                <w:lang w:val="en-US" w:eastAsia="zh-CN"/>
                <w14:textFill>
                  <w14:solidFill>
                    <w14:schemeClr w14:val="tx1"/>
                  </w14:solidFill>
                </w14:textFill>
              </w:rPr>
              <w:t>排入厂区新建防渗化粪池，定期抽运至污水处理厂进行后续处理</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）场内要采取综合防渗措施，防止污染物下渗。危废暂存间、</w:t>
            </w:r>
            <w:r>
              <w:rPr>
                <w:rFonts w:hint="default" w:ascii="Times New Roman" w:hAnsi="Times New Roman" w:eastAsia="宋体" w:cs="Times New Roman"/>
                <w:color w:val="000000" w:themeColor="text1"/>
                <w:sz w:val="24"/>
                <w:lang w:val="en-US" w:eastAsia="zh-CN"/>
                <w14:textFill>
                  <w14:solidFill>
                    <w14:schemeClr w14:val="tx1"/>
                  </w14:solidFill>
                </w14:textFill>
              </w:rPr>
              <w:t>生活污水管网</w:t>
            </w:r>
            <w:r>
              <w:rPr>
                <w:rFonts w:hint="eastAsia" w:cs="Times New Roman"/>
                <w:color w:val="000000" w:themeColor="text1"/>
                <w:sz w:val="24"/>
                <w:lang w:val="en-US" w:eastAsia="zh-CN"/>
                <w14:textFill>
                  <w14:solidFill>
                    <w14:schemeClr w14:val="tx1"/>
                  </w14:solidFill>
                </w14:textFill>
              </w:rPr>
              <w:t>、脱硫废水循环池、化粪池</w:t>
            </w:r>
            <w:r>
              <w:rPr>
                <w:rFonts w:hint="default" w:ascii="Times New Roman" w:hAnsi="Times New Roman" w:eastAsia="宋体" w:cs="Times New Roman"/>
                <w:color w:val="000000" w:themeColor="text1"/>
                <w:sz w:val="24"/>
                <w14:textFill>
                  <w14:solidFill>
                    <w14:schemeClr w14:val="tx1"/>
                  </w14:solidFill>
                </w14:textFill>
              </w:rPr>
              <w:t>等污染性大且较易接触地下水的区域为重点污染防渗区；</w:t>
            </w:r>
            <w:r>
              <w:rPr>
                <w:rFonts w:hint="default" w:ascii="Times New Roman" w:hAnsi="Times New Roman" w:eastAsia="宋体" w:cs="Times New Roman"/>
                <w:color w:val="000000" w:themeColor="text1"/>
                <w:sz w:val="24"/>
                <w:lang w:val="en-US" w:eastAsia="zh-CN"/>
                <w14:textFill>
                  <w14:solidFill>
                    <w14:schemeClr w14:val="tx1"/>
                  </w14:solidFill>
                </w14:textFill>
              </w:rPr>
              <w:t>一般固体废物暂存处、仓储车间</w:t>
            </w:r>
            <w:r>
              <w:rPr>
                <w:rFonts w:hint="default" w:ascii="Times New Roman" w:hAnsi="Times New Roman" w:eastAsia="宋体" w:cs="Times New Roman"/>
                <w:color w:val="000000" w:themeColor="text1"/>
                <w:sz w:val="24"/>
                <w14:textFill>
                  <w14:solidFill>
                    <w14:schemeClr w14:val="tx1"/>
                  </w14:solidFill>
                </w14:textFill>
              </w:rPr>
              <w:t>为一般防渗区；</w:t>
            </w:r>
            <w:r>
              <w:rPr>
                <w:rFonts w:hint="default" w:ascii="Times New Roman" w:hAnsi="Times New Roman" w:eastAsia="宋体" w:cs="Times New Roman"/>
                <w:color w:val="000000" w:themeColor="text1"/>
                <w:sz w:val="24"/>
                <w:lang w:val="en-US" w:eastAsia="zh-CN"/>
                <w14:textFill>
                  <w14:solidFill>
                    <w14:schemeClr w14:val="tx1"/>
                  </w14:solidFill>
                </w14:textFill>
              </w:rPr>
              <w:t>职工生活区</w:t>
            </w:r>
            <w:r>
              <w:rPr>
                <w:rFonts w:hint="default" w:ascii="Times New Roman" w:hAnsi="Times New Roman" w:eastAsia="宋体" w:cs="Times New Roman"/>
                <w:color w:val="000000" w:themeColor="text1"/>
                <w:sz w:val="24"/>
                <w14:textFill>
                  <w14:solidFill>
                    <w14:schemeClr w14:val="tx1"/>
                  </w14:solidFill>
                </w14:textFill>
              </w:rPr>
              <w:t>等其他区域为非污染区。</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根据《环境影响评价技术导则</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地下水环境》（</w:t>
            </w:r>
            <w:r>
              <w:rPr>
                <w:color w:val="000000" w:themeColor="text1"/>
                <w:sz w:val="24"/>
                <w:szCs w:val="24"/>
                <w14:textFill>
                  <w14:solidFill>
                    <w14:schemeClr w14:val="tx1"/>
                  </w14:solidFill>
                </w14:textFill>
              </w:rPr>
              <w:t>HJ610-2016</w:t>
            </w:r>
            <w:r>
              <w:rPr>
                <w:rFonts w:hint="eastAsia"/>
                <w:color w:val="000000" w:themeColor="text1"/>
                <w:sz w:val="24"/>
                <w:szCs w:val="24"/>
                <w14:textFill>
                  <w14:solidFill>
                    <w14:schemeClr w14:val="tx1"/>
                  </w14:solidFill>
                </w14:textFill>
              </w:rPr>
              <w:t>）对厂区提出防渗要求，厂区防渗要求具体如下表。</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4-25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防渗技术要求一览表</w:t>
            </w:r>
          </w:p>
          <w:tbl>
            <w:tblPr>
              <w:tblStyle w:val="10"/>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891"/>
              <w:gridCol w:w="1593"/>
              <w:gridCol w:w="37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891"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防渗分区</w:t>
                  </w:r>
                </w:p>
              </w:tc>
              <w:tc>
                <w:tcPr>
                  <w:tcW w:w="1593"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厂区区域</w:t>
                  </w:r>
                </w:p>
              </w:tc>
              <w:tc>
                <w:tcPr>
                  <w:tcW w:w="3797"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891"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重点防渗区</w:t>
                  </w:r>
                </w:p>
              </w:tc>
              <w:tc>
                <w:tcPr>
                  <w:tcW w:w="1593" w:type="dxa"/>
                  <w:tcBorders>
                    <w:top w:val="single" w:color="auto" w:sz="12" w:space="0"/>
                    <w:left w:val="single" w:color="auto" w:sz="4" w:space="0"/>
                    <w:bottom w:val="single" w:color="auto" w:sz="4"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化粪池、</w:t>
                  </w:r>
                  <w:r>
                    <w:rPr>
                      <w:rFonts w:hint="eastAsia"/>
                      <w:color w:val="000000" w:themeColor="text1"/>
                      <w:lang w:val="en-US" w:eastAsia="zh-CN"/>
                      <w14:textFill>
                        <w14:solidFill>
                          <w14:schemeClr w14:val="tx1"/>
                        </w14:solidFill>
                      </w14:textFill>
                    </w:rPr>
                    <w:t>脱硫废水循环池</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灰渣池、危险废物暂存间</w:t>
                  </w:r>
                </w:p>
              </w:tc>
              <w:tc>
                <w:tcPr>
                  <w:tcW w:w="3797"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等效粘土防渗层</w:t>
                  </w:r>
                  <w:r>
                    <w:rPr>
                      <w:color w:val="000000" w:themeColor="text1"/>
                      <w14:textFill>
                        <w14:solidFill>
                          <w14:schemeClr w14:val="tx1"/>
                        </w14:solidFill>
                      </w14:textFill>
                    </w:rPr>
                    <w:t>Mb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6.0m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891"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一般防渗区</w:t>
                  </w:r>
                </w:p>
              </w:tc>
              <w:tc>
                <w:tcPr>
                  <w:tcW w:w="1593"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灰渣库、</w:t>
                  </w:r>
                  <w:r>
                    <w:rPr>
                      <w:rFonts w:hint="eastAsia"/>
                      <w:color w:val="000000" w:themeColor="text1"/>
                      <w:lang w:eastAsia="zh-CN"/>
                      <w14:textFill>
                        <w14:solidFill>
                          <w14:schemeClr w14:val="tx1"/>
                        </w14:solidFill>
                      </w14:textFill>
                    </w:rPr>
                    <w:t>燃料库</w:t>
                  </w:r>
                  <w:r>
                    <w:rPr>
                      <w:rFonts w:hint="eastAsia"/>
                      <w:color w:val="000000" w:themeColor="text1"/>
                      <w14:textFill>
                        <w14:solidFill>
                          <w14:schemeClr w14:val="tx1"/>
                        </w14:solidFill>
                      </w14:textFill>
                    </w:rPr>
                    <w:t>、热风炉</w:t>
                  </w:r>
                </w:p>
              </w:tc>
              <w:tc>
                <w:tcPr>
                  <w:tcW w:w="3797"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等效粘土防渗层</w:t>
                  </w:r>
                  <w:r>
                    <w:rPr>
                      <w:color w:val="000000" w:themeColor="text1"/>
                      <w14:textFill>
                        <w14:solidFill>
                          <w14:schemeClr w14:val="tx1"/>
                        </w14:solidFill>
                      </w14:textFill>
                    </w:rPr>
                    <w:t>Mb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color w:val="000000" w:themeColor="text1"/>
                      <w:vertAlign w:val="superscript"/>
                      <w14:textFill>
                        <w14:solidFill>
                          <w14:schemeClr w14:val="tx1"/>
                        </w14:solidFill>
                      </w14:textFill>
                    </w:rPr>
                    <w:t>0-7</w:t>
                  </w:r>
                  <w:r>
                    <w:rPr>
                      <w:color w:val="000000" w:themeColor="text1"/>
                      <w14:textFill>
                        <w14:solidFill>
                          <w14:schemeClr w14:val="tx1"/>
                        </w14:solidFill>
                      </w14:textFill>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9" w:type="dxa"/>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891"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简单防渗区</w:t>
                  </w:r>
                </w:p>
              </w:tc>
              <w:tc>
                <w:tcPr>
                  <w:tcW w:w="1593"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厂区其他区域</w:t>
                  </w:r>
                </w:p>
              </w:tc>
              <w:tc>
                <w:tcPr>
                  <w:tcW w:w="3797"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一般地面硬化</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对于重点防治污染区执行地面防渗设计；要求防渗等级不大于1.0×10</w:t>
            </w:r>
            <w:r>
              <w:rPr>
                <w:rFonts w:hint="default" w:ascii="Times New Roman" w:hAnsi="Times New Roman" w:eastAsia="宋体" w:cs="Times New Roman"/>
                <w:color w:val="000000" w:themeColor="text1"/>
                <w:sz w:val="24"/>
                <w:vertAlign w:val="superscript"/>
                <w14:textFill>
                  <w14:solidFill>
                    <w14:schemeClr w14:val="tx1"/>
                  </w14:solidFill>
                </w14:textFill>
              </w:rPr>
              <w:t>-12</w:t>
            </w:r>
            <w:r>
              <w:rPr>
                <w:rFonts w:hint="default" w:ascii="Times New Roman" w:hAnsi="Times New Roman" w:eastAsia="宋体" w:cs="Times New Roman"/>
                <w:color w:val="000000" w:themeColor="text1"/>
                <w:sz w:val="24"/>
                <w14:textFill>
                  <w14:solidFill>
                    <w14:schemeClr w14:val="tx1"/>
                  </w14:solidFill>
                </w14:textFill>
              </w:rPr>
              <w:t>cm/s，可采用现浇防渗钢筋钢纤维混凝土层（渗透系数不大于1.0×10</w:t>
            </w:r>
            <w:r>
              <w:rPr>
                <w:rFonts w:hint="default" w:ascii="Times New Roman" w:hAnsi="Times New Roman" w:eastAsia="宋体" w:cs="Times New Roman"/>
                <w:color w:val="000000" w:themeColor="text1"/>
                <w:sz w:val="24"/>
                <w:vertAlign w:val="superscript"/>
                <w14:textFill>
                  <w14:solidFill>
                    <w14:schemeClr w14:val="tx1"/>
                  </w14:solidFill>
                </w14:textFill>
              </w:rPr>
              <w:t>-12</w:t>
            </w:r>
            <w:r>
              <w:rPr>
                <w:rFonts w:hint="default" w:ascii="Times New Roman" w:hAnsi="Times New Roman" w:eastAsia="宋体" w:cs="Times New Roman"/>
                <w:color w:val="000000" w:themeColor="text1"/>
                <w:sz w:val="24"/>
                <w14:textFill>
                  <w14:solidFill>
                    <w14:schemeClr w14:val="tx1"/>
                  </w14:solidFill>
                </w14:textFill>
              </w:rPr>
              <w:t>cm/s）、防渗涂料面层（渗透系数不大于1.0×10</w:t>
            </w:r>
            <w:r>
              <w:rPr>
                <w:rFonts w:hint="default" w:ascii="Times New Roman" w:hAnsi="Times New Roman" w:eastAsia="宋体" w:cs="Times New Roman"/>
                <w:color w:val="000000" w:themeColor="text1"/>
                <w:sz w:val="24"/>
                <w:vertAlign w:val="superscript"/>
                <w14:textFill>
                  <w14:solidFill>
                    <w14:schemeClr w14:val="tx1"/>
                  </w14:solidFill>
                </w14:textFill>
              </w:rPr>
              <w:t>-12</w:t>
            </w:r>
            <w:r>
              <w:rPr>
                <w:rFonts w:hint="default" w:ascii="Times New Roman" w:hAnsi="Times New Roman" w:eastAsia="宋体" w:cs="Times New Roman"/>
                <w:color w:val="000000" w:themeColor="text1"/>
                <w:sz w:val="24"/>
                <w14:textFill>
                  <w14:solidFill>
                    <w14:schemeClr w14:val="tx1"/>
                  </w14:solidFill>
                </w14:textFill>
              </w:rPr>
              <w:t>cm/s）。</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对于一般污染防治区，参照</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"http://www.mee.gov.cn/ywgz/fgbz/bz/bzwb/gthw/gtfwwrkzbz/202012/W020201218695845325455.pdf"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一般工业固体废物贮存和填埋污染控制标准</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 18599-2020）</w:t>
            </w:r>
            <w:r>
              <w:rPr>
                <w:rFonts w:hint="eastAsia"/>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Ⅱ类场进行设计。</w:t>
            </w:r>
            <w:r>
              <w:rPr>
                <w:rFonts w:hint="default" w:ascii="Times New Roman" w:hAnsi="Times New Roman" w:eastAsia="宋体" w:cs="Times New Roman"/>
                <w:color w:val="000000" w:themeColor="text1"/>
                <w:sz w:val="24"/>
                <w:lang w:val="en-US" w:eastAsia="zh-CN"/>
                <w14:textFill>
                  <w14:solidFill>
                    <w14:schemeClr w14:val="tx1"/>
                  </w14:solidFill>
                </w14:textFill>
              </w:rPr>
              <w:t>一般固体废物暂存处、仓储车间</w:t>
            </w:r>
            <w:r>
              <w:rPr>
                <w:rFonts w:hint="default" w:ascii="Times New Roman" w:hAnsi="Times New Roman" w:eastAsia="宋体" w:cs="Times New Roman"/>
                <w:color w:val="000000" w:themeColor="text1"/>
                <w:sz w:val="24"/>
                <w14:textFill>
                  <w14:solidFill>
                    <w14:schemeClr w14:val="tx1"/>
                  </w14:solidFill>
                </w14:textFill>
              </w:rPr>
              <w:t>天然基础层的渗透系数均大于1.0×10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cm/s，因此应采用天然或人工材料构筑防渗层，防渗层的厚度应相当于渗透系数1.0×10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cm/s和厚度1.5m的粘土层的防渗性能。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对于基本上不产生污染物的非污染防治区，不采取专门针对地下水污染的防治措施。</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对于危废暂存间，应严格按</w:t>
            </w:r>
            <w:r>
              <w:rPr>
                <w:rFonts w:hint="eastAsia" w:cs="Times New Roman"/>
                <w:color w:val="000000" w:themeColor="text1"/>
                <w:sz w:val="24"/>
                <w:szCs w:val="24"/>
                <w:lang w:val="en-US" w:eastAsia="zh-CN"/>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4"/>
                <w14:textFill>
                  <w14:solidFill>
                    <w14:schemeClr w14:val="tx1"/>
                  </w14:solidFill>
                </w14:textFill>
              </w:rPr>
              <w:t>的要求建设，危废临时存放场所有防渗漏、防盗、防雨淋等措施；危废贮存间，危废密闭桶装，贮存间底部用防腐钢筋钢纤维混凝土层硬化，防腐防渗。</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通过上述措施，可大大减少污染物进入地下水的可能性。</w:t>
            </w:r>
          </w:p>
          <w:p>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综上，本项目产生的</w:t>
            </w:r>
            <w:r>
              <w:rPr>
                <w:rFonts w:hint="eastAsia" w:cs="Times New Roman"/>
                <w:color w:val="000000" w:themeColor="text1"/>
                <w:sz w:val="24"/>
                <w:lang w:val="en-US" w:eastAsia="zh-CN"/>
                <w14:textFill>
                  <w14:solidFill>
                    <w14:schemeClr w14:val="tx1"/>
                  </w14:solidFill>
                </w14:textFill>
              </w:rPr>
              <w:t>生活</w:t>
            </w:r>
            <w:r>
              <w:rPr>
                <w:rFonts w:hint="default" w:ascii="Times New Roman" w:hAnsi="Times New Roman" w:eastAsia="宋体" w:cs="Times New Roman"/>
                <w:color w:val="000000" w:themeColor="text1"/>
                <w:sz w:val="24"/>
                <w:lang w:val="en-US" w:eastAsia="zh-CN"/>
                <w14:textFill>
                  <w14:solidFill>
                    <w14:schemeClr w14:val="tx1"/>
                  </w14:solidFill>
                </w14:textFill>
              </w:rPr>
              <w:t>污水</w:t>
            </w:r>
            <w:r>
              <w:rPr>
                <w:rFonts w:hint="eastAsia" w:cs="Times New Roman"/>
                <w:color w:val="000000" w:themeColor="text1"/>
                <w:sz w:val="24"/>
                <w:lang w:val="en-US" w:eastAsia="zh-CN"/>
                <w14:textFill>
                  <w14:solidFill>
                    <w14:schemeClr w14:val="tx1"/>
                  </w14:solidFill>
                </w14:textFill>
              </w:rPr>
              <w:t>排入防渗化粪池暂存，定期抽运至</w:t>
            </w:r>
            <w:r>
              <w:rPr>
                <w:rFonts w:hint="eastAsia" w:ascii="Times New Roman" w:hAnsi="Times New Roman" w:cs="Times New Roman"/>
                <w:color w:val="000000" w:themeColor="text1"/>
                <w:sz w:val="24"/>
                <w:lang w:val="en-US" w:eastAsia="zh-CN"/>
                <w14:textFill>
                  <w14:solidFill>
                    <w14:schemeClr w14:val="tx1"/>
                  </w14:solidFill>
                </w14:textFill>
              </w:rPr>
              <w:t>污水处理厂进行后续处理</w:t>
            </w:r>
            <w:r>
              <w:rPr>
                <w:rFonts w:hint="default" w:ascii="Times New Roman" w:hAnsi="Times New Roman" w:eastAsia="宋体" w:cs="Times New Roman"/>
                <w:color w:val="000000" w:themeColor="text1"/>
                <w:sz w:val="24"/>
                <w:lang w:val="en-US" w:eastAsia="zh-CN"/>
                <w14:textFill>
                  <w14:solidFill>
                    <w14:schemeClr w14:val="tx1"/>
                  </w14:solidFill>
                </w14:textFill>
              </w:rPr>
              <w:t>，各个地下水污染区按照上述要求设置防渗、导流措施。对项目区的水环境影响是可接受的。</w:t>
            </w:r>
          </w:p>
          <w:p>
            <w:pPr>
              <w:spacing w:line="360" w:lineRule="auto"/>
              <w:ind w:firstLine="498" w:firstLineChars="200"/>
              <w:rPr>
                <w:rFonts w:hint="eastAsia"/>
                <w:b/>
                <w:bCs/>
                <w:color w:val="000000" w:themeColor="text1"/>
                <w:spacing w:val="4"/>
                <w14:textFill>
                  <w14:solidFill>
                    <w14:schemeClr w14:val="tx1"/>
                  </w14:solidFill>
                </w14:textFill>
              </w:rPr>
            </w:pPr>
            <w:r>
              <w:rPr>
                <w:rFonts w:hint="eastAsia" w:cs="Times New Roman"/>
                <w:b/>
                <w:bCs/>
                <w:color w:val="000000" w:themeColor="text1"/>
                <w:spacing w:val="4"/>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4"/>
                <w:sz w:val="24"/>
                <w:szCs w:val="24"/>
                <w14:textFill>
                  <w14:solidFill>
                    <w14:schemeClr w14:val="tx1"/>
                  </w14:solidFill>
                </w14:textFill>
              </w:rPr>
              <w:t>、</w:t>
            </w:r>
            <w:r>
              <w:rPr>
                <w:rFonts w:hint="eastAsia"/>
                <w:b/>
                <w:bCs/>
                <w:color w:val="000000" w:themeColor="text1"/>
                <w:spacing w:val="4"/>
                <w14:textFill>
                  <w14:solidFill>
                    <w14:schemeClr w14:val="tx1"/>
                  </w14:solidFill>
                </w14:textFill>
              </w:rPr>
              <w:t>运营期声环境影响分析和保护措施</w:t>
            </w:r>
          </w:p>
          <w:p>
            <w:pPr>
              <w:spacing w:line="360" w:lineRule="auto"/>
              <w:ind w:firstLine="498" w:firstLineChars="200"/>
              <w:rPr>
                <w:rFonts w:hint="default" w:ascii="Times New Roman" w:hAnsi="Times New Roman" w:eastAsia="宋体" w:cs="Times New Roman"/>
                <w:b/>
                <w:bCs/>
                <w:color w:val="000000" w:themeColor="text1"/>
                <w:spacing w:val="4"/>
                <w:sz w:val="24"/>
                <w:szCs w:val="24"/>
                <w14:textFill>
                  <w14:solidFill>
                    <w14:schemeClr w14:val="tx1"/>
                  </w14:solidFill>
                </w14:textFill>
              </w:rPr>
            </w:pPr>
            <w:r>
              <w:rPr>
                <w:rFonts w:hint="eastAsia"/>
                <w:b/>
                <w:bCs/>
                <w:color w:val="000000" w:themeColor="text1"/>
                <w:spacing w:val="4"/>
                <w:lang w:val="en-US" w:eastAsia="zh-CN"/>
                <w14:textFill>
                  <w14:solidFill>
                    <w14:schemeClr w14:val="tx1"/>
                  </w14:solidFill>
                </w14:textFill>
              </w:rPr>
              <w:t xml:space="preserve">4.1 </w:t>
            </w:r>
            <w:r>
              <w:rPr>
                <w:rFonts w:hint="default" w:ascii="Times New Roman" w:hAnsi="Times New Roman" w:eastAsia="宋体" w:cs="Times New Roman"/>
                <w:b/>
                <w:bCs/>
                <w:color w:val="000000" w:themeColor="text1"/>
                <w:spacing w:val="4"/>
                <w:sz w:val="24"/>
                <w:szCs w:val="24"/>
                <w14:textFill>
                  <w14:solidFill>
                    <w14:schemeClr w14:val="tx1"/>
                  </w14:solidFill>
                </w14:textFill>
              </w:rPr>
              <w:t>噪声</w:t>
            </w:r>
            <w:r>
              <w:rPr>
                <w:rFonts w:hint="default" w:ascii="Times New Roman" w:hAnsi="Times New Roman" w:eastAsia="宋体" w:cs="Times New Roman"/>
                <w:b/>
                <w:bCs/>
                <w:color w:val="000000" w:themeColor="text1"/>
                <w:sz w:val="24"/>
                <w14:textFill>
                  <w14:solidFill>
                    <w14:schemeClr w14:val="tx1"/>
                  </w14:solidFill>
                </w14:textFill>
              </w:rPr>
              <w:t>污染源</w:t>
            </w:r>
            <w:r>
              <w:rPr>
                <w:rFonts w:hint="default" w:ascii="Times New Roman" w:hAnsi="Times New Roman" w:eastAsia="宋体" w:cs="Times New Roman"/>
                <w:b/>
                <w:bCs/>
                <w:color w:val="000000" w:themeColor="text1"/>
                <w:spacing w:val="4"/>
                <w:sz w:val="24"/>
                <w:szCs w:val="24"/>
                <w14:textFill>
                  <w14:solidFill>
                    <w14:schemeClr w14:val="tx1"/>
                  </w14:solidFill>
                </w14:textFill>
              </w:rPr>
              <w:t>强</w:t>
            </w:r>
          </w:p>
          <w:p>
            <w:pPr>
              <w:spacing w:line="360" w:lineRule="auto"/>
              <w:ind w:firstLine="48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本项目噪声污染源主要为设备运行时产生的噪声，其源强为60-</w:t>
            </w:r>
            <w:r>
              <w:rPr>
                <w:rFonts w:hint="eastAsia"/>
                <w:color w:val="000000" w:themeColor="text1"/>
                <w:sz w:val="24"/>
                <w:lang w:val="en-US" w:eastAsia="zh-CN"/>
                <w14:textFill>
                  <w14:solidFill>
                    <w14:schemeClr w14:val="tx1"/>
                  </w14:solidFill>
                </w14:textFill>
              </w:rPr>
              <w:t>90</w:t>
            </w:r>
            <w:r>
              <w:rPr>
                <w:rFonts w:ascii="Times New Roman" w:hAnsi="Times New Roman"/>
                <w:color w:val="000000" w:themeColor="text1"/>
                <w:sz w:val="24"/>
                <w14:textFill>
                  <w14:solidFill>
                    <w14:schemeClr w14:val="tx1"/>
                  </w14:solidFill>
                </w14:textFill>
              </w:rPr>
              <w:t>dB（A）。其主要设备源强见表</w:t>
            </w:r>
            <w:r>
              <w:rPr>
                <w:rFonts w:hint="eastAsia"/>
                <w:color w:val="000000" w:themeColor="text1"/>
                <w:sz w:val="24"/>
                <w:lang w:val="en-US" w:eastAsia="zh-CN"/>
                <w14:textFill>
                  <w14:solidFill>
                    <w14:schemeClr w14:val="tx1"/>
                  </w14:solidFill>
                </w14:textFill>
              </w:rPr>
              <w:t>4-26</w:t>
            </w:r>
            <w:r>
              <w:rPr>
                <w:rFonts w:ascii="Times New Roman" w:hAnsi="Times New Roman"/>
                <w:color w:val="000000" w:themeColor="text1"/>
                <w:sz w:val="24"/>
                <w14:textFill>
                  <w14:solidFill>
                    <w14:schemeClr w14:val="tx1"/>
                  </w14:solidFill>
                </w14:textFill>
              </w:rPr>
              <w:t>。</w:t>
            </w:r>
          </w:p>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4-26  </w:t>
            </w:r>
            <w:r>
              <w:rPr>
                <w:b/>
                <w:bCs/>
                <w:color w:val="000000" w:themeColor="text1"/>
                <w14:textFill>
                  <w14:solidFill>
                    <w14:schemeClr w14:val="tx1"/>
                  </w14:solidFill>
                </w14:textFill>
              </w:rPr>
              <w:t xml:space="preserve"> 各生产设备噪声源强一览表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4117"/>
              <w:gridCol w:w="1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blHeader/>
                <w:jc w:val="center"/>
              </w:trPr>
              <w:tc>
                <w:tcPr>
                  <w:tcW w:w="2201" w:type="dxa"/>
                  <w:tcBorders>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位置</w:t>
                  </w:r>
                </w:p>
              </w:tc>
              <w:tc>
                <w:tcPr>
                  <w:tcW w:w="4117" w:type="dxa"/>
                  <w:tcBorders>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主要高噪声设备</w:t>
                  </w:r>
                </w:p>
              </w:tc>
              <w:tc>
                <w:tcPr>
                  <w:tcW w:w="1902" w:type="dxa"/>
                  <w:tcBorders>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声源强度</w:t>
                  </w:r>
                  <w:r>
                    <w:rPr>
                      <w:b/>
                      <w:bCs/>
                      <w:color w:val="000000" w:themeColor="text1"/>
                      <w14:textFill>
                        <w14:solidFill>
                          <w14:schemeClr w14:val="tx1"/>
                        </w14:solidFill>
                      </w14:textFill>
                    </w:rPr>
                    <w:t>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restart"/>
                  <w:tcBorders>
                    <w:top w:val="single" w:color="auto" w:sz="12" w:space="0"/>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生产区</w:t>
                  </w:r>
                </w:p>
              </w:tc>
              <w:tc>
                <w:tcPr>
                  <w:tcW w:w="4117" w:type="dxa"/>
                  <w:tcBorders>
                    <w:top w:val="single" w:color="auto" w:sz="12" w:space="0"/>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烘干机</w:t>
                  </w:r>
                </w:p>
              </w:tc>
              <w:tc>
                <w:tcPr>
                  <w:tcW w:w="1902" w:type="dxa"/>
                  <w:tcBorders>
                    <w:top w:val="single" w:color="auto" w:sz="12" w:space="0"/>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输送机</w:t>
                  </w:r>
                </w:p>
              </w:tc>
              <w:tc>
                <w:tcPr>
                  <w:tcW w:w="1902" w:type="dxa"/>
                  <w:tcBorders>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75~90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62"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提升机</w:t>
                  </w:r>
                </w:p>
              </w:tc>
              <w:tc>
                <w:tcPr>
                  <w:tcW w:w="1902" w:type="dxa"/>
                  <w:tcBorders>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滚筒筛</w:t>
                  </w:r>
                </w:p>
              </w:tc>
              <w:tc>
                <w:tcPr>
                  <w:tcW w:w="1902" w:type="dxa"/>
                  <w:tcBorders>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鼓风机</w:t>
                  </w:r>
                </w:p>
              </w:tc>
              <w:tc>
                <w:tcPr>
                  <w:tcW w:w="1902" w:type="dxa"/>
                  <w:tcBorders>
                    <w:tl2br w:val="nil"/>
                    <w:tr2bl w:val="nil"/>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引风机</w:t>
                  </w:r>
                </w:p>
              </w:tc>
              <w:tc>
                <w:tcPr>
                  <w:tcW w:w="1902" w:type="dxa"/>
                  <w:tcBorders>
                    <w:tl2br w:val="nil"/>
                    <w:tr2bl w:val="nil"/>
                  </w:tcBorders>
                  <w:vAlign w:val="center"/>
                </w:tcPr>
                <w:p>
                  <w:pPr>
                    <w:pStyle w:val="1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扒谷机</w:t>
                  </w:r>
                </w:p>
              </w:tc>
              <w:tc>
                <w:tcPr>
                  <w:tcW w:w="1902" w:type="dxa"/>
                  <w:tcBorders>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vMerge w:val="continue"/>
                  <w:tcBorders>
                    <w:tl2br w:val="nil"/>
                    <w:tr2bl w:val="nil"/>
                  </w:tcBorders>
                  <w:vAlign w:val="center"/>
                </w:tcPr>
                <w:p>
                  <w:pPr>
                    <w:pStyle w:val="15"/>
                    <w:bidi w:val="0"/>
                    <w:rPr>
                      <w:color w:val="000000" w:themeColor="text1"/>
                      <w14:textFill>
                        <w14:solidFill>
                          <w14:schemeClr w14:val="tx1"/>
                        </w14:solidFill>
                      </w14:textFill>
                    </w:rPr>
                  </w:pP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902" w:type="dxa"/>
                  <w:tcBorders>
                    <w:tl2br w:val="nil"/>
                    <w:tr2bl w:val="nil"/>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80</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厂区</w:t>
                  </w: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运输车辆</w:t>
                  </w:r>
                </w:p>
              </w:tc>
              <w:tc>
                <w:tcPr>
                  <w:tcW w:w="1902" w:type="dxa"/>
                  <w:tcBorders>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 w:hRule="atLeast"/>
                <w:jc w:val="center"/>
              </w:trPr>
              <w:tc>
                <w:tcPr>
                  <w:tcW w:w="2201"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食堂外部</w:t>
                  </w:r>
                </w:p>
              </w:tc>
              <w:tc>
                <w:tcPr>
                  <w:tcW w:w="4117" w:type="dxa"/>
                  <w:tcBorders>
                    <w:tl2br w:val="nil"/>
                    <w:tr2bl w:val="nil"/>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油烟净化器</w:t>
                  </w:r>
                </w:p>
              </w:tc>
              <w:tc>
                <w:tcPr>
                  <w:tcW w:w="1902" w:type="dxa"/>
                  <w:tcBorders>
                    <w:tl2br w:val="nil"/>
                    <w:tr2bl w:val="nil"/>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70~75</w:t>
                  </w:r>
                </w:p>
              </w:tc>
            </w:tr>
          </w:tbl>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4.2 </w:t>
            </w:r>
            <w:r>
              <w:rPr>
                <w:rFonts w:hint="eastAsia"/>
                <w:b/>
                <w:bCs/>
                <w:color w:val="000000" w:themeColor="text1"/>
                <w14:textFill>
                  <w14:solidFill>
                    <w14:schemeClr w14:val="tx1"/>
                  </w14:solidFill>
                </w14:textFill>
              </w:rPr>
              <w:t>运营期声环境影响分析</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建成后，调查所有声源种类（包括设备型号）与数量、各声源的空间位置、声源的作用时间等，采用类比测量法与引用现有数据相结合确定声源的声功率级。本次噪声评价厂界按整个厂界计算，将厂界内所有声源的声级叠加，以厂区的中心作为声源原点。简化为单个室外的点声源进行预测。</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项目噪声主要来自车间生产设备。建设单位优先选用低噪声型号设备，所用设备均分布在厂房内部，合理布局。设备安装时设置</w:t>
            </w:r>
            <w:r>
              <w:rPr>
                <w:rFonts w:hint="eastAsia" w:cs="Times New Roman"/>
                <w:color w:val="000000" w:themeColor="text1"/>
                <w:sz w:val="24"/>
                <w:szCs w:val="24"/>
                <w:lang w:eastAsia="zh-CN"/>
                <w14:textFill>
                  <w14:solidFill>
                    <w14:schemeClr w14:val="tx1"/>
                  </w14:solidFill>
                </w14:textFill>
              </w:rPr>
              <w:t>减振</w:t>
            </w:r>
            <w:r>
              <w:rPr>
                <w:rFonts w:hint="default" w:ascii="Times New Roman" w:hAnsi="Times New Roman" w:eastAsia="宋体" w:cs="Times New Roman"/>
                <w:color w:val="000000" w:themeColor="text1"/>
                <w:sz w:val="24"/>
                <w:szCs w:val="24"/>
                <w14:textFill>
                  <w14:solidFill>
                    <w14:schemeClr w14:val="tx1"/>
                  </w14:solidFill>
                </w14:textFill>
              </w:rPr>
              <w:t>基座，通过车间隔音，达到距离衰减、隔声降噪的效果。</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本项目主要噪声源强及治理措施见表</w:t>
            </w:r>
            <w:r>
              <w:rPr>
                <w:rFonts w:hint="eastAsia" w:cs="Times New Roman"/>
                <w:color w:val="000000" w:themeColor="text1"/>
                <w:sz w:val="24"/>
                <w:szCs w:val="24"/>
                <w:lang w:val="en-US" w:eastAsia="zh-CN"/>
                <w14:textFill>
                  <w14:solidFill>
                    <w14:schemeClr w14:val="tx1"/>
                  </w14:solidFill>
                </w14:textFill>
              </w:rPr>
              <w:t>4-27</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4-27</w:t>
            </w:r>
            <w:r>
              <w:rPr>
                <w:rFonts w:hint="default"/>
                <w:b/>
                <w:bCs/>
                <w:color w:val="000000" w:themeColor="text1"/>
                <w:lang w:val="en-US" w:eastAsia="zh-CN"/>
                <w14:textFill>
                  <w14:solidFill>
                    <w14:schemeClr w14:val="tx1"/>
                  </w14:solidFill>
                </w14:textFill>
              </w:rPr>
              <w:t xml:space="preserve"> </w:t>
            </w:r>
            <w:r>
              <w:rPr>
                <w:rFonts w:hint="default"/>
                <w:b/>
                <w:bCs/>
                <w:color w:val="000000" w:themeColor="text1"/>
                <w14:textFill>
                  <w14:solidFill>
                    <w14:schemeClr w14:val="tx1"/>
                  </w14:solidFill>
                </w14:textFill>
              </w:rPr>
              <w:t xml:space="preserve">  主要噪声源强及治理措施一览表</w:t>
            </w:r>
          </w:p>
          <w:tbl>
            <w:tblPr>
              <w:tblStyle w:val="10"/>
              <w:tblW w:w="82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78"/>
              <w:gridCol w:w="1135"/>
              <w:gridCol w:w="1747"/>
              <w:gridCol w:w="1113"/>
              <w:gridCol w:w="1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编号</w:t>
                  </w:r>
                </w:p>
              </w:tc>
              <w:tc>
                <w:tcPr>
                  <w:tcW w:w="1678"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噪声源</w:t>
                  </w:r>
                </w:p>
              </w:tc>
              <w:tc>
                <w:tcPr>
                  <w:tcW w:w="1135"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位置</w:t>
                  </w:r>
                </w:p>
              </w:tc>
              <w:tc>
                <w:tcPr>
                  <w:tcW w:w="1747"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噪声级【</w:t>
                  </w:r>
                  <w:r>
                    <w:rPr>
                      <w:b/>
                      <w:bCs/>
                      <w:color w:val="000000" w:themeColor="text1"/>
                      <w14:textFill>
                        <w14:solidFill>
                          <w14:schemeClr w14:val="tx1"/>
                        </w14:solidFill>
                      </w14:textFill>
                    </w:rPr>
                    <w:t>dB</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A</w:t>
                  </w:r>
                  <w:r>
                    <w:rPr>
                      <w:rFonts w:hint="eastAsia"/>
                      <w:b/>
                      <w:bCs/>
                      <w:color w:val="000000" w:themeColor="text1"/>
                      <w14:textFill>
                        <w14:solidFill>
                          <w14:schemeClr w14:val="tx1"/>
                        </w14:solidFill>
                      </w14:textFill>
                    </w:rPr>
                    <w:t>）】</w:t>
                  </w:r>
                </w:p>
              </w:tc>
              <w:tc>
                <w:tcPr>
                  <w:tcW w:w="1113"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降噪措施</w:t>
                  </w:r>
                </w:p>
              </w:tc>
              <w:tc>
                <w:tcPr>
                  <w:tcW w:w="1860"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降噪效果</w:t>
                  </w:r>
                  <w:r>
                    <w:rPr>
                      <w:b/>
                      <w:bCs/>
                      <w:color w:val="000000" w:themeColor="text1"/>
                      <w14:textFill>
                        <w14:solidFill>
                          <w14:schemeClr w14:val="tx1"/>
                        </w14:solidFill>
                      </w14:textFill>
                    </w:rPr>
                    <w:t>dB</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A</w:t>
                  </w:r>
                  <w:r>
                    <w:rPr>
                      <w:rFonts w:hint="eastAsia"/>
                      <w:b/>
                      <w:bCs/>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678"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烘干机</w:t>
                  </w:r>
                </w:p>
              </w:tc>
              <w:tc>
                <w:tcPr>
                  <w:tcW w:w="1135"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生产区</w:t>
                  </w:r>
                </w:p>
              </w:tc>
              <w:tc>
                <w:tcPr>
                  <w:tcW w:w="1747" w:type="dxa"/>
                  <w:tcBorders>
                    <w:top w:val="single" w:color="auto" w:sz="12"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60~70</w:t>
                  </w:r>
                </w:p>
              </w:tc>
              <w:tc>
                <w:tcPr>
                  <w:tcW w:w="1113" w:type="dxa"/>
                  <w:vMerge w:val="restart"/>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设备安装时设置</w:t>
                  </w:r>
                  <w:r>
                    <w:rPr>
                      <w:rFonts w:hint="eastAsia"/>
                      <w:color w:val="000000" w:themeColor="text1"/>
                      <w:lang w:eastAsia="zh-CN"/>
                      <w14:textFill>
                        <w14:solidFill>
                          <w14:schemeClr w14:val="tx1"/>
                        </w14:solidFill>
                      </w14:textFill>
                    </w:rPr>
                    <w:t>减振</w:t>
                  </w:r>
                  <w:r>
                    <w:rPr>
                      <w:rFonts w:hint="eastAsia"/>
                      <w:color w:val="000000" w:themeColor="text1"/>
                      <w14:textFill>
                        <w14:solidFill>
                          <w14:schemeClr w14:val="tx1"/>
                        </w14:solidFill>
                      </w14:textFill>
                    </w:rPr>
                    <w:t>基座，隔声罩，加强设备维护保养</w:t>
                  </w:r>
                </w:p>
              </w:tc>
              <w:tc>
                <w:tcPr>
                  <w:tcW w:w="1860"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输送机</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75~90</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提升机</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75~85</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滚筒筛</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85~95</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鼓风机</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85</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90</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引风机</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90</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扒谷机</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75~85</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8</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水泵</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80</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85</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9</w:t>
                  </w:r>
                </w:p>
              </w:tc>
              <w:tc>
                <w:tcPr>
                  <w:tcW w:w="1678"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运输车辆</w:t>
                  </w:r>
                </w:p>
              </w:tc>
              <w:tc>
                <w:tcPr>
                  <w:tcW w:w="1135"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747" w:type="dxa"/>
                  <w:tcBorders>
                    <w:top w:val="single" w:color="auto" w:sz="4" w:space="0"/>
                    <w:left w:val="single" w:color="auto" w:sz="4" w:space="0"/>
                    <w:bottom w:val="single" w:color="auto" w:sz="4"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p>
              </w:tc>
              <w:tc>
                <w:tcPr>
                  <w:tcW w:w="1860"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15~20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87" w:type="dxa"/>
                  <w:tcBorders>
                    <w:top w:val="single" w:color="auto" w:sz="4" w:space="0"/>
                    <w:bottom w:val="single" w:color="auto" w:sz="12" w:space="0"/>
                    <w:right w:val="single" w:color="auto" w:sz="4"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678"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油烟净化器</w:t>
                  </w:r>
                </w:p>
              </w:tc>
              <w:tc>
                <w:tcPr>
                  <w:tcW w:w="1135"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食堂</w:t>
                  </w:r>
                </w:p>
              </w:tc>
              <w:tc>
                <w:tcPr>
                  <w:tcW w:w="1747" w:type="dxa"/>
                  <w:tcBorders>
                    <w:top w:val="single" w:color="auto" w:sz="4" w:space="0"/>
                    <w:left w:val="single" w:color="auto" w:sz="4" w:space="0"/>
                    <w:bottom w:val="single" w:color="auto" w:sz="12" w:space="0"/>
                    <w:right w:val="single" w:color="auto" w:sz="4" w:space="0"/>
                  </w:tcBorders>
                  <w:vAlign w:val="center"/>
                </w:tcPr>
                <w:p>
                  <w:pPr>
                    <w:pStyle w:val="15"/>
                    <w:bidi w:val="0"/>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t>70~75</w:t>
                  </w:r>
                </w:p>
              </w:tc>
              <w:tc>
                <w:tcPr>
                  <w:tcW w:w="1113"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选用低噪声设备，设置减振基座</w:t>
                  </w:r>
                </w:p>
              </w:tc>
              <w:tc>
                <w:tcPr>
                  <w:tcW w:w="1860"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10~15</w:t>
                  </w:r>
                </w:p>
              </w:tc>
            </w:tr>
          </w:tbl>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4.2</w:t>
            </w:r>
            <w:r>
              <w:rPr>
                <w:rFonts w:hint="default" w:ascii="Times New Roman" w:hAnsi="Times New Roman" w:eastAsia="宋体" w:cs="Times New Roman"/>
                <w:b/>
                <w:bCs/>
                <w:color w:val="000000" w:themeColor="text1"/>
                <w:sz w:val="24"/>
                <w:szCs w:val="24"/>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预测模式</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（1）计算某个室内靠近围护结构处的倍频带声压级：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w:t>
            </w:r>
            <w:bookmarkStart w:id="6" w:name="_Toc91387362"/>
            <w:bookmarkEnd w:id="6"/>
            <w:r>
              <w:rPr>
                <w:rFonts w:hint="default" w:ascii="Times New Roman" w:hAnsi="Times New Roman" w:eastAsia="宋体" w:cs="Times New Roman"/>
                <w:color w:val="000000" w:themeColor="text1"/>
                <w:sz w:val="24"/>
                <w:szCs w:val="24"/>
                <w14:textFill>
                  <w14:solidFill>
                    <w14:schemeClr w14:val="tx1"/>
                  </w14:solidFill>
                </w14:textFill>
              </w:rPr>
              <w:object>
                <v:shape id="_x0000_i1026" o:spt="75" type="#_x0000_t75" style="height:22.45pt;width:189.45pt;" o:ole="t" fillcolor="#000005" filled="f" o:preferrelative="t" stroked="f" coordsize="21600,21600">
                  <v:path/>
                  <v:fill on="f" focussize="0,0"/>
                  <v:stroke on="f"/>
                  <v:imagedata r:id="rId20" o:title=""/>
                  <o:lock v:ext="edit" aspectratio="t"/>
                  <w10:wrap type="none"/>
                  <w10:anchorlock/>
                </v:shape>
                <o:OLEObject Type="Embed" ProgID="Equation.3" ShapeID="_x0000_i1026" DrawAspect="Content" ObjectID="_1468075726" r:id="rId19">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bookmarkStart w:id="7" w:name="_Toc91387363"/>
            <w:r>
              <w:rPr>
                <w:rFonts w:hint="default" w:ascii="Times New Roman" w:hAnsi="Times New Roman" w:eastAsia="宋体" w:cs="Times New Roman"/>
                <w:color w:val="000000" w:themeColor="text1"/>
                <w:sz w:val="24"/>
                <w:szCs w:val="24"/>
                <w14:textFill>
                  <w14:solidFill>
                    <w14:schemeClr w14:val="tx1"/>
                  </w14:solidFill>
                </w14:textFill>
              </w:rPr>
              <w:t>式中：</w:t>
            </w:r>
            <w:bookmarkEnd w:id="7"/>
            <w:r>
              <w:rPr>
                <w:rFonts w:hint="default" w:ascii="Times New Roman" w:hAnsi="Times New Roman" w:eastAsia="宋体" w:cs="Times New Roman"/>
                <w:color w:val="000000" w:themeColor="text1"/>
                <w:sz w:val="24"/>
                <w:szCs w:val="24"/>
                <w14:textFill>
                  <w14:solidFill>
                    <w14:schemeClr w14:val="tx1"/>
                  </w14:solidFill>
                </w14:textFill>
              </w:rPr>
              <w:t>L1 ——某个室内声源在靠近围护结构处产生的倍频带声压级，dB；</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Lw1——某个声源的倍频带声功率级，dB；</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r1 ——室内某个声源与靠近围护结构处的距离，m；</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R——房间常数</w:t>
            </w:r>
            <w:r>
              <w:rPr>
                <w:rFonts w:hint="default" w:ascii="Times New Roman" w:hAnsi="Times New Roman" w:eastAsia="宋体" w:cs="Times New Roman"/>
                <w:color w:val="000000" w:themeColor="text1"/>
                <w:sz w:val="24"/>
                <w:szCs w:val="24"/>
                <w:lang w:eastAsia="zh-CN"/>
                <w14:textFill>
                  <w14:solidFill>
                    <w14:schemeClr w14:val="tx1"/>
                  </w14:solidFill>
                </w14:textFill>
              </w:rPr>
              <w:t>m²</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 ——方向因子，无量纲值。</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（2）计算出所有室内声源在靠近围护结构处产生的总倍频带声压级：</w:t>
            </w:r>
          </w:p>
          <w:p>
            <w:pPr>
              <w:spacing w:line="360" w:lineRule="auto"/>
              <w:ind w:firstLine="2280" w:firstLineChars="9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7" o:spt="75" type="#_x0000_t75" style="height:39.15pt;width:146.3pt;" o:ole="t" fillcolor="#000005" filled="f" o:preferrelative="t" stroked="f" coordsize="21600,21600">
                  <v:path/>
                  <v:fill on="f" focussize="0,0"/>
                  <v:stroke on="f"/>
                  <v:imagedata r:id="rId22" o:title=""/>
                  <o:lock v:ext="edit" aspectratio="t"/>
                  <w10:wrap type="none"/>
                  <w10:anchorlock/>
                </v:shape>
                <o:OLEObject Type="Embed" ProgID="Equation.3" ShapeID="_x0000_i1027" DrawAspect="Content" ObjectID="_1468075727" r:id="rId21">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（3）计算出室外靠近围护结构处的声压级：</w:t>
            </w:r>
          </w:p>
          <w:p>
            <w:pPr>
              <w:spacing w:line="360" w:lineRule="auto"/>
              <w:ind w:firstLine="2400" w:firstLineChars="10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8" o:spt="75" type="#_x0000_t75" style="height:17.3pt;width:120.95pt;" o:ole="t" fillcolor="#000005" filled="f" o:preferrelative="t" stroked="f" coordsize="21600,21600">
                  <v:path/>
                  <v:fill on="f" focussize="0,0"/>
                  <v:stroke on="f"/>
                  <v:imagedata r:id="rId24" o:title=""/>
                  <o:lock v:ext="edit" aspectratio="t"/>
                  <w10:wrap type="none"/>
                  <w10:anchorlock/>
                </v:shape>
                <o:OLEObject Type="Embed" ProgID="Equation.3" ShapeID="_x0000_i1028" DrawAspect="Content" ObjectID="_1468075728" r:id="rId23">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（4）将室外声级L2(T)和透声面积换算成等效的室外声源，计算出等效声源第i个倍频带的声功率级Lw</w:t>
            </w:r>
            <w:r>
              <w:rPr>
                <w:rFonts w:hint="default" w:ascii="Times New Roman" w:hAnsi="Times New Roman" w:eastAsia="宋体" w:cs="Times New Roman"/>
                <w:color w:val="000000" w:themeColor="text1"/>
                <w:sz w:val="24"/>
                <w:szCs w:val="24"/>
                <w14:textFill>
                  <w14:solidFill>
                    <w14:schemeClr w14:val="tx1"/>
                  </w14:solidFill>
                </w14:textFill>
              </w:rPr>
              <w:softHyphen/>
            </w:r>
            <w:r>
              <w:rPr>
                <w:rFonts w:hint="default" w:ascii="Times New Roman" w:hAnsi="Times New Roman" w:eastAsia="宋体" w:cs="Times New Roman"/>
                <w:color w:val="000000" w:themeColor="text1"/>
                <w:sz w:val="24"/>
                <w:szCs w:val="24"/>
                <w14:textFill>
                  <w14:solidFill>
                    <w14:schemeClr w14:val="tx1"/>
                  </w14:solidFill>
                </w14:textFill>
              </w:rPr>
              <w:softHyphen/>
            </w:r>
            <w:r>
              <w:rPr>
                <w:rFonts w:hint="default" w:ascii="Times New Roman" w:hAnsi="Times New Roman" w:eastAsia="宋体" w:cs="Times New Roman"/>
                <w:color w:val="000000" w:themeColor="text1"/>
                <w:sz w:val="24"/>
                <w:szCs w:val="24"/>
                <w14:textFill>
                  <w14:solidFill>
                    <w14:schemeClr w14:val="tx1"/>
                  </w14:solidFill>
                </w14:textFill>
              </w:rPr>
              <w:t>2：</w:t>
            </w:r>
          </w:p>
          <w:p>
            <w:pPr>
              <w:spacing w:line="360" w:lineRule="auto"/>
              <w:ind w:firstLine="2400" w:firstLineChars="10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9" o:spt="75" type="#_x0000_t75" style="height:22.1pt;width:123.7pt;" o:ole="t" fillcolor="#000005" filled="f" o:preferrelative="t" stroked="f" coordsize="21600,21600">
                  <v:path/>
                  <v:fill on="f" focussize="0,0"/>
                  <v:stroke on="f"/>
                  <v:imagedata r:id="rId26" o:title=""/>
                  <o:lock v:ext="edit" aspectratio="t"/>
                  <w10:wrap type="none"/>
                  <w10:anchorlock/>
                </v:shape>
                <o:OLEObject Type="Embed" ProgID="Equation.3" ShapeID="_x0000_i1029" DrawAspect="Content" ObjectID="_1468075729" r:id="rId25">
                  <o:LockedField>false</o:LockedField>
                </o:OLEObject>
              </w:object>
            </w:r>
          </w:p>
          <w:p>
            <w:pPr>
              <w:spacing w:line="360" w:lineRule="auto"/>
              <w:ind w:firstLine="1080" w:firstLineChars="4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式中：S为透声面积，</w:t>
            </w:r>
            <w:r>
              <w:rPr>
                <w:rFonts w:hint="default" w:ascii="Times New Roman" w:hAnsi="Times New Roman" w:eastAsia="宋体" w:cs="Times New Roman"/>
                <w:color w:val="000000" w:themeColor="text1"/>
                <w:sz w:val="24"/>
                <w:szCs w:val="24"/>
                <w:lang w:eastAsia="zh-CN"/>
                <w14:textFill>
                  <w14:solidFill>
                    <w14:schemeClr w14:val="tx1"/>
                  </w14:solidFill>
                </w14:textFill>
              </w:rPr>
              <w:t>m²</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（5）等效室外声源的位置为围护结构的位置，其倍频带声功率级为Lw ，由此按室外声源方法计算等效室外声源在预测点产生的声级。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（6）计算某个声源在预测点的倍频带声压级：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object>
                <v:shape id="_x0000_i1030" o:spt="75" type="#_x0000_t75" style="height:47.25pt;width:156.05pt;" o:ole="t" fillcolor="#000005" filled="f" o:preferrelative="t" stroked="f" coordsize="21600,21600">
                  <v:path/>
                  <v:fill on="f" focussize="0,0"/>
                  <v:stroke on="f"/>
                  <v:imagedata r:id="rId28" o:title=""/>
                  <o:lock v:ext="edit" aspectratio="t"/>
                  <w10:wrap type="none"/>
                  <w10:anchorlock/>
                </v:shape>
                <o:OLEObject Type="Embed" ProgID="Equation.3" ShapeID="_x0000_i1030" DrawAspect="Content" ObjectID="_1468075730" r:id="rId27">
                  <o:LockedField>false</o:LockedField>
                </o:OLEObject>
              </w:object>
            </w:r>
          </w:p>
          <w:p>
            <w:pPr>
              <w:spacing w:line="360" w:lineRule="auto"/>
              <w:ind w:firstLine="1320" w:firstLineChars="5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式中：L(r)——点声源在预测点产生的倍频带声压级，dB；</w:t>
            </w:r>
          </w:p>
          <w:p>
            <w:pPr>
              <w:spacing w:line="360" w:lineRule="auto"/>
              <w:ind w:firstLine="2040" w:firstLineChars="8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)——参考位置r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处的倍频带声压级，dB；</w:t>
            </w:r>
          </w:p>
          <w:p>
            <w:pPr>
              <w:spacing w:line="360" w:lineRule="auto"/>
              <w:ind w:firstLine="2040" w:firstLineChars="8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R——预测点距声源的距离，m；</w:t>
            </w:r>
          </w:p>
          <w:p>
            <w:pPr>
              <w:spacing w:line="360" w:lineRule="auto"/>
              <w:ind w:firstLine="2040" w:firstLineChars="8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r</w:t>
            </w:r>
            <w:r>
              <w:rPr>
                <w:rFonts w:hint="default" w:ascii="Times New Roman" w:hAnsi="Times New Roman" w:eastAsia="宋体" w:cs="Times New Roman"/>
                <w:color w:val="000000" w:themeColor="text1"/>
                <w:sz w:val="24"/>
                <w:szCs w:val="24"/>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——参考位置距声源的距离，m；</w:t>
            </w:r>
          </w:p>
          <w:p>
            <w:pPr>
              <w:spacing w:line="360" w:lineRule="auto"/>
              <w:ind w:left="840" w:hanging="840" w:hangingChars="3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ΔL——各种因素引起的衰减量(包括声屏障、遮挡物、空气吸收、地面效应等引起的衰减量）。</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如果已知声源的倍频带声功率级Lw，且声源可看作是位于地面上的，则</w:t>
            </w:r>
          </w:p>
          <w:p>
            <w:pPr>
              <w:spacing w:line="360" w:lineRule="auto"/>
              <w:ind w:firstLine="2280" w:firstLineChars="9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1" o:spt="75" type="#_x0000_t75" style="height:19pt;width:116.35pt;" o:ole="t" fillcolor="#000005" filled="f" o:preferrelative="t" stroked="f" coordsize="21600,21600">
                  <v:path/>
                  <v:fill on="f" focussize="0,0"/>
                  <v:stroke on="f"/>
                  <v:imagedata r:id="rId30" o:title=""/>
                  <o:lock v:ext="edit" aspectratio="t"/>
                  <w10:wrap type="none"/>
                  <w10:anchorlock/>
                </v:shape>
                <o:OLEObject Type="Embed" ProgID="Equation.3" ShapeID="_x0000_i1031" DrawAspect="Content" ObjectID="_1468075731" r:id="rId29">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（7）由各倍频带声压级合成计算出该声源产生的A声级LA。</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（8）计算总声压级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设第i个室外声源在预测点产生的A声级为LAin,i，在T时间内该声源工作时间为tin,i；第j个等效室外声源在预测点产生的A声级为LAout,j，在T时间内</w:t>
            </w:r>
          </w:p>
          <w:p>
            <w:pPr>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该声源工作时间为Tout,j，则预测点的总等效声级为：</w:t>
            </w:r>
          </w:p>
          <w:p>
            <w:pPr>
              <w:spacing w:line="360" w:lineRule="auto"/>
              <w:ind w:firstLine="240" w:firstLineChars="1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object>
                <v:shape id="_x0000_i1032" o:spt="75" type="#_x0000_t75" style="height:38pt;width:269pt;" o:ole="t" fillcolor="#000005" filled="f" o:preferrelative="t" stroked="f" coordsize="21600,21600">
                  <v:path/>
                  <v:fill on="f" focussize="0,0"/>
                  <v:stroke on="f"/>
                  <v:imagedata r:id="rId32" o:title=""/>
                  <o:lock v:ext="edit" aspectratio="t"/>
                  <w10:wrap type="none"/>
                  <w10:anchorlock/>
                </v:shape>
                <o:OLEObject Type="Embed" ProgID="Equation.3" ShapeID="_x0000_i1032" DrawAspect="Content" ObjectID="_1468075732" r:id="rId31">
                  <o:LockedField>false</o:LockedField>
                </o:OLEObject>
              </w:objec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式中：T ——计算等效声级的时间；N ——室外声源个数；</w:t>
            </w:r>
          </w:p>
          <w:p>
            <w:pPr>
              <w:spacing w:line="360" w:lineRule="auto"/>
              <w:ind w:firstLine="1920" w:firstLineChars="8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M ——等效室外声源个数。</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（9）多声源对某个受声点的理论估算方法，是将几个声源的A声级按能量叠加，等效为合声源对某个受声点上的理论声级，其公式为：</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object>
                <v:shape id="_x0000_i1033" o:spt="75" type="#_x0000_t75" style="height:34pt;width:101.95pt;" o:ole="t" fillcolor="#000005" filled="f" o:preferrelative="t" stroked="f" coordsize="21600,21600">
                  <v:path/>
                  <v:fill on="f" focussize="0,0"/>
                  <v:stroke on="f"/>
                  <v:imagedata r:id="rId34" o:title=""/>
                  <o:lock v:ext="edit" aspectratio="t"/>
                  <w10:wrap type="none"/>
                  <w10:anchorlock/>
                </v:shape>
                <o:OLEObject Type="Embed" ProgID="Equation.3" ShapeID="_x0000_i1033" DrawAspect="Content" ObjectID="_1468075733" r:id="rId33">
                  <o:LockedField>false</o:LockedField>
                </o:OLEObject>
              </w:object>
            </w:r>
          </w:p>
          <w:p>
            <w:pPr>
              <w:spacing w:line="360" w:lineRule="auto"/>
              <w:ind w:firstLine="1320" w:firstLineChars="55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 L合——受声点总等效声级，dB(A)；N ——声源总数</w:t>
            </w:r>
          </w:p>
          <w:p>
            <w:pPr>
              <w:spacing w:line="360" w:lineRule="auto"/>
              <w:ind w:firstLine="2160" w:firstLineChars="9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Li ——第i声源对某预测点的等效声级，dB(A)</w:t>
            </w:r>
          </w:p>
          <w:p>
            <w:pPr>
              <w:autoSpaceDE w:val="0"/>
              <w:autoSpaceDN w:val="0"/>
              <w:adjustRightInd w:val="0"/>
              <w:spacing w:line="360" w:lineRule="auto"/>
              <w:ind w:firstLine="482" w:firstLineChars="200"/>
              <w:outlineLvl w:val="3"/>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4.2</w:t>
            </w:r>
            <w:r>
              <w:rPr>
                <w:rFonts w:hint="default" w:ascii="Times New Roman" w:hAnsi="Times New Roman" w:eastAsia="宋体" w:cs="Times New Roman"/>
                <w:b/>
                <w:bCs/>
                <w:color w:val="000000" w:themeColor="text1"/>
                <w:sz w:val="24"/>
                <w:szCs w:val="24"/>
                <w14:textFill>
                  <w14:solidFill>
                    <w14:schemeClr w14:val="tx1"/>
                  </w14:solidFill>
                </w14:textFill>
              </w:rPr>
              <w:t>.2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预测结果与评价</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利用以上预测公式，应用过程中根据具体情况作必要简化，使室内噪声源通过等效变换成若干等效室外声源，然后计算出与噪声源不同距离处的理论噪声值，再与背景值叠加，得出本项目运行时对厂界噪声环境的影响状况</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计算结果见下表。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4-28 </w:t>
            </w:r>
            <w:r>
              <w:rPr>
                <w:rFonts w:hint="default"/>
                <w:b/>
                <w:bCs/>
                <w:color w:val="000000" w:themeColor="text1"/>
                <w14:textFill>
                  <w14:solidFill>
                    <w14:schemeClr w14:val="tx1"/>
                  </w14:solidFill>
                </w14:textFill>
              </w:rPr>
              <w:t xml:space="preserve">  厂界噪声预测值   dB（A）</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383"/>
              <w:gridCol w:w="2165"/>
              <w:gridCol w:w="3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288"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测点</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编号</w:t>
                  </w:r>
                </w:p>
              </w:tc>
              <w:tc>
                <w:tcPr>
                  <w:tcW w:w="3548" w:type="dxa"/>
                  <w:gridSpan w:val="2"/>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昼间各测点声压级dB(A)</w:t>
                  </w:r>
                </w:p>
              </w:tc>
              <w:tc>
                <w:tcPr>
                  <w:tcW w:w="3384" w:type="dxa"/>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夜间各测点声压级dB(A)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288" w:type="dxa"/>
                  <w:vMerge w:val="continue"/>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p>
              </w:tc>
              <w:tc>
                <w:tcPr>
                  <w:tcW w:w="3548" w:type="dxa"/>
                  <w:gridSpan w:val="2"/>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贡献值</w:t>
                  </w:r>
                </w:p>
              </w:tc>
              <w:tc>
                <w:tcPr>
                  <w:tcW w:w="3384"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贡献值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288" w:type="dxa"/>
                  <w:tcBorders>
                    <w:top w:val="single" w:color="auto" w:sz="12" w:space="0"/>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厂界东面</w:t>
                  </w:r>
                </w:p>
              </w:tc>
              <w:tc>
                <w:tcPr>
                  <w:tcW w:w="3548" w:type="dxa"/>
                  <w:gridSpan w:val="2"/>
                  <w:tcBorders>
                    <w:top w:val="single" w:color="auto" w:sz="12" w:space="0"/>
                    <w:tl2br w:val="nil"/>
                    <w:tr2bl w:val="nil"/>
                  </w:tcBorders>
                  <w:noWrap w:val="0"/>
                  <w:vAlign w:val="center"/>
                </w:tcPr>
                <w:p>
                  <w:pPr>
                    <w:spacing w:line="240" w:lineRule="auto"/>
                    <w:ind w:firstLine="0" w:firstLineChars="0"/>
                    <w:jc w:val="center"/>
                    <w:rPr>
                      <w:rFonts w:hint="default"/>
                      <w:color w:val="000000" w:themeColor="text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45.3</w:t>
                  </w:r>
                </w:p>
              </w:tc>
              <w:tc>
                <w:tcPr>
                  <w:tcW w:w="3384" w:type="dxa"/>
                  <w:tcBorders>
                    <w:top w:val="single" w:color="auto" w:sz="12" w:space="0"/>
                    <w:tl2br w:val="nil"/>
                    <w:tr2bl w:val="nil"/>
                  </w:tcBorders>
                  <w:noWrap w:val="0"/>
                  <w:vAlign w:val="center"/>
                </w:tcPr>
                <w:p>
                  <w:pPr>
                    <w:spacing w:line="240" w:lineRule="auto"/>
                    <w:ind w:firstLine="0" w:firstLineChars="0"/>
                    <w:jc w:val="center"/>
                    <w:rPr>
                      <w:rFonts w:hint="default"/>
                      <w:color w:val="000000" w:themeColor="text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1288"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厂界南面</w:t>
                  </w:r>
                </w:p>
              </w:tc>
              <w:tc>
                <w:tcPr>
                  <w:tcW w:w="3548" w:type="dxa"/>
                  <w:gridSpan w:val="2"/>
                  <w:tcBorders>
                    <w:tl2br w:val="nil"/>
                    <w:tr2bl w:val="nil"/>
                  </w:tcBorders>
                  <w:noWrap w:val="0"/>
                  <w:vAlign w:val="center"/>
                </w:tcPr>
                <w:p>
                  <w:pPr>
                    <w:spacing w:line="240" w:lineRule="auto"/>
                    <w:ind w:firstLine="0" w:firstLineChars="0"/>
                    <w:jc w:val="center"/>
                    <w:rPr>
                      <w:rFonts w:hint="default"/>
                      <w:color w:val="000000" w:themeColor="text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44.4</w:t>
                  </w:r>
                </w:p>
              </w:tc>
              <w:tc>
                <w:tcPr>
                  <w:tcW w:w="3384" w:type="dxa"/>
                  <w:tcBorders>
                    <w:tl2br w:val="nil"/>
                    <w:tr2bl w:val="nil"/>
                  </w:tcBorders>
                  <w:noWrap w:val="0"/>
                  <w:vAlign w:val="center"/>
                </w:tcPr>
                <w:p>
                  <w:pPr>
                    <w:spacing w:line="240" w:lineRule="auto"/>
                    <w:ind w:firstLine="0" w:firstLineChars="0"/>
                    <w:jc w:val="center"/>
                    <w:rPr>
                      <w:rFonts w:hint="default"/>
                      <w:color w:val="000000" w:themeColor="text1"/>
                      <w:lang w:val="en-US"/>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288"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厂界西面</w:t>
                  </w:r>
                </w:p>
              </w:tc>
              <w:tc>
                <w:tcPr>
                  <w:tcW w:w="3548" w:type="dxa"/>
                  <w:gridSpan w:val="2"/>
                  <w:tcBorders>
                    <w:tl2br w:val="nil"/>
                    <w:tr2bl w:val="nil"/>
                  </w:tcBorders>
                  <w:noWrap w:val="0"/>
                  <w:vAlign w:val="center"/>
                </w:tcPr>
                <w:p>
                  <w:pPr>
                    <w:spacing w:line="240" w:lineRule="auto"/>
                    <w:ind w:firstLine="0" w:firstLineChars="0"/>
                    <w:jc w:val="center"/>
                    <w:rPr>
                      <w:rFonts w:hint="default"/>
                      <w:color w:val="000000" w:themeColor="text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48.5</w:t>
                  </w:r>
                </w:p>
              </w:tc>
              <w:tc>
                <w:tcPr>
                  <w:tcW w:w="3384" w:type="dxa"/>
                  <w:tcBorders>
                    <w:tl2br w:val="nil"/>
                    <w:tr2bl w:val="nil"/>
                  </w:tcBorders>
                  <w:noWrap w:val="0"/>
                  <w:vAlign w:val="center"/>
                </w:tcPr>
                <w:p>
                  <w:pPr>
                    <w:spacing w:line="240" w:lineRule="auto"/>
                    <w:ind w:firstLine="0" w:firstLineChars="0"/>
                    <w:jc w:val="center"/>
                    <w:rPr>
                      <w:rFonts w:hint="default"/>
                      <w:color w:val="000000" w:themeColor="text1"/>
                      <w:lang w:val="en-US"/>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8" w:hRule="atLeast"/>
                <w:jc w:val="center"/>
              </w:trPr>
              <w:tc>
                <w:tcPr>
                  <w:tcW w:w="1288"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厂界北面</w:t>
                  </w:r>
                </w:p>
              </w:tc>
              <w:tc>
                <w:tcPr>
                  <w:tcW w:w="3548" w:type="dxa"/>
                  <w:gridSpan w:val="2"/>
                  <w:tcBorders>
                    <w:tl2br w:val="nil"/>
                    <w:tr2bl w:val="nil"/>
                  </w:tcBorders>
                  <w:noWrap w:val="0"/>
                  <w:vAlign w:val="center"/>
                </w:tcPr>
                <w:p>
                  <w:pPr>
                    <w:spacing w:line="240" w:lineRule="auto"/>
                    <w:ind w:firstLine="0" w:firstLineChars="0"/>
                    <w:jc w:val="center"/>
                    <w:rPr>
                      <w:rFonts w:hint="default"/>
                      <w:color w:val="000000" w:themeColor="text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44.4</w:t>
                  </w:r>
                </w:p>
              </w:tc>
              <w:tc>
                <w:tcPr>
                  <w:tcW w:w="3384" w:type="dxa"/>
                  <w:tcBorders>
                    <w:tl2br w:val="nil"/>
                    <w:tr2bl w:val="nil"/>
                  </w:tcBorders>
                  <w:noWrap w:val="0"/>
                  <w:vAlign w:val="center"/>
                </w:tcPr>
                <w:p>
                  <w:pPr>
                    <w:spacing w:line="240" w:lineRule="auto"/>
                    <w:ind w:firstLine="0" w:firstLineChars="0"/>
                    <w:jc w:val="center"/>
                    <w:rPr>
                      <w:rFonts w:hint="default"/>
                      <w:color w:val="000000" w:themeColor="text1"/>
                      <w:lang w:val="en-US"/>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2671" w:type="dxa"/>
                  <w:gridSpan w:val="2"/>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《工业企业厂界环境噪声排放标准》</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类排放限制</w:t>
                  </w:r>
                </w:p>
              </w:tc>
              <w:tc>
                <w:tcPr>
                  <w:tcW w:w="2165"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昼间≤</w:t>
                  </w:r>
                  <w:r>
                    <w:rPr>
                      <w:rFonts w:hint="eastAsia"/>
                      <w:color w:val="000000" w:themeColor="text1"/>
                      <w:lang w:val="en-US" w:eastAsia="zh-CN"/>
                      <w14:textFill>
                        <w14:solidFill>
                          <w14:schemeClr w14:val="tx1"/>
                        </w14:solidFill>
                      </w14:textFill>
                    </w:rPr>
                    <w:t>60</w:t>
                  </w:r>
                  <w:r>
                    <w:rPr>
                      <w:rFonts w:hint="default"/>
                      <w:color w:val="000000" w:themeColor="text1"/>
                      <w14:textFill>
                        <w14:solidFill>
                          <w14:schemeClr w14:val="tx1"/>
                        </w14:solidFill>
                      </w14:textFill>
                    </w:rPr>
                    <w:t>dB(A)</w:t>
                  </w:r>
                </w:p>
              </w:tc>
              <w:tc>
                <w:tcPr>
                  <w:tcW w:w="3384" w:type="dxa"/>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夜间≤</w:t>
                  </w:r>
                  <w:r>
                    <w:rPr>
                      <w:rFonts w:hint="default"/>
                      <w:color w:val="000000" w:themeColor="text1"/>
                      <w:lang w:val="en-US" w:eastAsia="zh-CN"/>
                      <w14:textFill>
                        <w14:solidFill>
                          <w14:schemeClr w14:val="tx1"/>
                        </w14:solidFill>
                      </w14:textFill>
                    </w:rPr>
                    <w:t>5</w:t>
                  </w:r>
                  <w:r>
                    <w:rPr>
                      <w:rFonts w:hint="eastAsia"/>
                      <w:color w:val="000000" w:themeColor="text1"/>
                      <w:lang w:val="en-US" w:eastAsia="zh-CN"/>
                      <w14:textFill>
                        <w14:solidFill>
                          <w14:schemeClr w14:val="tx1"/>
                        </w14:solidFill>
                      </w14:textFill>
                    </w:rPr>
                    <w:t>0</w:t>
                  </w:r>
                  <w:r>
                    <w:rPr>
                      <w:rFonts w:hint="default"/>
                      <w:color w:val="000000" w:themeColor="text1"/>
                      <w14:textFill>
                        <w14:solidFill>
                          <w14:schemeClr w14:val="tx1"/>
                        </w14:solidFill>
                      </w14:textFill>
                    </w:rPr>
                    <w:t>dB(A)</w:t>
                  </w:r>
                </w:p>
              </w:tc>
            </w:tr>
          </w:tbl>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由上表可知，厂界噪声贡献值均能满足《工业企业厂界环境噪声排放标准》（GB12348-2008）</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类排放限值昼间≤6</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dB(A)，夜间≤</w:t>
            </w:r>
            <w:r>
              <w:rPr>
                <w:rFonts w:hint="eastAsia" w:cs="Times New Roman"/>
                <w:color w:val="000000" w:themeColor="text1"/>
                <w:sz w:val="24"/>
                <w:szCs w:val="24"/>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14:textFill>
                  <w14:solidFill>
                    <w14:schemeClr w14:val="tx1"/>
                  </w14:solidFill>
                </w14:textFill>
              </w:rPr>
              <w:t>dB(A)要求。根据预测结果，本项目运营后产生的噪声对周围环境的影响不大。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综上所述，建设项目噪声排放对周围的环境影响较小，噪声防治措施可行。企业在生产过程中应注意加强设备噪声治理，在项目设备安装过程中应重视</w:t>
            </w:r>
            <w:r>
              <w:rPr>
                <w:rFonts w:hint="eastAsia" w:cs="Times New Roman"/>
                <w:color w:val="000000" w:themeColor="text1"/>
                <w:sz w:val="24"/>
                <w:szCs w:val="24"/>
                <w:lang w:eastAsia="zh-CN"/>
                <w14:textFill>
                  <w14:solidFill>
                    <w14:schemeClr w14:val="tx1"/>
                  </w14:solidFill>
                </w14:textFill>
              </w:rPr>
              <w:t>减振</w:t>
            </w:r>
            <w:r>
              <w:rPr>
                <w:rFonts w:hint="default" w:ascii="Times New Roman" w:hAnsi="Times New Roman" w:eastAsia="宋体" w:cs="Times New Roman"/>
                <w:color w:val="000000" w:themeColor="text1"/>
                <w:sz w:val="24"/>
                <w:szCs w:val="24"/>
                <w14:textFill>
                  <w14:solidFill>
                    <w14:schemeClr w14:val="tx1"/>
                  </w14:solidFill>
                </w14:textFill>
              </w:rPr>
              <w:t>工程的设计及施工质量。确保厂界噪声达标，不影响周边环境。</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.3</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噪声防治措施</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为进一步减小运营过程中噪声对工作人员的影响，建设单位拟采取如下措施：</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（1）加强设备维护，对各机械设备及运输车辆进行定期检查、维护以及维修，及时更换一些破损零部件，确保机械设备正常运转，减少非正常生产噪声；</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（2）加强职工劳动保护，高噪声接触岗位要求职工佩戴耳罩，采用轮岗制度减少职工对高噪声接触时间。</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（3）高噪声设备采取集中控制，采取</w:t>
            </w:r>
            <w:r>
              <w:rPr>
                <w:rFonts w:hint="eastAsia"/>
                <w:lang w:val="en-US" w:eastAsia="zh-CN"/>
              </w:rPr>
              <w:t>隔声设备间</w:t>
            </w:r>
            <w:r>
              <w:rPr>
                <w:rFonts w:hint="default"/>
                <w:color w:val="000000" w:themeColor="text1"/>
                <w14:textFill>
                  <w14:solidFill>
                    <w14:schemeClr w14:val="tx1"/>
                  </w14:solidFill>
                </w14:textFill>
              </w:rPr>
              <w:t>、减振等措施。</w:t>
            </w:r>
          </w:p>
          <w:p>
            <w:pPr>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（4）加强车辆管理，避免车辆不必要的怠速、制动、起动以及鸣号</w:t>
            </w:r>
            <w:r>
              <w:rPr>
                <w:rFonts w:hint="default"/>
                <w:color w:val="000000" w:themeColor="text1"/>
                <w:lang w:val="en-US" w:eastAsia="zh-CN"/>
                <w14:textFill>
                  <w14:solidFill>
                    <w14:schemeClr w14:val="tx1"/>
                  </w14:solidFill>
                </w14:textFill>
              </w:rPr>
              <w:t>。</w:t>
            </w:r>
          </w:p>
          <w:p>
            <w:pPr>
              <w:keepNext w:val="0"/>
              <w:keepLines w:val="0"/>
              <w:suppressLineNumbers w:val="0"/>
              <w:spacing w:before="0" w:beforeAutospacing="0" w:after="0" w:afterAutospacing="0"/>
              <w:ind w:left="0" w:right="0" w:firstLine="482"/>
              <w:rPr>
                <w:rFonts w:hint="eastAsia"/>
                <w:b/>
                <w:bCs/>
                <w:color w:val="000000" w:themeColor="text1"/>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 xml:space="preserve">4.4 </w:t>
            </w:r>
            <w:r>
              <w:rPr>
                <w:rFonts w:hint="eastAsia"/>
                <w:b/>
                <w:bCs/>
                <w:color w:val="000000" w:themeColor="text1"/>
                <w14:textFill>
                  <w14:solidFill>
                    <w14:schemeClr w14:val="tx1"/>
                  </w14:solidFill>
                </w14:textFill>
              </w:rPr>
              <w:t>噪声监测要求</w:t>
            </w:r>
          </w:p>
          <w:p>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针对本项目</w:t>
            </w:r>
            <w:r>
              <w:rPr>
                <w:rFonts w:hint="eastAsia"/>
                <w:color w:val="000000" w:themeColor="text1"/>
                <w:lang w:val="en-US" w:eastAsia="zh-CN"/>
                <w14:textFill>
                  <w14:solidFill>
                    <w14:schemeClr w14:val="tx1"/>
                  </w14:solidFill>
                </w14:textFill>
              </w:rPr>
              <w:t>运</w:t>
            </w:r>
            <w:r>
              <w:rPr>
                <w:rFonts w:hint="eastAsia"/>
                <w:color w:val="000000" w:themeColor="text1"/>
                <w14:textFill>
                  <w14:solidFill>
                    <w14:schemeClr w14:val="tx1"/>
                  </w14:solidFill>
                </w14:textFill>
              </w:rPr>
              <w:t>营期产生的噪声，企业应按时进行监测，监测单位应具备相应监测资质，监测报告报当地环境主管部门备案，噪声具体监测内容及频次见表4-</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w:t>
            </w:r>
          </w:p>
          <w:p>
            <w:pPr>
              <w:pStyle w:val="15"/>
              <w:keepNext w:val="0"/>
              <w:keepLines w:val="0"/>
              <w:suppressLineNumbers w:val="0"/>
              <w:spacing w:before="120" w:beforeLines="5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29</w:t>
            </w:r>
            <w:r>
              <w:rPr>
                <w:rFonts w:hint="eastAsia"/>
                <w:b/>
                <w:bCs/>
                <w:color w:val="000000" w:themeColor="text1"/>
                <w14:textFill>
                  <w14:solidFill>
                    <w14:schemeClr w14:val="tx1"/>
                  </w14:solidFill>
                </w14:textFill>
              </w:rPr>
              <w:t xml:space="preserve">   项目营运期噪声监测内容及频次</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241"/>
              <w:gridCol w:w="2559"/>
              <w:gridCol w:w="1701"/>
              <w:gridCol w:w="1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4" w:type="dxa"/>
                  <w:tcBorders>
                    <w:top w:val="single" w:color="auto" w:sz="12"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环境要素</w:t>
                  </w:r>
                </w:p>
              </w:tc>
              <w:tc>
                <w:tcPr>
                  <w:tcW w:w="1241" w:type="dxa"/>
                  <w:tcBorders>
                    <w:top w:val="single" w:color="auto" w:sz="12" w:space="0"/>
                    <w:left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2559" w:type="dxa"/>
                  <w:tcBorders>
                    <w:top w:val="single" w:color="auto" w:sz="12" w:space="0"/>
                    <w:left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w:t>
                  </w:r>
                </w:p>
              </w:tc>
              <w:tc>
                <w:tcPr>
                  <w:tcW w:w="1701" w:type="dxa"/>
                  <w:tcBorders>
                    <w:top w:val="single" w:color="auto" w:sz="12" w:space="0"/>
                    <w:left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监测项目</w:t>
                  </w:r>
                </w:p>
              </w:tc>
              <w:tc>
                <w:tcPr>
                  <w:tcW w:w="1645" w:type="dxa"/>
                  <w:tcBorders>
                    <w:top w:val="single" w:color="auto" w:sz="12" w:space="0"/>
                    <w:left w:val="single" w:color="auto" w:sz="4" w:space="0"/>
                    <w:bottom w:val="single" w:color="auto" w:sz="12" w:space="0"/>
                  </w:tcBorders>
                  <w:vAlign w:val="center"/>
                </w:tcPr>
                <w:p>
                  <w:pPr>
                    <w:pStyle w:val="15"/>
                    <w:keepNext w:val="0"/>
                    <w:keepLines w:val="0"/>
                    <w:suppressLineNumbers w:val="0"/>
                    <w:spacing w:before="0" w:beforeAutospacing="0" w:after="0" w:afterAutospacing="0"/>
                    <w:ind w:right="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74" w:type="dxa"/>
                  <w:tcBorders>
                    <w:top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1241" w:type="dxa"/>
                  <w:tcBorders>
                    <w:top w:val="single" w:color="auto" w:sz="4" w:space="0"/>
                    <w:left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生产设备</w:t>
                  </w:r>
                </w:p>
              </w:tc>
              <w:tc>
                <w:tcPr>
                  <w:tcW w:w="2559" w:type="dxa"/>
                  <w:tcBorders>
                    <w:top w:val="single" w:color="auto" w:sz="4" w:space="0"/>
                    <w:left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厂界东、南、西、北外1m</w:t>
                  </w:r>
                </w:p>
              </w:tc>
              <w:tc>
                <w:tcPr>
                  <w:tcW w:w="1701" w:type="dxa"/>
                  <w:tcBorders>
                    <w:top w:val="single" w:color="auto" w:sz="4" w:space="0"/>
                    <w:left w:val="single" w:color="auto" w:sz="4" w:space="0"/>
                    <w:bottom w:val="single" w:color="auto" w:sz="12" w:space="0"/>
                    <w:right w:val="single" w:color="auto" w:sz="4"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Leq（A）</w:t>
                  </w:r>
                </w:p>
              </w:tc>
              <w:tc>
                <w:tcPr>
                  <w:tcW w:w="1645" w:type="dxa"/>
                  <w:tcBorders>
                    <w:top w:val="single" w:color="auto" w:sz="4" w:space="0"/>
                    <w:left w:val="single" w:color="auto" w:sz="4" w:space="0"/>
                    <w:bottom w:val="single" w:color="auto" w:sz="12" w:space="0"/>
                  </w:tcBorders>
                  <w:vAlign w:val="center"/>
                </w:tcPr>
                <w:p>
                  <w:pPr>
                    <w:pStyle w:val="15"/>
                    <w:keepNext w:val="0"/>
                    <w:keepLines w:val="0"/>
                    <w:suppressLineNumbers w:val="0"/>
                    <w:spacing w:before="0" w:beforeAutospacing="0" w:after="0" w:afterAutospacing="0"/>
                    <w:ind w:right="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季度（生产期）</w:t>
                  </w:r>
                </w:p>
              </w:tc>
            </w:tr>
          </w:tbl>
          <w:p>
            <w:pPr>
              <w:keepNext w:val="0"/>
              <w:keepLines w:val="0"/>
              <w:suppressLineNumbers w:val="0"/>
              <w:spacing w:before="0" w:beforeAutospacing="0" w:after="0" w:afterAutospacing="0"/>
              <w:ind w:left="0" w:right="0" w:firstLine="482"/>
              <w:rPr>
                <w:rFonts w:hint="eastAsia"/>
                <w:b/>
                <w:color w:val="000000" w:themeColor="text1"/>
                <w14:textFill>
                  <w14:solidFill>
                    <w14:schemeClr w14:val="tx1"/>
                  </w14:solidFill>
                </w14:textFill>
              </w:rPr>
            </w:pPr>
            <w:r>
              <w:rPr>
                <w:rFonts w:hint="eastAsia"/>
                <w:b/>
                <w:color w:val="000000" w:themeColor="text1"/>
                <w:lang w:val="en-US" w:eastAsia="zh-CN"/>
                <w14:textFill>
                  <w14:solidFill>
                    <w14:schemeClr w14:val="tx1"/>
                  </w14:solidFill>
                </w14:textFill>
              </w:rPr>
              <w:t>5</w:t>
            </w:r>
            <w:r>
              <w:rPr>
                <w:rFonts w:hint="eastAsia"/>
                <w:b/>
                <w:color w:val="000000" w:themeColor="text1"/>
                <w14:textFill>
                  <w14:solidFill>
                    <w14:schemeClr w14:val="tx1"/>
                  </w14:solidFill>
                </w14:textFill>
              </w:rPr>
              <w:t>、固体废物环境影响和保护措施</w:t>
            </w:r>
          </w:p>
          <w:p>
            <w:pPr>
              <w:spacing w:line="360" w:lineRule="auto"/>
              <w:ind w:firstLine="482" w:firstLineChars="200"/>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cs="Times New Roman"/>
                <w:b/>
                <w:color w:val="000000" w:themeColor="text1"/>
                <w:sz w:val="24"/>
                <w:szCs w:val="24"/>
                <w:lang w:val="en-US" w:eastAsia="zh-CN"/>
                <w14:textFill>
                  <w14:solidFill>
                    <w14:schemeClr w14:val="tx1"/>
                  </w14:solidFill>
                </w14:textFill>
              </w:rPr>
              <w:t xml:space="preserve">5.1 </w:t>
            </w:r>
            <w:r>
              <w:rPr>
                <w:rFonts w:hint="default" w:ascii="Times New Roman" w:hAnsi="Times New Roman" w:eastAsia="宋体" w:cs="Times New Roman"/>
                <w:b/>
                <w:color w:val="000000" w:themeColor="text1"/>
                <w:sz w:val="24"/>
                <w:szCs w:val="24"/>
                <w14:textFill>
                  <w14:solidFill>
                    <w14:schemeClr w14:val="tx1"/>
                  </w14:solidFill>
                </w14:textFill>
              </w:rPr>
              <w:t>固体废物</w:t>
            </w:r>
            <w:r>
              <w:rPr>
                <w:rFonts w:hint="eastAsia" w:cs="Times New Roman"/>
                <w:b/>
                <w:color w:val="000000" w:themeColor="text1"/>
                <w:sz w:val="24"/>
                <w:szCs w:val="24"/>
                <w:lang w:val="en-US" w:eastAsia="zh-CN"/>
                <w14:textFill>
                  <w14:solidFill>
                    <w14:schemeClr w14:val="tx1"/>
                  </w14:solidFill>
                </w14:textFill>
              </w:rPr>
              <w:t>产生情况</w:t>
            </w:r>
          </w:p>
          <w:p>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本项目运营期产生的固体废物包括：（1）生活垃圾；（2）一般固体废物；（3）危险废物。</w:t>
            </w:r>
          </w:p>
          <w:p>
            <w:pPr>
              <w:spacing w:line="360" w:lineRule="auto"/>
              <w:ind w:firstLine="482" w:firstLineChars="20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5.1.1</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生活垃圾</w:t>
            </w:r>
          </w:p>
          <w:p>
            <w:pPr>
              <w:adjustRightInd w:val="0"/>
              <w:snapToGrid w:val="0"/>
              <w:spacing w:line="360" w:lineRule="auto"/>
              <w:ind w:firstLine="480" w:firstLineChars="200"/>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olor w:val="000000" w:themeColor="text1"/>
                <w:sz w:val="24"/>
                <w14:textFill>
                  <w14:solidFill>
                    <w14:schemeClr w14:val="tx1"/>
                  </w14:solidFill>
                </w14:textFill>
              </w:rPr>
              <w:t>本项目建成后，拟聘用</w:t>
            </w:r>
            <w:r>
              <w:rPr>
                <w:rFonts w:hint="eastAsia"/>
                <w:color w:val="000000" w:themeColor="text1"/>
                <w:sz w:val="24"/>
                <w:lang w:val="en-US" w:eastAsia="zh-CN"/>
                <w14:textFill>
                  <w14:solidFill>
                    <w14:schemeClr w14:val="tx1"/>
                  </w14:solidFill>
                </w14:textFill>
              </w:rPr>
              <w:t>15</w:t>
            </w:r>
            <w:r>
              <w:rPr>
                <w:rFonts w:hint="eastAsia"/>
                <w:color w:val="000000" w:themeColor="text1"/>
                <w:sz w:val="24"/>
                <w14:textFill>
                  <w14:solidFill>
                    <w14:schemeClr w14:val="tx1"/>
                  </w14:solidFill>
                </w14:textFill>
              </w:rPr>
              <w:t>名职工，职工生活垃圾以</w:t>
            </w:r>
            <w:r>
              <w:rPr>
                <w:color w:val="000000" w:themeColor="text1"/>
                <w:sz w:val="24"/>
                <w14:textFill>
                  <w14:solidFill>
                    <w14:schemeClr w14:val="tx1"/>
                  </w14:solidFill>
                </w14:textFill>
              </w:rPr>
              <w:t>1kg/d·</w:t>
            </w:r>
            <w:r>
              <w:rPr>
                <w:rFonts w:hint="eastAsia"/>
                <w:color w:val="000000" w:themeColor="text1"/>
                <w:sz w:val="24"/>
                <w14:textFill>
                  <w14:solidFill>
                    <w14:schemeClr w14:val="tx1"/>
                  </w14:solidFill>
                </w14:textFill>
              </w:rPr>
              <w:t>人计，则生活垃圾产生量为</w:t>
            </w:r>
            <w:r>
              <w:rPr>
                <w:rFonts w:hint="eastAsia"/>
                <w:color w:val="000000" w:themeColor="text1"/>
                <w:sz w:val="24"/>
                <w:lang w:val="en-US" w:eastAsia="zh-CN"/>
                <w14:textFill>
                  <w14:solidFill>
                    <w14:schemeClr w14:val="tx1"/>
                  </w14:solidFill>
                </w14:textFill>
              </w:rPr>
              <w:t>15</w:t>
            </w:r>
            <w:r>
              <w:rPr>
                <w:color w:val="000000" w:themeColor="text1"/>
                <w:sz w:val="24"/>
                <w14:textFill>
                  <w14:solidFill>
                    <w14:schemeClr w14:val="tx1"/>
                  </w14:solidFill>
                </w14:textFill>
              </w:rPr>
              <w:t>kg/d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0.</w:t>
            </w:r>
            <w:r>
              <w:rPr>
                <w:rFonts w:hint="eastAsia"/>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，以工作时间</w:t>
            </w:r>
            <w:r>
              <w:rPr>
                <w:rFonts w:hint="eastAsia"/>
                <w:color w:val="000000" w:themeColor="text1"/>
                <w:sz w:val="24"/>
                <w:lang w:val="en-US" w:eastAsia="zh-CN"/>
                <w14:textFill>
                  <w14:solidFill>
                    <w14:schemeClr w14:val="tx1"/>
                  </w14:solidFill>
                </w14:textFill>
              </w:rPr>
              <w:t>60</w:t>
            </w:r>
            <w:r>
              <w:rPr>
                <w:color w:val="000000" w:themeColor="text1"/>
                <w:sz w:val="24"/>
                <w14:textFill>
                  <w14:solidFill>
                    <w14:schemeClr w14:val="tx1"/>
                  </w14:solidFill>
                </w14:textFill>
              </w:rPr>
              <w:t>d/a</w:t>
            </w:r>
            <w:r>
              <w:rPr>
                <w:rFonts w:hint="eastAsia"/>
                <w:color w:val="000000" w:themeColor="text1"/>
                <w:sz w:val="24"/>
                <w14:textFill>
                  <w14:solidFill>
                    <w14:schemeClr w14:val="tx1"/>
                  </w14:solidFill>
                </w14:textFill>
              </w:rPr>
              <w:t>计）。生活垃圾分类收集，定期交由环卫部门统一处置</w:t>
            </w:r>
            <w:r>
              <w:rPr>
                <w:rFonts w:hint="eastAsia"/>
                <w:color w:val="000000" w:themeColor="text1"/>
                <w:sz w:val="24"/>
                <w:lang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5.1.2</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一般固体废物</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）杂质</w:t>
            </w:r>
          </w:p>
          <w:p>
            <w:pPr>
              <w:spacing w:line="360" w:lineRule="auto"/>
              <w:ind w:firstLine="480" w:firstLineChars="200"/>
              <w:rPr>
                <w:color w:val="0000FF"/>
                <w:sz w:val="24"/>
                <w:szCs w:val="24"/>
              </w:rPr>
            </w:pPr>
            <w:r>
              <w:rPr>
                <w:rFonts w:hint="eastAsia"/>
                <w:color w:val="0000FF"/>
                <w:sz w:val="24"/>
                <w:szCs w:val="24"/>
              </w:rPr>
              <w:t>根据建设单位提供资料，参考类比同类型的项目，可知烘干</w:t>
            </w:r>
            <w:r>
              <w:rPr>
                <w:rFonts w:hint="eastAsia"/>
                <w:color w:val="0000FF"/>
                <w:sz w:val="24"/>
                <w:szCs w:val="24"/>
                <w:lang w:val="en-US" w:eastAsia="zh-CN"/>
              </w:rPr>
              <w:t>1.3</w:t>
            </w:r>
            <w:r>
              <w:rPr>
                <w:rFonts w:hint="eastAsia"/>
                <w:color w:val="0000FF"/>
                <w:sz w:val="24"/>
                <w:szCs w:val="24"/>
              </w:rPr>
              <w:t>万</w:t>
            </w:r>
            <w:r>
              <w:rPr>
                <w:color w:val="0000FF"/>
                <w:sz w:val="24"/>
                <w:szCs w:val="24"/>
              </w:rPr>
              <w:t>t</w:t>
            </w:r>
            <w:r>
              <w:rPr>
                <w:rFonts w:hint="eastAsia"/>
                <w:color w:val="0000FF"/>
                <w:sz w:val="24"/>
                <w:szCs w:val="24"/>
              </w:rPr>
              <w:t>玉米则产生杂质（碎粒、玉米红衣）合计约</w:t>
            </w:r>
            <w:r>
              <w:rPr>
                <w:rFonts w:hint="eastAsia"/>
                <w:color w:val="0000FF"/>
                <w:sz w:val="24"/>
                <w:szCs w:val="24"/>
                <w:lang w:val="en-US" w:eastAsia="zh-CN"/>
              </w:rPr>
              <w:t>250</w:t>
            </w:r>
            <w:r>
              <w:rPr>
                <w:color w:val="0000FF"/>
                <w:sz w:val="24"/>
                <w:szCs w:val="24"/>
              </w:rPr>
              <w:t>t/a</w:t>
            </w:r>
            <w:r>
              <w:rPr>
                <w:rFonts w:hint="eastAsia"/>
                <w:color w:val="0000FF"/>
                <w:sz w:val="24"/>
                <w:szCs w:val="24"/>
              </w:rPr>
              <w:t>。这部分固体废物主要是有机质，外售予附近农户用于堆肥。</w:t>
            </w:r>
          </w:p>
          <w:p>
            <w:pPr>
              <w:spacing w:line="360" w:lineRule="auto"/>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）炉渣</w:t>
            </w:r>
            <w:r>
              <w:rPr>
                <w:rFonts w:hint="eastAsia"/>
                <w:color w:val="000000" w:themeColor="text1"/>
                <w:sz w:val="24"/>
                <w:szCs w:val="24"/>
                <w:lang w:val="en-US" w:eastAsia="zh-CN"/>
                <w14:textFill>
                  <w14:solidFill>
                    <w14:schemeClr w14:val="tx1"/>
                  </w14:solidFill>
                </w14:textFill>
              </w:rPr>
              <w:t>和脱硫石膏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灰</w:t>
            </w:r>
            <w:r>
              <w:rPr>
                <w:rFonts w:hint="default"/>
                <w:color w:val="000000" w:themeColor="text1"/>
                <w:lang w:val="en-US" w:eastAsia="zh-CN"/>
                <w14:textFill>
                  <w14:solidFill>
                    <w14:schemeClr w14:val="tx1"/>
                  </w14:solidFill>
                </w14:textFill>
              </w:rPr>
              <w:t>渣、锅炉飞灰、脱硫石膏采用《污染源源强核算技术指南 锅炉》（HJ991-2018）中的物料衡算法计算。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①</w:t>
            </w:r>
            <w:r>
              <w:rPr>
                <w:rFonts w:hint="eastAsia"/>
                <w:color w:val="000000" w:themeColor="text1"/>
                <w:lang w:val="en-US" w:eastAsia="zh-CN"/>
                <w14:textFill>
                  <w14:solidFill>
                    <w14:schemeClr w14:val="tx1"/>
                  </w14:solidFill>
                </w14:textFill>
              </w:rPr>
              <w:t>灰</w:t>
            </w:r>
            <w:r>
              <w:rPr>
                <w:rFonts w:hint="default"/>
                <w:color w:val="000000" w:themeColor="text1"/>
                <w:lang w:val="en-US" w:eastAsia="zh-CN"/>
                <w14:textFill>
                  <w14:solidFill>
                    <w14:schemeClr w14:val="tx1"/>
                  </w14:solidFill>
                </w14:textFill>
              </w:rPr>
              <w:t>渣、飞灰产生量按下式计算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object>
                <v:shape id="_x0000_i1034" o:spt="75" type="#_x0000_t75" style="height:34pt;width:147pt;" o:ole="t" filled="f" o:preferrelative="t" stroked="f" coordsize="21600,21600">
                  <v:path/>
                  <v:fill on="f" focussize="0,0"/>
                  <v:stroke on="f"/>
                  <v:imagedata r:id="rId36" o:title=""/>
                  <o:lock v:ext="edit" aspectratio="t"/>
                  <w10:wrap type="none"/>
                  <w10:anchorlock/>
                </v:shape>
                <o:OLEObject Type="Embed" ProgID="Equation.KSEE3" ShapeID="_x0000_i1034" DrawAspect="Content" ObjectID="_1468075734" r:id="rId35">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式中：E</w:t>
            </w:r>
            <w:r>
              <w:rPr>
                <w:rFonts w:hint="default"/>
                <w:color w:val="000000" w:themeColor="text1"/>
                <w:vertAlign w:val="subscript"/>
                <w:lang w:val="en-US" w:eastAsia="zh-CN"/>
                <w14:textFill>
                  <w14:solidFill>
                    <w14:schemeClr w14:val="tx1"/>
                  </w14:solidFill>
                </w14:textFill>
              </w:rPr>
              <w:t>hz</w:t>
            </w:r>
            <w:r>
              <w:rPr>
                <w:rFonts w:hint="default"/>
                <w:color w:val="000000" w:themeColor="text1"/>
                <w14:textFill>
                  <w14:solidFill>
                    <w14:schemeClr w14:val="tx1"/>
                  </w14:solidFill>
                </w14:textFill>
              </w:rPr>
              <w:t>——核算时段内</w:t>
            </w:r>
            <w:r>
              <w:rPr>
                <w:rFonts w:hint="default"/>
                <w:color w:val="000000" w:themeColor="text1"/>
                <w:lang w:val="en-US" w:eastAsia="zh-CN"/>
                <w14:textFill>
                  <w14:solidFill>
                    <w14:schemeClr w14:val="tx1"/>
                  </w14:solidFill>
                </w14:textFill>
              </w:rPr>
              <w:t>灰渣产生</w:t>
            </w:r>
            <w:r>
              <w:rPr>
                <w:rFonts w:hint="default"/>
                <w:color w:val="000000" w:themeColor="text1"/>
                <w14:textFill>
                  <w14:solidFill>
                    <w14:schemeClr w14:val="tx1"/>
                  </w14:solidFill>
                </w14:textFill>
              </w:rPr>
              <w:t>量，t；</w:t>
            </w:r>
            <w:r>
              <w:rPr>
                <w:rFonts w:hint="default"/>
                <w:color w:val="000000" w:themeColor="text1"/>
                <w:lang w:val="en-US" w:eastAsia="zh-CN"/>
                <w14:textFill>
                  <w14:solidFill>
                    <w14:schemeClr w14:val="tx1"/>
                  </w14:solidFill>
                </w14:textFill>
              </w:rPr>
              <w:t>根据飞灰份额dfh可分别核算飞灰、</w:t>
            </w:r>
            <w:r>
              <w:rPr>
                <w:rFonts w:hint="eastAsia"/>
                <w:color w:val="000000" w:themeColor="text1"/>
                <w:lang w:val="en-US" w:eastAsia="zh-CN"/>
                <w14:textFill>
                  <w14:solidFill>
                    <w14:schemeClr w14:val="tx1"/>
                  </w14:solidFill>
                </w14:textFill>
              </w:rPr>
              <w:t>灰</w:t>
            </w:r>
            <w:r>
              <w:rPr>
                <w:rFonts w:hint="default"/>
                <w:color w:val="000000" w:themeColor="text1"/>
                <w:lang w:val="en-US" w:eastAsia="zh-CN"/>
                <w14:textFill>
                  <w14:solidFill>
                    <w14:schemeClr w14:val="tx1"/>
                  </w14:solidFill>
                </w14:textFill>
              </w:rPr>
              <w:t>渣产生量；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R——核算时段内锅炉燃料耗量，t（取</w:t>
            </w:r>
            <w:r>
              <w:rPr>
                <w:rFonts w:hint="eastAsia"/>
                <w:color w:val="000000" w:themeColor="text1"/>
                <w:lang w:val="en-US" w:eastAsia="zh-CN"/>
                <w14:textFill>
                  <w14:solidFill>
                    <w14:schemeClr w14:val="tx1"/>
                  </w14:solidFill>
                </w14:textFill>
              </w:rPr>
              <w:t>2500t</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A</w:t>
            </w:r>
            <w:r>
              <w:rPr>
                <w:rFonts w:hint="default"/>
                <w:color w:val="000000" w:themeColor="text1"/>
                <w:vertAlign w:val="subscript"/>
                <w14:textFill>
                  <w14:solidFill>
                    <w14:schemeClr w14:val="tx1"/>
                  </w14:solidFill>
                </w14:textFill>
              </w:rPr>
              <w:t>ar</w:t>
            </w:r>
            <w:r>
              <w:rPr>
                <w:rFonts w:hint="default"/>
                <w:color w:val="000000" w:themeColor="text1"/>
                <w14:textFill>
                  <w14:solidFill>
                    <w14:schemeClr w14:val="tx1"/>
                  </w14:solidFill>
                </w14:textFill>
              </w:rPr>
              <w:t>——收到基灰分的质量分数，%（取</w:t>
            </w:r>
            <w:r>
              <w:rPr>
                <w:rFonts w:hint="eastAsia"/>
                <w:color w:val="000000" w:themeColor="text1"/>
                <w:lang w:val="en-US" w:eastAsia="zh-CN"/>
                <w14:textFill>
                  <w14:solidFill>
                    <w14:schemeClr w14:val="tx1"/>
                  </w14:solidFill>
                </w14:textFill>
              </w:rPr>
              <w:t>2.99</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生物质燃料</w:t>
            </w:r>
            <w:r>
              <w:rPr>
                <w:rFonts w:hint="default"/>
                <w:color w:val="000000" w:themeColor="text1"/>
                <w14:textFill>
                  <w14:solidFill>
                    <w14:schemeClr w14:val="tx1"/>
                  </w14:solidFill>
                </w14:textFill>
              </w:rPr>
              <w:t>分析报告）；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q</w:t>
            </w:r>
            <w:r>
              <w:rPr>
                <w:rFonts w:hint="default"/>
                <w:color w:val="000000" w:themeColor="text1"/>
                <w:vertAlign w:val="subscript"/>
                <w:lang w:val="en-US" w:eastAsia="zh-CN"/>
                <w14:textFill>
                  <w14:solidFill>
                    <w14:schemeClr w14:val="tx1"/>
                  </w14:solidFill>
                </w14:textFill>
              </w:rPr>
              <w:t>4</w:t>
            </w:r>
            <w:r>
              <w:rPr>
                <w:rFonts w:hint="default"/>
                <w:color w:val="000000" w:themeColor="text1"/>
                <w14:textFill>
                  <w14:solidFill>
                    <w14:schemeClr w14:val="tx1"/>
                  </w14:solidFill>
                </w14:textFill>
              </w:rPr>
              <w:t>——锅炉</w:t>
            </w:r>
            <w:r>
              <w:rPr>
                <w:rFonts w:hint="default"/>
                <w:color w:val="000000" w:themeColor="text1"/>
                <w:lang w:val="en-US" w:eastAsia="zh-CN"/>
                <w14:textFill>
                  <w14:solidFill>
                    <w14:schemeClr w14:val="tx1"/>
                  </w14:solidFill>
                </w14:textFill>
              </w:rPr>
              <w:t>机械不完全燃烧热损失</w:t>
            </w:r>
            <w:r>
              <w:rPr>
                <w:rFonts w:hint="default"/>
                <w:color w:val="000000" w:themeColor="text1"/>
                <w14:textFill>
                  <w14:solidFill>
                    <w14:schemeClr w14:val="tx1"/>
                  </w14:solidFill>
                </w14:textFill>
              </w:rPr>
              <w:t>，%（取</w:t>
            </w:r>
            <w:r>
              <w:rPr>
                <w:rFonts w:hint="default"/>
                <w:color w:val="000000" w:themeColor="text1"/>
                <w:lang w:val="en-US" w:eastAsia="zh-CN"/>
                <w14:textFill>
                  <w14:solidFill>
                    <w14:schemeClr w14:val="tx1"/>
                  </w14:solidFill>
                </w14:textFill>
              </w:rPr>
              <w:t>10</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 xml:space="preserve"> Q</w:t>
            </w:r>
            <w:r>
              <w:rPr>
                <w:rFonts w:hint="default"/>
                <w:color w:val="000000" w:themeColor="text1"/>
                <w:vertAlign w:val="subscript"/>
                <w:lang w:val="en-US" w:eastAsia="zh-CN"/>
                <w14:textFill>
                  <w14:solidFill>
                    <w14:schemeClr w14:val="tx1"/>
                  </w14:solidFill>
                </w14:textFill>
              </w:rPr>
              <w:t>net，a</w:t>
            </w:r>
            <w:r>
              <w:rPr>
                <w:rFonts w:hint="default"/>
                <w:color w:val="000000" w:themeColor="text1"/>
                <w:lang w:val="en-US" w:eastAsia="zh-CN"/>
                <w14:textFill>
                  <w14:solidFill>
                    <w14:schemeClr w14:val="tx1"/>
                  </w14:solidFill>
                </w14:textFill>
              </w:rPr>
              <w:t>r</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收到基低位发热量</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kJ/kg</w:t>
            </w:r>
            <w:r>
              <w:rPr>
                <w:rFonts w:hint="default"/>
                <w:color w:val="000000" w:themeColor="text1"/>
                <w14:textFill>
                  <w14:solidFill>
                    <w14:schemeClr w14:val="tx1"/>
                  </w14:solidFill>
                </w14:textFill>
              </w:rPr>
              <w:t>（取</w:t>
            </w:r>
            <w:r>
              <w:rPr>
                <w:rFonts w:hint="eastAsia"/>
                <w:color w:val="000000" w:themeColor="text1"/>
                <w:lang w:val="en-US" w:eastAsia="zh-CN"/>
                <w14:textFill>
                  <w14:solidFill>
                    <w14:schemeClr w14:val="tx1"/>
                  </w14:solidFill>
                </w14:textFill>
              </w:rPr>
              <w:t>4036</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则</w:t>
            </w:r>
            <w:r>
              <w:rPr>
                <w:rFonts w:hint="eastAsia"/>
                <w:color w:val="000000" w:themeColor="text1"/>
                <w:lang w:val="en-US" w:eastAsia="zh-CN"/>
                <w14:textFill>
                  <w14:solidFill>
                    <w14:schemeClr w14:val="tx1"/>
                  </w14:solidFill>
                </w14:textFill>
              </w:rPr>
              <w:t>灰</w:t>
            </w:r>
            <w:r>
              <w:rPr>
                <w:rFonts w:hint="default"/>
                <w:color w:val="000000" w:themeColor="text1"/>
                <w:lang w:val="en-US" w:eastAsia="zh-CN"/>
                <w14:textFill>
                  <w14:solidFill>
                    <w14:schemeClr w14:val="tx1"/>
                  </w14:solidFill>
                </w14:textFill>
              </w:rPr>
              <w:t>渣</w:t>
            </w:r>
            <w:r>
              <w:rPr>
                <w:rFonts w:hint="eastAsia"/>
                <w:color w:val="000000" w:themeColor="text1"/>
                <w:lang w:val="en-US" w:eastAsia="zh-CN"/>
                <w14:textFill>
                  <w14:solidFill>
                    <w14:schemeClr w14:val="tx1"/>
                  </w14:solidFill>
                </w14:textFill>
              </w:rPr>
              <w:t>、飞灰</w:t>
            </w:r>
            <w:r>
              <w:rPr>
                <w:rFonts w:hint="default"/>
                <w:color w:val="000000" w:themeColor="text1"/>
                <w:lang w:val="en-US" w:eastAsia="zh-CN"/>
                <w14:textFill>
                  <w14:solidFill>
                    <w14:schemeClr w14:val="tx1"/>
                  </w14:solidFill>
                </w14:textFill>
              </w:rPr>
              <w:t>产生</w:t>
            </w:r>
            <w:r>
              <w:rPr>
                <w:rFonts w:hint="default"/>
                <w:color w:val="000000" w:themeColor="text1"/>
                <w14:textFill>
                  <w14:solidFill>
                    <w14:schemeClr w14:val="tx1"/>
                  </w14:solidFill>
                </w14:textFill>
              </w:rPr>
              <w:t>量为</w:t>
            </w:r>
            <w:r>
              <w:rPr>
                <w:rFonts w:hint="eastAsia"/>
                <w:color w:val="000000" w:themeColor="text1"/>
                <w:lang w:val="en-US" w:eastAsia="zh-CN"/>
                <w14:textFill>
                  <w14:solidFill>
                    <w14:schemeClr w14:val="tx1"/>
                  </w14:solidFill>
                </w14:textFill>
              </w:rPr>
              <w:t>104.5</w:t>
            </w:r>
            <w:r>
              <w:rPr>
                <w:rFonts w:hint="default"/>
                <w:color w:val="000000" w:themeColor="text1"/>
                <w14:textFill>
                  <w14:solidFill>
                    <w14:schemeClr w14:val="tx1"/>
                  </w14:solidFill>
                </w14:textFill>
              </w:rPr>
              <w:t>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②脱硫副产物产生量按下式计算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object>
                <v:shape id="_x0000_i1035" o:spt="75" type="#_x0000_t75" style="height:49.95pt;width:117pt;" o:ole="t" filled="f" o:preferrelative="t" stroked="f" coordsize="21600,21600">
                  <v:path/>
                  <v:fill on="f" focussize="0,0"/>
                  <v:stroke on="f"/>
                  <v:imagedata r:id="rId38" o:title=""/>
                  <o:lock v:ext="edit" aspectratio="t"/>
                  <w10:wrap type="none"/>
                  <w10:anchorlock/>
                </v:shape>
                <o:OLEObject Type="Embed" ProgID="Equation.KSEE3" ShapeID="_x0000_i1035" DrawAspect="Content" ObjectID="_1468075735" r:id="rId37">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式中：E——核算时段内</w:t>
            </w:r>
            <w:r>
              <w:rPr>
                <w:rFonts w:hint="default"/>
                <w:color w:val="000000" w:themeColor="text1"/>
                <w:lang w:val="en-US" w:eastAsia="zh-CN"/>
                <w14:textFill>
                  <w14:solidFill>
                    <w14:schemeClr w14:val="tx1"/>
                  </w14:solidFill>
                </w14:textFill>
              </w:rPr>
              <w:t>脱硫副产物产生</w:t>
            </w:r>
            <w:r>
              <w:rPr>
                <w:rFonts w:hint="default"/>
                <w:color w:val="000000" w:themeColor="text1"/>
                <w14:textFill>
                  <w14:solidFill>
                    <w14:schemeClr w14:val="tx1"/>
                  </w14:solidFill>
                </w14:textFill>
              </w:rPr>
              <w:t>量，t；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MF</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脱硫副产物摩尔质量</w:t>
            </w:r>
            <w:r>
              <w:rPr>
                <w:rFonts w:hint="default"/>
                <w:color w:val="000000" w:themeColor="text1"/>
                <w14:textFill>
                  <w14:solidFill>
                    <w14:schemeClr w14:val="tx1"/>
                  </w14:solidFill>
                </w14:textFill>
              </w:rPr>
              <w:t>（取</w:t>
            </w: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72</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E</w:t>
            </w:r>
            <w:r>
              <w:rPr>
                <w:rFonts w:hint="default"/>
                <w:color w:val="000000" w:themeColor="text1"/>
                <w:vertAlign w:val="subscript"/>
                <w:lang w:val="en-US" w:eastAsia="zh-CN"/>
                <w14:textFill>
                  <w14:solidFill>
                    <w14:schemeClr w14:val="tx1"/>
                  </w14:solidFill>
                </w14:textFill>
              </w:rPr>
              <w:t>S</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核算时段内二氧化硫脱除量</w:t>
            </w:r>
            <w:r>
              <w:rPr>
                <w:rFonts w:hint="default"/>
                <w:color w:val="000000" w:themeColor="text1"/>
                <w14:textFill>
                  <w14:solidFill>
                    <w14:schemeClr w14:val="tx1"/>
                  </w14:solidFill>
                </w14:textFill>
              </w:rPr>
              <w:t>，t</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取2.21</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64</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二氧化硫摩尔质量</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C</w:t>
            </w:r>
            <w:r>
              <w:rPr>
                <w:rFonts w:hint="default"/>
                <w:color w:val="000000" w:themeColor="text1"/>
                <w:vertAlign w:val="subscript"/>
                <w:lang w:val="en-US" w:eastAsia="zh-CN"/>
                <w14:textFill>
                  <w14:solidFill>
                    <w14:schemeClr w14:val="tx1"/>
                  </w14:solidFill>
                </w14:textFill>
              </w:rPr>
              <w:t>s</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脱硫副产物含水率</w:t>
            </w:r>
            <w:r>
              <w:rPr>
                <w:rFonts w:hint="default"/>
                <w:color w:val="000000" w:themeColor="text1"/>
                <w14:textFill>
                  <w14:solidFill>
                    <w14:schemeClr w14:val="tx1"/>
                  </w14:solidFill>
                </w14:textFill>
              </w:rPr>
              <w:t>，%（取</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0</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C</w:t>
            </w:r>
            <w:r>
              <w:rPr>
                <w:rFonts w:hint="default"/>
                <w:color w:val="000000" w:themeColor="text1"/>
                <w:vertAlign w:val="subscript"/>
                <w:lang w:val="en-US" w:eastAsia="zh-CN"/>
                <w14:textFill>
                  <w14:solidFill>
                    <w14:schemeClr w14:val="tx1"/>
                  </w14:solidFill>
                </w14:textFill>
              </w:rPr>
              <w:t>g</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脱硫副产物纯度</w:t>
            </w:r>
            <w:r>
              <w:rPr>
                <w:rFonts w:hint="default"/>
                <w:color w:val="000000" w:themeColor="text1"/>
                <w14:textFill>
                  <w14:solidFill>
                    <w14:schemeClr w14:val="tx1"/>
                  </w14:solidFill>
                </w14:textFill>
              </w:rPr>
              <w:t>，%（取</w:t>
            </w:r>
            <w:r>
              <w:rPr>
                <w:rFonts w:hint="default"/>
                <w:color w:val="000000" w:themeColor="text1"/>
                <w:lang w:val="en-US" w:eastAsia="zh-CN"/>
                <w14:textFill>
                  <w14:solidFill>
                    <w14:schemeClr w14:val="tx1"/>
                  </w14:solidFill>
                </w14:textFill>
              </w:rPr>
              <w:t>90</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其中</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ES可采用下式计算：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object>
                <v:shape id="_x0000_i1036" o:spt="75" type="#_x0000_t75" style="height:34pt;width:181pt;" o:ole="t" filled="f" o:preferrelative="t" stroked="f" coordsize="21600,21600">
                  <v:path/>
                  <v:fill on="f" focussize="0,0"/>
                  <v:stroke on="f"/>
                  <v:imagedata r:id="rId40" o:title=""/>
                  <o:lock v:ext="edit" aspectratio="t"/>
                  <w10:wrap type="none"/>
                  <w10:anchorlock/>
                </v:shape>
                <o:OLEObject Type="Embed" ProgID="Equation.KSEE3" ShapeID="_x0000_i1036" DrawAspect="Content" ObjectID="_1468075736" r:id="rId39">
                  <o:LockedField>false</o:LockedField>
                </o:OLEObject>
              </w:objec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式中：</w:t>
            </w:r>
            <w:r>
              <w:rPr>
                <w:rFonts w:hint="default"/>
                <w:color w:val="000000" w:themeColor="text1"/>
                <w:lang w:val="en-US" w:eastAsia="zh-CN"/>
                <w14:textFill>
                  <w14:solidFill>
                    <w14:schemeClr w14:val="tx1"/>
                  </w14:solidFill>
                </w14:textFill>
              </w:rPr>
              <w:t>K</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燃料中的硫燃烧后氧化成二氧化硫的份额</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量纲一的量</w:t>
            </w:r>
            <w:r>
              <w:rPr>
                <w:rFonts w:hint="default"/>
                <w:color w:val="000000" w:themeColor="text1"/>
                <w14:textFill>
                  <w14:solidFill>
                    <w14:schemeClr w14:val="tx1"/>
                  </w14:solidFill>
                </w14:textFill>
              </w:rPr>
              <w:t>（取</w:t>
            </w:r>
            <w:r>
              <w:rPr>
                <w:rFonts w:hint="default"/>
                <w:color w:val="000000" w:themeColor="text1"/>
                <w:lang w:val="en-US" w:eastAsia="zh-CN"/>
                <w14:textFill>
                  <w14:solidFill>
                    <w14:schemeClr w14:val="tx1"/>
                  </w14:solidFill>
                </w14:textFill>
              </w:rPr>
              <w:t>0.8</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R——核算时段内锅炉燃料耗量，t（取</w:t>
            </w:r>
            <w:r>
              <w:rPr>
                <w:rFonts w:hint="eastAsia"/>
                <w:color w:val="000000" w:themeColor="text1"/>
                <w:lang w:val="en-US" w:eastAsia="zh-CN"/>
                <w14:textFill>
                  <w14:solidFill>
                    <w14:schemeClr w14:val="tx1"/>
                  </w14:solidFill>
                </w14:textFill>
              </w:rPr>
              <w:t>2500</w:t>
            </w:r>
            <w:r>
              <w:rPr>
                <w:rFonts w:hint="default"/>
                <w:color w:val="000000" w:themeColor="text1"/>
                <w14:textFill>
                  <w14:solidFill>
                    <w14:schemeClr w14:val="tx1"/>
                  </w14:solidFill>
                </w14:textFill>
              </w:rPr>
              <w:t>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q</w:t>
            </w:r>
            <w:r>
              <w:rPr>
                <w:rFonts w:hint="default"/>
                <w:color w:val="000000" w:themeColor="text1"/>
                <w:vertAlign w:val="subscript"/>
                <w:lang w:val="en-US" w:eastAsia="zh-CN"/>
                <w14:textFill>
                  <w14:solidFill>
                    <w14:schemeClr w14:val="tx1"/>
                  </w14:solidFill>
                </w14:textFill>
              </w:rPr>
              <w:t>4</w:t>
            </w:r>
            <w:r>
              <w:rPr>
                <w:rFonts w:hint="default"/>
                <w:color w:val="000000" w:themeColor="text1"/>
                <w14:textFill>
                  <w14:solidFill>
                    <w14:schemeClr w14:val="tx1"/>
                  </w14:solidFill>
                </w14:textFill>
              </w:rPr>
              <w:t>——锅炉</w:t>
            </w:r>
            <w:r>
              <w:rPr>
                <w:rFonts w:hint="default"/>
                <w:color w:val="000000" w:themeColor="text1"/>
                <w:lang w:val="en-US" w:eastAsia="zh-CN"/>
                <w14:textFill>
                  <w14:solidFill>
                    <w14:schemeClr w14:val="tx1"/>
                  </w14:solidFill>
                </w14:textFill>
              </w:rPr>
              <w:t>机械不完全燃烧热损失</w:t>
            </w:r>
            <w:r>
              <w:rPr>
                <w:rFonts w:hint="default"/>
                <w:color w:val="000000" w:themeColor="text1"/>
                <w14:textFill>
                  <w14:solidFill>
                    <w14:schemeClr w14:val="tx1"/>
                  </w14:solidFill>
                </w14:textFill>
              </w:rPr>
              <w:t>，%（取</w:t>
            </w:r>
            <w:r>
              <w:rPr>
                <w:rFonts w:hint="default"/>
                <w:color w:val="000000" w:themeColor="text1"/>
                <w:lang w:val="en-US" w:eastAsia="zh-CN"/>
                <w14:textFill>
                  <w14:solidFill>
                    <w14:schemeClr w14:val="tx1"/>
                  </w14:solidFill>
                </w14:textFill>
              </w:rPr>
              <w:t>10</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w:t>
            </w:r>
            <w:r>
              <w:rPr>
                <w:rFonts w:hint="default"/>
                <w:color w:val="000000" w:themeColor="text1"/>
                <w:lang w:val="en-US" w:eastAsia="zh-CN"/>
                <w14:textFill>
                  <w14:solidFill>
                    <w14:schemeClr w14:val="tx1"/>
                  </w14:solidFill>
                </w14:textFill>
              </w:rPr>
              <w:t xml:space="preserve"> </w:t>
            </w:r>
            <w:r>
              <w:rPr>
                <w:rFonts w:hint="default"/>
                <w:color w:val="000000" w:themeColor="text1"/>
                <w14:textFill>
                  <w14:solidFill>
                    <w14:schemeClr w14:val="tx1"/>
                  </w14:solidFill>
                </w14:textFill>
              </w:rPr>
              <w:t>η</w:t>
            </w:r>
            <w:r>
              <w:rPr>
                <w:rFonts w:hint="default"/>
                <w:color w:val="000000" w:themeColor="text1"/>
                <w:vertAlign w:val="subscript"/>
                <w:lang w:val="en-US" w:eastAsia="zh-CN"/>
                <w14:textFill>
                  <w14:solidFill>
                    <w14:schemeClr w14:val="tx1"/>
                  </w14:solidFill>
                </w14:textFill>
              </w:rPr>
              <w:t>s</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脱硫</w:t>
            </w:r>
            <w:r>
              <w:rPr>
                <w:rFonts w:hint="default"/>
                <w:color w:val="000000" w:themeColor="text1"/>
                <w14:textFill>
                  <w14:solidFill>
                    <w14:schemeClr w14:val="tx1"/>
                  </w14:solidFill>
                </w14:textFill>
              </w:rPr>
              <w:t>效率，%（取</w:t>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0</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S</w:t>
            </w:r>
            <w:r>
              <w:rPr>
                <w:rFonts w:hint="default"/>
                <w:color w:val="000000" w:themeColor="text1"/>
                <w:vertAlign w:val="subscript"/>
                <w14:textFill>
                  <w14:solidFill>
                    <w14:schemeClr w14:val="tx1"/>
                  </w14:solidFill>
                </w14:textFill>
              </w:rPr>
              <w:t>ar</w:t>
            </w:r>
            <w:r>
              <w:rPr>
                <w:rFonts w:hint="default"/>
                <w:color w:val="000000" w:themeColor="text1"/>
                <w14:textFill>
                  <w14:solidFill>
                    <w14:schemeClr w14:val="tx1"/>
                  </w14:solidFill>
                </w14:textFill>
              </w:rPr>
              <w:t>——收到基硫的质量分数，%（取</w:t>
            </w:r>
            <w:r>
              <w:rPr>
                <w:rFonts w:hint="default"/>
                <w:color w:val="000000" w:themeColor="text1"/>
                <w:lang w:val="en-US" w:eastAsia="zh-CN"/>
                <w14:textFill>
                  <w14:solidFill>
                    <w14:schemeClr w14:val="tx1"/>
                  </w14:solidFill>
                </w14:textFill>
              </w:rPr>
              <w:t>0.</w:t>
            </w:r>
            <w:r>
              <w:rPr>
                <w:rFonts w:hint="eastAsia"/>
                <w:color w:val="000000" w:themeColor="text1"/>
                <w:lang w:val="en-US" w:eastAsia="zh-CN"/>
                <w14:textFill>
                  <w14:solidFill>
                    <w14:schemeClr w14:val="tx1"/>
                  </w14:solidFill>
                </w14:textFill>
              </w:rPr>
              <w:t>052</w:t>
            </w:r>
            <w:r>
              <w:rPr>
                <w:rFonts w:hint="default"/>
                <w:color w:val="000000" w:themeColor="text1"/>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计算得E</w:t>
            </w:r>
            <w:r>
              <w:rPr>
                <w:rFonts w:hint="default"/>
                <w:color w:val="000000" w:themeColor="text1"/>
                <w:vertAlign w:val="subscript"/>
                <w:lang w:val="en-US" w:eastAsia="zh-CN"/>
                <w14:textFill>
                  <w14:solidFill>
                    <w14:schemeClr w14:val="tx1"/>
                  </w14:solidFill>
                </w14:textFill>
              </w:rPr>
              <w:t>S</w:t>
            </w:r>
            <w:r>
              <w:rPr>
                <w:rFonts w:hint="default"/>
                <w:color w:val="000000" w:themeColor="text1"/>
                <w:lang w:val="en-US" w:eastAsia="zh-CN"/>
                <w14:textFill>
                  <w14:solidFill>
                    <w14:schemeClr w14:val="tx1"/>
                  </w14:solidFill>
                </w14:textFill>
              </w:rPr>
              <w:t>为</w:t>
            </w:r>
            <w:r>
              <w:rPr>
                <w:rFonts w:hint="eastAsia"/>
                <w:color w:val="000000" w:themeColor="text1"/>
                <w:lang w:val="en-US" w:eastAsia="zh-CN"/>
                <w14:textFill>
                  <w14:solidFill>
                    <w14:schemeClr w14:val="tx1"/>
                  </w14:solidFill>
                </w14:textFill>
              </w:rPr>
              <w:t>2.21</w:t>
            </w:r>
            <w:r>
              <w:rPr>
                <w:rFonts w:hint="default"/>
                <w:color w:val="000000" w:themeColor="text1"/>
                <w:lang w:val="en-US" w:eastAsia="zh-CN"/>
                <w14:textFill>
                  <w14:solidFill>
                    <w14:schemeClr w14:val="tx1"/>
                  </w14:solidFill>
                </w14:textFill>
              </w:rPr>
              <w:t>t</w:t>
            </w:r>
            <w:r>
              <w:rPr>
                <w:rFonts w:hint="default"/>
                <w:color w:val="000000" w:themeColor="text1"/>
                <w14:textFill>
                  <w14:solidFill>
                    <w14:schemeClr w14:val="tx1"/>
                  </w14:solidFill>
                </w14:textFill>
              </w:rPr>
              <w:t>，则</w:t>
            </w:r>
            <w:r>
              <w:rPr>
                <w:rFonts w:hint="default"/>
                <w:color w:val="000000" w:themeColor="text1"/>
                <w:lang w:val="en-US" w:eastAsia="zh-CN"/>
                <w14:textFill>
                  <w14:solidFill>
                    <w14:schemeClr w14:val="tx1"/>
                  </w14:solidFill>
                </w14:textFill>
              </w:rPr>
              <w:t>脱硫副产物（石膏）产生</w:t>
            </w:r>
            <w:r>
              <w:rPr>
                <w:rFonts w:hint="default"/>
                <w:color w:val="000000" w:themeColor="text1"/>
                <w14:textFill>
                  <w14:solidFill>
                    <w14:schemeClr w14:val="tx1"/>
                  </w14:solidFill>
                </w14:textFill>
              </w:rPr>
              <w:t>量为</w:t>
            </w:r>
            <w:r>
              <w:rPr>
                <w:rFonts w:hint="eastAsia"/>
                <w:color w:val="000000" w:themeColor="text1"/>
                <w:lang w:val="en-US" w:eastAsia="zh-CN"/>
                <w14:textFill>
                  <w14:solidFill>
                    <w14:schemeClr w14:val="tx1"/>
                  </w14:solidFill>
                </w14:textFill>
              </w:rPr>
              <w:t>7.33</w:t>
            </w:r>
            <w:r>
              <w:rPr>
                <w:rFonts w:hint="default"/>
                <w:color w:val="000000" w:themeColor="text1"/>
                <w14:textFill>
                  <w14:solidFill>
                    <w14:schemeClr w14:val="tx1"/>
                  </w14:solidFill>
                </w14:textFill>
              </w:rPr>
              <w:t>t/a。</w:t>
            </w:r>
          </w:p>
          <w:p>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锅炉下部排出的灰渣由除渣口直接落入设有重型板链除渣机的灰渣沉降池内，为使高温灰渣降温，除渣沟内会添加水，用水来自降温后锅炉排污水，以达到节约用水的要求，湿渣最终由板链除渣机输送至自卸车运至场内灰渣库。除尘器灰斗内的烟灰经框链除灰机运至灰渣沉降池内，与灰渣共同处理。</w:t>
            </w:r>
            <w:r>
              <w:rPr>
                <w:rFonts w:hint="eastAsia"/>
                <w:color w:val="000000" w:themeColor="text1"/>
                <w:lang w:val="en-US" w:eastAsia="zh-CN"/>
                <w14:textFill>
                  <w14:solidFill>
                    <w14:schemeClr w14:val="tx1"/>
                  </w14:solidFill>
                </w14:textFill>
              </w:rPr>
              <w:t>灰</w:t>
            </w:r>
            <w:r>
              <w:rPr>
                <w:rFonts w:hint="default"/>
                <w:color w:val="000000" w:themeColor="text1"/>
                <w:lang w:val="en-US" w:eastAsia="zh-CN"/>
                <w14:textFill>
                  <w14:solidFill>
                    <w14:schemeClr w14:val="tx1"/>
                  </w14:solidFill>
                </w14:textFill>
              </w:rPr>
              <w:t>渣</w:t>
            </w:r>
            <w:r>
              <w:rPr>
                <w:rFonts w:hint="eastAsia"/>
                <w:b w:val="0"/>
                <w:bCs w:val="0"/>
                <w:color w:val="000000" w:themeColor="text1"/>
                <w:lang w:val="en-US" w:eastAsia="zh-CN"/>
                <w14:textFill>
                  <w14:solidFill>
                    <w14:schemeClr w14:val="tx1"/>
                  </w14:solidFill>
                </w14:textFill>
              </w:rPr>
              <w:t>、飞灰</w:t>
            </w:r>
            <w:r>
              <w:rPr>
                <w:rFonts w:hint="default"/>
                <w:color w:val="000000" w:themeColor="text1"/>
                <w:lang w:val="en-US" w:eastAsia="zh-CN"/>
                <w14:textFill>
                  <w14:solidFill>
                    <w14:schemeClr w14:val="tx1"/>
                  </w14:solidFill>
                </w14:textFill>
              </w:rPr>
              <w:t>在</w:t>
            </w:r>
            <w:r>
              <w:rPr>
                <w:rFonts w:hint="eastAsia"/>
                <w:color w:val="000000" w:themeColor="text1"/>
                <w:lang w:val="en-US" w:eastAsia="zh-CN"/>
                <w14:textFill>
                  <w14:solidFill>
                    <w14:schemeClr w14:val="tx1"/>
                  </w14:solidFill>
                </w14:textFill>
              </w:rPr>
              <w:t>灰渣库覆盖堆存于灰渣库</w:t>
            </w:r>
            <w:r>
              <w:rPr>
                <w:rFonts w:hint="default"/>
                <w:color w:val="000000" w:themeColor="text1"/>
                <w:lang w:val="en-US" w:eastAsia="zh-CN"/>
                <w14:textFill>
                  <w14:solidFill>
                    <w14:schemeClr w14:val="tx1"/>
                  </w14:solidFill>
                </w14:textFill>
              </w:rPr>
              <w:t>，定期清运，可作为建材原料综合利用；脱硫副产物（石膏）</w:t>
            </w:r>
            <w:r>
              <w:rPr>
                <w:rFonts w:hint="eastAsia"/>
                <w:color w:val="000000" w:themeColor="text1"/>
                <w:lang w:val="en-US" w:eastAsia="zh-CN"/>
                <w14:textFill>
                  <w14:solidFill>
                    <w14:schemeClr w14:val="tx1"/>
                  </w14:solidFill>
                </w14:textFill>
              </w:rPr>
              <w:t>经脱水后</w:t>
            </w:r>
            <w:r>
              <w:rPr>
                <w:rFonts w:hint="default"/>
                <w:color w:val="000000" w:themeColor="text1"/>
                <w:lang w:val="en-US" w:eastAsia="zh-CN"/>
                <w14:textFill>
                  <w14:solidFill>
                    <w14:schemeClr w14:val="tx1"/>
                  </w14:solidFill>
                </w14:textFill>
              </w:rPr>
              <w:t>在</w:t>
            </w:r>
            <w:r>
              <w:rPr>
                <w:rFonts w:hint="eastAsia"/>
                <w:color w:val="000000" w:themeColor="text1"/>
                <w:lang w:val="en-US" w:eastAsia="zh-CN"/>
                <w14:textFill>
                  <w14:solidFill>
                    <w14:schemeClr w14:val="tx1"/>
                  </w14:solidFill>
                </w14:textFill>
              </w:rPr>
              <w:t>灰渣库覆盖堆存</w:t>
            </w:r>
            <w:r>
              <w:rPr>
                <w:rFonts w:hint="default"/>
                <w:color w:val="000000" w:themeColor="text1"/>
                <w:lang w:val="en-US" w:eastAsia="zh-CN"/>
                <w14:textFill>
                  <w14:solidFill>
                    <w14:schemeClr w14:val="tx1"/>
                  </w14:solidFill>
                </w14:textFill>
              </w:rPr>
              <w:t>，可作为建材原料定期清运、综合利用，</w:t>
            </w:r>
            <w:r>
              <w:rPr>
                <w:rFonts w:hint="eastAsia"/>
                <w:color w:val="000000" w:themeColor="text1"/>
                <w:lang w:val="en-US" w:eastAsia="zh-CN"/>
                <w14:textFill>
                  <w14:solidFill>
                    <w14:schemeClr w14:val="tx1"/>
                  </w14:solidFill>
                </w14:textFill>
              </w:rPr>
              <w:t>不能利用的，送固废填埋场处理，</w:t>
            </w:r>
            <w:r>
              <w:rPr>
                <w:rFonts w:hint="default"/>
                <w:color w:val="000000" w:themeColor="text1"/>
                <w:lang w:eastAsia="zh-CN"/>
                <w14:textFill>
                  <w14:solidFill>
                    <w14:schemeClr w14:val="tx1"/>
                  </w14:solidFill>
                </w14:textFill>
              </w:rPr>
              <w:t>运营期间锅炉产生的</w:t>
            </w:r>
            <w:r>
              <w:rPr>
                <w:rFonts w:hint="eastAsia"/>
                <w:color w:val="000000" w:themeColor="text1"/>
                <w:lang w:val="en-US" w:eastAsia="zh-CN"/>
                <w14:textFill>
                  <w14:solidFill>
                    <w14:schemeClr w14:val="tx1"/>
                  </w14:solidFill>
                </w14:textFill>
              </w:rPr>
              <w:t>灰</w:t>
            </w:r>
            <w:r>
              <w:rPr>
                <w:rFonts w:hint="default"/>
                <w:color w:val="000000" w:themeColor="text1"/>
                <w:lang w:eastAsia="zh-CN"/>
                <w14:textFill>
                  <w14:solidFill>
                    <w14:schemeClr w14:val="tx1"/>
                  </w14:solidFill>
                </w14:textFill>
              </w:rPr>
              <w:t>渣、</w:t>
            </w:r>
            <w:r>
              <w:rPr>
                <w:rFonts w:hint="eastAsia"/>
                <w:color w:val="000000" w:themeColor="text1"/>
                <w:lang w:val="en-US" w:eastAsia="zh-CN"/>
                <w14:textFill>
                  <w14:solidFill>
                    <w14:schemeClr w14:val="tx1"/>
                  </w14:solidFill>
                </w14:textFill>
              </w:rPr>
              <w:t>烟</w:t>
            </w:r>
            <w:r>
              <w:rPr>
                <w:rFonts w:hint="default"/>
                <w:color w:val="000000" w:themeColor="text1"/>
                <w:lang w:eastAsia="zh-CN"/>
                <w14:textFill>
                  <w14:solidFill>
                    <w14:schemeClr w14:val="tx1"/>
                  </w14:solidFill>
                </w14:textFill>
              </w:rPr>
              <w:t>灰、脱硫渣对周边环境影响较小</w:t>
            </w:r>
            <w:r>
              <w:rPr>
                <w:rFonts w:hint="default"/>
                <w:color w:val="000000" w:themeColor="text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color w:val="0000FF"/>
              </w:rPr>
            </w:pPr>
            <w:r>
              <w:rPr>
                <w:rFonts w:hint="eastAsia"/>
                <w:color w:val="0000FF"/>
                <w:lang w:val="en-US" w:eastAsia="zh-CN"/>
              </w:rPr>
              <w:t>灰渣库</w:t>
            </w:r>
            <w:r>
              <w:rPr>
                <w:rFonts w:hint="default"/>
                <w:color w:val="0000FF"/>
                <w:lang w:val="en-US" w:eastAsia="zh-CN"/>
              </w:rPr>
              <w:t>应及时覆盖并定期洒水，</w:t>
            </w:r>
            <w:r>
              <w:rPr>
                <w:rFonts w:hint="eastAsia"/>
                <w:color w:val="0000FF"/>
                <w:lang w:val="en-US" w:eastAsia="zh-CN"/>
              </w:rPr>
              <w:t>灰渣库</w:t>
            </w:r>
            <w:r>
              <w:rPr>
                <w:rFonts w:hint="default"/>
                <w:color w:val="0000FF"/>
                <w:lang w:val="en-US" w:eastAsia="zh-CN"/>
              </w:rPr>
              <w:t>建设标准应满足《一般工业固体废物贮存和填埋污染控制标准》（GB18599-2020）相关要求，对</w:t>
            </w:r>
            <w:r>
              <w:rPr>
                <w:rFonts w:hint="eastAsia"/>
                <w:color w:val="0000FF"/>
                <w:lang w:val="en-US" w:eastAsia="zh-CN"/>
              </w:rPr>
              <w:t>灰渣库</w:t>
            </w:r>
            <w:r>
              <w:rPr>
                <w:rFonts w:hint="default"/>
                <w:color w:val="0000FF"/>
                <w:lang w:val="en-US" w:eastAsia="zh-CN"/>
              </w:rPr>
              <w:t>进行</w:t>
            </w:r>
            <w:r>
              <w:rPr>
                <w:rFonts w:hint="eastAsia"/>
                <w:color w:val="0000FF"/>
                <w:lang w:val="en-US" w:eastAsia="zh-CN"/>
              </w:rPr>
              <w:t>分区、</w:t>
            </w:r>
            <w:r>
              <w:rPr>
                <w:rFonts w:hint="default"/>
                <w:color w:val="0000FF"/>
                <w:lang w:val="en-US" w:eastAsia="zh-CN"/>
              </w:rPr>
              <w:t>硬化并做防渗处理。</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）布袋除尘器收集的烟灰</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布袋除尘器收集的烟灰量</w:t>
            </w:r>
            <w:r>
              <w:rPr>
                <w:rFonts w:hint="eastAsia"/>
                <w:color w:val="000000" w:themeColor="text1"/>
                <w:sz w:val="24"/>
                <w:szCs w:val="24"/>
                <w:lang w:val="en-US" w:eastAsia="zh-CN"/>
                <w14:textFill>
                  <w14:solidFill>
                    <w14:schemeClr w14:val="tx1"/>
                  </w14:solidFill>
                </w14:textFill>
              </w:rPr>
              <w:t>约</w:t>
            </w:r>
            <w:r>
              <w:rPr>
                <w:rFonts w:hint="eastAsia"/>
                <w:color w:val="000000" w:themeColor="text1"/>
                <w:sz w:val="24"/>
                <w:szCs w:val="24"/>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1.25</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，这部分烟灰参水拌湿后暂存在灰渣库内，定期外售予建筑材料生产企业作为原料。</w:t>
            </w:r>
          </w:p>
          <w:p>
            <w:pPr>
              <w:spacing w:line="360" w:lineRule="auto"/>
              <w:ind w:firstLine="482" w:firstLineChars="200"/>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5.1</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.3、危险废物</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根据《国家危险废物名录》（20</w:t>
            </w:r>
            <w:r>
              <w:rPr>
                <w:rFonts w:hint="eastAsia" w:eastAsia="宋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14:textFill>
                  <w14:solidFill>
                    <w14:schemeClr w14:val="tx1"/>
                  </w14:solidFill>
                </w14:textFill>
              </w:rPr>
              <w:t>年版）中规定，本项目生产设备定期更换的废机油、擦拭机械设备产生的含油抹布、机油废包装桶属于危险废物。</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项目危险废物识别见表</w:t>
            </w:r>
            <w:r>
              <w:rPr>
                <w:rFonts w:hint="eastAsia" w:cs="Times New Roman"/>
                <w:color w:val="000000" w:themeColor="text1"/>
                <w:sz w:val="24"/>
                <w:szCs w:val="24"/>
                <w:lang w:val="en-US" w:eastAsia="zh-CN"/>
                <w14:textFill>
                  <w14:solidFill>
                    <w14:schemeClr w14:val="tx1"/>
                  </w14:solidFill>
                </w14:textFill>
              </w:rPr>
              <w:t>4-30</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4-30</w:t>
            </w:r>
            <w:r>
              <w:rPr>
                <w:rFonts w:hint="default"/>
                <w:b/>
                <w:bCs/>
                <w:color w:val="000000" w:themeColor="text1"/>
                <w14:textFill>
                  <w14:solidFill>
                    <w14:schemeClr w14:val="tx1"/>
                  </w14:solidFill>
                </w14:textFill>
              </w:rPr>
              <w:t xml:space="preserve">   项目危险废物识别表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36"/>
              <w:gridCol w:w="1096"/>
              <w:gridCol w:w="1126"/>
              <w:gridCol w:w="1273"/>
              <w:gridCol w:w="2147"/>
              <w:gridCol w:w="11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88"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936"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危险废物名称</w:t>
                  </w:r>
                </w:p>
              </w:tc>
              <w:tc>
                <w:tcPr>
                  <w:tcW w:w="6796" w:type="dxa"/>
                  <w:gridSpan w:val="5"/>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《国家危险废物名录》（20</w:t>
                  </w:r>
                  <w:r>
                    <w:rPr>
                      <w:rFonts w:hint="eastAsia"/>
                      <w:b/>
                      <w:bCs/>
                      <w:color w:val="000000" w:themeColor="text1"/>
                      <w:lang w:val="en-US" w:eastAsia="zh-CN"/>
                      <w14:textFill>
                        <w14:solidFill>
                          <w14:schemeClr w14:val="tx1"/>
                        </w14:solidFill>
                      </w14:textFill>
                    </w:rPr>
                    <w:t>21</w:t>
                  </w:r>
                  <w:r>
                    <w:rPr>
                      <w:rFonts w:hint="default"/>
                      <w:b/>
                      <w:bCs/>
                      <w:color w:val="000000" w:themeColor="text1"/>
                      <w14:textFill>
                        <w14:solidFill>
                          <w14:schemeClr w14:val="tx1"/>
                        </w14:solidFill>
                      </w14:textFill>
                    </w:rPr>
                    <w:t>年版）中规定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88" w:type="dxa"/>
                  <w:vMerge w:val="continue"/>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p>
              </w:tc>
              <w:tc>
                <w:tcPr>
                  <w:tcW w:w="936" w:type="dxa"/>
                  <w:vMerge w:val="continue"/>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p>
              </w:tc>
              <w:tc>
                <w:tcPr>
                  <w:tcW w:w="1096"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废物类别</w:t>
                  </w:r>
                </w:p>
              </w:tc>
              <w:tc>
                <w:tcPr>
                  <w:tcW w:w="1126"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行业来源</w:t>
                  </w:r>
                </w:p>
              </w:tc>
              <w:tc>
                <w:tcPr>
                  <w:tcW w:w="1273"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废物代码</w:t>
                  </w:r>
                </w:p>
              </w:tc>
              <w:tc>
                <w:tcPr>
                  <w:tcW w:w="2147"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危险废物</w:t>
                  </w:r>
                </w:p>
              </w:tc>
              <w:tc>
                <w:tcPr>
                  <w:tcW w:w="1154"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88"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936"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废机油</w:t>
                  </w:r>
                </w:p>
              </w:tc>
              <w:tc>
                <w:tcPr>
                  <w:tcW w:w="1096"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HW08废矿物油与含矿废物</w:t>
                  </w:r>
                </w:p>
              </w:tc>
              <w:tc>
                <w:tcPr>
                  <w:tcW w:w="1126"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非特定行业</w:t>
                  </w:r>
                </w:p>
              </w:tc>
              <w:tc>
                <w:tcPr>
                  <w:tcW w:w="1273"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900-249-08</w:t>
                  </w:r>
                </w:p>
              </w:tc>
              <w:tc>
                <w:tcPr>
                  <w:tcW w:w="2147"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其他生产、销售、使用过程中产生的废矿物油及含矿物油废物</w:t>
                  </w:r>
                </w:p>
              </w:tc>
              <w:tc>
                <w:tcPr>
                  <w:tcW w:w="1154"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88"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w:t>
                  </w:r>
                </w:p>
              </w:tc>
              <w:tc>
                <w:tcPr>
                  <w:tcW w:w="936"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废油桶</w:t>
                  </w:r>
                </w:p>
              </w:tc>
              <w:tc>
                <w:tcPr>
                  <w:tcW w:w="1096" w:type="dxa"/>
                  <w:vMerge w:val="restart"/>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HW49其他废物</w:t>
                  </w:r>
                </w:p>
              </w:tc>
              <w:tc>
                <w:tcPr>
                  <w:tcW w:w="1126" w:type="dxa"/>
                  <w:vMerge w:val="restart"/>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非特定行业</w:t>
                  </w:r>
                </w:p>
              </w:tc>
              <w:tc>
                <w:tcPr>
                  <w:tcW w:w="1273" w:type="dxa"/>
                  <w:vMerge w:val="restart"/>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900-041-49</w:t>
                  </w:r>
                </w:p>
              </w:tc>
              <w:tc>
                <w:tcPr>
                  <w:tcW w:w="2147" w:type="dxa"/>
                  <w:vMerge w:val="restart"/>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含有或沾染毒性、感染性危险废物的废气包装物、容器、过滤吸附介质</w:t>
                  </w:r>
                </w:p>
              </w:tc>
              <w:tc>
                <w:tcPr>
                  <w:tcW w:w="1154" w:type="dxa"/>
                  <w:vMerge w:val="restart"/>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T/In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88"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w:t>
                  </w:r>
                </w:p>
              </w:tc>
              <w:tc>
                <w:tcPr>
                  <w:tcW w:w="936"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含油抹布</w:t>
                  </w:r>
                </w:p>
              </w:tc>
              <w:tc>
                <w:tcPr>
                  <w:tcW w:w="1096" w:type="dxa"/>
                  <w:vMerge w:val="continue"/>
                  <w:noWrap w:val="0"/>
                  <w:vAlign w:val="center"/>
                </w:tcPr>
                <w:p>
                  <w:pPr>
                    <w:pStyle w:val="15"/>
                    <w:bidi w:val="0"/>
                    <w:rPr>
                      <w:rFonts w:hint="default"/>
                      <w:color w:val="000000" w:themeColor="text1"/>
                      <w14:textFill>
                        <w14:solidFill>
                          <w14:schemeClr w14:val="tx1"/>
                        </w14:solidFill>
                      </w14:textFill>
                    </w:rPr>
                  </w:pPr>
                </w:p>
              </w:tc>
              <w:tc>
                <w:tcPr>
                  <w:tcW w:w="1126" w:type="dxa"/>
                  <w:vMerge w:val="continue"/>
                  <w:noWrap w:val="0"/>
                  <w:vAlign w:val="center"/>
                </w:tcPr>
                <w:p>
                  <w:pPr>
                    <w:pStyle w:val="15"/>
                    <w:bidi w:val="0"/>
                    <w:rPr>
                      <w:rFonts w:hint="default"/>
                      <w:color w:val="000000" w:themeColor="text1"/>
                      <w14:textFill>
                        <w14:solidFill>
                          <w14:schemeClr w14:val="tx1"/>
                        </w14:solidFill>
                      </w14:textFill>
                    </w:rPr>
                  </w:pPr>
                </w:p>
              </w:tc>
              <w:tc>
                <w:tcPr>
                  <w:tcW w:w="1273" w:type="dxa"/>
                  <w:vMerge w:val="continue"/>
                  <w:noWrap w:val="0"/>
                  <w:vAlign w:val="center"/>
                </w:tcPr>
                <w:p>
                  <w:pPr>
                    <w:pStyle w:val="15"/>
                    <w:bidi w:val="0"/>
                    <w:rPr>
                      <w:rFonts w:hint="default"/>
                      <w:color w:val="000000" w:themeColor="text1"/>
                      <w14:textFill>
                        <w14:solidFill>
                          <w14:schemeClr w14:val="tx1"/>
                        </w14:solidFill>
                      </w14:textFill>
                    </w:rPr>
                  </w:pPr>
                </w:p>
              </w:tc>
              <w:tc>
                <w:tcPr>
                  <w:tcW w:w="2147" w:type="dxa"/>
                  <w:vMerge w:val="continue"/>
                  <w:noWrap w:val="0"/>
                  <w:vAlign w:val="center"/>
                </w:tcPr>
                <w:p>
                  <w:pPr>
                    <w:pStyle w:val="15"/>
                    <w:bidi w:val="0"/>
                    <w:rPr>
                      <w:rFonts w:hint="default"/>
                      <w:color w:val="000000" w:themeColor="text1"/>
                      <w14:textFill>
                        <w14:solidFill>
                          <w14:schemeClr w14:val="tx1"/>
                        </w14:solidFill>
                      </w14:textFill>
                    </w:rPr>
                  </w:pPr>
                </w:p>
              </w:tc>
              <w:tc>
                <w:tcPr>
                  <w:tcW w:w="1154" w:type="dxa"/>
                  <w:vMerge w:val="continue"/>
                  <w:noWrap w:val="0"/>
                  <w:vAlign w:val="center"/>
                </w:tcPr>
                <w:p>
                  <w:pPr>
                    <w:pStyle w:val="15"/>
                    <w:bidi w:val="0"/>
                    <w:rPr>
                      <w:rFonts w:hint="default"/>
                      <w:color w:val="000000" w:themeColor="text1"/>
                      <w14:textFill>
                        <w14:solidFill>
                          <w14:schemeClr w14:val="tx1"/>
                        </w14:solidFill>
                      </w14:textFill>
                    </w:rPr>
                  </w:pPr>
                </w:p>
              </w:tc>
            </w:tr>
          </w:tbl>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（1）含油抹布</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在设备检修保养以会产生少量含油抹布，参考同类型同规模的企业类比可知，产生量约为0.05t/a，含油抹布为危险废物，根据20</w:t>
            </w:r>
            <w:r>
              <w:rPr>
                <w:rFonts w:hint="eastAsia" w:eastAsia="宋体"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14:textFill>
                  <w14:solidFill>
                    <w14:schemeClr w14:val="tx1"/>
                  </w14:solidFill>
                </w14:textFill>
              </w:rPr>
              <w:t>年发布的《危险废物豁免管理清单》可知，混入生活垃圾的含油抹布全过程不按危险废物管理。随生活垃圾送至垃圾填埋场卫生填埋。</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（2）废机油、废油桶等</w:t>
            </w:r>
          </w:p>
          <w:p>
            <w:pPr>
              <w:spacing w:line="360" w:lineRule="auto"/>
              <w:ind w:firstLine="480" w:firstLineChars="200"/>
              <w:rPr>
                <w:rFonts w:hint="default" w:ascii="Times New Roman" w:hAnsi="Times New Roman" w:eastAsia="宋体" w:cs="Times New Roman"/>
                <w:bCs/>
                <w:color w:val="000000" w:themeColor="text1"/>
                <w:kern w:val="0"/>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设备检修保养过程中产生废润滑油、废油桶，根据所用原辅材料及同类型同规模的企业类比分析计算，其产生量约为0.1t/a，废润滑油、废油桶属于</w:t>
            </w:r>
            <w:r>
              <w:rPr>
                <w:rFonts w:hint="eastAsia" w:cs="Times New Roman"/>
                <w:color w:val="000000" w:themeColor="text1"/>
                <w:sz w:val="24"/>
                <w:szCs w:val="24"/>
                <w:lang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14:textFill>
                  <w14:solidFill>
                    <w14:schemeClr w14:val="tx1"/>
                  </w14:solidFill>
                </w14:textFill>
              </w:rPr>
              <w:t>，企业按规范建立</w:t>
            </w:r>
            <w:r>
              <w:rPr>
                <w:rFonts w:hint="eastAsia" w:cs="Times New Roman"/>
                <w:color w:val="000000" w:themeColor="text1"/>
                <w:sz w:val="24"/>
                <w:szCs w:val="24"/>
                <w:lang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14:textFill>
                  <w14:solidFill>
                    <w14:schemeClr w14:val="tx1"/>
                  </w14:solidFill>
                </w14:textFill>
              </w:rPr>
              <w:t>贮存间，交由有危废处理资质的单位进行处置。</w:t>
            </w:r>
          </w:p>
          <w:p>
            <w:pPr>
              <w:spacing w:line="360" w:lineRule="auto"/>
              <w:ind w:firstLine="482" w:firstLineChars="200"/>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eastAsia="宋体"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14:textFill>
                  <w14:solidFill>
                    <w14:schemeClr w14:val="tx1"/>
                  </w14:solidFill>
                </w14:textFill>
              </w:rPr>
              <w:t>固体废物污染源源强汇总</w:t>
            </w:r>
          </w:p>
          <w:p>
            <w:pPr>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综上，对本项目产生的各类固体废物进行汇总，具体如下表。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4-31 </w:t>
            </w:r>
            <w:r>
              <w:rPr>
                <w:rFonts w:hint="default"/>
                <w:b/>
                <w:bCs/>
                <w:color w:val="000000" w:themeColor="text1"/>
                <w14:textFill>
                  <w14:solidFill>
                    <w14:schemeClr w14:val="tx1"/>
                  </w14:solidFill>
                </w14:textFill>
              </w:rPr>
              <w:t xml:space="preserve">  固体废物污染源汇总情况一览表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4"/>
              <w:gridCol w:w="1174"/>
              <w:gridCol w:w="1174"/>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1173" w:type="dxa"/>
                  <w:vMerge w:val="restart"/>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名称</w:t>
                  </w:r>
                </w:p>
              </w:tc>
              <w:tc>
                <w:tcPr>
                  <w:tcW w:w="1174" w:type="dxa"/>
                  <w:vMerge w:val="restart"/>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属性</w:t>
                  </w:r>
                </w:p>
              </w:tc>
              <w:tc>
                <w:tcPr>
                  <w:tcW w:w="2348" w:type="dxa"/>
                  <w:gridSpan w:val="2"/>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产生情况</w:t>
                  </w:r>
                </w:p>
              </w:tc>
              <w:tc>
                <w:tcPr>
                  <w:tcW w:w="2350" w:type="dxa"/>
                  <w:gridSpan w:val="2"/>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处置措施</w:t>
                  </w:r>
                </w:p>
              </w:tc>
              <w:tc>
                <w:tcPr>
                  <w:tcW w:w="1175" w:type="dxa"/>
                  <w:vMerge w:val="restart"/>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vMerge w:val="continue"/>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p>
              </w:tc>
              <w:tc>
                <w:tcPr>
                  <w:tcW w:w="1174" w:type="dxa"/>
                  <w:vMerge w:val="continue"/>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p>
              </w:tc>
              <w:tc>
                <w:tcPr>
                  <w:tcW w:w="1174"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核算方式</w:t>
                  </w:r>
                </w:p>
              </w:tc>
              <w:tc>
                <w:tcPr>
                  <w:tcW w:w="1174"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产生量（t/a）</w:t>
                  </w:r>
                </w:p>
              </w:tc>
              <w:tc>
                <w:tcPr>
                  <w:tcW w:w="1175"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措施</w:t>
                  </w:r>
                </w:p>
              </w:tc>
              <w:tc>
                <w:tcPr>
                  <w:tcW w:w="1175"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处置量（t/a）</w:t>
                  </w:r>
                </w:p>
              </w:tc>
              <w:tc>
                <w:tcPr>
                  <w:tcW w:w="1175" w:type="dxa"/>
                  <w:vMerge w:val="continue"/>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1174"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1174"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产污系数</w:t>
                  </w:r>
                </w:p>
              </w:tc>
              <w:tc>
                <w:tcPr>
                  <w:tcW w:w="1174" w:type="dxa"/>
                  <w:tcBorders>
                    <w:top w:val="single" w:color="auto" w:sz="12" w:space="0"/>
                  </w:tcBorders>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w:t>
                  </w:r>
                </w:p>
              </w:tc>
              <w:tc>
                <w:tcPr>
                  <w:tcW w:w="1175"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环卫部门清运</w:t>
                  </w:r>
                </w:p>
              </w:tc>
              <w:tc>
                <w:tcPr>
                  <w:tcW w:w="1175" w:type="dxa"/>
                  <w:tcBorders>
                    <w:top w:val="single" w:color="auto" w:sz="12" w:space="0"/>
                  </w:tcBorders>
                  <w:noWrap w:val="0"/>
                  <w:vAlign w:val="center"/>
                </w:tcPr>
                <w:p>
                  <w:pPr>
                    <w:pStyle w:val="15"/>
                    <w:bidi w:val="0"/>
                    <w:ind w:left="0" w:leftChars="0" w:firstLine="0" w:firstLineChars="0"/>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w:t>
                  </w:r>
                </w:p>
              </w:tc>
              <w:tc>
                <w:tcPr>
                  <w:tcW w:w="1175"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杂质</w:t>
                  </w:r>
                </w:p>
              </w:tc>
              <w:tc>
                <w:tcPr>
                  <w:tcW w:w="1174" w:type="dxa"/>
                  <w:vMerge w:val="restart"/>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一般固体废物</w:t>
                  </w: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外售农户</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炉渣（64）</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经验系数</w:t>
                  </w: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104.5</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外售建筑单位</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104.5</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布袋除尘器收集的烟灰（63）</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物料衡算</w:t>
                  </w: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1.25</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1.25</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脱硫石膏（65）</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7.33</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w:t>
                  </w:r>
                </w:p>
              </w:tc>
              <w:tc>
                <w:tcPr>
                  <w:tcW w:w="1175" w:type="dxa"/>
                  <w:noWrap w:val="0"/>
                  <w:vAlign w:val="center"/>
                </w:tcPr>
                <w:p>
                  <w:pPr>
                    <w:pStyle w:val="15"/>
                    <w:bidi w:val="0"/>
                    <w:ind w:left="0" w:leftChars="0" w:firstLine="0" w:firstLineChars="0"/>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7.33</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含油抹布</w:t>
                  </w:r>
                </w:p>
              </w:tc>
              <w:tc>
                <w:tcPr>
                  <w:tcW w:w="1174" w:type="dxa"/>
                  <w:vMerge w:val="restart"/>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危险废物</w:t>
                  </w:r>
                </w:p>
              </w:tc>
              <w:tc>
                <w:tcPr>
                  <w:tcW w:w="1174" w:type="dxa"/>
                  <w:noWrap w:val="0"/>
                  <w:vAlign w:val="center"/>
                </w:tcPr>
                <w:p>
                  <w:pPr>
                    <w:pStyle w:val="15"/>
                    <w:bidi w:val="0"/>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rPr>
                      <w:rFonts w:hint="default"/>
                      <w:color w:val="000000" w:themeColor="text1"/>
                      <w:sz w:val="2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0.</w:t>
                  </w:r>
                  <w:r>
                    <w:rPr>
                      <w:rFonts w:hint="default"/>
                      <w:color w:val="000000" w:themeColor="text1"/>
                      <w:sz w:val="21"/>
                      <w:szCs w:val="21"/>
                      <w:lang w:val="en-US" w:eastAsia="zh-CN"/>
                      <w14:textFill>
                        <w14:solidFill>
                          <w14:schemeClr w14:val="tx1"/>
                        </w14:solidFill>
                      </w14:textFill>
                    </w:rPr>
                    <w:t>05</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环卫部门清运</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0.</w:t>
                  </w:r>
                  <w:r>
                    <w:rPr>
                      <w:rFonts w:hint="default"/>
                      <w:color w:val="000000" w:themeColor="text1"/>
                      <w:sz w:val="21"/>
                      <w:szCs w:val="21"/>
                      <w:lang w:val="en-US" w:eastAsia="zh-CN"/>
                      <w14:textFill>
                        <w14:solidFill>
                          <w14:schemeClr w14:val="tx1"/>
                        </w14:solidFill>
                      </w14:textFill>
                    </w:rPr>
                    <w:t>05</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废机油、废油桶</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0.1</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交由具有相应处理资质的单位进行处置</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0.1</w:t>
                  </w:r>
                </w:p>
              </w:tc>
              <w:tc>
                <w:tcPr>
                  <w:tcW w:w="1175" w:type="dxa"/>
                  <w:noWrap w:val="0"/>
                  <w:vAlign w:val="center"/>
                </w:tcPr>
                <w:p>
                  <w:pPr>
                    <w:pStyle w:val="15"/>
                    <w:bidi w:val="0"/>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综合利用</w:t>
                  </w:r>
                </w:p>
              </w:tc>
            </w:tr>
          </w:tbl>
          <w:p>
            <w:pPr>
              <w:spacing w:line="360" w:lineRule="auto"/>
              <w:ind w:firstLine="482" w:firstLineChars="200"/>
              <w:rPr>
                <w:rFonts w:hint="default"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w:t>
            </w:r>
            <w:r>
              <w:rPr>
                <w:rFonts w:hint="eastAsia" w:cs="Times New Roman"/>
                <w:b/>
                <w:bCs w:val="0"/>
                <w:color w:val="000000" w:themeColor="text1"/>
                <w:sz w:val="24"/>
                <w:lang w:val="en-US" w:eastAsia="zh-CN"/>
                <w14:textFill>
                  <w14:solidFill>
                    <w14:schemeClr w14:val="tx1"/>
                  </w14:solidFill>
                </w14:textFill>
              </w:rPr>
              <w:t>3 固体废物暂存要求</w:t>
            </w:r>
          </w:p>
          <w:p>
            <w:pPr>
              <w:spacing w:line="360" w:lineRule="auto"/>
              <w:ind w:firstLine="482" w:firstLineChars="200"/>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5.3.1</w:t>
            </w:r>
            <w:r>
              <w:rPr>
                <w:rFonts w:hint="default" w:ascii="Times New Roman" w:hAnsi="Times New Roman" w:eastAsia="宋体" w:cs="Times New Roman"/>
                <w:b/>
                <w:bCs w:val="0"/>
                <w:color w:val="000000" w:themeColor="text1"/>
                <w:sz w:val="24"/>
                <w:lang w:val="en-US" w:eastAsia="zh-CN"/>
                <w14:textFill>
                  <w14:solidFill>
                    <w14:schemeClr w14:val="tx1"/>
                  </w14:solidFill>
                </w14:textFill>
              </w:rPr>
              <w:t>危险废物</w:t>
            </w:r>
            <w:r>
              <w:rPr>
                <w:rFonts w:hint="eastAsia" w:ascii="Times New Roman" w:hAnsi="Times New Roman" w:cs="Times New Roman"/>
                <w:b/>
                <w:bCs w:val="0"/>
                <w:color w:val="000000" w:themeColor="text1"/>
                <w:sz w:val="24"/>
                <w:lang w:val="en-US" w:eastAsia="zh-CN"/>
                <w14:textFill>
                  <w14:solidFill>
                    <w14:schemeClr w14:val="tx1"/>
                  </w14:solidFill>
                </w14:textFill>
              </w:rPr>
              <w:t>暂存间设置要求</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危险废物暂存间内部</w:t>
            </w:r>
            <w:r>
              <w:rPr>
                <w:rFonts w:hint="default" w:ascii="Times New Roman" w:hAnsi="Times New Roman" w:eastAsia="宋体" w:cs="Times New Roman"/>
                <w:color w:val="000000" w:themeColor="text1"/>
                <w:sz w:val="24"/>
                <w:szCs w:val="24"/>
                <w14:textFill>
                  <w14:solidFill>
                    <w14:schemeClr w14:val="tx1"/>
                  </w14:solidFill>
                </w14:textFill>
              </w:rPr>
              <w:t>暂存，危险废物暂存间应根据</w:t>
            </w:r>
            <w:r>
              <w:rPr>
                <w:rFonts w:hint="eastAsia" w:cs="Times New Roman"/>
                <w:color w:val="000000" w:themeColor="text1"/>
                <w:sz w:val="24"/>
                <w:szCs w:val="24"/>
                <w:lang w:val="en-US" w:eastAsia="zh-CN"/>
                <w14:textFill>
                  <w14:solidFill>
                    <w14:schemeClr w14:val="tx1"/>
                  </w14:solidFill>
                </w14:textFill>
              </w:rPr>
              <w:t>《危险废物贮存污染控制标准》（GB18597-2023）</w:t>
            </w:r>
            <w:r>
              <w:rPr>
                <w:rFonts w:hint="default" w:ascii="Times New Roman" w:hAnsi="Times New Roman" w:eastAsia="宋体" w:cs="Times New Roman"/>
                <w:color w:val="000000" w:themeColor="text1"/>
                <w:sz w:val="24"/>
                <w:szCs w:val="24"/>
                <w14:textFill>
                  <w14:solidFill>
                    <w14:schemeClr w14:val="tx1"/>
                  </w14:solidFill>
                </w14:textFill>
              </w:rPr>
              <w:t>的相关要求设置，本项目产生的危险废物处置通过建成的危险废物暂存间进行暂存。危险废物在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危险废物暂存间</w:t>
            </w:r>
            <w:r>
              <w:rPr>
                <w:rFonts w:hint="default" w:ascii="Times New Roman" w:hAnsi="Times New Roman" w:eastAsia="宋体" w:cs="Times New Roman"/>
                <w:color w:val="000000" w:themeColor="text1"/>
                <w:sz w:val="24"/>
                <w:szCs w:val="24"/>
                <w14:textFill>
                  <w14:solidFill>
                    <w14:schemeClr w14:val="tx1"/>
                  </w14:solidFill>
                </w14:textFill>
              </w:rPr>
              <w:t>暂存应满足以下要求。</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①盛装危险废物的容器衬里不应与废物发生反应，并应完好无损。</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②危废暂存处应防风、防雨、防晒。</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③危废暂存处基础必须防渗，防渗层为至少1m厚粘土层（渗透系数≤10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cm/s），或2mm厚高密度聚乙烯，或至少2mm厚的其它人工材料，渗透系数≤10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cm/s。</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④企业应与危废回收单位签订回收协议，运输过程均交由危废回收单位进行，严禁排入污水管网，严禁私拉私运。</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⑤危废暂存处应设置警示标示。</w:t>
            </w:r>
          </w:p>
          <w:p>
            <w:pPr>
              <w:bidi w:val="0"/>
              <w:rPr>
                <w:rFonts w:hint="default"/>
                <w:color w:val="000000" w:themeColor="text1"/>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⑥企业应制定并向所在地环境行政主管部门备案危险废物管理计划（包括减少危险废物产生量和危害性的措施以及危险废物贮存、利用、处置措施），向所在地环境保护行政主管部门申报危险废物产生种类、产生量、流向、贮存等有关资料。应针对危险废物的产生、收集、贮存、运输、利用、处置，制定意外事故防范措施和应急预案，向所在地环境行政主管部门备案。本项目在运营</w:t>
            </w:r>
            <w:r>
              <w:rPr>
                <w:rFonts w:hint="default"/>
                <w:color w:val="000000" w:themeColor="text1"/>
                <w14:textFill>
                  <w14:solidFill>
                    <w14:schemeClr w14:val="tx1"/>
                  </w14:solidFill>
                </w14:textFill>
              </w:rPr>
              <w:t>过程中产生的危险废物，必须按照国家有关规定申报登记。</w:t>
            </w:r>
          </w:p>
          <w:p>
            <w:pPr>
              <w:bidi w:val="0"/>
              <w:rPr>
                <w:rFonts w:hint="eastAsia"/>
                <w:b/>
                <w:bCs/>
                <w:color w:val="0000FF"/>
                <w:lang w:val="en-US" w:eastAsia="zh-CN"/>
              </w:rPr>
            </w:pPr>
            <w:r>
              <w:rPr>
                <w:rFonts w:hint="eastAsia"/>
                <w:b/>
                <w:bCs/>
                <w:color w:val="0000FF"/>
                <w:lang w:val="en-US" w:eastAsia="zh-CN"/>
              </w:rPr>
              <w:t>5.3.2 一般固体废物暂存要求</w:t>
            </w:r>
          </w:p>
          <w:p>
            <w:pPr>
              <w:bidi w:val="0"/>
              <w:rPr>
                <w:rFonts w:hint="eastAsia"/>
                <w:color w:val="0000FF"/>
                <w:lang w:val="en-US" w:eastAsia="zh-CN"/>
              </w:rPr>
            </w:pPr>
            <w:r>
              <w:rPr>
                <w:rFonts w:hint="eastAsia"/>
                <w:color w:val="0000FF"/>
                <w:lang w:val="en-US" w:eastAsia="zh-CN"/>
              </w:rPr>
              <w:t>本项目一般固体废物暂存主要是灰渣库，依据《一般工业固体废物管理台账制定指南（试行）》及</w:t>
            </w:r>
            <w:r>
              <w:rPr>
                <w:rFonts w:hint="eastAsia"/>
                <w:color w:val="0000FF"/>
              </w:rPr>
              <w:t>《一般工业固体废物贮存和填埋污染控制标准》（</w:t>
            </w:r>
            <w:r>
              <w:rPr>
                <w:color w:val="0000FF"/>
              </w:rPr>
              <w:t>GB 18599-20</w:t>
            </w:r>
            <w:r>
              <w:rPr>
                <w:rFonts w:hint="eastAsia"/>
                <w:color w:val="0000FF"/>
                <w:lang w:val="en-US" w:eastAsia="zh-CN"/>
              </w:rPr>
              <w:t>20</w:t>
            </w:r>
            <w:r>
              <w:rPr>
                <w:rFonts w:hint="eastAsia"/>
                <w:color w:val="0000FF"/>
              </w:rPr>
              <w:t>）</w:t>
            </w:r>
            <w:r>
              <w:rPr>
                <w:rFonts w:hint="eastAsia"/>
                <w:color w:val="0000FF"/>
                <w:lang w:val="en-US" w:eastAsia="zh-CN"/>
              </w:rPr>
              <w:t>严格落实固体废物台账制度和设置要求。具体如下</w:t>
            </w:r>
          </w:p>
          <w:p>
            <w:pPr>
              <w:bidi w:val="0"/>
              <w:rPr>
                <w:rFonts w:hint="eastAsia"/>
                <w:color w:val="0000FF"/>
                <w:lang w:val="en-US" w:eastAsia="zh-CN"/>
              </w:rPr>
            </w:pPr>
            <w:r>
              <w:rPr>
                <w:rFonts w:hint="eastAsia"/>
                <w:color w:val="0000FF"/>
                <w:lang w:val="en-US" w:eastAsia="zh-CN"/>
              </w:rPr>
              <w:t>（1）台账记录要求</w:t>
            </w:r>
          </w:p>
          <w:p>
            <w:pPr>
              <w:bidi w:val="0"/>
              <w:rPr>
                <w:rFonts w:hint="eastAsia"/>
                <w:color w:val="0000FF"/>
                <w:lang w:eastAsia="zh-CN"/>
              </w:rPr>
            </w:pPr>
            <w:r>
              <w:rPr>
                <w:rFonts w:hint="eastAsia"/>
                <w:color w:val="0000FF"/>
                <w:lang w:val="en-US" w:eastAsia="zh-CN"/>
              </w:rPr>
              <w:t>①</w:t>
            </w:r>
            <w:r>
              <w:rPr>
                <w:rFonts w:hint="eastAsia"/>
                <w:color w:val="0000FF"/>
              </w:rPr>
              <w:t>一般工业固体废物管理台账实施分级管理</w:t>
            </w:r>
            <w:r>
              <w:rPr>
                <w:rFonts w:hint="eastAsia"/>
                <w:color w:val="0000FF"/>
                <w:lang w:eastAsia="zh-CN"/>
              </w:rPr>
              <w:t>。</w:t>
            </w:r>
            <w:r>
              <w:rPr>
                <w:rFonts w:hint="eastAsia"/>
                <w:color w:val="0000FF"/>
              </w:rPr>
              <w:t>附表1至附表3属于必填信息，主要用于记录固体废物的基础信息及流向信息，所有产生工业固体废物的单位均应当填写。</w:t>
            </w:r>
          </w:p>
          <w:p>
            <w:pPr>
              <w:bidi w:val="0"/>
              <w:rPr>
                <w:rFonts w:hint="eastAsia"/>
                <w:color w:val="0000FF"/>
              </w:rPr>
            </w:pPr>
            <w:r>
              <w:rPr>
                <w:rFonts w:hint="eastAsia"/>
                <w:color w:val="0000FF"/>
                <w:lang w:val="en-US" w:eastAsia="zh-CN"/>
              </w:rPr>
              <w:t>②</w:t>
            </w:r>
            <w:r>
              <w:rPr>
                <w:rFonts w:hint="eastAsia"/>
                <w:color w:val="0000FF"/>
              </w:rPr>
              <w:t>附表1应当结合环境影响评价、排污许可证等材料，根据实际生产运营情况填写固体废物产生信息；附表2按月填写，记录固体废物的产生、贮存、利用、处置数量等信息；附表3按批次填写，每一批次固体废物的出厂以及流向信息均必须根据实际情况如实记录。</w:t>
            </w:r>
          </w:p>
          <w:p>
            <w:pPr>
              <w:bidi w:val="0"/>
              <w:rPr>
                <w:rFonts w:hint="eastAsia"/>
                <w:color w:val="0000FF"/>
                <w:lang w:val="en-US" w:eastAsia="zh-CN"/>
              </w:rPr>
            </w:pPr>
            <w:r>
              <w:rPr>
                <w:rFonts w:hint="eastAsia"/>
                <w:color w:val="0000FF"/>
                <w:lang w:val="en-US" w:eastAsia="zh-CN"/>
              </w:rPr>
              <w:t>③</w:t>
            </w:r>
            <w:r>
              <w:rPr>
                <w:rFonts w:hint="eastAsia"/>
                <w:color w:val="0000FF"/>
              </w:rPr>
              <w:t>附表4至附表7表格应及时填写，确保每一批次的固体废物来源信息与流向信息、数量信息与人员信息一一对应。对于批次产生的固体废物应按次填写，对于连续产生的固体废物应按日填写。</w:t>
            </w:r>
          </w:p>
          <w:p>
            <w:pPr>
              <w:bidi w:val="0"/>
              <w:rPr>
                <w:rFonts w:hint="eastAsia"/>
                <w:color w:val="0000FF"/>
              </w:rPr>
            </w:pPr>
            <w:r>
              <w:rPr>
                <w:rFonts w:hint="eastAsia"/>
                <w:color w:val="0000FF"/>
                <w:lang w:val="en-US" w:eastAsia="zh-CN"/>
              </w:rPr>
              <w:t>④</w:t>
            </w:r>
            <w:r>
              <w:rPr>
                <w:rFonts w:hint="eastAsia"/>
                <w:color w:val="0000FF"/>
              </w:rPr>
              <w:t>产废单位应当结合自身固体废物产生实际情况，从附表8中选择对应的固体废物类别和代码填写台账记录表。附表8同样适用于工业固体废物排污许可申请与核发等相关工作。</w:t>
            </w:r>
          </w:p>
          <w:p>
            <w:pPr>
              <w:bidi w:val="0"/>
              <w:rPr>
                <w:rFonts w:hint="eastAsia"/>
                <w:color w:val="0000FF"/>
                <w:lang w:val="en-US" w:eastAsia="zh-CN"/>
              </w:rPr>
            </w:pPr>
            <w:r>
              <w:rPr>
                <w:rFonts w:hint="eastAsia"/>
                <w:color w:val="0000FF"/>
                <w:lang w:val="en-US" w:eastAsia="zh-CN"/>
              </w:rPr>
              <w:t>⑤</w:t>
            </w:r>
            <w:r>
              <w:rPr>
                <w:rFonts w:hint="eastAsia"/>
                <w:color w:val="0000FF"/>
              </w:rPr>
              <w:t>一般工业固体废物管理台账应由专人管理，防止遗失。一般工业固体废物管理台账保存期限不少于5 年。</w:t>
            </w:r>
          </w:p>
          <w:p>
            <w:pPr>
              <w:bidi w:val="0"/>
              <w:rPr>
                <w:rFonts w:hint="eastAsia"/>
                <w:color w:val="0000FF"/>
              </w:rPr>
            </w:pPr>
            <w:r>
              <w:rPr>
                <w:rFonts w:hint="eastAsia"/>
                <w:color w:val="0000FF"/>
                <w:lang w:val="en-US" w:eastAsia="zh-CN"/>
              </w:rPr>
              <w:t>⑥</w:t>
            </w:r>
            <w:r>
              <w:rPr>
                <w:rFonts w:hint="eastAsia"/>
                <w:color w:val="0000FF"/>
              </w:rPr>
              <w:t>鼓励有条件的产废单位在固体废物产生场所、贮存场所等关键点位设置视频监控，提升台账记录信息的准确性。</w:t>
            </w:r>
          </w:p>
          <w:p>
            <w:pPr>
              <w:bidi w:val="0"/>
              <w:rPr>
                <w:rFonts w:hint="eastAsia"/>
                <w:color w:val="0000FF"/>
                <w:lang w:val="en-US" w:eastAsia="zh-CN"/>
              </w:rPr>
            </w:pPr>
            <w:r>
              <w:rPr>
                <w:rFonts w:hint="eastAsia"/>
                <w:color w:val="0000FF"/>
                <w:lang w:val="en-US" w:eastAsia="zh-CN"/>
              </w:rPr>
              <w:t>⑦</w:t>
            </w:r>
            <w:r>
              <w:rPr>
                <w:rFonts w:hint="eastAsia"/>
                <w:color w:val="0000FF"/>
              </w:rPr>
              <w:t>鼓励有条件的产废单位采用信息化手段建立电子台账，实现一般工业固体废物管理台账的数字化、信息化。</w:t>
            </w:r>
          </w:p>
          <w:p>
            <w:pPr>
              <w:bidi w:val="0"/>
              <w:rPr>
                <w:rFonts w:hint="eastAsia"/>
                <w:color w:val="0000FF"/>
                <w:lang w:val="en-US" w:eastAsia="zh-CN"/>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lang w:val="en-US" w:eastAsia="zh-CN"/>
              </w:rPr>
              <w:t>I类场技术要求</w:t>
            </w:r>
          </w:p>
          <w:p>
            <w:pPr>
              <w:bidi w:val="0"/>
              <w:rPr>
                <w:rFonts w:hint="default"/>
                <w:color w:val="0000FF"/>
                <w:lang w:val="en-US" w:eastAsia="zh-CN"/>
              </w:rPr>
            </w:pPr>
            <w:r>
              <w:rPr>
                <w:rFonts w:hint="eastAsia"/>
                <w:color w:val="0000FF"/>
                <w:lang w:val="en-US" w:eastAsia="zh-CN"/>
              </w:rPr>
              <w:t>①</w:t>
            </w:r>
            <w:r>
              <w:rPr>
                <w:rFonts w:hint="default"/>
                <w:color w:val="0000FF"/>
              </w:rPr>
              <w:t>当天然基础层饱和渗透系数不大于</w:t>
            </w:r>
            <w:r>
              <w:rPr>
                <w:rFonts w:hint="eastAsia"/>
                <w:color w:val="0000FF"/>
              </w:rPr>
              <w:t>1.0×10</w:t>
            </w:r>
            <w:r>
              <w:rPr>
                <w:rFonts w:hint="eastAsia"/>
                <w:color w:val="0000FF"/>
                <w:vertAlign w:val="superscript"/>
              </w:rPr>
              <w:t>-5</w:t>
            </w:r>
            <w:r>
              <w:rPr>
                <w:rFonts w:hint="eastAsia"/>
                <w:color w:val="0000FF"/>
              </w:rPr>
              <w:t>cm/s，且厚度不小于0.75m时，可以采用天然基础层作为防渗衬层</w:t>
            </w:r>
          </w:p>
          <w:p>
            <w:pPr>
              <w:bidi w:val="0"/>
              <w:rPr>
                <w:rFonts w:hint="default"/>
                <w:color w:val="0000FF"/>
              </w:rPr>
            </w:pPr>
            <w:r>
              <w:rPr>
                <w:rFonts w:hint="eastAsia"/>
                <w:color w:val="0000FF"/>
                <w:lang w:val="en-US" w:eastAsia="zh-CN"/>
              </w:rPr>
              <w:t>②</w:t>
            </w:r>
            <w:r>
              <w:rPr>
                <w:rFonts w:hint="default"/>
                <w:color w:val="0000FF"/>
              </w:rPr>
              <w:t>当天然基础层不能满足</w:t>
            </w:r>
            <w:r>
              <w:rPr>
                <w:rFonts w:hint="eastAsia"/>
                <w:color w:val="0000FF"/>
              </w:rPr>
              <w:t>5.2.1条防渗要求时，可采用改性压实粘土类衬层或具有同等以上隔水效力的其他材料防渗衬层，其防渗性能应至少相当于渗透系数为1.0×10</w:t>
            </w:r>
            <w:r>
              <w:rPr>
                <w:rFonts w:hint="eastAsia"/>
                <w:color w:val="0000FF"/>
                <w:vertAlign w:val="superscript"/>
              </w:rPr>
              <w:t>-5</w:t>
            </w:r>
            <w:r>
              <w:rPr>
                <w:rFonts w:hint="eastAsia"/>
                <w:color w:val="0000FF"/>
              </w:rPr>
              <w:t>cm/s且厚度为0.75m的天然基础层。</w:t>
            </w:r>
          </w:p>
          <w:p>
            <w:pPr>
              <w:bidi w:val="0"/>
              <w:rPr>
                <w:rFonts w:hint="eastAsia"/>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5.5 </w:t>
            </w:r>
            <w:r>
              <w:rPr>
                <w:rFonts w:hint="eastAsia"/>
                <w:b/>
                <w:bCs/>
                <w:color w:val="000000" w:themeColor="text1"/>
                <w14:textFill>
                  <w14:solidFill>
                    <w14:schemeClr w14:val="tx1"/>
                  </w14:solidFill>
                </w14:textFill>
              </w:rPr>
              <w:t>固体废物处置合理性分析</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灰渣及脱硫石膏中不含有毒物质</w:t>
            </w:r>
            <w:r>
              <w:rPr>
                <w:rFonts w:hint="eastAsia"/>
                <w:lang w:eastAsia="zh-CN"/>
              </w:rPr>
              <w:t>，</w:t>
            </w:r>
            <w:r>
              <w:rPr>
                <w:rFonts w:hint="eastAsia"/>
                <w:lang w:val="en-US" w:eastAsia="zh-CN"/>
              </w:rPr>
              <w:t>属于一般固体废物</w:t>
            </w:r>
            <w:r>
              <w:rPr>
                <w:rFonts w:hint="eastAsia"/>
                <w:color w:val="000000" w:themeColor="text1"/>
                <w14:textFill>
                  <w14:solidFill>
                    <w14:schemeClr w14:val="tx1"/>
                  </w14:solidFill>
                </w14:textFill>
              </w:rPr>
              <w:t>，堆存在封闭灰渣库，短时间内不会对环境造成不利影响。但如果长期堆放，废渣干燥后，大风天气时将产生扬尘，雨雪天气时会产生淋溶水，对周围环境可能会产生不利影响。同时，废渣长期堆存在厂区，将会占用厂区用地，影响厂区环境美观。本项目新建全封闭式</w:t>
            </w:r>
            <w:r>
              <w:rPr>
                <w:rFonts w:hint="eastAsia"/>
                <w:color w:val="000000" w:themeColor="text1"/>
                <w:lang w:eastAsia="zh-CN"/>
                <w14:textFill>
                  <w14:solidFill>
                    <w14:schemeClr w14:val="tx1"/>
                  </w14:solidFill>
                </w14:textFill>
              </w:rPr>
              <w:t>灰渣库</w:t>
            </w:r>
            <w:r>
              <w:rPr>
                <w:rFonts w:hint="eastAsia"/>
                <w:color w:val="000000" w:themeColor="text1"/>
                <w14:textFill>
                  <w14:solidFill>
                    <w14:schemeClr w14:val="tx1"/>
                  </w14:solidFill>
                </w14:textFill>
              </w:rPr>
              <w:t>，尽量减少粉尘污染物可能对环境的不利影响。另外堆场采取地面硬化措施，地表修建径流排渠，将地表径流排入沉淀池中。</w:t>
            </w:r>
          </w:p>
          <w:p>
            <w:pPr>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玉米烘干过程产生的碎屑、红衣均为有机质，集中收集后定期出售给附近农户用于堆肥。</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布袋除尘器除尘灰加湿搅拌后外运，用于建材企业原料使用。</w:t>
            </w:r>
          </w:p>
          <w:p>
            <w:pPr>
              <w:bidi w:val="0"/>
              <w:rPr>
                <w:rFonts w:hint="default" w:eastAsia="宋体"/>
                <w:color w:val="0000FF"/>
                <w:lang w:val="en-US" w:eastAsia="zh-CN"/>
              </w:rPr>
            </w:pPr>
            <w:r>
              <w:rPr>
                <w:rFonts w:hint="eastAsia"/>
                <w:color w:val="0000FF"/>
              </w:rPr>
              <w:t>废渣堆存时间设计不超过</w:t>
            </w:r>
            <w:r>
              <w:rPr>
                <w:color w:val="0000FF"/>
              </w:rPr>
              <w:t>3</w:t>
            </w:r>
            <w:r>
              <w:rPr>
                <w:rFonts w:hint="eastAsia"/>
                <w:color w:val="0000FF"/>
              </w:rPr>
              <w:t>天，每天及时拉运，尽量减少在厂区堆存时间及堆存占地。</w:t>
            </w:r>
            <w:r>
              <w:rPr>
                <w:rFonts w:hint="eastAsia"/>
                <w:color w:val="0000FF"/>
                <w:lang w:eastAsia="zh-CN"/>
              </w:rPr>
              <w:t>灰渣库</w:t>
            </w:r>
            <w:r>
              <w:rPr>
                <w:rFonts w:hint="eastAsia"/>
                <w:color w:val="0000FF"/>
              </w:rPr>
              <w:t>的建设方案应按照《一般工业固体废物贮存和填埋污染控制标准》（</w:t>
            </w:r>
            <w:r>
              <w:rPr>
                <w:color w:val="0000FF"/>
              </w:rPr>
              <w:t>GB 18599-20</w:t>
            </w:r>
            <w:r>
              <w:rPr>
                <w:rFonts w:hint="eastAsia"/>
                <w:color w:val="0000FF"/>
                <w:lang w:val="en-US" w:eastAsia="zh-CN"/>
              </w:rPr>
              <w:t>20</w:t>
            </w:r>
            <w:r>
              <w:rPr>
                <w:rFonts w:hint="eastAsia"/>
                <w:color w:val="0000FF"/>
              </w:rPr>
              <w:t>）中第Ⅰ类一般工业固体废物</w:t>
            </w:r>
            <w:r>
              <w:rPr>
                <w:rFonts w:hint="eastAsia" w:eastAsia="宋体"/>
                <w:color w:val="0000FF"/>
              </w:rPr>
              <w:t>的有关规定进行设计。</w:t>
            </w:r>
            <w:r>
              <w:rPr>
                <w:rFonts w:hint="eastAsia"/>
                <w:color w:val="0000FF"/>
                <w:lang w:val="en-US" w:eastAsia="zh-CN"/>
              </w:rPr>
              <w:t>同时灰渣、脱硫石膏、飞灰在灰渣库内分区暂存。</w:t>
            </w:r>
          </w:p>
          <w:p>
            <w:pPr>
              <w:spacing w:line="360" w:lineRule="auto"/>
              <w:ind w:firstLine="480" w:firstLineChars="200"/>
              <w:rPr>
                <w:rFonts w:hint="default"/>
                <w:b/>
                <w:bCs/>
                <w:color w:val="000000" w:themeColor="text1"/>
                <w:sz w:val="24"/>
                <w:szCs w:val="24"/>
                <w:lang w:val="en-US" w:eastAsia="zh-CN"/>
                <w14:textFill>
                  <w14:solidFill>
                    <w14:schemeClr w14:val="tx1"/>
                  </w14:solidFill>
                </w14:textFill>
              </w:rPr>
            </w:pPr>
            <w:r>
              <w:rPr>
                <w:rFonts w:hint="eastAsia"/>
                <w:color w:val="000000" w:themeColor="text1"/>
                <w:sz w:val="24"/>
                <w14:textFill>
                  <w14:solidFill>
                    <w14:schemeClr w14:val="tx1"/>
                  </w14:solidFill>
                </w14:textFill>
              </w:rPr>
              <w:t>锅炉燃烧产生的锅炉渣、除尘灰、脱硫石膏目前多数用作建筑材料的原料，目前已经有比较成熟和稳定的处置方向。本项目固体废物在灰渣库内暂存后，定期外售给</w:t>
            </w:r>
            <w:r>
              <w:rPr>
                <w:rFonts w:hint="eastAsia"/>
                <w:color w:val="000000" w:themeColor="text1"/>
                <w:sz w:val="24"/>
                <w:lang w:eastAsia="zh-CN"/>
                <w14:textFill>
                  <w14:solidFill>
                    <w14:schemeClr w14:val="tx1"/>
                  </w14:solidFill>
                </w14:textFill>
              </w:rPr>
              <w:t>吉木萨尔县</w:t>
            </w:r>
            <w:r>
              <w:rPr>
                <w:rFonts w:hint="eastAsia"/>
                <w:color w:val="000000" w:themeColor="text1"/>
                <w:sz w:val="24"/>
                <w:szCs w:val="22"/>
                <w14:textFill>
                  <w14:solidFill>
                    <w14:schemeClr w14:val="tx1"/>
                  </w14:solidFill>
                </w14:textFill>
              </w:rPr>
              <w:t>或者附近县市的建筑建材公司用作原料是可行的，采取上述措施后，工程产生的固体废物全部得到妥善处置，不会对周围环境造成二次污染，措施可行。筛选的杂质全部有机质，外售给附近农户用于堆肥。故本项目生产过程产生的固体废物</w:t>
            </w:r>
            <w:r>
              <w:rPr>
                <w:color w:val="000000" w:themeColor="text1"/>
                <w:sz w:val="24"/>
                <w:szCs w:val="22"/>
                <w14:textFill>
                  <w14:solidFill>
                    <w14:schemeClr w14:val="tx1"/>
                  </w14:solidFill>
                </w14:textFill>
              </w:rPr>
              <w:t>100%</w:t>
            </w:r>
            <w:r>
              <w:rPr>
                <w:rFonts w:hint="eastAsia"/>
                <w:color w:val="000000" w:themeColor="text1"/>
                <w:sz w:val="24"/>
                <w:szCs w:val="22"/>
                <w14:textFill>
                  <w14:solidFill>
                    <w14:schemeClr w14:val="tx1"/>
                  </w14:solidFill>
                </w14:textFill>
              </w:rPr>
              <w:t>综合利用，实现废物减量化、资源化和无害化。</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14:textFill>
                  <w14:solidFill>
                    <w14:schemeClr w14:val="tx1"/>
                  </w14:solidFill>
                </w14:textFill>
              </w:rPr>
              <w:t>、土壤环境影响说明</w:t>
            </w:r>
          </w:p>
          <w:p>
            <w:pPr>
              <w:keepNext w:val="0"/>
              <w:keepLines w:val="0"/>
              <w:suppressLineNumbers w:val="0"/>
              <w:autoSpaceDE w:val="0"/>
              <w:autoSpaceDN w:val="0"/>
              <w:adjustRightInd w:val="0"/>
              <w:snapToGrid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地下水、土壤环境原则上不开展环境质量现状调查，建设项目存在土壤、地下水环境污染物途径的，应结合污染源、保护目标分布情况开展现状调查以留作背景值。</w:t>
            </w:r>
          </w:p>
          <w:p>
            <w:pPr>
              <w:keepNext w:val="0"/>
              <w:keepLines w:val="0"/>
              <w:suppressLineNumbers w:val="0"/>
              <w:autoSpaceDE w:val="0"/>
              <w:autoSpaceDN w:val="0"/>
              <w:adjustRightInd w:val="0"/>
              <w:snapToGrid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同时结合《环境影响评价技术导则  土壤环境（试行）》（HJ964-2018），本项目为Ⅳ类项目，占地规模为小型，土壤环境为不敏感，根据《环境影响评价技术导则  土壤环境（试行）》（HJ964-2018）表4污染影响型评价工作等级划分表可知，本项目可不展开土壤环境影响评价工作。</w:t>
            </w:r>
          </w:p>
          <w:p>
            <w:pPr>
              <w:keepNext w:val="0"/>
              <w:keepLines w:val="0"/>
              <w:suppressLineNumbers w:val="0"/>
              <w:autoSpaceDE w:val="0"/>
              <w:autoSpaceDN w:val="0"/>
              <w:adjustRightInd w:val="0"/>
              <w:snapToGrid w:val="0"/>
              <w:spacing w:before="0" w:beforeAutospacing="0" w:after="0" w:afterAutospacing="0"/>
              <w:ind w:left="0" w:right="0"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olor w:val="000000" w:themeColor="text1"/>
                <w14:textFill>
                  <w14:solidFill>
                    <w14:schemeClr w14:val="tx1"/>
                  </w14:solidFill>
                </w14:textFill>
              </w:rPr>
              <w:t>结合项目生产工艺进行分析，本项目不存在直接的土壤污染途径，项目占地为</w:t>
            </w:r>
            <w:r>
              <w:rPr>
                <w:rFonts w:hint="eastAsia"/>
                <w:color w:val="000000" w:themeColor="text1"/>
                <w:lang w:val="en-US" w:eastAsia="zh-CN"/>
                <w14:textFill>
                  <w14:solidFill>
                    <w14:schemeClr w14:val="tx1"/>
                  </w14:solidFill>
                </w14:textFill>
              </w:rPr>
              <w:t>建设用地</w:t>
            </w:r>
            <w:r>
              <w:rPr>
                <w:rFonts w:hint="eastAsia"/>
                <w:color w:val="000000" w:themeColor="text1"/>
                <w14:textFill>
                  <w14:solidFill>
                    <w14:schemeClr w14:val="tx1"/>
                  </w14:solidFill>
                </w14:textFill>
              </w:rPr>
              <w:t>，故本项目可不开展土壤环境影响评价。</w:t>
            </w:r>
          </w:p>
          <w:p>
            <w:pPr>
              <w:spacing w:line="360" w:lineRule="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、环境风险分析</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1</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概述</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风险分析的目的是分析和预测建设项目潜在环境危险、有害因素，建设项目建设和运行期间可能发生的突发事件或事故，引起有毒有害易燃易爆等物质泄漏，所造成的人身安全与环境影响和损害程度，提出合理可行的防范、应急与减缓措施，以使事故率、损失和环境影响达到可接受水平。</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依据《关于加强环境影响评价管理防范环境风险的通知》(环发〔2005〕152号)及有关文件的精神和要求，本次进行环境风险评价和管理的主要目的为：</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（1）从环境风险评价的角度进一步论证拟选场址的环境可行性；</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（2）根据项目工程特点，对其存在的各种事故风险因素进行识别；</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（3）针对可能发生的主要事故分析，预测有毒、易燃、易爆物质</w:t>
            </w: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到环境中所导致的后果（包括自然环境和社会环境），以及应采取的缓解措施；</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（4）有针对性地提出切实可行的事故应急处理计划和应急预案，完善安全设计，以此以指导设计和生产，减少或控制本工程的事故发生频率，减轻事故风险对环境和社会的危害，以合理的成本实现安全生产；</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（5）制定适合本项目特点的事故应急预案。</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7.2 </w:t>
            </w:r>
            <w:r>
              <w:rPr>
                <w:rFonts w:hint="default" w:ascii="Times New Roman" w:hAnsi="Times New Roman" w:eastAsia="宋体" w:cs="Times New Roman"/>
                <w:b/>
                <w:bCs/>
                <w:color w:val="000000" w:themeColor="text1"/>
                <w:sz w:val="24"/>
                <w:szCs w:val="24"/>
                <w14:textFill>
                  <w14:solidFill>
                    <w14:schemeClr w14:val="tx1"/>
                  </w14:solidFill>
                </w14:textFill>
              </w:rPr>
              <w:t>环境风险识别</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7.2.1</w:t>
            </w:r>
            <w:r>
              <w:rPr>
                <w:rFonts w:hint="default" w:ascii="Times New Roman" w:hAnsi="Times New Roman" w:eastAsia="宋体" w:cs="Times New Roman"/>
                <w:b/>
                <w:bCs/>
                <w:color w:val="000000" w:themeColor="text1"/>
                <w:sz w:val="24"/>
                <w:szCs w:val="24"/>
                <w14:textFill>
                  <w14:solidFill>
                    <w14:schemeClr w14:val="tx1"/>
                  </w14:solidFill>
                </w14:textFill>
              </w:rPr>
              <w:t>主要风险物质识别</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（1）有毒有害气体：本项目无有毒有害气体产生。</w:t>
            </w:r>
          </w:p>
          <w:p>
            <w:pPr>
              <w:bidi w:val="0"/>
              <w:rPr>
                <w:rFonts w:hint="default"/>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（2）易燃易爆物：本项目危险废物暂存间储存少量废机油，最大储量以0.05计</w:t>
            </w:r>
            <w:r>
              <w:rPr>
                <w:rFonts w:hint="default"/>
                <w:color w:val="000000" w:themeColor="text1"/>
                <w:lang w:eastAsia="zh-CN"/>
                <w14:textFill>
                  <w14:solidFill>
                    <w14:schemeClr w14:val="tx1"/>
                  </w14:solidFill>
                </w14:textFill>
              </w:rPr>
              <w:t>。</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本项目危险化学品特性见下表。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4-32 </w:t>
            </w:r>
            <w:r>
              <w:rPr>
                <w:rFonts w:hint="default"/>
                <w:b/>
                <w:bCs/>
                <w:color w:val="000000" w:themeColor="text1"/>
                <w14:textFill>
                  <w14:solidFill>
                    <w14:schemeClr w14:val="tx1"/>
                  </w14:solidFill>
                </w14:textFill>
              </w:rPr>
              <w:t xml:space="preserve">  项目化学品危险特性表</w:t>
            </w:r>
          </w:p>
          <w:tbl>
            <w:tblPr>
              <w:tblStyle w:val="10"/>
              <w:tblW w:w="8355"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
            <w:tblGrid>
              <w:gridCol w:w="659"/>
              <w:gridCol w:w="1683"/>
              <w:gridCol w:w="60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170" w:hRule="atLeast"/>
                <w:jc w:val="center"/>
              </w:trPr>
              <w:tc>
                <w:tcPr>
                  <w:tcW w:w="659" w:type="dxa"/>
                  <w:tcBorders>
                    <w:bottom w:val="single" w:color="000000" w:sz="12" w:space="0"/>
                  </w:tcBorders>
                  <w:noWrap/>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名称</w:t>
                  </w:r>
                </w:p>
              </w:tc>
              <w:tc>
                <w:tcPr>
                  <w:tcW w:w="1683" w:type="dxa"/>
                  <w:tcBorders>
                    <w:bottom w:val="single" w:color="000000" w:sz="12" w:space="0"/>
                  </w:tcBorders>
                  <w:noWrap/>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中文名称</w:t>
                  </w:r>
                </w:p>
              </w:tc>
              <w:tc>
                <w:tcPr>
                  <w:tcW w:w="6013" w:type="dxa"/>
                  <w:tcBorders>
                    <w:bottom w:val="single" w:color="000000" w:sz="12" w:space="0"/>
                  </w:tcBorders>
                  <w:noWrap/>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机油、润滑油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restart"/>
                  <w:tcBorders>
                    <w:top w:val="single" w:color="000000" w:sz="12" w:space="0"/>
                  </w:tcBorders>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理化性质</w:t>
                  </w:r>
                </w:p>
              </w:tc>
              <w:tc>
                <w:tcPr>
                  <w:tcW w:w="1683" w:type="dxa"/>
                  <w:tcBorders>
                    <w:top w:val="single" w:color="000000" w:sz="12" w:space="0"/>
                  </w:tcBorders>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外观与形状</w:t>
                  </w:r>
                </w:p>
              </w:tc>
              <w:tc>
                <w:tcPr>
                  <w:tcW w:w="6013" w:type="dxa"/>
                  <w:tcBorders>
                    <w:top w:val="single" w:color="000000" w:sz="12" w:space="0"/>
                  </w:tcBorders>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浅黄色粘稠液体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相对密度（水=1）</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0.875</w:t>
                  </w:r>
                </w:p>
              </w:tc>
            </w:tr>
            <w:tr>
              <w:tblPrEx>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凝固点（℃）</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沸点（℃）</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240~400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闪点（℃）</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引燃温度（℃）</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饱和蒸汽压（KPa）</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0.17（145.8℃）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restart"/>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爆炸特性与消防</w:t>
                  </w: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燃烧分解产物</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一氧化碳、二氧化碳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燃烧性</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可燃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禁忌物</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硝酸、高锰酸钾等强氧化物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379"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燃爆危险</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可燃液体，火灾危险性为丙类；遇明火、高热可燃。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841"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灭火方法</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消防人员须佩戴防毒面具、穿全身消服，在上风向灭火。尽可能将容器从火场移至空旷处。喷水保持火场容器冷却，直至灭火结束。处在火场中的容器若已变色或从安全泄压装置中产生声音，必须马上撤离。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灭火剂</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雾状水、泡沫、干粉、二氧化碳、砂土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665" w:hRule="atLeast"/>
                <w:jc w:val="center"/>
              </w:trPr>
              <w:tc>
                <w:tcPr>
                  <w:tcW w:w="659"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健康危害</w:t>
                  </w:r>
                </w:p>
              </w:tc>
              <w:tc>
                <w:tcPr>
                  <w:tcW w:w="7696" w:type="dxa"/>
                  <w:gridSpan w:val="2"/>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急性吸入，可出现乏力、头晕、头痛、恶心、严重者可引起油脂性肺炎。慢性接触着，暴露部位可发生油性痤疮和接触性皮炎。可引起神经衰弱综合症，呼吸道和刺激症状及慢性油脂性肺炎。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restart"/>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个体防护</w:t>
                  </w: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工程控制</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密闭操作，注意通风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446"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呼吸系统防护</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空气中浓度超标时，必须佩戴自吸过滤式防毒面具（半面罩）。紧急事态抢救或撤离时应佩戴空气呼吸器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眼睛防护</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戴化学安全防护眼镜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身体防护</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穿防毒物渗透工作服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手防护</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戴橡胶耐油手套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6" w:type="dxa"/>
                  <w:bottom w:w="0" w:type="dxa"/>
                  <w:right w:w="0" w:type="dxa"/>
                </w:tblCellMar>
              </w:tblPrEx>
              <w:trPr>
                <w:trHeight w:val="292"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其他防护</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工作现场严禁吸烟，避免长期反复接触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92" w:hRule="atLeast"/>
                <w:jc w:val="center"/>
              </w:trPr>
              <w:tc>
                <w:tcPr>
                  <w:tcW w:w="659" w:type="dxa"/>
                  <w:vMerge w:val="restart"/>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急救措施</w:t>
                  </w: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皮肤接触</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脱去污染的衣着、用大量流动清水冲洗。就医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眼睛接触</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提起眼睑，用流动清水或生理盐水冲洗。就医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46"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吸入</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迅速脱离现场至空气新鲜处。保持呼吸道通畅。如呼吸困难，给输氧。如呼吸停止，立即进行人工呼吸。就医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8" w:hRule="atLeast"/>
                <w:jc w:val="center"/>
              </w:trPr>
              <w:tc>
                <w:tcPr>
                  <w:tcW w:w="659" w:type="dxa"/>
                  <w:vMerge w:val="continue"/>
                  <w:noWrap/>
                  <w:vAlign w:val="center"/>
                </w:tcPr>
                <w:p>
                  <w:pPr>
                    <w:pStyle w:val="15"/>
                    <w:bidi w:val="0"/>
                    <w:rPr>
                      <w:rFonts w:hint="default"/>
                      <w:color w:val="000000" w:themeColor="text1"/>
                      <w14:textFill>
                        <w14:solidFill>
                          <w14:schemeClr w14:val="tx1"/>
                        </w14:solidFill>
                      </w14:textFill>
                    </w:rPr>
                  </w:pPr>
                </w:p>
              </w:tc>
              <w:tc>
                <w:tcPr>
                  <w:tcW w:w="168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食入</w:t>
                  </w:r>
                </w:p>
              </w:tc>
              <w:tc>
                <w:tcPr>
                  <w:tcW w:w="6013"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饮足量温水，催吐。就医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883" w:hRule="atLeast"/>
                <w:jc w:val="center"/>
              </w:trPr>
              <w:tc>
                <w:tcPr>
                  <w:tcW w:w="659" w:type="dxa"/>
                  <w:noWrap/>
                  <w:vAlign w:val="center"/>
                </w:tcPr>
                <w:p>
                  <w:pPr>
                    <w:pStyle w:val="15"/>
                    <w:bidi w:val="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应急处理</w:t>
                  </w:r>
                </w:p>
              </w:tc>
              <w:tc>
                <w:tcPr>
                  <w:tcW w:w="7696" w:type="dxa"/>
                  <w:gridSpan w:val="2"/>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迅速撤离</w:t>
                  </w: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污染区人员至安全区，并进行隔离，严格限制出入。切断火源。建议应急处理人员戴自给正压式呼吸器，穿防毒服，尽可能切断泄漏源。防止流入下水道、排洪沟等限制性空间。小量</w:t>
                  </w: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：用砂土或其他不燃材料吸附或吸收。大量泄漏：构筑围堤或挖坑收容。用泵转移至槽车或专用收集器内，回收或运至废物处理场所处置。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1106" w:hRule="atLeast"/>
                <w:jc w:val="center"/>
              </w:trPr>
              <w:tc>
                <w:tcPr>
                  <w:tcW w:w="659"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操作注意事项</w:t>
                  </w:r>
                </w:p>
              </w:tc>
              <w:tc>
                <w:tcPr>
                  <w:tcW w:w="7696" w:type="dxa"/>
                  <w:gridSpan w:val="2"/>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密闭操作，注意通风。操作人员必须经过专门培训，严格遵守操作规程。建议操作人员佩戴自吸过滤式防毒面具（半面罩），带化学安全防护眼镜，穿防毒无渗透工作服，戴橡胶耐油手套。远离火种、热源，工作场所严禁吸烟。使用防爆型的通风系统和设备，防止蒸汽</w:t>
                  </w: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到工作场所空气中，避免与氧化剂接触，搬运时要轻装轻卸，防止包装及容器损坏。配备相应品种和数量的消防器材及</w:t>
                  </w: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应急处理设备。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665" w:hRule="atLeast"/>
                <w:jc w:val="center"/>
              </w:trPr>
              <w:tc>
                <w:tcPr>
                  <w:tcW w:w="659" w:type="dxa"/>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储存注意事项</w:t>
                  </w:r>
                </w:p>
              </w:tc>
              <w:tc>
                <w:tcPr>
                  <w:tcW w:w="7696" w:type="dxa"/>
                  <w:gridSpan w:val="2"/>
                  <w:noWrap/>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储存于阴凉、通风的库房，远离火种、热源。应与氧化剂分开存放，切忌混储，配备相应品种和数量的消防器材，储区应备有</w:t>
                  </w:r>
                  <w:r>
                    <w:rPr>
                      <w:rFonts w:hint="eastAsia"/>
                      <w:color w:val="000000" w:themeColor="text1"/>
                      <w:lang w:eastAsia="zh-CN"/>
                      <w14:textFill>
                        <w14:solidFill>
                          <w14:schemeClr w14:val="tx1"/>
                        </w14:solidFill>
                      </w14:textFill>
                    </w:rPr>
                    <w:t>泄漏</w:t>
                  </w:r>
                  <w:r>
                    <w:rPr>
                      <w:rFonts w:hint="default"/>
                      <w:color w:val="000000" w:themeColor="text1"/>
                      <w14:textFill>
                        <w14:solidFill>
                          <w14:schemeClr w14:val="tx1"/>
                        </w14:solidFill>
                      </w14:textFill>
                    </w:rPr>
                    <w:t>应急处理设备和的收容材料。</w:t>
                  </w:r>
                </w:p>
              </w:tc>
            </w:tr>
          </w:tbl>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2.2</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生产设施和风险类型风险识别</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本项目产生的环境风险主要是烟气超标排放和火灾引发的次生污染和危害</w:t>
            </w:r>
            <w:r>
              <w:rPr>
                <w:rFonts w:hint="eastAsia"/>
                <w:color w:val="000000" w:themeColor="text1"/>
                <w:sz w:val="24"/>
                <w:szCs w:val="24"/>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项目区发生火灾引发的次生环境污染和消防废水环境污染</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3</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环境风险评价的等级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环境风险评价技术导则》（HJ169-2018），建设项目环境风险潜势划分为Ⅰ、Ⅱ、Ⅲ、Ⅳ/Ⅳ+级。根据建设项目涉及的物质和工艺系统的危险性及其所在地的环境敏感程度，结合事故情形下环境影响途径，对建设项目潜在环境危害程度进行概化分析，按照下表确定环境风险潜势。</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4-33</w:t>
            </w:r>
            <w:r>
              <w:rPr>
                <w:rFonts w:hint="default"/>
                <w:b/>
                <w:bCs/>
                <w:color w:val="000000" w:themeColor="text1"/>
                <w14:textFill>
                  <w14:solidFill>
                    <w14:schemeClr w14:val="tx1"/>
                  </w14:solidFill>
                </w14:textFill>
              </w:rPr>
              <w:t xml:space="preserve">   建设项目环境风险潜势划分</w:t>
            </w:r>
          </w:p>
          <w:tbl>
            <w:tblPr>
              <w:tblStyle w:val="10"/>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
            <w:tblGrid>
              <w:gridCol w:w="2050"/>
              <w:gridCol w:w="1629"/>
              <w:gridCol w:w="1629"/>
              <w:gridCol w:w="1494"/>
              <w:gridCol w:w="14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Ex>
              <w:trPr>
                <w:trHeight w:val="283" w:hRule="atLeast"/>
                <w:jc w:val="center"/>
              </w:trPr>
              <w:tc>
                <w:tcPr>
                  <w:tcW w:w="2050"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环境敏感程度（E）</w:t>
                  </w:r>
                </w:p>
              </w:tc>
              <w:tc>
                <w:tcPr>
                  <w:tcW w:w="6170" w:type="dxa"/>
                  <w:gridSpan w:val="4"/>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Ex>
              <w:trPr>
                <w:trHeight w:val="282" w:hRule="atLeast"/>
                <w:jc w:val="center"/>
              </w:trPr>
              <w:tc>
                <w:tcPr>
                  <w:tcW w:w="2050" w:type="dxa"/>
                  <w:vMerge w:val="continue"/>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p>
              </w:tc>
              <w:tc>
                <w:tcPr>
                  <w:tcW w:w="1629" w:type="dxa"/>
                  <w:tcBorders>
                    <w:bottom w:val="single" w:color="000000"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极高危害（P1）</w:t>
                  </w:r>
                </w:p>
              </w:tc>
              <w:tc>
                <w:tcPr>
                  <w:tcW w:w="1629" w:type="dxa"/>
                  <w:tcBorders>
                    <w:bottom w:val="single" w:color="000000"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高度危害（P2）</w:t>
                  </w:r>
                </w:p>
              </w:tc>
              <w:tc>
                <w:tcPr>
                  <w:tcW w:w="1494" w:type="dxa"/>
                  <w:tcBorders>
                    <w:bottom w:val="single" w:color="000000"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中度危害（P3）</w:t>
                  </w:r>
                </w:p>
              </w:tc>
              <w:tc>
                <w:tcPr>
                  <w:tcW w:w="1418" w:type="dxa"/>
                  <w:tcBorders>
                    <w:bottom w:val="single" w:color="000000" w:sz="12" w:space="0"/>
                  </w:tcBorders>
                  <w:noWrap w:val="0"/>
                  <w:vAlign w:val="top"/>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轻度危害（P4）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Ex>
              <w:trPr>
                <w:trHeight w:val="282" w:hRule="atLeast"/>
                <w:jc w:val="center"/>
              </w:trPr>
              <w:tc>
                <w:tcPr>
                  <w:tcW w:w="2050" w:type="dxa"/>
                  <w:tcBorders>
                    <w:top w:val="single" w:color="000000"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环境高度敏感区（E1）</w:t>
                  </w:r>
                </w:p>
              </w:tc>
              <w:tc>
                <w:tcPr>
                  <w:tcW w:w="1629" w:type="dxa"/>
                  <w:tcBorders>
                    <w:top w:val="single" w:color="000000"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Ⅳ+</w:t>
                  </w:r>
                </w:p>
              </w:tc>
              <w:tc>
                <w:tcPr>
                  <w:tcW w:w="1629" w:type="dxa"/>
                  <w:tcBorders>
                    <w:top w:val="single" w:color="000000"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Ⅳ</w:t>
                  </w:r>
                </w:p>
              </w:tc>
              <w:tc>
                <w:tcPr>
                  <w:tcW w:w="1494" w:type="dxa"/>
                  <w:tcBorders>
                    <w:top w:val="single" w:color="000000"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w:t>
                  </w:r>
                </w:p>
              </w:tc>
              <w:tc>
                <w:tcPr>
                  <w:tcW w:w="1418" w:type="dxa"/>
                  <w:tcBorders>
                    <w:top w:val="single" w:color="000000" w:sz="12" w:space="0"/>
                  </w:tcBorders>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Ex>
              <w:trPr>
                <w:trHeight w:val="283" w:hRule="atLeast"/>
                <w:jc w:val="center"/>
              </w:trPr>
              <w:tc>
                <w:tcPr>
                  <w:tcW w:w="205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环境中度敏感区（E2</w:t>
                  </w:r>
                </w:p>
              </w:tc>
              <w:tc>
                <w:tcPr>
                  <w:tcW w:w="1629"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Ⅳ</w:t>
                  </w:r>
                </w:p>
              </w:tc>
              <w:tc>
                <w:tcPr>
                  <w:tcW w:w="1629"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w:t>
                  </w:r>
                </w:p>
              </w:tc>
              <w:tc>
                <w:tcPr>
                  <w:tcW w:w="1494"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w:t>
                  </w:r>
                </w:p>
              </w:tc>
              <w:tc>
                <w:tcPr>
                  <w:tcW w:w="1418"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Ex>
              <w:trPr>
                <w:trHeight w:val="282" w:hRule="atLeast"/>
                <w:jc w:val="center"/>
              </w:trPr>
              <w:tc>
                <w:tcPr>
                  <w:tcW w:w="2050"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环境低度敏感区（E3）</w:t>
                  </w:r>
                </w:p>
              </w:tc>
              <w:tc>
                <w:tcPr>
                  <w:tcW w:w="1629"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w:t>
                  </w:r>
                </w:p>
              </w:tc>
              <w:tc>
                <w:tcPr>
                  <w:tcW w:w="1629"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Ⅲ</w:t>
                  </w:r>
                </w:p>
              </w:tc>
              <w:tc>
                <w:tcPr>
                  <w:tcW w:w="1494"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Ⅱ</w:t>
                  </w:r>
                </w:p>
              </w:tc>
              <w:tc>
                <w:tcPr>
                  <w:tcW w:w="1418" w:type="dxa"/>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34" w:type="dxa"/>
                  <w:left w:w="108" w:type="dxa"/>
                  <w:bottom w:w="0" w:type="dxa"/>
                  <w:right w:w="2" w:type="dxa"/>
                </w:tblCellMar>
              </w:tblPrEx>
              <w:trPr>
                <w:trHeight w:val="282" w:hRule="atLeast"/>
                <w:jc w:val="center"/>
              </w:trPr>
              <w:tc>
                <w:tcPr>
                  <w:tcW w:w="8220" w:type="dxa"/>
                  <w:gridSpan w:val="5"/>
                  <w:noWrap w:val="0"/>
                  <w:vAlign w:val="top"/>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注：Ⅳ+为极高环境风险</w:t>
                  </w:r>
                </w:p>
              </w:tc>
            </w:tr>
          </w:tbl>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上表可知，风险潜势由危险物质及工艺系统危险性（P）与环境敏感程度（E）共同确定，而P的分级由风险物质数量与临界量的比值（Q）和所属行业及生产工艺特点（M）共同确定。风险物质数量与临界量比值（Q）为每种风险物质在厂界内的最大存在总量与其在《建设项目环境风险评价技术导则》（HJ169-2018）附录B中对应临界量的比值Q。</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当企业只涉及一种环境风险物质时，该物质的数量与其临界量比值，即为Q。</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当企业存在多种风险物质时，则按照下式进行计算</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7" o:spt="75" type="#_x0000_t75" style="height:33pt;width:143pt;" o:ole="t" filled="f" o:preferrelative="t" stroked="f" coordsize="21600,21600">
                  <v:path/>
                  <v:fill on="f" focussize="0,0"/>
                  <v:stroke on="f"/>
                  <v:imagedata r:id="rId42" o:title=""/>
                  <o:lock v:ext="edit" aspectratio="t"/>
                  <w10:wrap type="none"/>
                  <w10:anchorlock/>
                </v:shape>
                <o:OLEObject Type="Embed" ProgID="Equation.KSEE3" ShapeID="_x0000_i1037" DrawAspect="Content" ObjectID="_1468075737" r:id="rId41">
                  <o:LockedField>false</o:LockedField>
                </o:OLEObject>
              </w:objec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式中：q1、q2、q3、qn为每种风险物质的存在量，t；</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Q1、Q2、Q3、Qn为每种风险物质的临界量，t；</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当Q＜1时，该项目的环境风险潜势为I。</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本项目废机油最大储量0.05t，则本项目Q=0.05/2500=2×10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＜1，故本项目风险潜势为I，按照下表确定评价等级。</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4-34 </w:t>
            </w:r>
            <w:r>
              <w:rPr>
                <w:rFonts w:hint="default"/>
                <w:b/>
                <w:bCs/>
                <w:color w:val="000000" w:themeColor="text1"/>
                <w14:textFill>
                  <w14:solidFill>
                    <w14:schemeClr w14:val="tx1"/>
                  </w14:solidFill>
                </w14:textFill>
              </w:rPr>
              <w:t xml:space="preserve">  评价工作等级划分</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4"/>
              <w:gridCol w:w="1645"/>
              <w:gridCol w:w="1644"/>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43"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环境风险潜势</w:t>
                  </w:r>
                </w:p>
              </w:tc>
              <w:tc>
                <w:tcPr>
                  <w:tcW w:w="1644"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Ⅳ、Ⅳ+</w:t>
                  </w:r>
                </w:p>
              </w:tc>
              <w:tc>
                <w:tcPr>
                  <w:tcW w:w="1645"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Ⅲ</w:t>
                  </w:r>
                </w:p>
              </w:tc>
              <w:tc>
                <w:tcPr>
                  <w:tcW w:w="1644"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Ⅱ</w:t>
                  </w:r>
                </w:p>
              </w:tc>
              <w:tc>
                <w:tcPr>
                  <w:tcW w:w="1644"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43"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评价工作等级</w:t>
                  </w:r>
                </w:p>
              </w:tc>
              <w:tc>
                <w:tcPr>
                  <w:tcW w:w="1644"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w:t>
                  </w:r>
                </w:p>
              </w:tc>
              <w:tc>
                <w:tcPr>
                  <w:tcW w:w="1645"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二</w:t>
                  </w:r>
                </w:p>
              </w:tc>
              <w:tc>
                <w:tcPr>
                  <w:tcW w:w="1644"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三</w:t>
                  </w:r>
                </w:p>
              </w:tc>
              <w:tc>
                <w:tcPr>
                  <w:tcW w:w="1644"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20" w:type="dxa"/>
                  <w:gridSpan w:val="5"/>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a是相对详细评价工作内容而言，在描述危险物质、环境影响途径、环境危害后果、风险防范措施等放面给出定性的说明。</w:t>
                  </w:r>
                </w:p>
              </w:tc>
            </w:tr>
          </w:tbl>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通过上表可知，本项目风险潜势为I，评价工作等级为简单分析。</w:t>
            </w:r>
          </w:p>
          <w:p>
            <w:p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7.4 风险防范措施</w:t>
            </w:r>
          </w:p>
          <w:p>
            <w:pPr>
              <w:topLinePunct/>
              <w:spacing w:line="360" w:lineRule="auto"/>
              <w:ind w:firstLine="482" w:firstLineChars="200"/>
              <w:rPr>
                <w:b/>
                <w:bCs/>
                <w:snapToGrid w:val="0"/>
                <w:color w:val="000000" w:themeColor="text1"/>
                <w:kern w:val="0"/>
                <w:sz w:val="24"/>
                <w14:textFill>
                  <w14:solidFill>
                    <w14:schemeClr w14:val="tx1"/>
                  </w14:solidFill>
                </w14:textFill>
              </w:rPr>
            </w:pPr>
            <w:r>
              <w:rPr>
                <w:rFonts w:hint="eastAsia"/>
                <w:b/>
                <w:bCs/>
                <w:snapToGrid w:val="0"/>
                <w:color w:val="000000" w:themeColor="text1"/>
                <w:kern w:val="0"/>
                <w:sz w:val="24"/>
                <w:lang w:val="en-US" w:eastAsia="zh-CN"/>
                <w14:textFill>
                  <w14:solidFill>
                    <w14:schemeClr w14:val="tx1"/>
                  </w14:solidFill>
                </w14:textFill>
              </w:rPr>
              <w:t>7.4.1 生物质燃烧</w:t>
            </w:r>
            <w:r>
              <w:rPr>
                <w:rFonts w:hint="eastAsia"/>
                <w:b/>
                <w:bCs/>
                <w:snapToGrid w:val="0"/>
                <w:color w:val="000000" w:themeColor="text1"/>
                <w:kern w:val="0"/>
                <w:sz w:val="24"/>
                <w14:textFill>
                  <w14:solidFill>
                    <w14:schemeClr w14:val="tx1"/>
                  </w14:solidFill>
                </w14:textFill>
              </w:rPr>
              <w:t>烟气净化处理系统故障风险分析</w:t>
            </w:r>
          </w:p>
          <w:p>
            <w:pPr>
              <w:bidi w:val="0"/>
            </w:pPr>
            <w:r>
              <w:rPr>
                <w:rFonts w:hint="eastAsia"/>
              </w:rPr>
              <w:t>（</w:t>
            </w:r>
            <w:r>
              <w:t>1</w:t>
            </w:r>
            <w:r>
              <w:rPr>
                <w:rFonts w:hint="eastAsia"/>
              </w:rPr>
              <w:t>）</w:t>
            </w:r>
            <w:r>
              <w:rPr>
                <w:rFonts w:hint="eastAsia"/>
                <w:lang w:val="en-US" w:eastAsia="zh-CN"/>
              </w:rPr>
              <w:t>生物质燃烧</w:t>
            </w:r>
            <w:r>
              <w:rPr>
                <w:rFonts w:hint="eastAsia"/>
              </w:rPr>
              <w:t>烟气净化处理系统出现故障的一般原因</w:t>
            </w:r>
            <w:r>
              <w:t xml:space="preserve"> </w:t>
            </w:r>
          </w:p>
          <w:p>
            <w:pPr>
              <w:bidi w:val="0"/>
            </w:pPr>
            <w:r>
              <w:rPr>
                <w:rFonts w:hint="eastAsia"/>
              </w:rPr>
              <w:t>本工程热风炉除尘脱硫脱硝系统采用布袋除尘器</w:t>
            </w:r>
            <w:r>
              <w:t>+</w:t>
            </w:r>
            <w:r>
              <w:rPr>
                <w:rFonts w:hint="eastAsia"/>
                <w:lang w:val="en-US" w:eastAsia="zh-CN"/>
              </w:rPr>
              <w:t>钙钠双碱法脱硫</w:t>
            </w:r>
            <w:r>
              <w:t>+SNCR</w:t>
            </w:r>
            <w:r>
              <w:rPr>
                <w:rFonts w:hint="eastAsia"/>
              </w:rPr>
              <w:t>脱硝净化的工艺。一旦烟气净化处理系统出现故障，会使系统处理效果下降，甚至不能运行；同时脱硫、除尘效率也会随烟气净化处理系统运行工况和热风炉工况的变化而有所波动。另外，布袋除尘器受</w:t>
            </w:r>
            <w:r>
              <w:rPr>
                <w:rFonts w:hint="eastAsia"/>
                <w:lang w:val="en-US" w:eastAsia="zh-CN"/>
              </w:rPr>
              <w:t>燃烧</w:t>
            </w:r>
            <w:r>
              <w:rPr>
                <w:rFonts w:hint="eastAsia"/>
              </w:rPr>
              <w:t>烟气腐蚀漏风及热风炉工况发生变化等因素，都会使除尘器效率受到影响，严重时除尘效率会急剧下降，同时除尘器输灰系统如发生破损等事故，易产生粉尘外泄，对周边环境造成不良影响，进而影响</w:t>
            </w:r>
            <w:r>
              <w:rPr>
                <w:rFonts w:hint="eastAsia"/>
                <w:lang w:val="en-US" w:eastAsia="zh-CN"/>
              </w:rPr>
              <w:t>生物质燃烧</w:t>
            </w:r>
            <w:r>
              <w:rPr>
                <w:rFonts w:hint="eastAsia"/>
              </w:rPr>
              <w:t>烟气净化处理系统的处理效率，造成污染物超标排放。</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w:t>
            </w:r>
            <w:r>
              <w:rPr>
                <w:bCs/>
                <w:snapToGrid w:val="0"/>
                <w:color w:val="000000" w:themeColor="text1"/>
                <w:kern w:val="0"/>
                <w:sz w:val="24"/>
                <w14:textFill>
                  <w14:solidFill>
                    <w14:schemeClr w14:val="tx1"/>
                  </w14:solidFill>
                </w14:textFill>
              </w:rPr>
              <w:t>2</w:t>
            </w:r>
            <w:r>
              <w:rPr>
                <w:rFonts w:hint="eastAsia"/>
                <w:bCs/>
                <w:snapToGrid w:val="0"/>
                <w:color w:val="000000" w:themeColor="text1"/>
                <w:kern w:val="0"/>
                <w:sz w:val="24"/>
                <w14:textFill>
                  <w14:solidFill>
                    <w14:schemeClr w14:val="tx1"/>
                  </w14:solidFill>
                </w14:textFill>
              </w:rPr>
              <w:t>）事故影响分析及应对措施</w:t>
            </w:r>
            <w:r>
              <w:rPr>
                <w:bCs/>
                <w:snapToGrid w:val="0"/>
                <w:color w:val="000000" w:themeColor="text1"/>
                <w:kern w:val="0"/>
                <w:sz w:val="24"/>
                <w14:textFill>
                  <w14:solidFill>
                    <w14:schemeClr w14:val="tx1"/>
                  </w14:solidFill>
                </w14:textFill>
              </w:rPr>
              <w:t xml:space="preserve"> </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大气环境影响预测表明，本工程在正常工况下，排放的各类污染物对项目地周边环境质量现状的影响很小，但烟气净化处理系统如出现事故，外排烟气会导致下风向污染物浓度急剧增大，对周边环境空气造成不利影响。本工程采用的清灰技术已经相当成熟，运行稳定，操作方便灵活。因此，只要加强对设备操作和维修人员的培训，熟练操作即可避免烟尘风险排放事故的出现。</w:t>
            </w:r>
          </w:p>
          <w:p>
            <w:pPr>
              <w:topLinePunct/>
              <w:spacing w:line="360" w:lineRule="auto"/>
              <w:ind w:firstLine="482" w:firstLineChars="200"/>
              <w:rPr>
                <w:b/>
                <w:snapToGrid w:val="0"/>
                <w:color w:val="000000" w:themeColor="text1"/>
                <w:kern w:val="0"/>
                <w:sz w:val="24"/>
                <w14:textFill>
                  <w14:solidFill>
                    <w14:schemeClr w14:val="tx1"/>
                  </w14:solidFill>
                </w14:textFill>
              </w:rPr>
            </w:pPr>
            <w:r>
              <w:rPr>
                <w:rFonts w:hint="eastAsia"/>
                <w:b/>
                <w:snapToGrid w:val="0"/>
                <w:color w:val="000000" w:themeColor="text1"/>
                <w:kern w:val="0"/>
                <w:sz w:val="24"/>
                <w:lang w:val="en-US" w:eastAsia="zh-CN"/>
                <w14:textFill>
                  <w14:solidFill>
                    <w14:schemeClr w14:val="tx1"/>
                  </w14:solidFill>
                </w14:textFill>
              </w:rPr>
              <w:t xml:space="preserve">7.4.2 </w:t>
            </w:r>
            <w:r>
              <w:rPr>
                <w:rFonts w:hint="eastAsia"/>
                <w:b/>
                <w:snapToGrid w:val="0"/>
                <w:color w:val="000000" w:themeColor="text1"/>
                <w:kern w:val="0"/>
                <w:sz w:val="24"/>
                <w14:textFill>
                  <w14:solidFill>
                    <w14:schemeClr w14:val="tx1"/>
                  </w14:solidFill>
                </w14:textFill>
              </w:rPr>
              <w:t>烘干厂粉尘、烘干设备及成品库房风险分析</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w:t>
            </w:r>
            <w:r>
              <w:rPr>
                <w:bCs/>
                <w:snapToGrid w:val="0"/>
                <w:color w:val="000000" w:themeColor="text1"/>
                <w:kern w:val="0"/>
                <w:sz w:val="24"/>
                <w14:textFill>
                  <w14:solidFill>
                    <w14:schemeClr w14:val="tx1"/>
                  </w14:solidFill>
                </w14:textFill>
              </w:rPr>
              <w:t>1</w:t>
            </w:r>
            <w:r>
              <w:rPr>
                <w:rFonts w:hint="eastAsia"/>
                <w:bCs/>
                <w:snapToGrid w:val="0"/>
                <w:color w:val="000000" w:themeColor="text1"/>
                <w:kern w:val="0"/>
                <w:sz w:val="24"/>
                <w14:textFill>
                  <w14:solidFill>
                    <w14:schemeClr w14:val="tx1"/>
                  </w14:solidFill>
                </w14:textFill>
              </w:rPr>
              <w:t>）粉尘危害、烘干设备火灾危害及成品库房火灾危害分析</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①粉尘危害</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粉尘是指悬浮于空气中的微小颗粒物，是在初清、输送、烘干等过程产生的。粉尘为可燃的有机物质，平均粒径为</w:t>
            </w:r>
            <w:r>
              <w:rPr>
                <w:bCs/>
                <w:snapToGrid w:val="0"/>
                <w:color w:val="000000" w:themeColor="text1"/>
                <w:kern w:val="0"/>
                <w:sz w:val="24"/>
                <w14:textFill>
                  <w14:solidFill>
                    <w14:schemeClr w14:val="tx1"/>
                  </w14:solidFill>
                </w14:textFill>
              </w:rPr>
              <w:t>20~50um</w:t>
            </w:r>
            <w:r>
              <w:rPr>
                <w:rFonts w:hint="eastAsia"/>
                <w:bCs/>
                <w:snapToGrid w:val="0"/>
                <w:color w:val="000000" w:themeColor="text1"/>
                <w:kern w:val="0"/>
                <w:sz w:val="24"/>
                <w14:textFill>
                  <w14:solidFill>
                    <w14:schemeClr w14:val="tx1"/>
                  </w14:solidFill>
                </w14:textFill>
              </w:rPr>
              <w:t>，爆炸下限浓度为</w:t>
            </w:r>
            <w:r>
              <w:rPr>
                <w:bCs/>
                <w:snapToGrid w:val="0"/>
                <w:color w:val="000000" w:themeColor="text1"/>
                <w:kern w:val="0"/>
                <w:sz w:val="24"/>
                <w14:textFill>
                  <w14:solidFill>
                    <w14:schemeClr w14:val="tx1"/>
                  </w14:solidFill>
                </w14:textFill>
              </w:rPr>
              <w:t>67~93g/m</w:t>
            </w:r>
            <w:r>
              <w:rPr>
                <w:bCs/>
                <w:snapToGrid w:val="0"/>
                <w:color w:val="000000" w:themeColor="text1"/>
                <w:kern w:val="0"/>
                <w:sz w:val="24"/>
                <w:vertAlign w:val="superscript"/>
                <w14:textFill>
                  <w14:solidFill>
                    <w14:schemeClr w14:val="tx1"/>
                  </w14:solidFill>
                </w14:textFill>
              </w:rPr>
              <w:t>3</w:t>
            </w:r>
            <w:r>
              <w:rPr>
                <w:rFonts w:hint="eastAsia"/>
                <w:bCs/>
                <w:snapToGrid w:val="0"/>
                <w:color w:val="000000" w:themeColor="text1"/>
                <w:kern w:val="0"/>
                <w:sz w:val="24"/>
                <w14:textFill>
                  <w14:solidFill>
                    <w14:schemeClr w14:val="tx1"/>
                  </w14:solidFill>
                </w14:textFill>
              </w:rPr>
              <w:t>，因此项目具有一定的爆炸危险特性。此外，粉尘还会影响人的呼吸系统的健康，易造成肺部及呼吸等方面的职业病。</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②烘干设备火灾危害</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rFonts w:hint="eastAsia"/>
                <w:bCs/>
                <w:snapToGrid w:val="0"/>
                <w:color w:val="000000" w:themeColor="text1"/>
                <w:kern w:val="0"/>
                <w:sz w:val="24"/>
                <w14:textFill>
                  <w14:solidFill>
                    <w14:schemeClr w14:val="tx1"/>
                  </w14:solidFill>
                </w14:textFill>
              </w:rPr>
              <w:t>玉米烘干设备引发的火灾是由于烘干设</w:t>
            </w:r>
            <w:r>
              <w:rPr>
                <w:rFonts w:hint="eastAsia"/>
                <w:bCs/>
                <w:snapToGrid w:val="0"/>
                <w:color w:val="000000" w:themeColor="text1"/>
                <w:kern w:val="0"/>
                <w:sz w:val="24"/>
                <w:lang w:val="en-GB"/>
                <w14:textFill>
                  <w14:solidFill>
                    <w14:schemeClr w14:val="tx1"/>
                  </w14:solidFill>
                </w14:textFill>
              </w:rPr>
              <w:t>备的绝缘大量使用塑料、橡胶、稀释剂等易燃物品，在</w:t>
            </w:r>
            <w:r>
              <w:rPr>
                <w:rFonts w:hint="eastAsia"/>
                <w:bCs/>
                <w:snapToGrid w:val="0"/>
                <w:color w:val="000000" w:themeColor="text1"/>
                <w:kern w:val="0"/>
                <w:sz w:val="24"/>
                <w14:textFill>
                  <w14:solidFill>
                    <w14:schemeClr w14:val="tx1"/>
                  </w14:solidFill>
                </w14:textFill>
              </w:rPr>
              <w:t>烘干设备</w:t>
            </w:r>
            <w:r>
              <w:rPr>
                <w:rFonts w:hint="eastAsia"/>
                <w:bCs/>
                <w:snapToGrid w:val="0"/>
                <w:color w:val="000000" w:themeColor="text1"/>
                <w:kern w:val="0"/>
                <w:sz w:val="24"/>
                <w:lang w:val="en-GB"/>
                <w14:textFill>
                  <w14:solidFill>
                    <w14:schemeClr w14:val="tx1"/>
                  </w14:solidFill>
                </w14:textFill>
              </w:rPr>
              <w:t>运行时，由于过载、短路、漏电或开关的动作，熔断器的烧断，都可能引起高温、高热或产生电弧、放电火花，从而导致火灾和爆炸事故的发生。</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③成品堆放库房火灾危害</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成品堆放库房发生火灾的风险是由于烘干后的玉米如长期且大量堆放于烘干厂内，在遇到明火或极端高温时有可能发生的火灾。</w:t>
            </w:r>
          </w:p>
          <w:p>
            <w:pPr>
              <w:topLinePunct/>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2</w:t>
            </w:r>
            <w:r>
              <w:rPr>
                <w:rFonts w:hint="eastAsia"/>
                <w:snapToGrid w:val="0"/>
                <w:color w:val="000000" w:themeColor="text1"/>
                <w:kern w:val="0"/>
                <w:sz w:val="24"/>
                <w14:textFill>
                  <w14:solidFill>
                    <w14:schemeClr w14:val="tx1"/>
                  </w14:solidFill>
                </w14:textFill>
              </w:rPr>
              <w:t>）烘干厂相应事故防范措施</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①粉尘事故防范措施</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为保证库区生产的顺利进行，保证生产环境的卫生，有效地预防粉尘爆炸发生，评价建议采取以下措施：</w:t>
            </w:r>
          </w:p>
          <w:p>
            <w:pPr>
              <w:topLinePunct/>
              <w:spacing w:line="360" w:lineRule="auto"/>
              <w:ind w:firstLine="480" w:firstLineChars="200"/>
              <w:rPr>
                <w:bCs/>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A.</w:t>
            </w:r>
            <w:r>
              <w:rPr>
                <w:rFonts w:hint="eastAsia"/>
                <w:bCs/>
                <w:snapToGrid w:val="0"/>
                <w:color w:val="000000" w:themeColor="text1"/>
                <w:kern w:val="0"/>
                <w:sz w:val="24"/>
                <w14:textFill>
                  <w14:solidFill>
                    <w14:schemeClr w14:val="tx1"/>
                  </w14:solidFill>
                </w14:textFill>
              </w:rPr>
              <w:t>严格执行</w:t>
            </w:r>
            <w:r>
              <w:rPr>
                <w:bCs/>
                <w:snapToGrid w:val="0"/>
                <w:color w:val="000000" w:themeColor="text1"/>
                <w:kern w:val="0"/>
                <w:sz w:val="24"/>
                <w14:textFill>
                  <w14:solidFill>
                    <w14:schemeClr w14:val="tx1"/>
                  </w14:solidFill>
                </w14:textFill>
              </w:rPr>
              <w:t>GB17440-1998</w:t>
            </w:r>
            <w:r>
              <w:rPr>
                <w:rFonts w:hint="eastAsia"/>
                <w:bCs/>
                <w:snapToGrid w:val="0"/>
                <w:color w:val="000000" w:themeColor="text1"/>
                <w:kern w:val="0"/>
                <w:sz w:val="24"/>
                <w14:textFill>
                  <w14:solidFill>
                    <w14:schemeClr w14:val="tx1"/>
                  </w14:solidFill>
                </w14:textFill>
              </w:rPr>
              <w:t>《粮食加工、储运系统粉尘防爆安全规程》中相关规定。</w:t>
            </w:r>
          </w:p>
          <w:p>
            <w:pPr>
              <w:topLinePunct/>
              <w:spacing w:line="360" w:lineRule="auto"/>
              <w:ind w:firstLine="480" w:firstLineChars="200"/>
              <w:rPr>
                <w:bCs/>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 xml:space="preserve">B. </w:t>
            </w:r>
            <w:r>
              <w:rPr>
                <w:rFonts w:hint="eastAsia"/>
                <w:bCs/>
                <w:snapToGrid w:val="0"/>
                <w:color w:val="000000" w:themeColor="text1"/>
                <w:kern w:val="0"/>
                <w:sz w:val="24"/>
                <w14:textFill>
                  <w14:solidFill>
                    <w14:schemeClr w14:val="tx1"/>
                  </w14:solidFill>
                </w14:textFill>
              </w:rPr>
              <w:t>控制、降低空气中的粉尘浓度，加强通风。</w:t>
            </w:r>
          </w:p>
          <w:p>
            <w:pPr>
              <w:topLinePunct/>
              <w:spacing w:line="360" w:lineRule="auto"/>
              <w:ind w:firstLine="480" w:firstLineChars="200"/>
              <w:rPr>
                <w:bCs/>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C.</w:t>
            </w:r>
            <w:r>
              <w:rPr>
                <w:rFonts w:hint="eastAsia"/>
                <w:bCs/>
                <w:snapToGrid w:val="0"/>
                <w:color w:val="000000" w:themeColor="text1"/>
                <w:kern w:val="0"/>
                <w:sz w:val="24"/>
                <w14:textFill>
                  <w14:solidFill>
                    <w14:schemeClr w14:val="tx1"/>
                  </w14:solidFill>
                </w14:textFill>
              </w:rPr>
              <w:t>严禁明火作业，储粮流程中选用磁选装置，去除铁质等杂质。</w:t>
            </w:r>
          </w:p>
          <w:p>
            <w:pPr>
              <w:topLinePunct/>
              <w:spacing w:line="360" w:lineRule="auto"/>
              <w:ind w:firstLine="480" w:firstLineChars="200"/>
              <w:rPr>
                <w:bCs/>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D.</w:t>
            </w:r>
            <w:r>
              <w:rPr>
                <w:rFonts w:hint="eastAsia"/>
                <w:bCs/>
                <w:snapToGrid w:val="0"/>
                <w:color w:val="000000" w:themeColor="text1"/>
                <w:kern w:val="0"/>
                <w:sz w:val="24"/>
                <w14:textFill>
                  <w14:solidFill>
                    <w14:schemeClr w14:val="tx1"/>
                  </w14:solidFill>
                </w14:textFill>
              </w:rPr>
              <w:t>电气设计和电机设备的选用，必须按照国家标准《爆炸和火灾危险环境电力装置设计规范》及行业标准进行设计和选型。</w:t>
            </w:r>
          </w:p>
          <w:p>
            <w:pPr>
              <w:topLinePunct/>
              <w:spacing w:line="360" w:lineRule="auto"/>
              <w:ind w:firstLine="480" w:firstLineChars="200"/>
              <w:rPr>
                <w:bCs/>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E.</w:t>
            </w:r>
            <w:r>
              <w:rPr>
                <w:rFonts w:hint="eastAsia"/>
                <w:bCs/>
                <w:snapToGrid w:val="0"/>
                <w:color w:val="000000" w:themeColor="text1"/>
                <w:kern w:val="0"/>
                <w:sz w:val="24"/>
                <w14:textFill>
                  <w14:solidFill>
                    <w14:schemeClr w14:val="tx1"/>
                  </w14:solidFill>
                </w14:textFill>
              </w:rPr>
              <w:t>加强管理，明确岗位责任制，定期检查、维修、保养设备及构件，确保各种工艺、电气、除尘设备的正常运行，以及消防系统的可靠性。</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②烘干设</w:t>
            </w:r>
            <w:r>
              <w:rPr>
                <w:rFonts w:hint="eastAsia"/>
                <w:bCs/>
                <w:snapToGrid w:val="0"/>
                <w:color w:val="000000" w:themeColor="text1"/>
                <w:kern w:val="0"/>
                <w:sz w:val="24"/>
                <w:lang w:val="en-GB"/>
                <w14:textFill>
                  <w14:solidFill>
                    <w14:schemeClr w14:val="tx1"/>
                  </w14:solidFill>
                </w14:textFill>
              </w:rPr>
              <w:t>备火灾或爆炸</w:t>
            </w:r>
            <w:r>
              <w:rPr>
                <w:rFonts w:hint="eastAsia"/>
                <w:bCs/>
                <w:snapToGrid w:val="0"/>
                <w:color w:val="000000" w:themeColor="text1"/>
                <w:kern w:val="0"/>
                <w:sz w:val="24"/>
                <w14:textFill>
                  <w14:solidFill>
                    <w14:schemeClr w14:val="tx1"/>
                  </w14:solidFill>
                </w14:textFill>
              </w:rPr>
              <w:t>事故防范措施</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bCs/>
                <w:snapToGrid w:val="0"/>
                <w:color w:val="000000" w:themeColor="text1"/>
                <w:kern w:val="0"/>
                <w:sz w:val="24"/>
                <w14:textFill>
                  <w14:solidFill>
                    <w14:schemeClr w14:val="tx1"/>
                  </w14:solidFill>
                </w14:textFill>
              </w:rPr>
              <w:t xml:space="preserve">A. </w:t>
            </w:r>
            <w:r>
              <w:rPr>
                <w:rFonts w:hint="eastAsia"/>
                <w:bCs/>
                <w:snapToGrid w:val="0"/>
                <w:color w:val="000000" w:themeColor="text1"/>
                <w:kern w:val="0"/>
                <w:sz w:val="24"/>
                <w:lang w:val="en-GB"/>
                <w14:textFill>
                  <w14:solidFill>
                    <w14:schemeClr w14:val="tx1"/>
                  </w14:solidFill>
                </w14:textFill>
              </w:rPr>
              <w:t>排除易燃易爆环境</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rFonts w:hint="eastAsia"/>
                <w:bCs/>
                <w:snapToGrid w:val="0"/>
                <w:color w:val="000000" w:themeColor="text1"/>
                <w:kern w:val="0"/>
                <w:sz w:val="24"/>
                <w:lang w:val="en-GB"/>
                <w14:textFill>
                  <w14:solidFill>
                    <w14:schemeClr w14:val="tx1"/>
                  </w14:solidFill>
                </w14:textFill>
              </w:rPr>
              <w:t>保持良好通风，加速空气流通和交换，能有效降低因连续工作导致的烘箱温度升高，使之远离爆炸风险。</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bCs/>
                <w:snapToGrid w:val="0"/>
                <w:color w:val="000000" w:themeColor="text1"/>
                <w:kern w:val="0"/>
                <w:sz w:val="24"/>
                <w14:textFill>
                  <w14:solidFill>
                    <w14:schemeClr w14:val="tx1"/>
                  </w14:solidFill>
                </w14:textFill>
              </w:rPr>
              <w:t>B.</w:t>
            </w:r>
            <w:r>
              <w:rPr>
                <w:rFonts w:hint="eastAsia"/>
                <w:bCs/>
                <w:snapToGrid w:val="0"/>
                <w:color w:val="000000" w:themeColor="text1"/>
                <w:kern w:val="0"/>
                <w:sz w:val="24"/>
                <w:lang w:val="en-GB"/>
                <w14:textFill>
                  <w14:solidFill>
                    <w14:schemeClr w14:val="tx1"/>
                  </w14:solidFill>
                </w14:textFill>
              </w:rPr>
              <w:t>排除各种电气火源</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rFonts w:hint="eastAsia"/>
                <w:bCs/>
                <w:snapToGrid w:val="0"/>
                <w:color w:val="000000" w:themeColor="text1"/>
                <w:kern w:val="0"/>
                <w:sz w:val="24"/>
                <w:lang w:val="en-GB"/>
                <w14:textFill>
                  <w14:solidFill>
                    <w14:schemeClr w14:val="tx1"/>
                  </w14:solidFill>
                </w14:textFill>
              </w:rPr>
              <w:t>为了防止电气火灾与爆炸事故的发生，首先应当正确地选择、安装、使用和维护电气设备及线路，并按规定正确采用各种保护措施。并定期检查，及时发现着火隐患。</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bCs/>
                <w:snapToGrid w:val="0"/>
                <w:color w:val="000000" w:themeColor="text1"/>
                <w:kern w:val="0"/>
                <w:sz w:val="24"/>
                <w14:textFill>
                  <w14:solidFill>
                    <w14:schemeClr w14:val="tx1"/>
                  </w14:solidFill>
                </w14:textFill>
              </w:rPr>
              <w:t>C.</w:t>
            </w:r>
            <w:r>
              <w:rPr>
                <w:rFonts w:hint="eastAsia"/>
                <w:bCs/>
                <w:snapToGrid w:val="0"/>
                <w:color w:val="000000" w:themeColor="text1"/>
                <w:kern w:val="0"/>
                <w:sz w:val="24"/>
                <w:lang w:val="en-GB"/>
                <w14:textFill>
                  <w14:solidFill>
                    <w14:schemeClr w14:val="tx1"/>
                  </w14:solidFill>
                </w14:textFill>
              </w:rPr>
              <w:t>加大消防监督、整顿力度</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rFonts w:hint="eastAsia"/>
                <w:bCs/>
                <w:snapToGrid w:val="0"/>
                <w:color w:val="000000" w:themeColor="text1"/>
                <w:kern w:val="0"/>
                <w:sz w:val="24"/>
                <w:lang w:val="en-GB"/>
                <w14:textFill>
                  <w14:solidFill>
                    <w14:schemeClr w14:val="tx1"/>
                  </w14:solidFill>
                </w14:textFill>
              </w:rPr>
              <w:t>严格按照电气安全规程等国家有关法规规定，加大监督力度，对在安全检查中发现的电气安装不合格、线路老化、用电设施不配套，乱拉乱接、超负荷运行等问题，必须将其及时纠正。</w:t>
            </w:r>
          </w:p>
          <w:p>
            <w:pPr>
              <w:topLinePunct/>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lang w:val="en-GB"/>
                <w14:textFill>
                  <w14:solidFill>
                    <w14:schemeClr w14:val="tx1"/>
                  </w14:solidFill>
                </w14:textFill>
              </w:rPr>
              <w:t>③成品堆放库房火灾</w:t>
            </w:r>
            <w:r>
              <w:rPr>
                <w:rFonts w:hint="eastAsia"/>
                <w:bCs/>
                <w:snapToGrid w:val="0"/>
                <w:color w:val="000000" w:themeColor="text1"/>
                <w:kern w:val="0"/>
                <w:sz w:val="24"/>
                <w14:textFill>
                  <w14:solidFill>
                    <w14:schemeClr w14:val="tx1"/>
                  </w14:solidFill>
                </w14:textFill>
              </w:rPr>
              <w:t>事故防范措施</w:t>
            </w:r>
          </w:p>
          <w:p>
            <w:pPr>
              <w:topLinePunct/>
              <w:spacing w:line="360" w:lineRule="auto"/>
              <w:ind w:firstLine="480" w:firstLineChars="200"/>
              <w:rPr>
                <w:bCs/>
                <w:snapToGrid w:val="0"/>
                <w:color w:val="000000" w:themeColor="text1"/>
                <w:kern w:val="0"/>
                <w:sz w:val="24"/>
                <w:lang w:val="en-GB"/>
                <w14:textFill>
                  <w14:solidFill>
                    <w14:schemeClr w14:val="tx1"/>
                  </w14:solidFill>
                </w14:textFill>
              </w:rPr>
            </w:pPr>
            <w:r>
              <w:rPr>
                <w:rFonts w:hint="eastAsia"/>
                <w:bCs/>
                <w:snapToGrid w:val="0"/>
                <w:color w:val="000000" w:themeColor="text1"/>
                <w:kern w:val="0"/>
                <w:sz w:val="24"/>
                <w:lang w:val="en-GB"/>
                <w14:textFill>
                  <w14:solidFill>
                    <w14:schemeClr w14:val="tx1"/>
                  </w14:solidFill>
                </w14:textFill>
              </w:rPr>
              <w:t>为避免</w:t>
            </w:r>
            <w:r>
              <w:rPr>
                <w:rFonts w:hint="eastAsia"/>
                <w:bCs/>
                <w:snapToGrid w:val="0"/>
                <w:color w:val="000000" w:themeColor="text1"/>
                <w:kern w:val="0"/>
                <w:sz w:val="24"/>
                <w14:textFill>
                  <w14:solidFill>
                    <w14:schemeClr w14:val="tx1"/>
                  </w14:solidFill>
                </w14:textFill>
              </w:rPr>
              <w:t>堆场发生火灾，烘干后的玉米应待到温度恢复至进料温度时及时运至库房</w:t>
            </w:r>
            <w:r>
              <w:rPr>
                <w:rFonts w:hint="eastAsia"/>
                <w:bCs/>
                <w:snapToGrid w:val="0"/>
                <w:color w:val="000000" w:themeColor="text1"/>
                <w:kern w:val="0"/>
                <w:sz w:val="24"/>
                <w:lang w:val="en-GB"/>
                <w14:textFill>
                  <w14:solidFill>
                    <w14:schemeClr w14:val="tx1"/>
                  </w14:solidFill>
                </w14:textFill>
              </w:rPr>
              <w:t>或打包外运；在遇</w:t>
            </w:r>
            <w:r>
              <w:rPr>
                <w:rFonts w:hint="eastAsia"/>
                <w:bCs/>
                <w:snapToGrid w:val="0"/>
                <w:color w:val="000000" w:themeColor="text1"/>
                <w:kern w:val="0"/>
                <w:sz w:val="24"/>
                <w14:textFill>
                  <w14:solidFill>
                    <w14:schemeClr w14:val="tx1"/>
                  </w14:solidFill>
                </w14:textFill>
              </w:rPr>
              <w:t>极端高温时加强对临时存放厂的降温与通风</w:t>
            </w:r>
            <w:r>
              <w:rPr>
                <w:rFonts w:hint="eastAsia"/>
                <w:bCs/>
                <w:snapToGrid w:val="0"/>
                <w:color w:val="000000" w:themeColor="text1"/>
                <w:kern w:val="0"/>
                <w:sz w:val="24"/>
                <w:lang w:val="en-GB"/>
                <w14:textFill>
                  <w14:solidFill>
                    <w14:schemeClr w14:val="tx1"/>
                  </w14:solidFill>
                </w14:textFill>
              </w:rPr>
              <w:t>，从而避免</w:t>
            </w:r>
            <w:r>
              <w:rPr>
                <w:rFonts w:hint="eastAsia"/>
                <w:bCs/>
                <w:snapToGrid w:val="0"/>
                <w:color w:val="000000" w:themeColor="text1"/>
                <w:kern w:val="0"/>
                <w:sz w:val="24"/>
                <w14:textFill>
                  <w14:solidFill>
                    <w14:schemeClr w14:val="tx1"/>
                  </w14:solidFill>
                </w14:textFill>
              </w:rPr>
              <w:t>堆放仓库火灾的发生。</w:t>
            </w:r>
          </w:p>
          <w:p>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7.5 应急预案的建立</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针对以上的分析，建设单位在项目实施后应该建立相应的环境风险事故应急预案。应急预案所要求的基本内容可参照下表中的相关内容。</w:t>
            </w:r>
          </w:p>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4-35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应急预案内容</w:t>
            </w:r>
          </w:p>
          <w:tbl>
            <w:tblPr>
              <w:tblStyle w:val="10"/>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370"/>
              <w:gridCol w:w="6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12"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2370" w:type="dxa"/>
                  <w:tcBorders>
                    <w:top w:val="single" w:color="auto" w:sz="12" w:space="0"/>
                    <w:left w:val="single" w:color="auto" w:sz="4" w:space="0"/>
                    <w:bottom w:val="single" w:color="auto" w:sz="12" w:space="0"/>
                    <w:right w:val="single" w:color="auto" w:sz="4"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w:t>
                  </w:r>
                </w:p>
              </w:tc>
              <w:tc>
                <w:tcPr>
                  <w:tcW w:w="6094" w:type="dxa"/>
                  <w:tcBorders>
                    <w:top w:val="single" w:color="auto" w:sz="12" w:space="0"/>
                    <w:left w:val="single" w:color="auto" w:sz="4"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12"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370" w:type="dxa"/>
                  <w:tcBorders>
                    <w:top w:val="single" w:color="auto" w:sz="12"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应急计划区</w:t>
                  </w:r>
                </w:p>
              </w:tc>
              <w:tc>
                <w:tcPr>
                  <w:tcW w:w="6094" w:type="dxa"/>
                  <w:tcBorders>
                    <w:top w:val="single" w:color="auto" w:sz="12"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危险目标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装置区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应急组织机构、人员</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项目区、地区应急组织机构、人员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预案分级响应条件</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应急救援保障</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应急设施，设备与器材等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报警、通讯联络方式</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应急环境监测、抢险、</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救援及控制措施</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由专业队伍负责对事故现场进行侦查监测，对事故性质、参数与后果进行评估，为指挥部门提供决策依据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应急检测、防护措施、</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清除泄漏措施和器材</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人员紧急撤离、疏散，应急剂量控制、撤离组织计划</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事故现场、项目区邻近区、受事故影响的区域人员及公众对毒物应急剂量控制规定，撤离组织计划及救护，医疗救护与公众健康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9</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事故应急救援关闭程序与恢复措施</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规定应急状态终止程序</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事故现场上后处理，恢复措施</w:t>
                  </w:r>
                </w:p>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2370" w:type="dxa"/>
                  <w:tcBorders>
                    <w:top w:val="single" w:color="auto" w:sz="4" w:space="0"/>
                    <w:left w:val="single" w:color="auto" w:sz="4" w:space="0"/>
                    <w:bottom w:val="single" w:color="auto" w:sz="4"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应急培训计划</w:t>
                  </w:r>
                </w:p>
              </w:tc>
              <w:tc>
                <w:tcPr>
                  <w:tcW w:w="6094" w:type="dxa"/>
                  <w:tcBorders>
                    <w:top w:val="single" w:color="auto" w:sz="4" w:space="0"/>
                    <w:left w:val="single" w:color="auto" w:sz="4" w:space="0"/>
                    <w:bottom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607" w:type="dxa"/>
                  <w:tcBorders>
                    <w:top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370" w:type="dxa"/>
                  <w:tcBorders>
                    <w:top w:val="single" w:color="auto" w:sz="4" w:space="0"/>
                    <w:left w:val="single" w:color="auto" w:sz="4" w:space="0"/>
                    <w:bottom w:val="single" w:color="auto" w:sz="12" w:space="0"/>
                    <w:right w:val="single" w:color="auto" w:sz="4"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公众教育和信息</w:t>
                  </w:r>
                </w:p>
              </w:tc>
              <w:tc>
                <w:tcPr>
                  <w:tcW w:w="6094" w:type="dxa"/>
                  <w:tcBorders>
                    <w:top w:val="single" w:color="auto" w:sz="4" w:space="0"/>
                    <w:left w:val="single" w:color="auto" w:sz="4" w:space="0"/>
                    <w:bottom w:val="single" w:color="auto" w:sz="12"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对项目区邻近地区开展公众教育、培训和发布有关信息</w:t>
                  </w:r>
                </w:p>
              </w:tc>
            </w:tr>
          </w:tbl>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7.6 </w:t>
            </w:r>
            <w:r>
              <w:rPr>
                <w:rFonts w:hint="default" w:ascii="Times New Roman" w:hAnsi="Times New Roman" w:eastAsia="宋体" w:cs="Times New Roman"/>
                <w:b/>
                <w:bCs/>
                <w:color w:val="000000" w:themeColor="text1"/>
                <w:sz w:val="24"/>
                <w:szCs w:val="24"/>
                <w14:textFill>
                  <w14:solidFill>
                    <w14:schemeClr w14:val="tx1"/>
                  </w14:solidFill>
                </w14:textFill>
              </w:rPr>
              <w:t>风险评价结论</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本项目风险潜势为I，进行简单分析，具体如下表。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4-36 </w:t>
            </w:r>
            <w:r>
              <w:rPr>
                <w:rFonts w:hint="default"/>
                <w:b/>
                <w:bCs/>
                <w:color w:val="000000" w:themeColor="text1"/>
                <w14:textFill>
                  <w14:solidFill>
                    <w14:schemeClr w14:val="tx1"/>
                  </w14:solidFill>
                </w14:textFill>
              </w:rPr>
              <w:t xml:space="preserve">  建设项目环境风险简单分析内容表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5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6"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建设项目名称</w:t>
                  </w:r>
                </w:p>
              </w:tc>
              <w:tc>
                <w:tcPr>
                  <w:tcW w:w="5864" w:type="dxa"/>
                  <w:tcBorders>
                    <w:bottom w:val="single" w:color="auto" w:sz="12" w:space="0"/>
                  </w:tcBorders>
                  <w:noWrap w:val="0"/>
                  <w:vAlign w:val="center"/>
                </w:tcPr>
                <w:p>
                  <w:pPr>
                    <w:pStyle w:val="15"/>
                    <w:bidi w:val="0"/>
                    <w:rPr>
                      <w:rFonts w:hint="default"/>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吉木萨尔县老台乡人民政府老台乡玉米烘干厂建设项目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6"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建设地点</w:t>
                  </w:r>
                </w:p>
              </w:tc>
              <w:tc>
                <w:tcPr>
                  <w:tcW w:w="5864" w:type="dxa"/>
                  <w:tcBorders>
                    <w:top w:val="single" w:color="auto" w:sz="12" w:space="0"/>
                  </w:tcBorders>
                  <w:noWrap w:val="0"/>
                  <w:vAlign w:val="center"/>
                </w:tcPr>
                <w:p>
                  <w:pPr>
                    <w:pStyle w:val="15"/>
                    <w:bidi w:val="0"/>
                    <w:rPr>
                      <w:rFonts w:hint="default"/>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吉木萨尔县老台乡西地中沟村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6"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地理坐标</w:t>
                  </w:r>
                </w:p>
              </w:tc>
              <w:tc>
                <w:tcPr>
                  <w:tcW w:w="5864"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N</w:t>
                  </w:r>
                  <w:r>
                    <w:rPr>
                      <w:rFonts w:hint="eastAsia"/>
                      <w:color w:val="000000" w:themeColor="text1"/>
                      <w:lang w:eastAsia="zh-CN"/>
                      <w14:textFill>
                        <w14:solidFill>
                          <w14:schemeClr w14:val="tx1"/>
                        </w14:solidFill>
                      </w14:textFill>
                    </w:rPr>
                    <w:t>44°11'5.891"</w:t>
                  </w:r>
                  <w:r>
                    <w:rPr>
                      <w:rFonts w:hint="default"/>
                      <w:color w:val="000000" w:themeColor="text1"/>
                      <w14:textFill>
                        <w14:solidFill>
                          <w14:schemeClr w14:val="tx1"/>
                        </w14:solidFill>
                      </w14:textFill>
                    </w:rPr>
                    <w:t>、E</w:t>
                  </w:r>
                  <w:r>
                    <w:rPr>
                      <w:rFonts w:hint="eastAsia"/>
                      <w:color w:val="000000" w:themeColor="text1"/>
                      <w:lang w:eastAsia="zh-CN"/>
                      <w14:textFill>
                        <w14:solidFill>
                          <w14:schemeClr w14:val="tx1"/>
                        </w14:solidFill>
                      </w14:textFill>
                    </w:rPr>
                    <w:t>88°49'13.022"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6"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主要危险物质及分布</w:t>
                  </w:r>
                </w:p>
              </w:tc>
              <w:tc>
                <w:tcPr>
                  <w:tcW w:w="5864"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本项目新增废机油0.</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t，储存在危险废物暂存间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6"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环境影响途径及危害后果（大气、地表水、地下水）</w:t>
                  </w:r>
                </w:p>
              </w:tc>
              <w:tc>
                <w:tcPr>
                  <w:tcW w:w="5864" w:type="dxa"/>
                  <w:noWrap w:val="0"/>
                  <w:vAlign w:val="center"/>
                </w:tcPr>
                <w:p>
                  <w:pPr>
                    <w:pStyle w:val="15"/>
                    <w:bidi w:val="0"/>
                    <w:rPr>
                      <w:rFonts w:hint="default"/>
                      <w:color w:val="000000" w:themeColor="text1"/>
                      <w:lang w:val="en-US" w:eastAsia="zh-CN"/>
                      <w14:textFill>
                        <w14:solidFill>
                          <w14:schemeClr w14:val="tx1"/>
                        </w14:solidFill>
                      </w14:textFill>
                    </w:rPr>
                  </w:pPr>
                  <w:r>
                    <w:rPr>
                      <w:rFonts w:hint="eastAsia"/>
                      <w:lang w:val="en-US" w:eastAsia="zh-CN"/>
                    </w:rPr>
                    <w:t>生物质燃烧</w:t>
                  </w:r>
                  <w:r>
                    <w:rPr>
                      <w:rFonts w:hint="eastAsia"/>
                      <w:color w:val="000000" w:themeColor="text1"/>
                      <w14:textFill>
                        <w14:solidFill>
                          <w14:schemeClr w14:val="tx1"/>
                        </w14:solidFill>
                      </w14:textFill>
                    </w:rPr>
                    <w:t>废气超标排放</w:t>
                  </w: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火灾事故</w:t>
                  </w:r>
                  <w:r>
                    <w:rPr>
                      <w:rFonts w:hint="eastAsia"/>
                      <w:color w:val="000000" w:themeColor="text1"/>
                      <w:lang w:val="en-US" w:eastAsia="zh-CN"/>
                      <w14:textFill>
                        <w14:solidFill>
                          <w14:schemeClr w14:val="tx1"/>
                        </w14:solidFill>
                      </w14:textFill>
                    </w:rPr>
                    <w:t>此生危害污染大气，消防废水处置不合理污染地下水，废机油泄漏污染土壤和地下水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6"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风险防范措施要求</w:t>
                  </w:r>
                </w:p>
              </w:tc>
              <w:tc>
                <w:tcPr>
                  <w:tcW w:w="5864" w:type="dxa"/>
                  <w:noWrap w:val="0"/>
                  <w:vAlign w:val="center"/>
                </w:tcPr>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（1）该项目客观上存在着一定的不安全因素，对周围环境存在着潜在的威胁。发生环境安全事故后，对周围环境有严重的损害，所以在贯彻</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安全第一，预防为主</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的方针同时，应树立环境风险意识，强化环境风险责任，体现出环境保护的内容。</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（2）建立严格的环境管理制度及操作规程，严格培训操作人员，严格遵守各项规章制度。</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（3）确保各项环保治理措施切实可行，并保证治理设施正常运行，且做到达标排放。</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（4）定期检查和维修环保治理设施，及时发现问题及时解决，使事故发生率降至最低。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20" w:type="dxa"/>
                  <w:gridSpan w:val="2"/>
                  <w:noWrap w:val="0"/>
                  <w:vAlign w:val="center"/>
                </w:tcPr>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填表说明：</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根据本项目污染物特性，本项目应建立独立的环境风险应急预案，并报备地环境主管部门备案。</w:t>
                  </w:r>
                </w:p>
              </w:tc>
            </w:tr>
          </w:tbl>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7.6.1 </w:t>
            </w:r>
            <w:r>
              <w:rPr>
                <w:rFonts w:hint="default" w:ascii="Times New Roman" w:hAnsi="Times New Roman" w:eastAsia="宋体" w:cs="Times New Roman"/>
                <w:b/>
                <w:bCs/>
                <w:color w:val="000000" w:themeColor="text1"/>
                <w:sz w:val="24"/>
                <w:szCs w:val="24"/>
                <w14:textFill>
                  <w14:solidFill>
                    <w14:schemeClr w14:val="tx1"/>
                  </w14:solidFill>
                </w14:textFill>
              </w:rPr>
              <w:t>事故性排放风险评价结论</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脱硫塔、脱硝设备、除尘器长期疏于管理的情况下，会出现故障，采取定期检修，加强管理，风险是可接受的。</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7.6.2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火灾</w:t>
            </w:r>
            <w:r>
              <w:rPr>
                <w:rFonts w:hint="default" w:ascii="Times New Roman" w:hAnsi="Times New Roman" w:eastAsia="宋体" w:cs="Times New Roman"/>
                <w:b/>
                <w:bCs/>
                <w:color w:val="000000" w:themeColor="text1"/>
                <w:sz w:val="24"/>
                <w:szCs w:val="24"/>
                <w14:textFill>
                  <w14:solidFill>
                    <w14:schemeClr w14:val="tx1"/>
                  </w14:solidFill>
                </w14:textFill>
              </w:rPr>
              <w:t>事故风险评价结论</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火灾的发生完全是可以避免的，项目建设初期配套完善各类消防设施，运营过程加强管理和巡检</w:t>
            </w:r>
            <w:r>
              <w:rPr>
                <w:rFonts w:hint="default"/>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将火灾的发生控制在发生前和初期阶段，造成的环境风险是可控的。故认为该项目火灾环境风险是可接受的。</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 xml:space="preserve">7.7 </w:t>
            </w:r>
            <w:r>
              <w:rPr>
                <w:rFonts w:hint="default" w:ascii="Times New Roman" w:hAnsi="Times New Roman" w:eastAsia="宋体" w:cs="Times New Roman"/>
                <w:b/>
                <w:bCs/>
                <w:color w:val="000000" w:themeColor="text1"/>
                <w:sz w:val="24"/>
                <w:szCs w:val="24"/>
                <w14:textFill>
                  <w14:solidFill>
                    <w14:schemeClr w14:val="tx1"/>
                  </w14:solidFill>
                </w14:textFill>
              </w:rPr>
              <w:t>环境风险评价自查</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对本项目环境风险评价进行自查，具体如下表。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4-37 </w:t>
            </w:r>
            <w:r>
              <w:rPr>
                <w:rFonts w:hint="default"/>
                <w:b/>
                <w:bCs/>
                <w:color w:val="000000" w:themeColor="text1"/>
                <w14:textFill>
                  <w14:solidFill>
                    <w14:schemeClr w14:val="tx1"/>
                  </w14:solidFill>
                </w14:textFill>
              </w:rPr>
              <w:t xml:space="preserve">  环境风险评价自查表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9"/>
              <w:gridCol w:w="919"/>
              <w:gridCol w:w="1161"/>
              <w:gridCol w:w="880"/>
              <w:gridCol w:w="520"/>
              <w:gridCol w:w="417"/>
              <w:gridCol w:w="390"/>
              <w:gridCol w:w="434"/>
              <w:gridCol w:w="714"/>
              <w:gridCol w:w="840"/>
              <w:gridCol w:w="703"/>
              <w:gridCol w:w="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458" w:type="dxa"/>
                  <w:gridSpan w:val="2"/>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工作内容</w:t>
                  </w:r>
                </w:p>
              </w:tc>
              <w:tc>
                <w:tcPr>
                  <w:tcW w:w="6762" w:type="dxa"/>
                  <w:gridSpan w:val="10"/>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539" w:type="dxa"/>
                  <w:vMerge w:val="restart"/>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风险调查</w:t>
                  </w:r>
                </w:p>
              </w:tc>
              <w:tc>
                <w:tcPr>
                  <w:tcW w:w="919" w:type="dxa"/>
                  <w:vMerge w:val="restart"/>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危险物质</w:t>
                  </w:r>
                </w:p>
              </w:tc>
              <w:tc>
                <w:tcPr>
                  <w:tcW w:w="1161" w:type="dxa"/>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名称</w:t>
                  </w:r>
                </w:p>
              </w:tc>
              <w:tc>
                <w:tcPr>
                  <w:tcW w:w="880" w:type="dxa"/>
                  <w:tcBorders>
                    <w:top w:val="single" w:color="auto" w:sz="12"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废机油</w:t>
                  </w:r>
                </w:p>
              </w:tc>
              <w:tc>
                <w:tcPr>
                  <w:tcW w:w="937" w:type="dxa"/>
                  <w:gridSpan w:val="2"/>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824" w:type="dxa"/>
                  <w:gridSpan w:val="2"/>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14" w:type="dxa"/>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840" w:type="dxa"/>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03" w:type="dxa"/>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03" w:type="dxa"/>
                  <w:tcBorders>
                    <w:top w:val="single" w:color="auto" w:sz="12"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存在总量/t</w:t>
                  </w:r>
                </w:p>
              </w:tc>
              <w:tc>
                <w:tcPr>
                  <w:tcW w:w="880" w:type="dxa"/>
                  <w:tcBorders>
                    <w:top w:val="single" w:color="auto" w:sz="4" w:space="0"/>
                    <w:bottom w:val="single" w:color="auto" w:sz="4" w:space="0"/>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p>
              </w:tc>
              <w:tc>
                <w:tcPr>
                  <w:tcW w:w="937"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82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14"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840"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03"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703"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环境敏感性</w:t>
                  </w:r>
                </w:p>
              </w:tc>
              <w:tc>
                <w:tcPr>
                  <w:tcW w:w="1161"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w:t>
                  </w:r>
                </w:p>
              </w:tc>
              <w:tc>
                <w:tcPr>
                  <w:tcW w:w="2641" w:type="dxa"/>
                  <w:gridSpan w:val="5"/>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500m范围内人口数</w:t>
                  </w:r>
                  <w:r>
                    <w:rPr>
                      <w:rFonts w:hint="default"/>
                      <w:color w:val="000000" w:themeColor="text1"/>
                      <w:lang w:val="en-US" w:eastAsia="zh-CN"/>
                      <w14:textFill>
                        <w14:solidFill>
                          <w14:schemeClr w14:val="tx1"/>
                        </w14:solidFill>
                      </w14:textFill>
                    </w:rPr>
                    <w:t>200</w:t>
                  </w:r>
                  <w:r>
                    <w:rPr>
                      <w:rFonts w:hint="default"/>
                      <w:color w:val="000000" w:themeColor="text1"/>
                      <w14:textFill>
                        <w14:solidFill>
                          <w14:schemeClr w14:val="tx1"/>
                        </w14:solidFill>
                      </w14:textFill>
                    </w:rPr>
                    <w:t>人</w:t>
                  </w:r>
                </w:p>
              </w:tc>
              <w:tc>
                <w:tcPr>
                  <w:tcW w:w="2960"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5km范围内人口数</w:t>
                  </w:r>
                  <w:r>
                    <w:rPr>
                      <w:rFonts w:hint="default"/>
                      <w:color w:val="000000" w:themeColor="text1"/>
                      <w:lang w:val="en-US" w:eastAsia="zh-CN"/>
                      <w14:textFill>
                        <w14:solidFill>
                          <w14:schemeClr w14:val="tx1"/>
                        </w14:solidFill>
                      </w14:textFill>
                    </w:rPr>
                    <w:t>5</w:t>
                  </w:r>
                  <w:r>
                    <w:rPr>
                      <w:rFonts w:hint="default"/>
                      <w:color w:val="000000" w:themeColor="text1"/>
                      <w14:textFill>
                        <w14:solidFill>
                          <w14:schemeClr w14:val="tx1"/>
                        </w14:solidFill>
                      </w14:textFill>
                    </w:rPr>
                    <w:t>000人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4195" w:type="dxa"/>
                  <w:gridSpan w:val="7"/>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每公里管段周边200m范围内人口数（最大）</w:t>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    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地表水</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地表水功能敏感性</w:t>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F1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F2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F3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环境敏感目标分级</w:t>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S1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S2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S3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地下水</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地下水功能敏感性</w:t>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G1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G2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G3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包气带防污性能</w:t>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D1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D2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D3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58" w:type="dxa"/>
                  <w:gridSpan w:val="2"/>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物质及工艺系统危险性</w:t>
                  </w: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Q值</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Q＜1</w:t>
                  </w:r>
                  <w:r>
                    <w:rPr>
                      <w:rFonts w:hint="default"/>
                      <w:color w:val="000000" w:themeColor="text1"/>
                      <w14:textFill>
                        <w14:solidFill>
                          <w14:schemeClr w14:val="tx1"/>
                        </w14:solidFill>
                      </w14:textFill>
                    </w:rPr>
                    <w:sym w:font="Wingdings" w:char="F0FE"/>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1≤Q＜10</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10≤Q＜100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Q＞100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58" w:type="dxa"/>
                  <w:gridSpan w:val="2"/>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M值</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M1 </w:t>
                  </w:r>
                  <w:r>
                    <w:rPr>
                      <w:rFonts w:hint="default"/>
                      <w:color w:val="000000" w:themeColor="text1"/>
                      <w14:textFill>
                        <w14:solidFill>
                          <w14:schemeClr w14:val="tx1"/>
                        </w14:solidFill>
                      </w14:textFill>
                    </w:rPr>
                    <w:sym w:font="Wingdings" w:char="00A8"/>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M2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M3</w:t>
                  </w:r>
                  <w:r>
                    <w:rPr>
                      <w:rFonts w:hint="default"/>
                      <w:color w:val="000000" w:themeColor="text1"/>
                      <w14:textFill>
                        <w14:solidFill>
                          <w14:schemeClr w14:val="tx1"/>
                        </w14:solidFill>
                      </w14:textFill>
                    </w:rPr>
                    <w:t xml:space="preserve">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M4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58" w:type="dxa"/>
                  <w:gridSpan w:val="2"/>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P值</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P1 </w:t>
                  </w:r>
                  <w:r>
                    <w:rPr>
                      <w:rFonts w:hint="default"/>
                      <w:color w:val="000000" w:themeColor="text1"/>
                      <w14:textFill>
                        <w14:solidFill>
                          <w14:schemeClr w14:val="tx1"/>
                        </w14:solidFill>
                      </w14:textFill>
                    </w:rPr>
                    <w:sym w:font="Wingdings" w:char="00A8"/>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P2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P3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P4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458" w:type="dxa"/>
                  <w:gridSpan w:val="2"/>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环境敏感程度</w:t>
                  </w: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E1 </w:t>
                  </w:r>
                  <w:r>
                    <w:rPr>
                      <w:rFonts w:hint="default"/>
                      <w:color w:val="000000" w:themeColor="text1"/>
                      <w14:textFill>
                        <w14:solidFill>
                          <w14:schemeClr w14:val="tx1"/>
                        </w14:solidFill>
                      </w14:textFill>
                    </w:rPr>
                    <w:sym w:font="Wingdings" w:char="00A8"/>
                  </w:r>
                </w:p>
              </w:tc>
              <w:tc>
                <w:tcPr>
                  <w:tcW w:w="1955"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E2 </w:t>
                  </w:r>
                  <w:r>
                    <w:rPr>
                      <w:rFonts w:hint="default"/>
                      <w:color w:val="000000" w:themeColor="text1"/>
                      <w14:textFill>
                        <w14:solidFill>
                          <w14:schemeClr w14:val="tx1"/>
                        </w14:solidFill>
                      </w14:textFill>
                    </w:rPr>
                    <w:sym w:font="Wingdings" w:char="00A8"/>
                  </w:r>
                </w:p>
              </w:tc>
              <w:tc>
                <w:tcPr>
                  <w:tcW w:w="2246"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58" w:type="dxa"/>
                  <w:gridSpan w:val="2"/>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地表水</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E1 </w:t>
                  </w:r>
                  <w:r>
                    <w:rPr>
                      <w:rFonts w:hint="default"/>
                      <w:color w:val="000000" w:themeColor="text1"/>
                      <w14:textFill>
                        <w14:solidFill>
                          <w14:schemeClr w14:val="tx1"/>
                        </w14:solidFill>
                      </w14:textFill>
                    </w:rPr>
                    <w:sym w:font="Wingdings" w:char="00A8"/>
                  </w:r>
                </w:p>
              </w:tc>
              <w:tc>
                <w:tcPr>
                  <w:tcW w:w="1955"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E2 </w:t>
                  </w:r>
                  <w:r>
                    <w:rPr>
                      <w:rFonts w:hint="default"/>
                      <w:color w:val="000000" w:themeColor="text1"/>
                      <w14:textFill>
                        <w14:solidFill>
                          <w14:schemeClr w14:val="tx1"/>
                        </w14:solidFill>
                      </w14:textFill>
                    </w:rPr>
                    <w:sym w:font="Wingdings" w:char="00A8"/>
                  </w:r>
                </w:p>
              </w:tc>
              <w:tc>
                <w:tcPr>
                  <w:tcW w:w="2246"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1458" w:type="dxa"/>
                  <w:gridSpan w:val="2"/>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地下水</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E1 </w:t>
                  </w:r>
                  <w:r>
                    <w:rPr>
                      <w:rFonts w:hint="default"/>
                      <w:color w:val="000000" w:themeColor="text1"/>
                      <w14:textFill>
                        <w14:solidFill>
                          <w14:schemeClr w14:val="tx1"/>
                        </w14:solidFill>
                      </w14:textFill>
                    </w:rPr>
                    <w:sym w:font="Wingdings" w:char="00A8"/>
                  </w:r>
                </w:p>
              </w:tc>
              <w:tc>
                <w:tcPr>
                  <w:tcW w:w="1955"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E2 </w:t>
                  </w:r>
                  <w:r>
                    <w:rPr>
                      <w:rFonts w:hint="default"/>
                      <w:color w:val="000000" w:themeColor="text1"/>
                      <w14:textFill>
                        <w14:solidFill>
                          <w14:schemeClr w14:val="tx1"/>
                        </w14:solidFill>
                      </w14:textFill>
                    </w:rPr>
                    <w:sym w:font="Wingdings" w:char="00A8"/>
                  </w:r>
                </w:p>
              </w:tc>
              <w:tc>
                <w:tcPr>
                  <w:tcW w:w="2246"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E3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458"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环境风险潜势</w:t>
                  </w: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IV+ </w:t>
                  </w:r>
                  <w:r>
                    <w:rPr>
                      <w:rFonts w:hint="default"/>
                      <w:color w:val="000000" w:themeColor="text1"/>
                      <w14:textFill>
                        <w14:solidFill>
                          <w14:schemeClr w14:val="tx1"/>
                        </w14:solidFill>
                      </w14:textFill>
                    </w:rPr>
                    <w:sym w:font="Wingdings" w:char="00A8"/>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IV </w:t>
                  </w:r>
                  <w:r>
                    <w:rPr>
                      <w:rFonts w:hint="default"/>
                      <w:color w:val="000000" w:themeColor="text1"/>
                      <w14:textFill>
                        <w14:solidFill>
                          <w14:schemeClr w14:val="tx1"/>
                        </w14:solidFill>
                      </w14:textFill>
                    </w:rPr>
                    <w:sym w:font="Wingdings" w:char="00A8"/>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III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II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I </w:t>
                  </w:r>
                  <w:r>
                    <w:rPr>
                      <w:rFonts w:hint="default"/>
                      <w:color w:val="000000" w:themeColor="text1"/>
                      <w14:textFill>
                        <w14:solidFill>
                          <w14:schemeClr w14:val="tx1"/>
                        </w14:solidFill>
                      </w14:textFill>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58"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评价等级</w:t>
                  </w:r>
                </w:p>
              </w:tc>
              <w:tc>
                <w:tcPr>
                  <w:tcW w:w="256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一级 </w:t>
                  </w:r>
                  <w:r>
                    <w:rPr>
                      <w:rFonts w:hint="default"/>
                      <w:color w:val="000000" w:themeColor="text1"/>
                      <w14:textFill>
                        <w14:solidFill>
                          <w14:schemeClr w14:val="tx1"/>
                        </w14:solidFill>
                      </w14:textFill>
                    </w:rPr>
                    <w:sym w:font="Wingdings" w:char="00A8"/>
                  </w:r>
                </w:p>
              </w:tc>
              <w:tc>
                <w:tcPr>
                  <w:tcW w:w="124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二级 </w:t>
                  </w:r>
                  <w:r>
                    <w:rPr>
                      <w:rFonts w:hint="default"/>
                      <w:color w:val="000000" w:themeColor="text1"/>
                      <w14:textFill>
                        <w14:solidFill>
                          <w14:schemeClr w14:val="tx1"/>
                        </w14:solidFill>
                      </w14:textFill>
                    </w:rPr>
                    <w:sym w:font="Wingdings" w:char="00A8"/>
                  </w:r>
                </w:p>
              </w:tc>
              <w:tc>
                <w:tcPr>
                  <w:tcW w:w="1554"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三级 </w:t>
                  </w:r>
                  <w:r>
                    <w:rPr>
                      <w:rFonts w:hint="default"/>
                      <w:color w:val="000000" w:themeColor="text1"/>
                      <w14:textFill>
                        <w14:solidFill>
                          <w14:schemeClr w14:val="tx1"/>
                        </w14:solidFill>
                      </w14:textFill>
                    </w:rPr>
                    <w:sym w:font="Wingdings" w:char="00A8"/>
                  </w:r>
                </w:p>
              </w:tc>
              <w:tc>
                <w:tcPr>
                  <w:tcW w:w="1406"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简单分析 </w:t>
                  </w:r>
                  <w:r>
                    <w:rPr>
                      <w:rFonts w:hint="default"/>
                      <w:color w:val="000000" w:themeColor="text1"/>
                      <w14:textFill>
                        <w14:solidFill>
                          <w14:schemeClr w14:val="tx1"/>
                        </w14:solidFill>
                      </w14:textFill>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539" w:type="dxa"/>
                  <w:vMerge w:val="restart"/>
                  <w:tcBorders>
                    <w:top w:val="single" w:color="auto" w:sz="4" w:space="0"/>
                    <w:bottom w:val="single" w:color="auto" w:sz="4" w:space="0"/>
                  </w:tcBorders>
                  <w:noWrap w:val="0"/>
                  <w:textDirection w:val="tbRlV"/>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风 险 识 别</w:t>
                  </w:r>
                </w:p>
              </w:tc>
              <w:tc>
                <w:tcPr>
                  <w:tcW w:w="919"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物质危险性</w:t>
                  </w:r>
                </w:p>
              </w:tc>
              <w:tc>
                <w:tcPr>
                  <w:tcW w:w="3368" w:type="dxa"/>
                  <w:gridSpan w:val="5"/>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有毒有害 </w:t>
                  </w:r>
                  <w:r>
                    <w:rPr>
                      <w:rFonts w:hint="default"/>
                      <w:color w:val="000000" w:themeColor="text1"/>
                      <w14:textFill>
                        <w14:solidFill>
                          <w14:schemeClr w14:val="tx1"/>
                        </w14:solidFill>
                      </w14:textFill>
                    </w:rPr>
                    <w:sym w:font="Wingdings" w:char="00FE"/>
                  </w:r>
                </w:p>
              </w:tc>
              <w:tc>
                <w:tcPr>
                  <w:tcW w:w="3394" w:type="dxa"/>
                  <w:gridSpan w:val="5"/>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易燃易爆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环境风险类型</w:t>
                  </w:r>
                </w:p>
              </w:tc>
              <w:tc>
                <w:tcPr>
                  <w:tcW w:w="256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泄漏 </w:t>
                  </w:r>
                  <w:r>
                    <w:rPr>
                      <w:rFonts w:hint="default"/>
                      <w:color w:val="000000" w:themeColor="text1"/>
                      <w14:textFill>
                        <w14:solidFill>
                          <w14:schemeClr w14:val="tx1"/>
                        </w14:solidFill>
                      </w14:textFill>
                    </w:rPr>
                    <w:sym w:font="Wingdings" w:char="00FE"/>
                  </w:r>
                </w:p>
              </w:tc>
              <w:tc>
                <w:tcPr>
                  <w:tcW w:w="4201" w:type="dxa"/>
                  <w:gridSpan w:val="7"/>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火灾、爆炸引发伴生/次生污染物排放 </w:t>
                  </w:r>
                  <w:r>
                    <w:rPr>
                      <w:rFonts w:hint="default"/>
                      <w:color w:val="000000" w:themeColor="text1"/>
                      <w14:textFill>
                        <w14:solidFill>
                          <w14:schemeClr w14:val="tx1"/>
                        </w14:solidFill>
                      </w14:textFill>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影响途径</w:t>
                  </w:r>
                </w:p>
              </w:tc>
              <w:tc>
                <w:tcPr>
                  <w:tcW w:w="2561"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大气 </w:t>
                  </w:r>
                  <w:r>
                    <w:rPr>
                      <w:rFonts w:hint="default"/>
                      <w:color w:val="000000" w:themeColor="text1"/>
                      <w14:textFill>
                        <w14:solidFill>
                          <w14:schemeClr w14:val="tx1"/>
                        </w14:solidFill>
                      </w14:textFill>
                    </w:rPr>
                    <w:sym w:font="Wingdings" w:char="00FE"/>
                  </w:r>
                </w:p>
              </w:tc>
              <w:tc>
                <w:tcPr>
                  <w:tcW w:w="1955"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地表水 </w:t>
                  </w:r>
                  <w:r>
                    <w:rPr>
                      <w:rFonts w:hint="default"/>
                      <w:color w:val="000000" w:themeColor="text1"/>
                      <w14:textFill>
                        <w14:solidFill>
                          <w14:schemeClr w14:val="tx1"/>
                        </w14:solidFill>
                      </w14:textFill>
                    </w:rPr>
                    <w:sym w:font="Wingdings" w:char="00A8"/>
                  </w:r>
                </w:p>
              </w:tc>
              <w:tc>
                <w:tcPr>
                  <w:tcW w:w="2246"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地下水 </w:t>
                  </w:r>
                  <w:r>
                    <w:rPr>
                      <w:rFonts w:hint="default"/>
                      <w:color w:val="000000" w:themeColor="text1"/>
                      <w14:textFill>
                        <w14:solidFill>
                          <w14:schemeClr w14:val="tx1"/>
                        </w14:solidFill>
                      </w14:textFill>
                    </w:rPr>
                    <w:sym w:font="Wingdings" w:char="00FE"/>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58"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事故情形分析</w:t>
                  </w: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源强设定方法</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计算法 </w:t>
                  </w:r>
                  <w:r>
                    <w:rPr>
                      <w:rFonts w:hint="default"/>
                      <w:color w:val="000000" w:themeColor="text1"/>
                      <w14:textFill>
                        <w14:solidFill>
                          <w14:schemeClr w14:val="tx1"/>
                        </w14:solidFill>
                      </w14:textFill>
                    </w:rPr>
                    <w:sym w:font="Wingdings" w:char="00A8"/>
                  </w:r>
                </w:p>
              </w:tc>
              <w:tc>
                <w:tcPr>
                  <w:tcW w:w="1955"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经验估算法 </w:t>
                  </w:r>
                  <w:r>
                    <w:rPr>
                      <w:rFonts w:hint="default"/>
                      <w:color w:val="000000" w:themeColor="text1"/>
                      <w14:textFill>
                        <w14:solidFill>
                          <w14:schemeClr w14:val="tx1"/>
                        </w14:solidFill>
                      </w14:textFill>
                    </w:rPr>
                    <w:sym w:font="Wingdings" w:char="00A8"/>
                  </w:r>
                </w:p>
              </w:tc>
              <w:tc>
                <w:tcPr>
                  <w:tcW w:w="2246"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其他估算法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539" w:type="dxa"/>
                  <w:vMerge w:val="restart"/>
                  <w:tcBorders>
                    <w:top w:val="single" w:color="auto" w:sz="4" w:space="0"/>
                    <w:bottom w:val="single" w:color="auto" w:sz="4" w:space="0"/>
                  </w:tcBorders>
                  <w:noWrap w:val="0"/>
                  <w:textDirection w:val="tbRlV"/>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风 险 预 测 与 评 价</w:t>
                  </w:r>
                </w:p>
              </w:tc>
              <w:tc>
                <w:tcPr>
                  <w:tcW w:w="919"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w:t>
                  </w:r>
                </w:p>
              </w:tc>
              <w:tc>
                <w:tcPr>
                  <w:tcW w:w="1161"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预测模型</w:t>
                  </w:r>
                </w:p>
              </w:tc>
              <w:tc>
                <w:tcPr>
                  <w:tcW w:w="1400"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SLAB </w:t>
                  </w:r>
                  <w:r>
                    <w:rPr>
                      <w:rFonts w:hint="default"/>
                      <w:color w:val="000000" w:themeColor="text1"/>
                      <w14:textFill>
                        <w14:solidFill>
                          <w14:schemeClr w14:val="tx1"/>
                        </w14:solidFill>
                      </w14:textFill>
                    </w:rPr>
                    <w:sym w:font="Wingdings" w:char="00A8"/>
                  </w:r>
                </w:p>
              </w:tc>
              <w:tc>
                <w:tcPr>
                  <w:tcW w:w="1955" w:type="dxa"/>
                  <w:gridSpan w:val="4"/>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AFTOX </w:t>
                  </w:r>
                  <w:r>
                    <w:rPr>
                      <w:rFonts w:hint="default"/>
                      <w:color w:val="000000" w:themeColor="text1"/>
                      <w14:textFill>
                        <w14:solidFill>
                          <w14:schemeClr w14:val="tx1"/>
                        </w14:solidFill>
                      </w14:textFill>
                    </w:rPr>
                    <w:sym w:font="Wingdings" w:char="00A8"/>
                  </w:r>
                </w:p>
              </w:tc>
              <w:tc>
                <w:tcPr>
                  <w:tcW w:w="2246" w:type="dxa"/>
                  <w:gridSpan w:val="3"/>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 xml:space="preserve">其他 </w:t>
                  </w:r>
                  <w:r>
                    <w:rPr>
                      <w:rFonts w:hint="default"/>
                      <w:color w:val="000000" w:themeColor="text1"/>
                      <w14:textFill>
                        <w14:solidFill>
                          <w14:schemeClr w14:val="tx1"/>
                        </w14:solidFill>
                      </w14:textFill>
                    </w:rPr>
                    <w:sym w:font="Wingdings" w:char="00A8"/>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预测结果</w:t>
                  </w:r>
                </w:p>
              </w:tc>
              <w:tc>
                <w:tcPr>
                  <w:tcW w:w="5601" w:type="dxa"/>
                  <w:gridSpan w:val="9"/>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大气毒性终点浓度-1 最大影响范围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1161"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5601" w:type="dxa"/>
                  <w:gridSpan w:val="9"/>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大气毒性终点浓度-2 最大影响范围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地表水</w:t>
                  </w:r>
                </w:p>
              </w:tc>
              <w:tc>
                <w:tcPr>
                  <w:tcW w:w="6762" w:type="dxa"/>
                  <w:gridSpan w:val="10"/>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最近环境敏感目标        ，到达时间     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restart"/>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地下水</w:t>
                  </w:r>
                </w:p>
              </w:tc>
              <w:tc>
                <w:tcPr>
                  <w:tcW w:w="6762" w:type="dxa"/>
                  <w:gridSpan w:val="10"/>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下游厂区边界到达时间     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53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919" w:type="dxa"/>
                  <w:vMerge w:val="continue"/>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p>
              </w:tc>
              <w:tc>
                <w:tcPr>
                  <w:tcW w:w="6762" w:type="dxa"/>
                  <w:gridSpan w:val="10"/>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最近环境敏感目标        ，到达时间     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1458"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重点风险防范措施</w:t>
                  </w:r>
                </w:p>
              </w:tc>
              <w:tc>
                <w:tcPr>
                  <w:tcW w:w="6762" w:type="dxa"/>
                  <w:gridSpan w:val="10"/>
                  <w:tcBorders>
                    <w:top w:val="single" w:color="auto" w:sz="4" w:space="0"/>
                    <w:bottom w:val="single" w:color="auto" w:sz="4" w:space="0"/>
                  </w:tcBorders>
                  <w:noWrap w:val="0"/>
                  <w:vAlign w:val="center"/>
                </w:tcPr>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（1）该项目客观上存在着一定的不安全因素，对周围环境存在着潜在的威胁。发生环境安全事故后，对周围环境有严重的损害，所以在贯彻</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安全第一，预防为主</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的方针同时，应树立环境风险意识，强化环境风险责任，体现出环境保护的内容。</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（2）建立严格的环境管理制度及操作规程，严格培训操作人员，严格遵守各项规章制度。</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（3）确保各项环保治理措施切实可行，并保证治理设施正常运行，且做到达标排放。</w:t>
                  </w:r>
                </w:p>
                <w:p>
                  <w:pPr>
                    <w:pStyle w:val="15"/>
                    <w:bidi w:val="0"/>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（4）定期检查和维修环保治理设施，及时发现问题及时解决，使事故发生率降至最低。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458" w:type="dxa"/>
                  <w:gridSpan w:val="2"/>
                  <w:tcBorders>
                    <w:top w:val="single" w:color="auto" w:sz="4" w:space="0"/>
                    <w:bottom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评价结论与建议</w:t>
                  </w:r>
                </w:p>
              </w:tc>
              <w:tc>
                <w:tcPr>
                  <w:tcW w:w="6762" w:type="dxa"/>
                  <w:gridSpan w:val="10"/>
                  <w:tcBorders>
                    <w:top w:val="single" w:color="auto" w:sz="4" w:space="0"/>
                    <w:bottom w:val="single" w:color="auto" w:sz="4" w:space="0"/>
                  </w:tcBorders>
                  <w:noWrap w:val="0"/>
                  <w:vAlign w:val="center"/>
                </w:tcPr>
                <w:p>
                  <w:pPr>
                    <w:pStyle w:val="15"/>
                    <w:bidi w:val="0"/>
                    <w:jc w:val="left"/>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脱硫塔、脱硝设备、除尘器长期疏于管理的情况下，会出现故障，采取定期检修，加强管理，风险是可接受的。</w:t>
                  </w:r>
                </w:p>
                <w:p>
                  <w:pPr>
                    <w:pStyle w:val="15"/>
                    <w:bidi w:val="0"/>
                    <w:jc w:val="left"/>
                    <w:rPr>
                      <w:rFonts w:hint="default"/>
                      <w:color w:val="000000" w:themeColor="text1"/>
                      <w:lang w:eastAsia="zh-CN"/>
                      <w14:textFill>
                        <w14:solidFill>
                          <w14:schemeClr w14:val="tx1"/>
                        </w14:solidFill>
                      </w14:textFill>
                    </w:rPr>
                  </w:pPr>
                  <w:r>
                    <w:rPr>
                      <w:rFonts w:hint="default"/>
                      <w:color w:val="000000" w:themeColor="text1"/>
                      <w:lang w:val="en-US" w:eastAsia="zh-CN"/>
                      <w14:textFill>
                        <w14:solidFill>
                          <w14:schemeClr w14:val="tx1"/>
                        </w14:solidFill>
                      </w14:textFill>
                    </w:rPr>
                    <w:t>（2）火灾的发生完全是可以避免的，项目建设初期配套完善各类消防设施，运营过程加强管理和巡检。将火灾的发生控制在发生前和初期阶段，造成的环境风险是可控的。故认为该项目火灾环境风险是可接受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8220" w:type="dxa"/>
                  <w:gridSpan w:val="12"/>
                  <w:tcBorders>
                    <w:top w:val="single" w:color="auto" w:sz="4"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注：</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sym w:font="Wingdings" w:char="00A8"/>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为勾选项，</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 xml:space="preserve">   </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为填写项</w:t>
                  </w:r>
                </w:p>
              </w:tc>
            </w:tr>
          </w:tbl>
          <w:p>
            <w:pPr>
              <w:bidi w:val="0"/>
              <w:rPr>
                <w:rFonts w:hint="default"/>
                <w:b/>
                <w:bCs/>
                <w:color w:val="0000FF"/>
                <w:lang w:val="en-US" w:eastAsia="zh-CN"/>
              </w:rPr>
            </w:pPr>
            <w:r>
              <w:rPr>
                <w:rFonts w:hint="eastAsia"/>
                <w:b/>
                <w:bCs/>
                <w:color w:val="0000FF"/>
                <w:lang w:val="en-US" w:eastAsia="zh-CN"/>
              </w:rPr>
              <w:t>8、运营期</w:t>
            </w:r>
            <w:r>
              <w:rPr>
                <w:rFonts w:hint="eastAsia"/>
                <w:b/>
                <w:color w:val="0000FF"/>
                <w:lang w:val="en-US" w:eastAsia="zh-CN"/>
              </w:rPr>
              <w:t>生态</w:t>
            </w:r>
            <w:r>
              <w:rPr>
                <w:rFonts w:hint="eastAsia"/>
                <w:b/>
                <w:color w:val="0000FF"/>
              </w:rPr>
              <w:t>环境影响和保护措施</w:t>
            </w:r>
          </w:p>
          <w:p>
            <w:pPr>
              <w:bidi w:val="0"/>
              <w:rPr>
                <w:rFonts w:hint="eastAsia"/>
                <w:color w:val="0000FF"/>
                <w:lang w:val="en-US" w:eastAsia="zh-CN"/>
              </w:rPr>
            </w:pPr>
            <w:r>
              <w:rPr>
                <w:rFonts w:hint="eastAsia"/>
                <w:color w:val="0000FF"/>
                <w:lang w:val="en-US" w:eastAsia="zh-CN"/>
              </w:rPr>
              <w:t>项目占地面积16000m²，占地范围内主要是荒草地，生物量约为400g/m²，项目的建设，将原有的荒草地全部拆除、平整，新建厂房等生产设施，原有生境全部破坏，造成的生物损失量约为6.4t。</w:t>
            </w:r>
          </w:p>
          <w:p>
            <w:pPr>
              <w:bidi w:val="0"/>
              <w:rPr>
                <w:rFonts w:hint="eastAsia"/>
                <w:color w:val="0000FF"/>
                <w:lang w:val="en-US" w:eastAsia="zh-CN"/>
              </w:rPr>
            </w:pPr>
            <w:r>
              <w:rPr>
                <w:rFonts w:hint="eastAsia"/>
                <w:color w:val="0000FF"/>
                <w:lang w:val="en-US" w:eastAsia="zh-CN"/>
              </w:rPr>
              <w:t>项目建成后，在厂界四周及厂前区进行绿化，绿化面积为1200m²，厂区内生产区及晾晒场均硬化，绿化选用吉木萨尔县本地常见树种和草种，同时应具备抗旱、防尘能力。</w:t>
            </w:r>
          </w:p>
          <w:p>
            <w:pPr>
              <w:bidi w:val="0"/>
              <w:rPr>
                <w:rFonts w:hint="eastAsia"/>
                <w:color w:val="0000FF"/>
                <w:lang w:val="en-US" w:eastAsia="zh-CN"/>
              </w:rPr>
            </w:pPr>
            <w:r>
              <w:rPr>
                <w:rFonts w:hint="eastAsia"/>
                <w:color w:val="0000FF"/>
                <w:lang w:val="en-US" w:eastAsia="zh-CN"/>
              </w:rPr>
              <w:t>通过对厂区的硬化和绿化，运营期的生态影响是可接受的。</w:t>
            </w:r>
          </w:p>
          <w:p>
            <w:pPr>
              <w:bidi w:val="0"/>
              <w:rPr>
                <w:rFonts w:hint="eastAsia"/>
                <w:color w:val="0000FF"/>
                <w:lang w:val="en-US" w:eastAsia="zh-CN"/>
              </w:rPr>
            </w:pPr>
          </w:p>
          <w:p>
            <w:pPr>
              <w:bidi w:val="0"/>
              <w:rPr>
                <w:rFonts w:hint="default"/>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二</w:t>
            </w:r>
            <w:r>
              <w:rPr>
                <w:rFonts w:hint="default"/>
                <w:b/>
                <w:bCs/>
                <w:color w:val="000000" w:themeColor="text1"/>
                <w14:textFill>
                  <w14:solidFill>
                    <w14:schemeClr w14:val="tx1"/>
                  </w14:solidFill>
                </w14:textFill>
              </w:rPr>
              <w:t>、环境管理</w:t>
            </w:r>
          </w:p>
          <w:p>
            <w:pPr>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1、环境体制与机构</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本项目建成后，由</w:t>
            </w:r>
            <w:r>
              <w:rPr>
                <w:rFonts w:hint="default"/>
                <w:color w:val="000000" w:themeColor="text1"/>
                <w:lang w:val="en-US" w:eastAsia="zh-CN"/>
                <w14:textFill>
                  <w14:solidFill>
                    <w14:schemeClr w14:val="tx1"/>
                  </w14:solidFill>
                </w14:textFill>
              </w:rPr>
              <w:t>建设单位</w:t>
            </w:r>
            <w:r>
              <w:rPr>
                <w:rFonts w:hint="default"/>
                <w:color w:val="000000" w:themeColor="text1"/>
                <w14:textFill>
                  <w14:solidFill>
                    <w14:schemeClr w14:val="tx1"/>
                  </w14:solidFill>
                </w14:textFill>
              </w:rPr>
              <w:t>主管环保工作，负责</w:t>
            </w:r>
            <w:r>
              <w:rPr>
                <w:rFonts w:hint="default"/>
                <w:color w:val="000000" w:themeColor="text1"/>
                <w:lang w:val="en-US" w:eastAsia="zh-CN"/>
                <w14:textFill>
                  <w14:solidFill>
                    <w14:schemeClr w14:val="tx1"/>
                  </w14:solidFill>
                </w14:textFill>
              </w:rPr>
              <w:t>项目</w:t>
            </w:r>
            <w:r>
              <w:rPr>
                <w:rFonts w:hint="default"/>
                <w:color w:val="000000" w:themeColor="text1"/>
                <w14:textFill>
                  <w14:solidFill>
                    <w14:schemeClr w14:val="tx1"/>
                  </w14:solidFill>
                </w14:textFill>
              </w:rPr>
              <w:t>的环卫工作。应成立专门环境管理办公室负责环境档案的建立和环境制度的落实。环境监测由当地环境监测站或具备环境监测资质的单位进行监测，监控污染物排放及环保设施的运转状况。</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2、管理职责</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（1）贯彻执行国家、</w:t>
            </w:r>
            <w:r>
              <w:rPr>
                <w:rFonts w:hint="eastAsia" w:cs="Times New Roman"/>
                <w:color w:val="000000" w:themeColor="text1"/>
                <w:sz w:val="24"/>
                <w:szCs w:val="24"/>
                <w:lang w:val="en-US" w:eastAsia="zh-CN"/>
                <w14:textFill>
                  <w14:solidFill>
                    <w14:schemeClr w14:val="tx1"/>
                  </w14:solidFill>
                </w14:textFill>
              </w:rPr>
              <w:t>自治区级</w:t>
            </w:r>
            <w:r>
              <w:rPr>
                <w:rFonts w:hint="default" w:ascii="Times New Roman" w:hAnsi="Times New Roman" w:eastAsia="宋体" w:cs="Times New Roman"/>
                <w:color w:val="000000" w:themeColor="text1"/>
                <w:sz w:val="24"/>
                <w:szCs w:val="24"/>
                <w14:textFill>
                  <w14:solidFill>
                    <w14:schemeClr w14:val="tx1"/>
                  </w14:solidFill>
                </w14:textFill>
              </w:rPr>
              <w:t>、地方各项环保政策、法规、标准，根据本</w:t>
            </w:r>
            <w:r>
              <w:rPr>
                <w:rFonts w:hint="eastAsia" w:cs="Times New Roman"/>
                <w:color w:val="000000" w:themeColor="text1"/>
                <w:sz w:val="24"/>
                <w:szCs w:val="24"/>
                <w:lang w:val="en-US" w:eastAsia="zh-CN"/>
                <w14:textFill>
                  <w14:solidFill>
                    <w14:schemeClr w14:val="tx1"/>
                  </w14:solidFill>
                </w14:textFill>
              </w:rPr>
              <w:t>厂</w:t>
            </w:r>
            <w:r>
              <w:rPr>
                <w:rFonts w:hint="default" w:ascii="Times New Roman" w:hAnsi="Times New Roman" w:eastAsia="宋体" w:cs="Times New Roman"/>
                <w:color w:val="000000" w:themeColor="text1"/>
                <w:sz w:val="24"/>
                <w:szCs w:val="24"/>
                <w14:textFill>
                  <w14:solidFill>
                    <w14:schemeClr w14:val="tx1"/>
                  </w14:solidFill>
                </w14:textFill>
              </w:rPr>
              <w:t>实际，编制环境保护规划和实施细则，并组织实施，监督执行。</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（2）组织和管理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 xml:space="preserve">的污染治理工作，负责环保治理设施的运行及管理工作，建立污染物浓度和排放总量双项控制制度，并彻底做到各项污染物达标排放。 </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（3）定期进行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环境管理人员的环保知识和技术培训工作。</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（4）通过技术培训，不断提高治理设施的处理水平和可操作性。</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（5）做好常规环境统计工作，掌握各项治理设施的运行状况。</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（6）科学组织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项目运营</w:t>
            </w:r>
            <w:r>
              <w:rPr>
                <w:rFonts w:hint="default" w:ascii="Times New Roman" w:hAnsi="Times New Roman" w:eastAsia="宋体" w:cs="Times New Roman"/>
                <w:color w:val="000000" w:themeColor="text1"/>
                <w:sz w:val="24"/>
                <w:szCs w:val="24"/>
                <w14:textFill>
                  <w14:solidFill>
                    <w14:schemeClr w14:val="tx1"/>
                  </w14:solidFill>
                </w14:textFill>
              </w:rPr>
              <w:t>。通过及时全面了解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w:t>
            </w:r>
            <w:r>
              <w:rPr>
                <w:rFonts w:hint="default" w:ascii="Times New Roman" w:hAnsi="Times New Roman" w:eastAsia="宋体" w:cs="Times New Roman"/>
                <w:color w:val="000000" w:themeColor="text1"/>
                <w:sz w:val="24"/>
                <w:szCs w:val="24"/>
                <w14:textFill>
                  <w14:solidFill>
                    <w14:schemeClr w14:val="tx1"/>
                  </w14:solidFill>
                </w14:textFill>
              </w:rPr>
              <w:t>情况，均衡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游客接待</w:t>
            </w:r>
            <w:r>
              <w:rPr>
                <w:rFonts w:hint="default" w:ascii="Times New Roman" w:hAnsi="Times New Roman" w:eastAsia="宋体" w:cs="Times New Roman"/>
                <w:color w:val="000000" w:themeColor="text1"/>
                <w:sz w:val="24"/>
                <w:szCs w:val="24"/>
                <w14:textFill>
                  <w14:solidFill>
                    <w14:schemeClr w14:val="tx1"/>
                  </w14:solidFill>
                </w14:textFill>
              </w:rPr>
              <w:t>，使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配套服务</w:t>
            </w:r>
            <w:r>
              <w:rPr>
                <w:rFonts w:hint="default" w:ascii="Times New Roman" w:hAnsi="Times New Roman" w:eastAsia="宋体" w:cs="Times New Roman"/>
                <w:color w:val="000000" w:themeColor="text1"/>
                <w:sz w:val="24"/>
                <w:szCs w:val="24"/>
                <w14:textFill>
                  <w14:solidFill>
                    <w14:schemeClr w14:val="tx1"/>
                  </w14:solidFill>
                </w14:textFill>
              </w:rPr>
              <w:t>各环节协调进行，加强环境保护工作调度，做好突发事故时防止污染的应急措施，使生产过程的污染物排放达到最低限度。</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（7）加强物资管理。加强物资管理实行无害保管、无害运输、限额发放、控制消耗定额、保证原材料质量也会对减少排污量起一定作用。</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（8）设备管理。合理使用设备，加强对设备的维护和修理，改造设备的结构，杜绝设备和管道的跑、冒、漏现象，防止有害物质的泄漏。</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（9）废弃物管理。针对项目营运期产生的生活垃圾，应集中收集及时处理，严禁长时间在厂区堆存污染环境。</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3、排污口规范化管理</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3.1</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排污口标识</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项目应完成废气排放源、噪声排放源、一般固体废物堆场的规范化建设，其投资纳入项目总投资中，同时各项污染源排放口应设置专项图标，执行《环境保护图形标志-排放口（源）》（GB15562-1995）</w:t>
            </w:r>
            <w:r>
              <w:rPr>
                <w:rFonts w:hint="eastAsia" w:cs="Times New Roman"/>
                <w:color w:val="000000" w:themeColor="text1"/>
                <w:sz w:val="24"/>
                <w:szCs w:val="24"/>
                <w:lang w:val="en-US" w:eastAsia="zh-CN"/>
                <w14:textFill>
                  <w14:solidFill>
                    <w14:schemeClr w14:val="tx1"/>
                  </w14:solidFill>
                </w14:textFill>
              </w:rPr>
              <w:t>及其修改单</w:t>
            </w:r>
            <w:r>
              <w:rPr>
                <w:rFonts w:hint="default" w:ascii="Times New Roman" w:hAnsi="Times New Roman" w:eastAsia="宋体" w:cs="Times New Roman"/>
                <w:color w:val="000000" w:themeColor="text1"/>
                <w:sz w:val="24"/>
                <w:szCs w:val="24"/>
                <w14:textFill>
                  <w14:solidFill>
                    <w14:schemeClr w14:val="tx1"/>
                  </w14:solidFill>
                </w14:textFill>
              </w:rPr>
              <w:t>，详见下表。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 xml:space="preserve">4-38 </w:t>
            </w:r>
            <w:r>
              <w:rPr>
                <w:rFonts w:hint="default"/>
                <w:b/>
                <w:bCs/>
                <w:color w:val="000000" w:themeColor="text1"/>
                <w14:textFill>
                  <w14:solidFill>
                    <w14:schemeClr w14:val="tx1"/>
                  </w14:solidFill>
                </w14:textFill>
              </w:rPr>
              <w:t xml:space="preserve">  各排污口（源）标志牌设置示意图表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370"/>
              <w:gridCol w:w="1369"/>
              <w:gridCol w:w="1370"/>
              <w:gridCol w:w="1370"/>
              <w:gridCol w:w="13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0"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名称</w:t>
                  </w:r>
                </w:p>
              </w:tc>
              <w:tc>
                <w:tcPr>
                  <w:tcW w:w="1370"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废气排放口</w:t>
                  </w:r>
                </w:p>
              </w:tc>
              <w:tc>
                <w:tcPr>
                  <w:tcW w:w="1369"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废水排放口</w:t>
                  </w:r>
                </w:p>
              </w:tc>
              <w:tc>
                <w:tcPr>
                  <w:tcW w:w="1370"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噪声排放源</w:t>
                  </w:r>
                </w:p>
              </w:tc>
              <w:tc>
                <w:tcPr>
                  <w:tcW w:w="1370"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一般固体废物</w:t>
                  </w:r>
                </w:p>
              </w:tc>
              <w:tc>
                <w:tcPr>
                  <w:tcW w:w="1371" w:type="dxa"/>
                  <w:tcBorders>
                    <w:bottom w:val="single" w:color="auto"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危险固体废物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0"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提示图形符号</w:t>
                  </w:r>
                </w:p>
              </w:tc>
              <w:tc>
                <w:tcPr>
                  <w:tcW w:w="1370"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720090" cy="720090"/>
                        <wp:effectExtent l="0" t="0" r="3810" b="381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43"/>
                                <a:stretch>
                                  <a:fillRect/>
                                </a:stretch>
                              </pic:blipFill>
                              <pic:spPr>
                                <a:xfrm>
                                  <a:off x="0" y="0"/>
                                  <a:ext cx="720090" cy="720090"/>
                                </a:xfrm>
                                <a:prstGeom prst="rect">
                                  <a:avLst/>
                                </a:prstGeom>
                                <a:noFill/>
                                <a:ln>
                                  <a:noFill/>
                                </a:ln>
                              </pic:spPr>
                            </pic:pic>
                          </a:graphicData>
                        </a:graphic>
                      </wp:inline>
                    </w:drawing>
                  </w:r>
                </w:p>
              </w:tc>
              <w:tc>
                <w:tcPr>
                  <w:tcW w:w="1369"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720090" cy="720090"/>
                        <wp:effectExtent l="0" t="0" r="3810" b="381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44"/>
                                <a:stretch>
                                  <a:fillRect/>
                                </a:stretch>
                              </pic:blipFill>
                              <pic:spPr>
                                <a:xfrm>
                                  <a:off x="0" y="0"/>
                                  <a:ext cx="720090" cy="720090"/>
                                </a:xfrm>
                                <a:prstGeom prst="rect">
                                  <a:avLst/>
                                </a:prstGeom>
                                <a:noFill/>
                                <a:ln>
                                  <a:noFill/>
                                </a:ln>
                              </pic:spPr>
                            </pic:pic>
                          </a:graphicData>
                        </a:graphic>
                      </wp:inline>
                    </w:drawing>
                  </w:r>
                </w:p>
              </w:tc>
              <w:tc>
                <w:tcPr>
                  <w:tcW w:w="1370"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720090" cy="720090"/>
                        <wp:effectExtent l="0" t="0" r="3810" b="381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45"/>
                                <a:stretch>
                                  <a:fillRect/>
                                </a:stretch>
                              </pic:blipFill>
                              <pic:spPr>
                                <a:xfrm>
                                  <a:off x="0" y="0"/>
                                  <a:ext cx="720090" cy="720090"/>
                                </a:xfrm>
                                <a:prstGeom prst="rect">
                                  <a:avLst/>
                                </a:prstGeom>
                                <a:noFill/>
                                <a:ln>
                                  <a:noFill/>
                                </a:ln>
                              </pic:spPr>
                            </pic:pic>
                          </a:graphicData>
                        </a:graphic>
                      </wp:inline>
                    </w:drawing>
                  </w:r>
                </w:p>
              </w:tc>
              <w:tc>
                <w:tcPr>
                  <w:tcW w:w="1370"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720090" cy="720090"/>
                        <wp:effectExtent l="0" t="0" r="3810" b="381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46"/>
                                <a:stretch>
                                  <a:fillRect/>
                                </a:stretch>
                              </pic:blipFill>
                              <pic:spPr>
                                <a:xfrm>
                                  <a:off x="0" y="0"/>
                                  <a:ext cx="720090" cy="720090"/>
                                </a:xfrm>
                                <a:prstGeom prst="rect">
                                  <a:avLst/>
                                </a:prstGeom>
                                <a:noFill/>
                                <a:ln>
                                  <a:noFill/>
                                </a:ln>
                              </pic:spPr>
                            </pic:pic>
                          </a:graphicData>
                        </a:graphic>
                      </wp:inline>
                    </w:drawing>
                  </w:r>
                </w:p>
              </w:tc>
              <w:tc>
                <w:tcPr>
                  <w:tcW w:w="1371" w:type="dxa"/>
                  <w:tcBorders>
                    <w:top w:val="single" w:color="auto" w:sz="12" w:space="0"/>
                  </w:tcBorders>
                  <w:noWrap w:val="0"/>
                  <w:vAlign w:val="center"/>
                </w:tcPr>
                <w:p>
                  <w:pPr>
                    <w:pStyle w:val="15"/>
                    <w:bidi w:val="0"/>
                    <w:rPr>
                      <w:rFonts w:hint="default"/>
                      <w:color w:val="000000" w:themeColor="text1"/>
                      <w14:textFill>
                        <w14:solidFill>
                          <w14:schemeClr w14:val="tx1"/>
                        </w14:solidFill>
                      </w14:textFill>
                    </w:rPr>
                  </w:pPr>
                  <w:r>
                    <w:drawing>
                      <wp:inline distT="0" distB="0" distL="114300" distR="114300">
                        <wp:extent cx="730885" cy="645795"/>
                        <wp:effectExtent l="0" t="0" r="12065" b="1905"/>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47"/>
                                <a:stretch>
                                  <a:fillRect/>
                                </a:stretch>
                              </pic:blipFill>
                              <pic:spPr>
                                <a:xfrm>
                                  <a:off x="0" y="0"/>
                                  <a:ext cx="730885" cy="64579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0"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功能</w:t>
                  </w:r>
                </w:p>
              </w:tc>
              <w:tc>
                <w:tcPr>
                  <w:tcW w:w="1370"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表示废气向大气环境排放</w:t>
                  </w:r>
                </w:p>
              </w:tc>
              <w:tc>
                <w:tcPr>
                  <w:tcW w:w="1369"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表示废水向水环境排放</w:t>
                  </w:r>
                </w:p>
              </w:tc>
              <w:tc>
                <w:tcPr>
                  <w:tcW w:w="1370"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表示噪声向外环境排放</w:t>
                  </w:r>
                </w:p>
              </w:tc>
              <w:tc>
                <w:tcPr>
                  <w:tcW w:w="1370"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表示一般固体废物贮存、处置场所</w:t>
                  </w:r>
                </w:p>
              </w:tc>
              <w:tc>
                <w:tcPr>
                  <w:tcW w:w="1371" w:type="dxa"/>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表示危险固体废物贮存、处置场所</w:t>
                  </w:r>
                </w:p>
              </w:tc>
            </w:tr>
          </w:tbl>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要求各排污口（源）提示标志形状采用正方形边框，背景颜色采用绿色，图形颜色采用白色，警告标志采用三角形边框，背景颜色采用黄色，图形颜色采用黑色，标志牌应设在与功能相应的醒目处，并保持清晰、完整。</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3.2</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排污口监测</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废气、废水排污口要求按照《污染源监测技术规范》设置采样点。</w:t>
            </w:r>
          </w:p>
          <w:p>
            <w:pPr>
              <w:spacing w:line="360" w:lineRule="auto"/>
              <w:ind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3.3</w:t>
            </w:r>
            <w:r>
              <w:rPr>
                <w:rFonts w:hint="eastAsia"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14:textFill>
                  <w14:solidFill>
                    <w14:schemeClr w14:val="tx1"/>
                  </w14:solidFill>
                </w14:textFill>
              </w:rPr>
              <w:t>排污口管理</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应在排污口设置标志牌，标志牌应注明污染物名称以警示周围群众，建设单位如实填写《中华人民共和国规范化排污口登记证》的有关内容，由环保主管部门签发登记证。建设单位应把有关排污情况及污染防治措施的运行情况建档管理，并报送环保主管部门备案。</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4、排污许可证</w:t>
            </w:r>
          </w:p>
          <w:p>
            <w:pPr>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根据《固定污染源排污许可分类管理名录》（201</w:t>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年版），本项目为</w:t>
            </w:r>
            <w:r>
              <w:rPr>
                <w:rFonts w:hint="eastAsia"/>
                <w:color w:val="000000" w:themeColor="text1"/>
                <w:lang w:val="en-US" w:eastAsia="zh-CN"/>
                <w14:textFill>
                  <w14:solidFill>
                    <w14:schemeClr w14:val="tx1"/>
                  </w14:solidFill>
                </w14:textFill>
              </w:rPr>
              <w:t>9 谷物磨制131，实行登记</w:t>
            </w:r>
            <w:r>
              <w:rPr>
                <w:rFonts w:hint="default"/>
                <w:color w:val="000000" w:themeColor="text1"/>
                <w:lang w:val="en-US" w:eastAsia="zh-CN"/>
                <w14:textFill>
                  <w14:solidFill>
                    <w14:schemeClr w14:val="tx1"/>
                  </w14:solidFill>
                </w14:textFill>
              </w:rPr>
              <w:t>管理</w:t>
            </w:r>
            <w:r>
              <w:rPr>
                <w:rFonts w:hint="eastAsia"/>
                <w:color w:val="000000" w:themeColor="text1"/>
                <w:lang w:val="en-US" w:eastAsia="zh-CN"/>
                <w14:textFill>
                  <w14:solidFill>
                    <w14:schemeClr w14:val="tx1"/>
                  </w14:solidFill>
                </w14:textFill>
              </w:rPr>
              <w:t>，同时本项目生物质热风炉属于96 热力生产和供应业中的“单台或者合计处理20吨/小时（14兆瓦）及以上的锅炉（不含电热锅炉）”，为重点管理，则应</w:t>
            </w:r>
            <w:r>
              <w:rPr>
                <w:rFonts w:hint="default"/>
                <w:color w:val="000000" w:themeColor="text1"/>
                <w:lang w:val="en-US" w:eastAsia="zh-CN"/>
                <w14:textFill>
                  <w14:solidFill>
                    <w14:schemeClr w14:val="tx1"/>
                  </w14:solidFill>
                </w14:textFill>
              </w:rPr>
              <w:t xml:space="preserve">根据《排污许可证申请与核发技术规范 </w:t>
            </w:r>
            <w:r>
              <w:rPr>
                <w:rFonts w:hint="eastAsia"/>
                <w:color w:val="000000" w:themeColor="text1"/>
                <w:lang w:val="en-US" w:eastAsia="zh-CN"/>
                <w14:textFill>
                  <w14:solidFill>
                    <w14:schemeClr w14:val="tx1"/>
                  </w14:solidFill>
                </w14:textFill>
              </w:rPr>
              <w:t>锅炉</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（HJ953-2018）</w:t>
            </w:r>
            <w:r>
              <w:rPr>
                <w:rFonts w:hint="default"/>
                <w:color w:val="000000" w:themeColor="text1"/>
                <w:lang w:val="en-US" w:eastAsia="zh-CN"/>
                <w14:textFill>
                  <w14:solidFill>
                    <w14:schemeClr w14:val="tx1"/>
                  </w14:solidFill>
                </w14:textFill>
              </w:rPr>
              <w:t>的要求，本项目应在全国排污许可证管理信息平台申报系统中填报相应的信息表。</w:t>
            </w:r>
          </w:p>
          <w:p>
            <w:pPr>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5、污染物排放情况</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（1）大气污染物排放清单</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本项目大气污染物排放情况如下表。</w:t>
            </w:r>
          </w:p>
          <w:p>
            <w:pPr>
              <w:pStyle w:val="15"/>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表4-39   大气污染物有组织排放清单</w:t>
            </w:r>
          </w:p>
          <w:tbl>
            <w:tblPr>
              <w:tblStyle w:val="10"/>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1289"/>
              <w:gridCol w:w="1414"/>
              <w:gridCol w:w="2115"/>
              <w:gridCol w:w="1370"/>
              <w:gridCol w:w="13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61" w:type="dxa"/>
                  <w:tcBorders>
                    <w:bottom w:val="single" w:color="000000" w:sz="12" w:space="0"/>
                  </w:tcBorders>
                  <w:noWrap w:val="0"/>
                  <w:vAlign w:val="center"/>
                </w:tcPr>
                <w:p>
                  <w:pPr>
                    <w:pStyle w:val="15"/>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1289" w:type="dxa"/>
                  <w:tcBorders>
                    <w:bottom w:val="single" w:color="000000" w:sz="12" w:space="0"/>
                  </w:tcBorders>
                  <w:noWrap w:val="0"/>
                  <w:vAlign w:val="center"/>
                </w:tcPr>
                <w:p>
                  <w:pPr>
                    <w:pStyle w:val="15"/>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排放口编号</w:t>
                  </w:r>
                </w:p>
              </w:tc>
              <w:tc>
                <w:tcPr>
                  <w:tcW w:w="1414" w:type="dxa"/>
                  <w:tcBorders>
                    <w:bottom w:val="single" w:color="000000" w:sz="12" w:space="0"/>
                  </w:tcBorders>
                  <w:noWrap w:val="0"/>
                  <w:vAlign w:val="center"/>
                </w:tcPr>
                <w:p>
                  <w:pPr>
                    <w:pStyle w:val="15"/>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污染物</w:t>
                  </w:r>
                </w:p>
              </w:tc>
              <w:tc>
                <w:tcPr>
                  <w:tcW w:w="2115" w:type="dxa"/>
                  <w:tcBorders>
                    <w:bottom w:val="single" w:color="000000" w:sz="12" w:space="0"/>
                  </w:tcBorders>
                  <w:noWrap w:val="0"/>
                  <w:vAlign w:val="center"/>
                </w:tcPr>
                <w:p>
                  <w:pPr>
                    <w:pStyle w:val="15"/>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核算排放浓度/(mg/</w:t>
                  </w:r>
                  <w:r>
                    <w:rPr>
                      <w:rFonts w:hint="eastAsia"/>
                      <w:b/>
                      <w:bCs/>
                      <w:color w:val="000000" w:themeColor="text1"/>
                      <w:lang w:eastAsia="zh-CN"/>
                      <w14:textFill>
                        <w14:solidFill>
                          <w14:schemeClr w14:val="tx1"/>
                        </w14:solidFill>
                      </w14:textFill>
                    </w:rPr>
                    <w:t>m³</w:t>
                  </w:r>
                  <w:r>
                    <w:rPr>
                      <w:rFonts w:hint="default"/>
                      <w:b/>
                      <w:bCs/>
                      <w:color w:val="000000" w:themeColor="text1"/>
                      <w14:textFill>
                        <w14:solidFill>
                          <w14:schemeClr w14:val="tx1"/>
                        </w14:solidFill>
                      </w14:textFill>
                    </w:rPr>
                    <w:t>)</w:t>
                  </w:r>
                </w:p>
              </w:tc>
              <w:tc>
                <w:tcPr>
                  <w:tcW w:w="1370" w:type="dxa"/>
                  <w:tcBorders>
                    <w:bottom w:val="single" w:color="000000" w:sz="12" w:space="0"/>
                  </w:tcBorders>
                  <w:noWrap w:val="0"/>
                  <w:vAlign w:val="center"/>
                </w:tcPr>
                <w:p>
                  <w:pPr>
                    <w:pStyle w:val="15"/>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核算排放速率/(kg/h)</w:t>
                  </w:r>
                </w:p>
              </w:tc>
              <w:tc>
                <w:tcPr>
                  <w:tcW w:w="1371" w:type="dxa"/>
                  <w:tcBorders>
                    <w:bottom w:val="single" w:color="000000" w:sz="12" w:space="0"/>
                  </w:tcBorders>
                  <w:noWrap w:val="0"/>
                  <w:vAlign w:val="center"/>
                </w:tcPr>
                <w:p>
                  <w:pPr>
                    <w:pStyle w:val="15"/>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核算年排放量/(t/a)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220" w:type="dxa"/>
                  <w:gridSpan w:val="6"/>
                  <w:tcBorders>
                    <w:top w:val="single" w:color="000000" w:sz="12" w:space="0"/>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主要排放口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661"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289" w:type="dxa"/>
                  <w:vMerge w:val="restart"/>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DA001</w:t>
                  </w:r>
                </w:p>
              </w:tc>
              <w:tc>
                <w:tcPr>
                  <w:tcW w:w="1414" w:type="dxa"/>
                  <w:tcBorders>
                    <w:tl2br w:val="nil"/>
                    <w:tr2bl w:val="nil"/>
                  </w:tcBorders>
                  <w:noWrap w:val="0"/>
                  <w:vAlign w:val="top"/>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烟尘</w:t>
                  </w:r>
                </w:p>
              </w:tc>
              <w:tc>
                <w:tcPr>
                  <w:tcW w:w="2115"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18.5</w:t>
                  </w:r>
                </w:p>
              </w:tc>
              <w:tc>
                <w:tcPr>
                  <w:tcW w:w="1370"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3.6×10</w:t>
                  </w:r>
                  <w:r>
                    <w:rPr>
                      <w:rFonts w:hint="eastAsia"/>
                      <w:color w:val="000000" w:themeColor="text1"/>
                      <w:vertAlign w:val="superscript"/>
                      <w:lang w:val="en-US" w:eastAsia="zh-CN"/>
                      <w14:textFill>
                        <w14:solidFill>
                          <w14:schemeClr w14:val="tx1"/>
                        </w14:solidFill>
                      </w14:textFill>
                    </w:rPr>
                    <w:t>-4</w:t>
                  </w:r>
                </w:p>
              </w:tc>
              <w:tc>
                <w:tcPr>
                  <w:tcW w:w="1371"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3.75×10</w:t>
                  </w:r>
                  <w:r>
                    <w:rPr>
                      <w:rFonts w:hint="eastAsia"/>
                      <w:color w:val="000000" w:themeColor="text1"/>
                      <w:vertAlign w:val="superscript"/>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6" w:hRule="atLeast"/>
                <w:jc w:val="center"/>
              </w:trPr>
              <w:tc>
                <w:tcPr>
                  <w:tcW w:w="661"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289" w:type="dxa"/>
                  <w:vMerge w:val="continue"/>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14" w:type="dxa"/>
                  <w:tcBorders>
                    <w:tl2br w:val="nil"/>
                    <w:tr2bl w:val="nil"/>
                  </w:tcBorders>
                  <w:noWrap w:val="0"/>
                  <w:vAlign w:val="top"/>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二氧化硫</w:t>
                  </w:r>
                </w:p>
              </w:tc>
              <w:tc>
                <w:tcPr>
                  <w:tcW w:w="2115"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50.1</w:t>
                  </w:r>
                </w:p>
              </w:tc>
              <w:tc>
                <w:tcPr>
                  <w:tcW w:w="1370"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w:t>
                  </w:r>
                </w:p>
              </w:tc>
              <w:tc>
                <w:tcPr>
                  <w:tcW w:w="1371" w:type="dxa"/>
                  <w:tcBorders>
                    <w:tl2br w:val="nil"/>
                    <w:tr2bl w:val="nil"/>
                  </w:tcBorders>
                  <w:noWrap w:val="0"/>
                  <w:vAlign w:val="top"/>
                </w:tcPr>
                <w:p>
                  <w:pPr>
                    <w:pStyle w:val="15"/>
                    <w:bidi w:val="0"/>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61"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289" w:type="dxa"/>
                  <w:vMerge w:val="continue"/>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1414" w:type="dxa"/>
                  <w:tcBorders>
                    <w:tl2br w:val="nil"/>
                    <w:tr2bl w:val="nil"/>
                  </w:tcBorders>
                  <w:noWrap w:val="0"/>
                  <w:vAlign w:val="top"/>
                </w:tcPr>
                <w:p>
                  <w:pPr>
                    <w:pStyle w:val="15"/>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氮氧化物</w:t>
                  </w:r>
                </w:p>
              </w:tc>
              <w:tc>
                <w:tcPr>
                  <w:tcW w:w="2115"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142.9</w:t>
                  </w:r>
                </w:p>
              </w:tc>
              <w:tc>
                <w:tcPr>
                  <w:tcW w:w="1370"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0.97</w:t>
                  </w:r>
                </w:p>
              </w:tc>
              <w:tc>
                <w:tcPr>
                  <w:tcW w:w="1371"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950" w:type="dxa"/>
                  <w:gridSpan w:val="2"/>
                  <w:vMerge w:val="restart"/>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主要排放口合计</w:t>
                  </w:r>
                </w:p>
              </w:tc>
              <w:tc>
                <w:tcPr>
                  <w:tcW w:w="4899" w:type="dxa"/>
                  <w:gridSpan w:val="3"/>
                  <w:tcBorders>
                    <w:tl2br w:val="nil"/>
                    <w:tr2bl w:val="nil"/>
                  </w:tcBorders>
                  <w:noWrap w:val="0"/>
                  <w:vAlign w:val="top"/>
                </w:tcPr>
                <w:p>
                  <w:pPr>
                    <w:pStyle w:val="15"/>
                    <w:bidi w:val="0"/>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烟尘</w:t>
                  </w:r>
                </w:p>
              </w:tc>
              <w:tc>
                <w:tcPr>
                  <w:tcW w:w="1371"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3.75×10</w:t>
                  </w:r>
                  <w:r>
                    <w:rPr>
                      <w:rFonts w:hint="eastAsia"/>
                      <w:color w:val="000000" w:themeColor="text1"/>
                      <w:vertAlign w:val="superscript"/>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950" w:type="dxa"/>
                  <w:gridSpan w:val="2"/>
                  <w:vMerge w:val="continue"/>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899" w:type="dxa"/>
                  <w:gridSpan w:val="3"/>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二氧化硫</w:t>
                  </w:r>
                </w:p>
              </w:tc>
              <w:tc>
                <w:tcPr>
                  <w:tcW w:w="1371" w:type="dxa"/>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950" w:type="dxa"/>
                  <w:gridSpan w:val="2"/>
                  <w:vMerge w:val="continue"/>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899" w:type="dxa"/>
                  <w:gridSpan w:val="3"/>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氮氧化物</w:t>
                  </w:r>
                </w:p>
              </w:tc>
              <w:tc>
                <w:tcPr>
                  <w:tcW w:w="1371" w:type="dxa"/>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220" w:type="dxa"/>
                  <w:gridSpan w:val="6"/>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61"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289"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414"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2115"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370"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c>
                <w:tcPr>
                  <w:tcW w:w="1371"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1950" w:type="dxa"/>
                  <w:gridSpan w:val="2"/>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一般排放口</w:t>
                  </w:r>
                </w:p>
              </w:tc>
              <w:tc>
                <w:tcPr>
                  <w:tcW w:w="4899" w:type="dxa"/>
                  <w:gridSpan w:val="3"/>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71" w:type="dxa"/>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8220" w:type="dxa"/>
                  <w:gridSpan w:val="6"/>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有组织排放总计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1950" w:type="dxa"/>
                  <w:gridSpan w:val="2"/>
                  <w:vMerge w:val="restart"/>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有组织排放总计</w:t>
                  </w:r>
                </w:p>
              </w:tc>
              <w:tc>
                <w:tcPr>
                  <w:tcW w:w="4899" w:type="dxa"/>
                  <w:gridSpan w:val="3"/>
                  <w:tcBorders>
                    <w:tl2br w:val="nil"/>
                    <w:tr2bl w:val="nil"/>
                  </w:tcBorders>
                  <w:noWrap w:val="0"/>
                  <w:vAlign w:val="top"/>
                </w:tcPr>
                <w:p>
                  <w:pPr>
                    <w:pStyle w:val="15"/>
                    <w:bidi w:val="0"/>
                    <w:ind w:left="0" w:leftChars="0"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烟尘</w:t>
                  </w:r>
                </w:p>
              </w:tc>
              <w:tc>
                <w:tcPr>
                  <w:tcW w:w="1371" w:type="dxa"/>
                  <w:tcBorders>
                    <w:tl2br w:val="nil"/>
                    <w:tr2bl w:val="nil"/>
                  </w:tcBorders>
                  <w:noWrap w:val="0"/>
                  <w:vAlign w:val="top"/>
                </w:tcPr>
                <w:p>
                  <w:pPr>
                    <w:pStyle w:val="15"/>
                    <w:bidi w:val="0"/>
                    <w:ind w:left="0" w:lef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1950" w:type="dxa"/>
                  <w:gridSpan w:val="2"/>
                  <w:vMerge w:val="continue"/>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899" w:type="dxa"/>
                  <w:gridSpan w:val="3"/>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二氧化硫</w:t>
                  </w:r>
                </w:p>
              </w:tc>
              <w:tc>
                <w:tcPr>
                  <w:tcW w:w="1371" w:type="dxa"/>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258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1950" w:type="dxa"/>
                  <w:gridSpan w:val="2"/>
                  <w:vMerge w:val="continue"/>
                  <w:tcBorders>
                    <w:tl2br w:val="nil"/>
                    <w:tr2bl w:val="nil"/>
                  </w:tcBorders>
                  <w:noWrap w:val="0"/>
                  <w:vAlign w:val="center"/>
                </w:tcPr>
                <w:p>
                  <w:pPr>
                    <w:pStyle w:val="15"/>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p>
              </w:tc>
              <w:tc>
                <w:tcPr>
                  <w:tcW w:w="4899" w:type="dxa"/>
                  <w:gridSpan w:val="3"/>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氮氧化物</w:t>
                  </w:r>
                </w:p>
              </w:tc>
              <w:tc>
                <w:tcPr>
                  <w:tcW w:w="1371" w:type="dxa"/>
                  <w:tcBorders>
                    <w:tl2br w:val="nil"/>
                    <w:tr2bl w:val="nil"/>
                  </w:tcBorders>
                  <w:noWrap w:val="0"/>
                  <w:vAlign w:val="top"/>
                </w:tcPr>
                <w:p>
                  <w:pPr>
                    <w:pStyle w:val="15"/>
                    <w:bidi w:val="0"/>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0.735</w:t>
                  </w:r>
                </w:p>
              </w:tc>
            </w:tr>
          </w:tbl>
          <w:p>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表4-40   大气污染物无组织排放清单</w:t>
            </w:r>
          </w:p>
          <w:tbl>
            <w:tblPr>
              <w:tblStyle w:val="10"/>
              <w:tblW w:w="822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1285"/>
              <w:gridCol w:w="882"/>
              <w:gridCol w:w="1462"/>
              <w:gridCol w:w="1510"/>
              <w:gridCol w:w="1401"/>
              <w:gridCol w:w="10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9"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1285"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排放口编号</w:t>
                  </w:r>
                </w:p>
              </w:tc>
              <w:tc>
                <w:tcPr>
                  <w:tcW w:w="882"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污染物</w:t>
                  </w:r>
                </w:p>
              </w:tc>
              <w:tc>
                <w:tcPr>
                  <w:tcW w:w="1462"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主要污染防治措施</w:t>
                  </w:r>
                </w:p>
              </w:tc>
              <w:tc>
                <w:tcPr>
                  <w:tcW w:w="2911" w:type="dxa"/>
                  <w:gridSpan w:val="2"/>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国家或地方污染物排放标准</w:t>
                  </w:r>
                </w:p>
              </w:tc>
              <w:tc>
                <w:tcPr>
                  <w:tcW w:w="1021" w:type="dxa"/>
                  <w:vMerge w:val="restart"/>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9" w:type="dxa"/>
                  <w:vMerge w:val="continue"/>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p>
              </w:tc>
              <w:tc>
                <w:tcPr>
                  <w:tcW w:w="1285" w:type="dxa"/>
                  <w:vMerge w:val="continue"/>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p>
              </w:tc>
              <w:tc>
                <w:tcPr>
                  <w:tcW w:w="882" w:type="dxa"/>
                  <w:vMerge w:val="continue"/>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p>
              </w:tc>
              <w:tc>
                <w:tcPr>
                  <w:tcW w:w="1462" w:type="dxa"/>
                  <w:vMerge w:val="continue"/>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p>
              </w:tc>
              <w:tc>
                <w:tcPr>
                  <w:tcW w:w="1510" w:type="dxa"/>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标准名称</w:t>
                  </w:r>
                </w:p>
              </w:tc>
              <w:tc>
                <w:tcPr>
                  <w:tcW w:w="1401" w:type="dxa"/>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浓度限值/(mg/</w:t>
                  </w:r>
                  <w:r>
                    <w:rPr>
                      <w:rFonts w:hint="default"/>
                      <w:b/>
                      <w:bCs/>
                      <w:color w:val="000000" w:themeColor="text1"/>
                      <w:lang w:eastAsia="zh-CN"/>
                      <w14:textFill>
                        <w14:solidFill>
                          <w14:schemeClr w14:val="tx1"/>
                        </w14:solidFill>
                      </w14:textFill>
                    </w:rPr>
                    <w:t>m³</w:t>
                  </w:r>
                  <w:r>
                    <w:rPr>
                      <w:rFonts w:hint="default"/>
                      <w:b/>
                      <w:bCs/>
                      <w:color w:val="000000" w:themeColor="text1"/>
                      <w14:textFill>
                        <w14:solidFill>
                          <w14:schemeClr w14:val="tx1"/>
                        </w14:solidFill>
                      </w14:textFill>
                    </w:rPr>
                    <w:t>)</w:t>
                  </w:r>
                </w:p>
              </w:tc>
              <w:tc>
                <w:tcPr>
                  <w:tcW w:w="1021" w:type="dxa"/>
                  <w:vMerge w:val="continue"/>
                  <w:tcBorders>
                    <w:bottom w:val="single" w:color="000000" w:sz="12" w:space="0"/>
                  </w:tcBorders>
                  <w:noWrap w:val="0"/>
                  <w:vAlign w:val="center"/>
                </w:tcPr>
                <w:p>
                  <w:pPr>
                    <w:pStyle w:val="15"/>
                    <w:bidi w:val="0"/>
                    <w:rPr>
                      <w:rFonts w:hint="default"/>
                      <w:b/>
                      <w:bCs/>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659" w:type="dxa"/>
                  <w:tcBorders>
                    <w:top w:val="single" w:color="000000" w:sz="12" w:space="0"/>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285" w:type="dxa"/>
                  <w:tcBorders>
                    <w:top w:val="single" w:color="000000" w:sz="12" w:space="0"/>
                    <w:tl2br w:val="nil"/>
                    <w:tr2bl w:val="nil"/>
                  </w:tcBorders>
                  <w:noWrap w:val="0"/>
                  <w:vAlign w:val="center"/>
                </w:tcPr>
                <w:p>
                  <w:pPr>
                    <w:pStyle w:val="1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烘干区</w:t>
                  </w:r>
                </w:p>
              </w:tc>
              <w:tc>
                <w:tcPr>
                  <w:tcW w:w="882" w:type="dxa"/>
                  <w:tcBorders>
                    <w:top w:val="single" w:color="000000" w:sz="12" w:space="0"/>
                    <w:tl2br w:val="nil"/>
                    <w:tr2bl w:val="nil"/>
                  </w:tcBorders>
                  <w:noWrap w:val="0"/>
                  <w:vAlign w:val="center"/>
                </w:tcPr>
                <w:p>
                  <w:pPr>
                    <w:pStyle w:val="15"/>
                    <w:bidi w:val="0"/>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TSP</w:t>
                  </w:r>
                </w:p>
              </w:tc>
              <w:tc>
                <w:tcPr>
                  <w:tcW w:w="1462" w:type="dxa"/>
                  <w:tcBorders>
                    <w:top w:val="single" w:color="000000" w:sz="12" w:space="0"/>
                    <w:tl2br w:val="nil"/>
                    <w:tr2bl w:val="nil"/>
                  </w:tcBorders>
                  <w:noWrap w:val="0"/>
                  <w:vAlign w:val="center"/>
                </w:tcPr>
                <w:p>
                  <w:pPr>
                    <w:pStyle w:val="15"/>
                    <w:bidi w:val="0"/>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全封闭输运皮带、烘干塔设置过滤网封闭、筛选过程出气口布置布袋除尘器、全封闭灰渣库、</w:t>
                  </w:r>
                  <w:r>
                    <w:rPr>
                      <w:rFonts w:hint="eastAsia"/>
                      <w:color w:val="000000" w:themeColor="text1"/>
                      <w:lang w:eastAsia="zh-CN"/>
                      <w14:textFill>
                        <w14:solidFill>
                          <w14:schemeClr w14:val="tx1"/>
                        </w14:solidFill>
                      </w14:textFill>
                    </w:rPr>
                    <w:t>燃料库</w:t>
                  </w:r>
                </w:p>
              </w:tc>
              <w:tc>
                <w:tcPr>
                  <w:tcW w:w="1510" w:type="dxa"/>
                  <w:tcBorders>
                    <w:top w:val="single" w:color="000000" w:sz="12" w:space="0"/>
                    <w:tl2br w:val="nil"/>
                    <w:tr2bl w:val="nil"/>
                  </w:tcBorders>
                  <w:noWrap w:val="0"/>
                  <w:vAlign w:val="center"/>
                </w:tcPr>
                <w:p>
                  <w:pPr>
                    <w:pStyle w:val="15"/>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《大气污染物综合排放标准》（</w:t>
                  </w:r>
                  <w:r>
                    <w:rPr>
                      <w:color w:val="000000" w:themeColor="text1"/>
                      <w14:textFill>
                        <w14:solidFill>
                          <w14:schemeClr w14:val="tx1"/>
                        </w14:solidFill>
                      </w14:textFill>
                    </w:rPr>
                    <w:t>GB16297-1996</w:t>
                  </w:r>
                  <w:r>
                    <w:rPr>
                      <w:rFonts w:hint="eastAsia"/>
                      <w:color w:val="000000" w:themeColor="text1"/>
                      <w14:textFill>
                        <w14:solidFill>
                          <w14:schemeClr w14:val="tx1"/>
                        </w14:solidFill>
                      </w14:textFill>
                    </w:rPr>
                    <w:t>）</w:t>
                  </w:r>
                </w:p>
              </w:tc>
              <w:tc>
                <w:tcPr>
                  <w:tcW w:w="1401" w:type="dxa"/>
                  <w:tcBorders>
                    <w:top w:val="single" w:color="000000" w:sz="12" w:space="0"/>
                    <w:tl2br w:val="nil"/>
                    <w:tr2bl w:val="nil"/>
                  </w:tcBorders>
                  <w:noWrap w:val="0"/>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021" w:type="dxa"/>
                  <w:tcBorders>
                    <w:top w:val="single" w:color="000000" w:sz="12" w:space="0"/>
                    <w:tl2br w:val="nil"/>
                    <w:tr2bl w:val="nil"/>
                  </w:tcBorders>
                  <w:noWrap w:val="0"/>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0.338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8220" w:type="dxa"/>
                  <w:gridSpan w:val="7"/>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jc w:val="center"/>
              </w:trPr>
              <w:tc>
                <w:tcPr>
                  <w:tcW w:w="1944" w:type="dxa"/>
                  <w:gridSpan w:val="2"/>
                  <w:tcBorders>
                    <w:tl2br w:val="nil"/>
                    <w:tr2bl w:val="nil"/>
                  </w:tcBorders>
                  <w:noWrap w:val="0"/>
                  <w:vAlign w:val="center"/>
                </w:tcPr>
                <w:p>
                  <w:pPr>
                    <w:pStyle w:val="15"/>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无组织排放总计</w:t>
                  </w:r>
                </w:p>
              </w:tc>
              <w:tc>
                <w:tcPr>
                  <w:tcW w:w="5255" w:type="dxa"/>
                  <w:gridSpan w:val="4"/>
                  <w:tcBorders>
                    <w:tl2br w:val="nil"/>
                    <w:tr2bl w:val="nil"/>
                  </w:tcBorders>
                  <w:noWrap w:val="0"/>
                  <w:vAlign w:val="center"/>
                </w:tcPr>
                <w:p>
                  <w:pPr>
                    <w:pStyle w:val="15"/>
                    <w:bidi w:val="0"/>
                    <w:ind w:left="0" w:lef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1021" w:type="dxa"/>
                  <w:tcBorders>
                    <w:tl2br w:val="nil"/>
                    <w:tr2bl w:val="nil"/>
                  </w:tcBorders>
                  <w:noWrap w:val="0"/>
                  <w:vAlign w:val="center"/>
                </w:tcPr>
                <w:p>
                  <w:pPr>
                    <w:pStyle w:val="15"/>
                    <w:bidi w:val="0"/>
                    <w:ind w:left="0" w:lef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0.338</w:t>
                  </w:r>
                </w:p>
              </w:tc>
            </w:tr>
          </w:tbl>
          <w:p>
            <w:pPr>
              <w:keepNext w:val="0"/>
              <w:keepLines w:val="0"/>
              <w:suppressLineNumbers w:val="0"/>
              <w:tabs>
                <w:tab w:val="left" w:pos="303"/>
              </w:tabs>
              <w:spacing w:before="0" w:beforeAutospacing="0" w:after="0" w:afterAutospacing="0" w:line="450" w:lineRule="exact"/>
              <w:ind w:left="0" w:right="0" w:firstLine="480" w:firstLineChars="200"/>
              <w:rPr>
                <w:rFonts w:hint="eastAsia" w:cs="Times New Roman"/>
                <w:color w:val="000000" w:themeColor="text1"/>
                <w:sz w:val="24"/>
                <w:szCs w:val="20"/>
                <w:lang w:val="en-US" w:eastAsia="zh-CN"/>
                <w14:textFill>
                  <w14:solidFill>
                    <w14:schemeClr w14:val="tx1"/>
                  </w14:solidFill>
                </w14:textFill>
              </w:rPr>
            </w:pPr>
            <w:r>
              <w:rPr>
                <w:rFonts w:hint="eastAsia" w:cs="Times New Roman"/>
                <w:color w:val="000000" w:themeColor="text1"/>
                <w:sz w:val="24"/>
                <w:szCs w:val="20"/>
                <w:lang w:val="en-US" w:eastAsia="zh-CN"/>
                <w14:textFill>
                  <w14:solidFill>
                    <w14:schemeClr w14:val="tx1"/>
                  </w14:solidFill>
                </w14:textFill>
              </w:rPr>
              <w:t>（2）水污染物排放清单如下表。</w:t>
            </w:r>
          </w:p>
          <w:p>
            <w:pPr>
              <w:pStyle w:val="15"/>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表4-41   水污染物排放清单</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5"/>
              <w:gridCol w:w="1294"/>
              <w:gridCol w:w="970"/>
              <w:gridCol w:w="984"/>
              <w:gridCol w:w="982"/>
              <w:gridCol w:w="1010"/>
              <w:gridCol w:w="963"/>
              <w:gridCol w:w="12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2059" w:type="dxa"/>
                  <w:gridSpan w:val="2"/>
                  <w:tcBorders>
                    <w:top w:val="single" w:color="auto" w:sz="12"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主要污染物</w:t>
                  </w:r>
                </w:p>
              </w:tc>
              <w:tc>
                <w:tcPr>
                  <w:tcW w:w="970"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排水量</w:t>
                  </w:r>
                </w:p>
              </w:tc>
              <w:tc>
                <w:tcPr>
                  <w:tcW w:w="984"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CODcr</w:t>
                  </w:r>
                </w:p>
              </w:tc>
              <w:tc>
                <w:tcPr>
                  <w:tcW w:w="982"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BOD</w:t>
                  </w:r>
                  <w:r>
                    <w:rPr>
                      <w:b/>
                      <w:bCs/>
                      <w:color w:val="000000" w:themeColor="text1"/>
                      <w:vertAlign w:val="subscript"/>
                      <w14:textFill>
                        <w14:solidFill>
                          <w14:schemeClr w14:val="tx1"/>
                        </w14:solidFill>
                      </w14:textFill>
                    </w:rPr>
                    <w:t>5</w:t>
                  </w:r>
                </w:p>
              </w:tc>
              <w:tc>
                <w:tcPr>
                  <w:tcW w:w="1010"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SS</w:t>
                  </w:r>
                </w:p>
              </w:tc>
              <w:tc>
                <w:tcPr>
                  <w:tcW w:w="963" w:type="dxa"/>
                  <w:tcBorders>
                    <w:top w:val="single" w:color="auto" w:sz="12" w:space="0"/>
                    <w:left w:val="single" w:color="auto" w:sz="6" w:space="0"/>
                    <w:bottom w:val="single" w:color="auto" w:sz="12" w:space="0"/>
                    <w:right w:val="single" w:color="auto" w:sz="6" w:space="0"/>
                  </w:tcBorders>
                  <w:vAlign w:val="center"/>
                </w:tcPr>
                <w:p>
                  <w:pPr>
                    <w:pStyle w:val="15"/>
                    <w:bidi w:val="0"/>
                    <w:rPr>
                      <w:b/>
                      <w:bCs/>
                      <w:color w:val="000000" w:themeColor="text1"/>
                      <w14:textFill>
                        <w14:solidFill>
                          <w14:schemeClr w14:val="tx1"/>
                        </w14:solidFill>
                      </w14:textFill>
                    </w:rPr>
                  </w:pPr>
                  <w:r>
                    <w:rPr>
                      <w:b/>
                      <w:bCs/>
                      <w:color w:val="000000" w:themeColor="text1"/>
                      <w14:textFill>
                        <w14:solidFill>
                          <w14:schemeClr w14:val="tx1"/>
                        </w14:solidFill>
                      </w14:textFill>
                    </w:rPr>
                    <w:t>NH</w:t>
                  </w:r>
                  <w:r>
                    <w:rPr>
                      <w:b/>
                      <w:bCs/>
                      <w:color w:val="000000" w:themeColor="text1"/>
                      <w:vertAlign w:val="subscript"/>
                      <w14:textFill>
                        <w14:solidFill>
                          <w14:schemeClr w14:val="tx1"/>
                        </w14:solidFill>
                      </w14:textFill>
                    </w:rPr>
                    <w:t>3</w:t>
                  </w:r>
                  <w:r>
                    <w:rPr>
                      <w:b/>
                      <w:bCs/>
                      <w:color w:val="000000" w:themeColor="text1"/>
                      <w14:textFill>
                        <w14:solidFill>
                          <w14:schemeClr w14:val="tx1"/>
                        </w14:solidFill>
                      </w14:textFill>
                    </w:rPr>
                    <w:t>-N</w:t>
                  </w:r>
                </w:p>
              </w:tc>
              <w:tc>
                <w:tcPr>
                  <w:tcW w:w="1252" w:type="dxa"/>
                  <w:tcBorders>
                    <w:top w:val="single" w:color="auto" w:sz="12" w:space="0"/>
                    <w:left w:val="single" w:color="auto" w:sz="6" w:space="0"/>
                    <w:bottom w:val="single" w:color="auto" w:sz="12" w:space="0"/>
                  </w:tcBorders>
                  <w:vAlign w:val="center"/>
                </w:tcPr>
                <w:p>
                  <w:pPr>
                    <w:pStyle w:val="1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765" w:type="dxa"/>
                  <w:vMerge w:val="restart"/>
                  <w:tcBorders>
                    <w:top w:val="single" w:color="auto" w:sz="12"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产生</w:t>
                  </w:r>
                </w:p>
              </w:tc>
              <w:tc>
                <w:tcPr>
                  <w:tcW w:w="1294"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p>
              </w:tc>
              <w:tc>
                <w:tcPr>
                  <w:tcW w:w="970" w:type="dxa"/>
                  <w:vMerge w:val="restart"/>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72</w:t>
                  </w:r>
                  <w:r>
                    <w:rPr>
                      <w:color w:val="000000" w:themeColor="text1"/>
                      <w14:textFill>
                        <w14:solidFill>
                          <w14:schemeClr w14:val="tx1"/>
                        </w14:solidFill>
                      </w14:textFill>
                    </w:rPr>
                    <w:t>m³/a</w:t>
                  </w:r>
                </w:p>
              </w:tc>
              <w:tc>
                <w:tcPr>
                  <w:tcW w:w="984"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982"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010"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350</w:t>
                  </w:r>
                </w:p>
              </w:tc>
              <w:tc>
                <w:tcPr>
                  <w:tcW w:w="963" w:type="dxa"/>
                  <w:tcBorders>
                    <w:top w:val="single" w:color="auto" w:sz="12" w:space="0"/>
                    <w:left w:val="single" w:color="auto" w:sz="6" w:space="0"/>
                    <w:bottom w:val="single" w:color="auto" w:sz="6" w:space="0"/>
                    <w:right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252" w:type="dxa"/>
                  <w:tcBorders>
                    <w:top w:val="single" w:color="auto" w:sz="12" w:space="0"/>
                    <w:left w:val="single" w:color="auto" w:sz="6" w:space="0"/>
                    <w:bottom w:val="single" w:color="auto" w:sz="6" w:space="0"/>
                  </w:tcBorders>
                  <w:vAlign w:val="center"/>
                </w:tcPr>
                <w:p>
                  <w:pPr>
                    <w:pStyle w:val="15"/>
                    <w:bidi w:val="0"/>
                    <w:rPr>
                      <w:color w:val="000000" w:themeColor="text1"/>
                      <w14:textFill>
                        <w14:solidFill>
                          <w14:schemeClr w14:val="tx1"/>
                        </w14:solidFill>
                      </w14:textFill>
                    </w:rPr>
                  </w:pPr>
                  <w:r>
                    <w:rPr>
                      <w:color w:val="000000" w:themeColor="text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70" w:hRule="atLeast"/>
                <w:jc w:val="center"/>
              </w:trPr>
              <w:tc>
                <w:tcPr>
                  <w:tcW w:w="765" w:type="dxa"/>
                  <w:vMerge w:val="continue"/>
                  <w:tcBorders>
                    <w:top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p>
              </w:tc>
              <w:tc>
                <w:tcPr>
                  <w:tcW w:w="1294" w:type="dxa"/>
                  <w:tcBorders>
                    <w:top w:val="single" w:color="auto" w:sz="6" w:space="0"/>
                    <w:left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p>
              </w:tc>
              <w:tc>
                <w:tcPr>
                  <w:tcW w:w="970" w:type="dxa"/>
                  <w:vMerge w:val="continue"/>
                  <w:tcBorders>
                    <w:top w:val="single" w:color="auto" w:sz="6" w:space="0"/>
                    <w:left w:val="single" w:color="auto" w:sz="6" w:space="0"/>
                    <w:bottom w:val="single" w:color="auto" w:sz="12" w:space="0"/>
                    <w:right w:val="single" w:color="auto" w:sz="6" w:space="0"/>
                  </w:tcBorders>
                  <w:vAlign w:val="center"/>
                </w:tcPr>
                <w:p>
                  <w:pPr>
                    <w:pStyle w:val="15"/>
                    <w:bidi w:val="0"/>
                    <w:rPr>
                      <w:color w:val="000000" w:themeColor="text1"/>
                      <w14:textFill>
                        <w14:solidFill>
                          <w14:schemeClr w14:val="tx1"/>
                        </w14:solidFill>
                      </w14:textFill>
                    </w:rPr>
                  </w:pPr>
                </w:p>
              </w:tc>
              <w:tc>
                <w:tcPr>
                  <w:tcW w:w="984"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22</w:t>
                  </w:r>
                </w:p>
              </w:tc>
              <w:tc>
                <w:tcPr>
                  <w:tcW w:w="982"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14</w:t>
                  </w:r>
                </w:p>
              </w:tc>
              <w:tc>
                <w:tcPr>
                  <w:tcW w:w="1010"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25</w:t>
                  </w:r>
                </w:p>
              </w:tc>
              <w:tc>
                <w:tcPr>
                  <w:tcW w:w="963" w:type="dxa"/>
                  <w:tcBorders>
                    <w:top w:val="single" w:color="auto" w:sz="6" w:space="0"/>
                    <w:left w:val="single" w:color="auto" w:sz="6" w:space="0"/>
                    <w:bottom w:val="single" w:color="auto" w:sz="12" w:space="0"/>
                    <w:right w:val="single" w:color="auto" w:sz="6" w:space="0"/>
                  </w:tcBorders>
                  <w:vAlign w:val="center"/>
                </w:tcPr>
                <w:p>
                  <w:pPr>
                    <w:pStyle w:val="15"/>
                    <w:bidi w:val="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1252" w:type="dxa"/>
                  <w:tcBorders>
                    <w:top w:val="single" w:color="auto" w:sz="6" w:space="0"/>
                    <w:left w:val="single" w:color="auto" w:sz="6" w:space="0"/>
                    <w:bottom w:val="single" w:color="auto" w:sz="12" w:space="0"/>
                  </w:tcBorders>
                  <w:vAlign w:val="center"/>
                </w:tcPr>
                <w:p>
                  <w:pPr>
                    <w:pStyle w:val="15"/>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0.004</w:t>
                  </w:r>
                </w:p>
              </w:tc>
            </w:tr>
          </w:tbl>
          <w:p>
            <w:pPr>
              <w:keepNext w:val="0"/>
              <w:keepLines w:val="0"/>
              <w:suppressLineNumbers w:val="0"/>
              <w:tabs>
                <w:tab w:val="left" w:pos="303"/>
              </w:tabs>
              <w:spacing w:before="0" w:beforeAutospacing="0" w:after="0" w:afterAutospacing="0" w:line="450" w:lineRule="exact"/>
              <w:ind w:left="0" w:right="0" w:firstLine="480" w:firstLineChars="200"/>
              <w:rPr>
                <w:rFonts w:hint="eastAsia" w:cs="Times New Roman"/>
                <w:color w:val="000000" w:themeColor="text1"/>
                <w:sz w:val="24"/>
                <w:szCs w:val="20"/>
                <w:lang w:val="en-US" w:eastAsia="zh-CN"/>
                <w14:textFill>
                  <w14:solidFill>
                    <w14:schemeClr w14:val="tx1"/>
                  </w14:solidFill>
                </w14:textFill>
              </w:rPr>
            </w:pPr>
            <w:r>
              <w:rPr>
                <w:rFonts w:hint="eastAsia" w:cs="Times New Roman"/>
                <w:color w:val="000000" w:themeColor="text1"/>
                <w:sz w:val="24"/>
                <w:szCs w:val="20"/>
                <w:lang w:val="en-US" w:eastAsia="zh-CN"/>
                <w14:textFill>
                  <w14:solidFill>
                    <w14:schemeClr w14:val="tx1"/>
                  </w14:solidFill>
                </w14:textFill>
              </w:rPr>
              <w:t>（3）固体废物排放清单如下表</w:t>
            </w:r>
          </w:p>
          <w:p>
            <w:pPr>
              <w:pStyle w:val="15"/>
              <w:bidi w:val="0"/>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表4-42   固体废物排放清单</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4"/>
              <w:gridCol w:w="1174"/>
              <w:gridCol w:w="1174"/>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vMerge w:val="restart"/>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名称</w:t>
                  </w:r>
                </w:p>
              </w:tc>
              <w:tc>
                <w:tcPr>
                  <w:tcW w:w="1174" w:type="dxa"/>
                  <w:vMerge w:val="restart"/>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属性</w:t>
                  </w:r>
                </w:p>
              </w:tc>
              <w:tc>
                <w:tcPr>
                  <w:tcW w:w="2348" w:type="dxa"/>
                  <w:gridSpan w:val="2"/>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产生情况</w:t>
                  </w:r>
                </w:p>
              </w:tc>
              <w:tc>
                <w:tcPr>
                  <w:tcW w:w="2350" w:type="dxa"/>
                  <w:gridSpan w:val="2"/>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处置措施</w:t>
                  </w:r>
                </w:p>
              </w:tc>
              <w:tc>
                <w:tcPr>
                  <w:tcW w:w="1175" w:type="dxa"/>
                  <w:vMerge w:val="restart"/>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vMerge w:val="continue"/>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p>
              </w:tc>
              <w:tc>
                <w:tcPr>
                  <w:tcW w:w="1174" w:type="dxa"/>
                  <w:vMerge w:val="continue"/>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p>
              </w:tc>
              <w:tc>
                <w:tcPr>
                  <w:tcW w:w="1174"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核算方式</w:t>
                  </w:r>
                </w:p>
              </w:tc>
              <w:tc>
                <w:tcPr>
                  <w:tcW w:w="1174"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产生量（t/a）</w:t>
                  </w:r>
                </w:p>
              </w:tc>
              <w:tc>
                <w:tcPr>
                  <w:tcW w:w="1175"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措施</w:t>
                  </w:r>
                </w:p>
              </w:tc>
              <w:tc>
                <w:tcPr>
                  <w:tcW w:w="1175" w:type="dxa"/>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处置量（t/a）</w:t>
                  </w:r>
                </w:p>
              </w:tc>
              <w:tc>
                <w:tcPr>
                  <w:tcW w:w="1175" w:type="dxa"/>
                  <w:vMerge w:val="continue"/>
                  <w:tcBorders>
                    <w:bottom w:val="single" w:color="auto" w:sz="12" w:space="0"/>
                  </w:tcBorders>
                  <w:noWrap w:val="0"/>
                  <w:vAlign w:val="center"/>
                </w:tcPr>
                <w:p>
                  <w:pPr>
                    <w:pStyle w:val="15"/>
                    <w:bidi w:val="0"/>
                    <w:rPr>
                      <w:rFonts w:hint="default"/>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1174"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1174"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产污系数</w:t>
                  </w:r>
                </w:p>
              </w:tc>
              <w:tc>
                <w:tcPr>
                  <w:tcW w:w="1174" w:type="dxa"/>
                  <w:tcBorders>
                    <w:top w:val="single" w:color="auto" w:sz="12" w:space="0"/>
                  </w:tcBorders>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w:t>
                  </w:r>
                </w:p>
              </w:tc>
              <w:tc>
                <w:tcPr>
                  <w:tcW w:w="1175" w:type="dxa"/>
                  <w:tcBorders>
                    <w:top w:val="single" w:color="auto" w:sz="12" w:space="0"/>
                  </w:tcBorders>
                  <w:noWrap w:val="0"/>
                  <w:vAlign w:val="center"/>
                </w:tcPr>
                <w:p>
                  <w:pPr>
                    <w:pStyle w:val="15"/>
                    <w:bidi w:val="0"/>
                    <w:ind w:left="0" w:leftChars="0" w:firstLine="0" w:firstLineChars="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环卫部门清运</w:t>
                  </w:r>
                </w:p>
              </w:tc>
              <w:tc>
                <w:tcPr>
                  <w:tcW w:w="1175" w:type="dxa"/>
                  <w:tcBorders>
                    <w:top w:val="single" w:color="auto" w:sz="12" w:space="0"/>
                  </w:tcBorders>
                  <w:noWrap w:val="0"/>
                  <w:vAlign w:val="center"/>
                </w:tcPr>
                <w:p>
                  <w:pPr>
                    <w:pStyle w:val="15"/>
                    <w:bidi w:val="0"/>
                    <w:ind w:left="0" w:leftChars="0" w:firstLine="0" w:firstLineChars="0"/>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w:t>
                  </w:r>
                </w:p>
              </w:tc>
              <w:tc>
                <w:tcPr>
                  <w:tcW w:w="1175" w:type="dxa"/>
                  <w:tcBorders>
                    <w:top w:val="single" w:color="auto" w:sz="12" w:space="0"/>
                  </w:tcBorders>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杂质</w:t>
                  </w:r>
                </w:p>
              </w:tc>
              <w:tc>
                <w:tcPr>
                  <w:tcW w:w="1174" w:type="dxa"/>
                  <w:vMerge w:val="restart"/>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一般固体废物</w:t>
                  </w: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外售农户</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炉渣（64）</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经验系数</w:t>
                  </w:r>
                </w:p>
              </w:tc>
              <w:tc>
                <w:tcPr>
                  <w:tcW w:w="1174"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104.5</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外售建筑单位</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104.5</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布袋除尘器收集的烟灰（63）</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物料衡算</w:t>
                  </w:r>
                </w:p>
              </w:tc>
              <w:tc>
                <w:tcPr>
                  <w:tcW w:w="1174"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1.25</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1.25</w:t>
                  </w:r>
                </w:p>
              </w:tc>
              <w:tc>
                <w:tcPr>
                  <w:tcW w:w="1175"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脱硫石膏（65）</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ind w:left="0" w:leftChars="0" w:firstLine="0" w:firstLineChars="0"/>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7.33</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外售</w:t>
                  </w:r>
                </w:p>
              </w:tc>
              <w:tc>
                <w:tcPr>
                  <w:tcW w:w="1175" w:type="dxa"/>
                  <w:noWrap w:val="0"/>
                  <w:vAlign w:val="center"/>
                </w:tcPr>
                <w:p>
                  <w:pPr>
                    <w:pStyle w:val="15"/>
                    <w:bidi w:val="0"/>
                    <w:ind w:left="0" w:leftChars="0" w:firstLine="0" w:firstLineChars="0"/>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7.33</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含油抹布</w:t>
                  </w:r>
                </w:p>
              </w:tc>
              <w:tc>
                <w:tcPr>
                  <w:tcW w:w="1174" w:type="dxa"/>
                  <w:vMerge w:val="restart"/>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危险废物</w:t>
                  </w:r>
                </w:p>
              </w:tc>
              <w:tc>
                <w:tcPr>
                  <w:tcW w:w="1174" w:type="dxa"/>
                  <w:noWrap w:val="0"/>
                  <w:vAlign w:val="center"/>
                </w:tcPr>
                <w:p>
                  <w:pPr>
                    <w:pStyle w:val="15"/>
                    <w:bidi w:val="0"/>
                    <w:rPr>
                      <w:rFonts w:hint="default"/>
                      <w:color w:val="000000" w:themeColor="text1"/>
                      <w:sz w:val="21"/>
                      <w:szCs w:val="21"/>
                      <w:lang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ind w:left="0" w:leftChars="0" w:firstLine="0" w:firstLineChars="0"/>
                    <w:rPr>
                      <w:rFonts w:hint="default"/>
                      <w:color w:val="000000" w:themeColor="text1"/>
                      <w:sz w:val="2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0.</w:t>
                  </w:r>
                  <w:r>
                    <w:rPr>
                      <w:rFonts w:hint="default"/>
                      <w:color w:val="000000" w:themeColor="text1"/>
                      <w:sz w:val="21"/>
                      <w:szCs w:val="21"/>
                      <w:lang w:val="en-US" w:eastAsia="zh-CN"/>
                      <w14:textFill>
                        <w14:solidFill>
                          <w14:schemeClr w14:val="tx1"/>
                        </w14:solidFill>
                      </w14:textFill>
                    </w:rPr>
                    <w:t>05</w:t>
                  </w:r>
                </w:p>
              </w:tc>
              <w:tc>
                <w:tcPr>
                  <w:tcW w:w="1175" w:type="dxa"/>
                  <w:noWrap w:val="0"/>
                  <w:vAlign w:val="center"/>
                </w:tcPr>
                <w:p>
                  <w:pPr>
                    <w:pStyle w:val="15"/>
                    <w:bidi w:val="0"/>
                    <w:ind w:left="0" w:leftChars="0" w:firstLine="0" w:firstLineChars="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环卫部门清运</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0.</w:t>
                  </w:r>
                  <w:r>
                    <w:rPr>
                      <w:rFonts w:hint="default"/>
                      <w:color w:val="000000" w:themeColor="text1"/>
                      <w:sz w:val="21"/>
                      <w:szCs w:val="21"/>
                      <w:lang w:val="en-US" w:eastAsia="zh-CN"/>
                      <w14:textFill>
                        <w14:solidFill>
                          <w14:schemeClr w14:val="tx1"/>
                        </w14:solidFill>
                      </w14:textFill>
                    </w:rPr>
                    <w:t>05</w:t>
                  </w:r>
                </w:p>
              </w:tc>
              <w:tc>
                <w:tcPr>
                  <w:tcW w:w="1175"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卫生填埋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73" w:type="dxa"/>
                  <w:noWrap w:val="0"/>
                  <w:vAlign w:val="center"/>
                </w:tcPr>
                <w:p>
                  <w:pPr>
                    <w:pStyle w:val="15"/>
                    <w:bidi w:val="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废机油、废油桶</w:t>
                  </w:r>
                </w:p>
              </w:tc>
              <w:tc>
                <w:tcPr>
                  <w:tcW w:w="1174" w:type="dxa"/>
                  <w:vMerge w:val="continue"/>
                  <w:noWrap w:val="0"/>
                  <w:vAlign w:val="center"/>
                </w:tcPr>
                <w:p>
                  <w:pPr>
                    <w:pStyle w:val="15"/>
                    <w:bidi w:val="0"/>
                    <w:rPr>
                      <w:rFonts w:hint="default"/>
                      <w:color w:val="000000" w:themeColor="text1"/>
                      <w:sz w:val="21"/>
                      <w:szCs w:val="21"/>
                      <w14:textFill>
                        <w14:solidFill>
                          <w14:schemeClr w14:val="tx1"/>
                        </w14:solidFill>
                      </w14:textFill>
                    </w:rPr>
                  </w:pPr>
                </w:p>
              </w:tc>
              <w:tc>
                <w:tcPr>
                  <w:tcW w:w="1174" w:type="dxa"/>
                  <w:noWrap w:val="0"/>
                  <w:vAlign w:val="center"/>
                </w:tcPr>
                <w:p>
                  <w:pPr>
                    <w:pStyle w:val="15"/>
                    <w:bidi w:val="0"/>
                    <w:rPr>
                      <w:rFonts w:hint="default"/>
                      <w:color w:val="000000" w:themeColor="text1"/>
                      <w:sz w:val="21"/>
                      <w:szCs w:val="21"/>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类比</w:t>
                  </w:r>
                </w:p>
              </w:tc>
              <w:tc>
                <w:tcPr>
                  <w:tcW w:w="1174"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0.1</w:t>
                  </w:r>
                </w:p>
              </w:tc>
              <w:tc>
                <w:tcPr>
                  <w:tcW w:w="1175" w:type="dxa"/>
                  <w:noWrap w:val="0"/>
                  <w:vAlign w:val="center"/>
                </w:tcPr>
                <w:p>
                  <w:pPr>
                    <w:pStyle w:val="15"/>
                    <w:bidi w:val="0"/>
                    <w:ind w:left="0" w:leftChars="0" w:firstLine="0" w:firstLineChars="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交由具有相应处理资质的单位进行处置</w:t>
                  </w:r>
                </w:p>
              </w:tc>
              <w:tc>
                <w:tcPr>
                  <w:tcW w:w="1175" w:type="dxa"/>
                  <w:noWrap w:val="0"/>
                  <w:vAlign w:val="center"/>
                </w:tcPr>
                <w:p>
                  <w:pPr>
                    <w:pStyle w:val="15"/>
                    <w:bidi w:val="0"/>
                    <w:ind w:left="0" w:leftChars="0" w:firstLine="0" w:firstLineChars="0"/>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0.1</w:t>
                  </w:r>
                </w:p>
              </w:tc>
              <w:tc>
                <w:tcPr>
                  <w:tcW w:w="1175" w:type="dxa"/>
                  <w:noWrap w:val="0"/>
                  <w:vAlign w:val="center"/>
                </w:tcPr>
                <w:p>
                  <w:pPr>
                    <w:pStyle w:val="15"/>
                    <w:bidi w:val="0"/>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综合利用</w:t>
                  </w:r>
                </w:p>
              </w:tc>
            </w:tr>
          </w:tbl>
          <w:p>
            <w:pPr>
              <w:bidi w:val="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6、环境保护投资</w:t>
            </w:r>
          </w:p>
          <w:p>
            <w:pPr>
              <w:spacing w:line="360" w:lineRule="auto"/>
              <w:ind w:firstLine="480" w:firstLineChars="200"/>
              <w:rPr>
                <w:rFonts w:hint="default" w:ascii="Times New Roman" w:hAnsi="Times New Roman" w:eastAsia="宋体" w:cs="Times New Roman"/>
                <w:snapToGrid w:val="0"/>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14:textFill>
                  <w14:solidFill>
                    <w14:schemeClr w14:val="tx1"/>
                  </w14:solidFill>
                </w14:textFill>
              </w:rPr>
              <w:t>本项目环保投资包括在废气、废水、噪声及固体废物防治措施的投资。项目拟投资</w:t>
            </w:r>
            <w:r>
              <w:rPr>
                <w:rFonts w:hint="eastAsia" w:cs="Times New Roman"/>
                <w:snapToGrid w:val="0"/>
                <w:color w:val="000000" w:themeColor="text1"/>
                <w:sz w:val="24"/>
                <w:lang w:val="en-US" w:eastAsia="zh-CN"/>
                <w14:textFill>
                  <w14:solidFill>
                    <w14:schemeClr w14:val="tx1"/>
                  </w14:solidFill>
                </w14:textFill>
              </w:rPr>
              <w:t>600万元</w:t>
            </w:r>
            <w:r>
              <w:rPr>
                <w:rFonts w:hint="default" w:ascii="Times New Roman" w:hAnsi="Times New Roman" w:eastAsia="宋体" w:cs="Times New Roman"/>
                <w:snapToGrid w:val="0"/>
                <w:color w:val="000000" w:themeColor="text1"/>
                <w:sz w:val="24"/>
                <w14:textFill>
                  <w14:solidFill>
                    <w14:schemeClr w14:val="tx1"/>
                  </w14:solidFill>
                </w14:textFill>
              </w:rPr>
              <w:t>，其中环保投资</w:t>
            </w:r>
            <w:r>
              <w:rPr>
                <w:rFonts w:hint="eastAsia" w:cs="Times New Roman"/>
                <w:snapToGrid w:val="0"/>
                <w:color w:val="000000" w:themeColor="text1"/>
                <w:sz w:val="24"/>
                <w:lang w:val="en-US" w:eastAsia="zh-CN"/>
                <w14:textFill>
                  <w14:solidFill>
                    <w14:schemeClr w14:val="tx1"/>
                  </w14:solidFill>
                </w14:textFill>
              </w:rPr>
              <w:t>121.5</w:t>
            </w:r>
            <w:r>
              <w:rPr>
                <w:rFonts w:hint="default" w:ascii="Times New Roman" w:hAnsi="Times New Roman" w:eastAsia="宋体" w:cs="Times New Roman"/>
                <w:snapToGrid w:val="0"/>
                <w:color w:val="000000" w:themeColor="text1"/>
                <w:sz w:val="24"/>
                <w14:textFill>
                  <w14:solidFill>
                    <w14:schemeClr w14:val="tx1"/>
                  </w14:solidFill>
                </w14:textFill>
              </w:rPr>
              <w:t>万元，占投资的</w:t>
            </w:r>
            <w:r>
              <w:rPr>
                <w:rFonts w:hint="eastAsia" w:cs="Times New Roman"/>
                <w:snapToGrid w:val="0"/>
                <w:color w:val="000000" w:themeColor="text1"/>
                <w:sz w:val="24"/>
                <w:lang w:val="en-US" w:eastAsia="zh-CN"/>
                <w14:textFill>
                  <w14:solidFill>
                    <w14:schemeClr w14:val="tx1"/>
                  </w14:solidFill>
                </w14:textFill>
              </w:rPr>
              <w:t>20.25</w:t>
            </w:r>
            <w:r>
              <w:rPr>
                <w:rFonts w:hint="default" w:ascii="Times New Roman" w:hAnsi="Times New Roman" w:eastAsia="宋体" w:cs="Times New Roman"/>
                <w:snapToGrid w:val="0"/>
                <w:color w:val="000000" w:themeColor="text1"/>
                <w:sz w:val="24"/>
                <w14:textFill>
                  <w14:solidFill>
                    <w14:schemeClr w14:val="tx1"/>
                  </w14:solidFill>
                </w14:textFill>
              </w:rPr>
              <w:t>%，本项目环保投资概算见下表。</w:t>
            </w:r>
          </w:p>
          <w:p>
            <w:pPr>
              <w:pStyle w:val="15"/>
              <w:bidi w:val="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eastAsia"/>
                <w:b/>
                <w:bCs/>
                <w:color w:val="000000" w:themeColor="text1"/>
                <w:lang w:val="en-US" w:eastAsia="zh-CN"/>
                <w14:textFill>
                  <w14:solidFill>
                    <w14:schemeClr w14:val="tx1"/>
                  </w14:solidFill>
                </w14:textFill>
              </w:rPr>
              <w:t>4-43</w:t>
            </w:r>
            <w:r>
              <w:rPr>
                <w:rFonts w:hint="default"/>
                <w:b/>
                <w:bCs/>
                <w:color w:val="000000" w:themeColor="text1"/>
                <w14:textFill>
                  <w14:solidFill>
                    <w14:schemeClr w14:val="tx1"/>
                  </w14:solidFill>
                </w14:textFill>
              </w:rPr>
              <w:t xml:space="preserve">   环保投资情况一览表</w:t>
            </w:r>
          </w:p>
          <w:tbl>
            <w:tblPr>
              <w:tblStyle w:val="10"/>
              <w:tblW w:w="822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17"/>
              <w:gridCol w:w="1280"/>
              <w:gridCol w:w="4456"/>
              <w:gridCol w:w="156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2197" w:type="dxa"/>
                  <w:gridSpan w:val="2"/>
                  <w:tcBorders>
                    <w:top w:val="single" w:color="auto" w:sz="12" w:space="0"/>
                    <w:bottom w:val="single" w:color="auto" w:sz="12" w:space="0"/>
                    <w:right w:val="single" w:color="auto" w:sz="2" w:space="0"/>
                  </w:tcBorders>
                  <w:tcMar>
                    <w:left w:w="0" w:type="dxa"/>
                    <w:right w:w="0" w:type="dxa"/>
                  </w:tcMar>
                  <w:vAlign w:val="center"/>
                </w:tcPr>
                <w:p>
                  <w:pPr>
                    <w:pStyle w:val="15"/>
                    <w:bidi w:val="0"/>
                    <w:rPr>
                      <w:b/>
                      <w:bCs/>
                    </w:rPr>
                  </w:pPr>
                  <w:r>
                    <w:rPr>
                      <w:rFonts w:hint="eastAsia"/>
                      <w:b/>
                      <w:bCs/>
                    </w:rPr>
                    <w:t>项目</w:t>
                  </w:r>
                </w:p>
              </w:tc>
              <w:tc>
                <w:tcPr>
                  <w:tcW w:w="4456" w:type="dxa"/>
                  <w:tcBorders>
                    <w:top w:val="single" w:color="auto" w:sz="12" w:space="0"/>
                    <w:left w:val="single" w:color="auto" w:sz="2" w:space="0"/>
                    <w:bottom w:val="single" w:color="auto" w:sz="12" w:space="0"/>
                    <w:right w:val="single" w:color="auto" w:sz="2" w:space="0"/>
                  </w:tcBorders>
                  <w:tcMar>
                    <w:left w:w="0" w:type="dxa"/>
                    <w:right w:w="0" w:type="dxa"/>
                  </w:tcMar>
                  <w:vAlign w:val="center"/>
                </w:tcPr>
                <w:p>
                  <w:pPr>
                    <w:pStyle w:val="15"/>
                    <w:bidi w:val="0"/>
                    <w:rPr>
                      <w:b/>
                      <w:bCs/>
                    </w:rPr>
                  </w:pPr>
                  <w:r>
                    <w:rPr>
                      <w:rFonts w:hint="eastAsia"/>
                      <w:b/>
                      <w:bCs/>
                    </w:rPr>
                    <w:t>治理措施</w:t>
                  </w:r>
                </w:p>
              </w:tc>
              <w:tc>
                <w:tcPr>
                  <w:tcW w:w="1567" w:type="dxa"/>
                  <w:tcBorders>
                    <w:top w:val="single" w:color="auto" w:sz="12" w:space="0"/>
                    <w:left w:val="single" w:color="auto" w:sz="2" w:space="0"/>
                    <w:bottom w:val="single" w:color="auto" w:sz="12" w:space="0"/>
                  </w:tcBorders>
                  <w:tcMar>
                    <w:left w:w="0" w:type="dxa"/>
                    <w:right w:w="0" w:type="dxa"/>
                  </w:tcMar>
                  <w:vAlign w:val="center"/>
                </w:tcPr>
                <w:p>
                  <w:pPr>
                    <w:pStyle w:val="15"/>
                    <w:bidi w:val="0"/>
                    <w:rPr>
                      <w:b/>
                      <w:bCs/>
                    </w:rPr>
                  </w:pPr>
                  <w:r>
                    <w:rPr>
                      <w:rFonts w:hint="eastAsia"/>
                      <w:b/>
                      <w:bCs/>
                    </w:rPr>
                    <w:t>投资（万元）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restart"/>
                  <w:tcBorders>
                    <w:top w:val="single" w:color="auto" w:sz="12" w:space="0"/>
                    <w:right w:val="single" w:color="auto" w:sz="2" w:space="0"/>
                  </w:tcBorders>
                  <w:tcMar>
                    <w:left w:w="0" w:type="dxa"/>
                    <w:right w:w="0" w:type="dxa"/>
                  </w:tcMar>
                  <w:vAlign w:val="center"/>
                </w:tcPr>
                <w:p>
                  <w:pPr>
                    <w:pStyle w:val="15"/>
                    <w:bidi w:val="0"/>
                  </w:pPr>
                  <w:r>
                    <w:rPr>
                      <w:rFonts w:hint="eastAsia"/>
                    </w:rPr>
                    <w:t>废气</w:t>
                  </w:r>
                </w:p>
              </w:tc>
              <w:tc>
                <w:tcPr>
                  <w:tcW w:w="1280" w:type="dxa"/>
                  <w:vMerge w:val="restart"/>
                  <w:tcBorders>
                    <w:top w:val="single" w:color="auto" w:sz="12" w:space="0"/>
                    <w:left w:val="single" w:color="auto" w:sz="2" w:space="0"/>
                    <w:bottom w:val="single" w:color="auto" w:sz="2" w:space="0"/>
                    <w:right w:val="single" w:color="auto" w:sz="2" w:space="0"/>
                  </w:tcBorders>
                  <w:tcMar>
                    <w:left w:w="0" w:type="dxa"/>
                    <w:right w:w="0" w:type="dxa"/>
                  </w:tcMar>
                  <w:vAlign w:val="center"/>
                </w:tcPr>
                <w:p>
                  <w:pPr>
                    <w:pStyle w:val="15"/>
                    <w:bidi w:val="0"/>
                    <w:rPr>
                      <w:rFonts w:hint="eastAsia" w:eastAsia="宋体"/>
                      <w:lang w:eastAsia="zh-CN"/>
                    </w:rPr>
                  </w:pPr>
                  <w:r>
                    <w:rPr>
                      <w:rFonts w:hint="eastAsia"/>
                      <w:lang w:eastAsia="zh-CN"/>
                    </w:rPr>
                    <w:t>生物质热风炉</w:t>
                  </w:r>
                </w:p>
              </w:tc>
              <w:tc>
                <w:tcPr>
                  <w:tcW w:w="4456" w:type="dxa"/>
                  <w:tcBorders>
                    <w:top w:val="single" w:color="auto" w:sz="12" w:space="0"/>
                    <w:left w:val="single" w:color="auto" w:sz="2" w:space="0"/>
                    <w:bottom w:val="single" w:color="auto" w:sz="2" w:space="0"/>
                    <w:right w:val="single" w:color="auto" w:sz="2" w:space="0"/>
                  </w:tcBorders>
                  <w:tcMar>
                    <w:left w:w="0" w:type="dxa"/>
                    <w:right w:w="0" w:type="dxa"/>
                  </w:tcMar>
                  <w:vAlign w:val="center"/>
                </w:tcPr>
                <w:p>
                  <w:pPr>
                    <w:pStyle w:val="15"/>
                    <w:bidi w:val="0"/>
                    <w:rPr>
                      <w:rFonts w:hint="default"/>
                      <w:lang w:val="en-US" w:eastAsia="zh-CN"/>
                    </w:rPr>
                  </w:pPr>
                  <w:r>
                    <w:t>SNCR</w:t>
                  </w:r>
                  <w:r>
                    <w:rPr>
                      <w:rFonts w:hint="eastAsia"/>
                    </w:rPr>
                    <w:t>脱硝设备</w:t>
                  </w:r>
                  <w:r>
                    <w:rPr>
                      <w:rFonts w:hint="eastAsia"/>
                      <w:lang w:val="en-US" w:eastAsia="zh-CN"/>
                    </w:rPr>
                    <w:t>1套</w:t>
                  </w:r>
                </w:p>
              </w:tc>
              <w:tc>
                <w:tcPr>
                  <w:tcW w:w="1567" w:type="dxa"/>
                  <w:tcBorders>
                    <w:top w:val="single" w:color="auto" w:sz="12" w:space="0"/>
                    <w:left w:val="single" w:color="auto" w:sz="2" w:space="0"/>
                    <w:bottom w:val="single" w:color="auto" w:sz="2" w:space="0"/>
                  </w:tcBorders>
                  <w:tcMar>
                    <w:left w:w="0" w:type="dxa"/>
                    <w:right w:w="0" w:type="dxa"/>
                  </w:tcMar>
                  <w:vAlign w:val="center"/>
                </w:tcPr>
                <w:p>
                  <w:pPr>
                    <w:pStyle w:val="15"/>
                    <w:bidi w:val="0"/>
                  </w:pPr>
                  <w: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continue"/>
                  <w:tcBorders>
                    <w:right w:val="single" w:color="auto" w:sz="2" w:space="0"/>
                  </w:tcBorders>
                  <w:tcMar>
                    <w:left w:w="0" w:type="dxa"/>
                    <w:right w:w="0" w:type="dxa"/>
                  </w:tcMar>
                  <w:vAlign w:val="center"/>
                </w:tcPr>
                <w:p>
                  <w:pPr>
                    <w:pStyle w:val="15"/>
                    <w:bidi w:val="0"/>
                  </w:pPr>
                </w:p>
              </w:tc>
              <w:tc>
                <w:tcPr>
                  <w:tcW w:w="1280" w:type="dxa"/>
                  <w:vMerge w:val="continue"/>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rFonts w:hint="default"/>
                      <w:lang w:val="en-US" w:eastAsia="zh-CN"/>
                    </w:rPr>
                  </w:pPr>
                  <w:r>
                    <w:rPr>
                      <w:rFonts w:hint="eastAsia"/>
                    </w:rPr>
                    <w:t>布袋除尘器</w:t>
                  </w:r>
                  <w:r>
                    <w:rPr>
                      <w:rFonts w:hint="eastAsia"/>
                      <w:lang w:val="en-US" w:eastAsia="zh-CN"/>
                    </w:rPr>
                    <w:t>1套</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rPr>
                      <w:rFonts w:hint="default"/>
                      <w:lang w:val="en-US" w:eastAsia="zh-CN"/>
                    </w:rPr>
                  </w:pPr>
                  <w:r>
                    <w:rPr>
                      <w:rFonts w:hint="eastAsia"/>
                      <w:lang w:val="en-US" w:eastAsia="zh-CN"/>
                    </w:rPr>
                    <w:t>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continue"/>
                  <w:tcBorders>
                    <w:right w:val="single" w:color="auto" w:sz="2" w:space="0"/>
                  </w:tcBorders>
                  <w:tcMar>
                    <w:left w:w="0" w:type="dxa"/>
                    <w:right w:w="0" w:type="dxa"/>
                  </w:tcMar>
                  <w:vAlign w:val="center"/>
                </w:tcPr>
                <w:p>
                  <w:pPr>
                    <w:pStyle w:val="15"/>
                    <w:bidi w:val="0"/>
                  </w:pPr>
                </w:p>
              </w:tc>
              <w:tc>
                <w:tcPr>
                  <w:tcW w:w="1280" w:type="dxa"/>
                  <w:vMerge w:val="continue"/>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rFonts w:hint="default"/>
                      <w:lang w:val="en-US" w:eastAsia="zh-CN"/>
                    </w:rPr>
                  </w:pPr>
                  <w:r>
                    <w:rPr>
                      <w:rFonts w:hint="eastAsia"/>
                      <w:lang w:val="en-US" w:eastAsia="zh-CN"/>
                    </w:rPr>
                    <w:t>钙钠双碱法脱硫设备一套</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pPr>
                  <w: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continue"/>
                  <w:tcBorders>
                    <w:right w:val="single" w:color="auto" w:sz="2" w:space="0"/>
                  </w:tcBorders>
                  <w:tcMar>
                    <w:left w:w="0" w:type="dxa"/>
                    <w:right w:w="0" w:type="dxa"/>
                  </w:tcMar>
                  <w:vAlign w:val="center"/>
                </w:tcPr>
                <w:p>
                  <w:pPr>
                    <w:pStyle w:val="15"/>
                    <w:bidi w:val="0"/>
                  </w:pPr>
                </w:p>
              </w:tc>
              <w:tc>
                <w:tcPr>
                  <w:tcW w:w="1280" w:type="dxa"/>
                  <w:vMerge w:val="continue"/>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新增</w:t>
                  </w:r>
                  <w:r>
                    <w:t>1</w:t>
                  </w:r>
                  <w:r>
                    <w:rPr>
                      <w:rFonts w:hint="eastAsia"/>
                    </w:rPr>
                    <w:t>台连续在线检测仪</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pPr>
                  <w: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continue"/>
                  <w:tcBorders>
                    <w:right w:val="single" w:color="auto" w:sz="2" w:space="0"/>
                  </w:tcBorders>
                  <w:tcMar>
                    <w:left w:w="0" w:type="dxa"/>
                    <w:right w:w="0" w:type="dxa"/>
                  </w:tcMar>
                  <w:vAlign w:val="center"/>
                </w:tcPr>
                <w:p>
                  <w:pPr>
                    <w:pStyle w:val="15"/>
                    <w:bidi w:val="0"/>
                  </w:pPr>
                </w:p>
              </w:tc>
              <w:tc>
                <w:tcPr>
                  <w:tcW w:w="1280" w:type="dxa"/>
                  <w:vMerge w:val="restart"/>
                  <w:tcBorders>
                    <w:top w:val="single" w:color="auto" w:sz="2" w:space="0"/>
                    <w:left w:val="single" w:color="auto" w:sz="2" w:space="0"/>
                    <w:right w:val="single" w:color="auto" w:sz="2" w:space="0"/>
                  </w:tcBorders>
                  <w:tcMar>
                    <w:left w:w="0" w:type="dxa"/>
                    <w:right w:w="0" w:type="dxa"/>
                  </w:tcMar>
                  <w:vAlign w:val="center"/>
                </w:tcPr>
                <w:p>
                  <w:pPr>
                    <w:pStyle w:val="15"/>
                    <w:bidi w:val="0"/>
                  </w:pPr>
                  <w:r>
                    <w:rPr>
                      <w:rFonts w:hint="eastAsia"/>
                    </w:rPr>
                    <w:t>无组织粉尘</w:t>
                  </w: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rFonts w:hint="eastAsia"/>
                    </w:rPr>
                  </w:pPr>
                  <w:r>
                    <w:rPr>
                      <w:rFonts w:hint="eastAsia"/>
                    </w:rPr>
                    <w:t>控制无组织粉尘：</w:t>
                  </w:r>
                  <w:r>
                    <w:rPr>
                      <w:rFonts w:hint="eastAsia"/>
                      <w:lang w:val="en-US" w:eastAsia="zh-CN"/>
                    </w:rPr>
                    <w:t>生物质燃料仓库</w:t>
                  </w:r>
                  <w:r>
                    <w:rPr>
                      <w:rFonts w:hint="eastAsia"/>
                    </w:rPr>
                    <w:t>、灰渣堆场修建为全封闭式，路面硬化、洒水保湿装置等</w:t>
                  </w:r>
                </w:p>
                <w:p>
                  <w:pPr>
                    <w:pStyle w:val="15"/>
                    <w:bidi w:val="0"/>
                    <w:rPr>
                      <w:rFonts w:hint="default"/>
                      <w:lang w:val="en-US" w:eastAsia="zh-CN"/>
                    </w:rPr>
                  </w:pPr>
                  <w:r>
                    <w:rPr>
                      <w:rFonts w:hint="eastAsia"/>
                      <w:lang w:val="en-US" w:eastAsia="zh-CN"/>
                    </w:rPr>
                    <w:t>烘干塔顶部设备布袋除尘器一套</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rPr>
                      <w:rFonts w:hint="default" w:eastAsia="宋体"/>
                      <w:lang w:val="en-US" w:eastAsia="zh-CN"/>
                    </w:rPr>
                  </w:pPr>
                  <w:r>
                    <w:rPr>
                      <w:rFonts w:hint="eastAsia"/>
                      <w:lang w:val="en-US" w:eastAsia="zh-CN"/>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continue"/>
                  <w:tcBorders>
                    <w:bottom w:val="single" w:color="auto" w:sz="2" w:space="0"/>
                    <w:right w:val="single" w:color="auto" w:sz="2" w:space="0"/>
                  </w:tcBorders>
                  <w:tcMar>
                    <w:left w:w="0" w:type="dxa"/>
                    <w:right w:w="0" w:type="dxa"/>
                  </w:tcMar>
                  <w:vAlign w:val="center"/>
                </w:tcPr>
                <w:p>
                  <w:pPr>
                    <w:pStyle w:val="15"/>
                    <w:bidi w:val="0"/>
                  </w:pPr>
                </w:p>
              </w:tc>
              <w:tc>
                <w:tcPr>
                  <w:tcW w:w="1280" w:type="dxa"/>
                  <w:vMerge w:val="continue"/>
                  <w:tcBorders>
                    <w:left w:val="single" w:color="auto" w:sz="2" w:space="0"/>
                    <w:bottom w:val="single" w:color="auto" w:sz="2" w:space="0"/>
                    <w:right w:val="single" w:color="auto" w:sz="2" w:space="0"/>
                  </w:tcBorders>
                  <w:tcMar>
                    <w:left w:w="0" w:type="dxa"/>
                    <w:right w:w="0" w:type="dxa"/>
                  </w:tcMar>
                  <w:vAlign w:val="center"/>
                </w:tcPr>
                <w:p>
                  <w:pPr>
                    <w:pStyle w:val="15"/>
                    <w:bidi w:val="0"/>
                    <w:rPr>
                      <w:rFonts w:hint="eastAsia"/>
                    </w:rPr>
                  </w:pP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rFonts w:hint="default"/>
                      <w:lang w:val="en-US" w:eastAsia="zh-CN"/>
                    </w:rPr>
                  </w:pPr>
                  <w:r>
                    <w:rPr>
                      <w:rFonts w:hint="eastAsia"/>
                      <w:lang w:val="en-US" w:eastAsia="zh-CN"/>
                    </w:rPr>
                    <w:t>晾晒场周边2m高围墙</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rPr>
                      <w:rFonts w:hint="default"/>
                      <w:lang w:val="en-US" w:eastAsia="zh-CN"/>
                    </w:rPr>
                  </w:pPr>
                  <w:r>
                    <w:rPr>
                      <w:rFonts w:hint="eastAsia"/>
                      <w:lang w:val="en-US" w:eastAsia="zh-CN"/>
                    </w:rPr>
                    <w:t>计入工程投资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tcBorders>
                    <w:top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废水</w:t>
                  </w:r>
                </w:p>
              </w:tc>
              <w:tc>
                <w:tcPr>
                  <w:tcW w:w="1280"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生产废水</w:t>
                  </w: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生产废水处理和循环利用系统、隔油池、化粪池</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pPr>
                  <w: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restart"/>
                  <w:tcBorders>
                    <w:top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噪声</w:t>
                  </w:r>
                </w:p>
              </w:tc>
              <w:tc>
                <w:tcPr>
                  <w:tcW w:w="1280"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提升机、风机</w:t>
                  </w: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风机口加清声器</w:t>
                  </w:r>
                  <w:r>
                    <w:t>+</w:t>
                  </w:r>
                  <w:r>
                    <w:rPr>
                      <w:rFonts w:hint="eastAsia"/>
                    </w:rPr>
                    <w:t>减振基础</w:t>
                  </w:r>
                  <w:r>
                    <w:t>+</w:t>
                  </w:r>
                  <w:r>
                    <w:rPr>
                      <w:rFonts w:hint="eastAsia"/>
                    </w:rPr>
                    <w:t>隔声罩</w:t>
                  </w:r>
                </w:p>
              </w:tc>
              <w:tc>
                <w:tcPr>
                  <w:tcW w:w="1567" w:type="dxa"/>
                  <w:vMerge w:val="restart"/>
                  <w:tcBorders>
                    <w:top w:val="single" w:color="auto" w:sz="2" w:space="0"/>
                    <w:left w:val="single" w:color="auto" w:sz="2" w:space="0"/>
                    <w:bottom w:val="single" w:color="auto" w:sz="2" w:space="0"/>
                  </w:tcBorders>
                  <w:tcMar>
                    <w:left w:w="0" w:type="dxa"/>
                    <w:right w:w="0" w:type="dxa"/>
                  </w:tcMar>
                  <w:vAlign w:val="center"/>
                </w:tcPr>
                <w:p>
                  <w:pPr>
                    <w:pStyle w:val="15"/>
                    <w:bidi w:val="0"/>
                  </w:pPr>
                  <w: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vMerge w:val="continue"/>
                  <w:tcBorders>
                    <w:top w:val="single" w:color="auto" w:sz="2" w:space="0"/>
                    <w:bottom w:val="single" w:color="auto" w:sz="2" w:space="0"/>
                    <w:right w:val="single" w:color="auto" w:sz="2" w:space="0"/>
                  </w:tcBorders>
                  <w:tcMar>
                    <w:left w:w="0" w:type="dxa"/>
                    <w:right w:w="0" w:type="dxa"/>
                  </w:tcMar>
                  <w:vAlign w:val="center"/>
                </w:tcPr>
                <w:p>
                  <w:pPr>
                    <w:pStyle w:val="15"/>
                    <w:bidi w:val="0"/>
                  </w:pPr>
                </w:p>
              </w:tc>
              <w:tc>
                <w:tcPr>
                  <w:tcW w:w="1280"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各类泵</w:t>
                  </w: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lang w:val="zh-CN"/>
                    </w:rPr>
                  </w:pPr>
                  <w:r>
                    <w:rPr>
                      <w:rFonts w:hint="eastAsia"/>
                    </w:rPr>
                    <w:t>电机隔音罩</w:t>
                  </w:r>
                  <w:r>
                    <w:t>+</w:t>
                  </w:r>
                  <w:r>
                    <w:rPr>
                      <w:rFonts w:hint="eastAsia"/>
                    </w:rPr>
                    <w:t>减振基础</w:t>
                  </w:r>
                </w:p>
              </w:tc>
              <w:tc>
                <w:tcPr>
                  <w:tcW w:w="1567" w:type="dxa"/>
                  <w:vMerge w:val="continue"/>
                  <w:tcBorders>
                    <w:top w:val="single" w:color="auto" w:sz="2" w:space="0"/>
                    <w:left w:val="single" w:color="auto" w:sz="2" w:space="0"/>
                    <w:bottom w:val="single" w:color="auto" w:sz="2" w:space="0"/>
                  </w:tcBorders>
                  <w:tcMar>
                    <w:left w:w="0" w:type="dxa"/>
                    <w:right w:w="0" w:type="dxa"/>
                  </w:tcMar>
                  <w:vAlign w:val="center"/>
                </w:tcPr>
                <w:p>
                  <w:pPr>
                    <w:pStyle w:val="15"/>
                    <w:bidi w:val="0"/>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tcBorders>
                    <w:top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固废</w:t>
                  </w:r>
                </w:p>
              </w:tc>
              <w:tc>
                <w:tcPr>
                  <w:tcW w:w="1280"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lang w:val="zh-CN"/>
                    </w:rPr>
                  </w:pPr>
                  <w:r>
                    <w:rPr>
                      <w:rFonts w:hint="eastAsia"/>
                      <w:lang w:val="zh-CN"/>
                    </w:rPr>
                    <w:t>生活垃圾</w:t>
                  </w: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rFonts w:hint="default"/>
                      <w:lang w:val="en-US" w:eastAsia="zh-CN"/>
                    </w:rPr>
                  </w:pPr>
                  <w:r>
                    <w:rPr>
                      <w:rFonts w:hint="eastAsia"/>
                    </w:rPr>
                    <w:t>生活垃圾收集箱</w:t>
                  </w:r>
                  <w:r>
                    <w:rPr>
                      <w:rFonts w:hint="eastAsia"/>
                      <w:lang w:eastAsia="zh-CN"/>
                    </w:rPr>
                    <w:t>、</w:t>
                  </w:r>
                  <w:r>
                    <w:rPr>
                      <w:rFonts w:hint="eastAsia"/>
                      <w:lang w:val="en-US" w:eastAsia="zh-CN"/>
                    </w:rPr>
                    <w:t>危险废物暂存间</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pPr>
                  <w:r>
                    <w:rPr>
                      <w:rFonts w:hint="eastAsia"/>
                      <w:lang w:val="en-US" w:eastAsia="zh-CN"/>
                    </w:rPr>
                    <w:t>5</w:t>
                  </w:r>
                  <w: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tcBorders>
                    <w:top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绿化</w:t>
                  </w:r>
                </w:p>
              </w:tc>
              <w:tc>
                <w:tcPr>
                  <w:tcW w:w="1280"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lang w:val="zh-CN"/>
                    </w:rPr>
                  </w:pP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种植树木、草坪</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pPr>
                  <w: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tcBorders>
                    <w:top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其他</w:t>
                  </w:r>
                </w:p>
              </w:tc>
              <w:tc>
                <w:tcPr>
                  <w:tcW w:w="1280"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rPr>
                      <w:lang w:val="zh-CN"/>
                    </w:rPr>
                  </w:pPr>
                </w:p>
              </w:tc>
              <w:tc>
                <w:tcPr>
                  <w:tcW w:w="4456" w:type="dxa"/>
                  <w:tcBorders>
                    <w:top w:val="single" w:color="auto" w:sz="2" w:space="0"/>
                    <w:left w:val="single" w:color="auto" w:sz="2" w:space="0"/>
                    <w:bottom w:val="single" w:color="auto" w:sz="2" w:space="0"/>
                    <w:right w:val="single" w:color="auto" w:sz="2" w:space="0"/>
                  </w:tcBorders>
                  <w:tcMar>
                    <w:left w:w="0" w:type="dxa"/>
                    <w:right w:w="0" w:type="dxa"/>
                  </w:tcMar>
                  <w:vAlign w:val="center"/>
                </w:tcPr>
                <w:p>
                  <w:pPr>
                    <w:pStyle w:val="15"/>
                    <w:bidi w:val="0"/>
                  </w:pPr>
                  <w:r>
                    <w:rPr>
                      <w:rFonts w:hint="eastAsia"/>
                    </w:rPr>
                    <w:t>环评、环境监理、环境监测、竣工验收等</w:t>
                  </w:r>
                </w:p>
              </w:tc>
              <w:tc>
                <w:tcPr>
                  <w:tcW w:w="1567" w:type="dxa"/>
                  <w:tcBorders>
                    <w:top w:val="single" w:color="auto" w:sz="2" w:space="0"/>
                    <w:left w:val="single" w:color="auto" w:sz="2" w:space="0"/>
                    <w:bottom w:val="single" w:color="auto" w:sz="2" w:space="0"/>
                  </w:tcBorders>
                  <w:tcMar>
                    <w:left w:w="0" w:type="dxa"/>
                    <w:right w:w="0" w:type="dxa"/>
                  </w:tcMar>
                  <w:vAlign w:val="center"/>
                </w:tcPr>
                <w:p>
                  <w:pPr>
                    <w:pStyle w:val="15"/>
                    <w:bidi w:val="0"/>
                  </w:pPr>
                  <w:r>
                    <w:t>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917" w:type="dxa"/>
                  <w:tcBorders>
                    <w:top w:val="single" w:color="auto" w:sz="2" w:space="0"/>
                    <w:bottom w:val="single" w:color="auto" w:sz="12" w:space="0"/>
                    <w:right w:val="single" w:color="auto" w:sz="2" w:space="0"/>
                  </w:tcBorders>
                  <w:tcMar>
                    <w:left w:w="0" w:type="dxa"/>
                    <w:right w:w="0" w:type="dxa"/>
                  </w:tcMar>
                  <w:vAlign w:val="center"/>
                </w:tcPr>
                <w:p>
                  <w:pPr>
                    <w:pStyle w:val="15"/>
                    <w:bidi w:val="0"/>
                  </w:pPr>
                  <w:r>
                    <w:rPr>
                      <w:rFonts w:hint="eastAsia"/>
                    </w:rPr>
                    <w:t>合计</w:t>
                  </w:r>
                </w:p>
              </w:tc>
              <w:tc>
                <w:tcPr>
                  <w:tcW w:w="1280" w:type="dxa"/>
                  <w:tcBorders>
                    <w:top w:val="single" w:color="auto" w:sz="2" w:space="0"/>
                    <w:left w:val="single" w:color="auto" w:sz="2" w:space="0"/>
                    <w:bottom w:val="single" w:color="auto" w:sz="12" w:space="0"/>
                    <w:right w:val="single" w:color="auto" w:sz="2" w:space="0"/>
                  </w:tcBorders>
                  <w:tcMar>
                    <w:left w:w="0" w:type="dxa"/>
                    <w:right w:w="0" w:type="dxa"/>
                  </w:tcMar>
                  <w:vAlign w:val="center"/>
                </w:tcPr>
                <w:p>
                  <w:pPr>
                    <w:pStyle w:val="15"/>
                    <w:bidi w:val="0"/>
                    <w:rPr>
                      <w:lang w:val="zh-CN"/>
                    </w:rPr>
                  </w:pPr>
                </w:p>
              </w:tc>
              <w:tc>
                <w:tcPr>
                  <w:tcW w:w="4456" w:type="dxa"/>
                  <w:tcBorders>
                    <w:top w:val="single" w:color="auto" w:sz="2" w:space="0"/>
                    <w:left w:val="single" w:color="auto" w:sz="2" w:space="0"/>
                    <w:bottom w:val="single" w:color="auto" w:sz="12" w:space="0"/>
                    <w:right w:val="single" w:color="auto" w:sz="2" w:space="0"/>
                  </w:tcBorders>
                  <w:tcMar>
                    <w:left w:w="0" w:type="dxa"/>
                    <w:right w:w="0" w:type="dxa"/>
                  </w:tcMar>
                  <w:vAlign w:val="center"/>
                </w:tcPr>
                <w:p>
                  <w:pPr>
                    <w:pStyle w:val="15"/>
                    <w:bidi w:val="0"/>
                  </w:pPr>
                </w:p>
              </w:tc>
              <w:tc>
                <w:tcPr>
                  <w:tcW w:w="1567" w:type="dxa"/>
                  <w:tcBorders>
                    <w:top w:val="single" w:color="auto" w:sz="2" w:space="0"/>
                    <w:left w:val="single" w:color="auto" w:sz="2" w:space="0"/>
                    <w:bottom w:val="single" w:color="auto" w:sz="12" w:space="0"/>
                  </w:tcBorders>
                  <w:tcMar>
                    <w:left w:w="0" w:type="dxa"/>
                    <w:right w:w="0" w:type="dxa"/>
                  </w:tcMar>
                  <w:vAlign w:val="center"/>
                </w:tcPr>
                <w:p>
                  <w:pPr>
                    <w:pStyle w:val="15"/>
                    <w:bidi w:val="0"/>
                    <w:rPr>
                      <w:rFonts w:hint="default"/>
                      <w:lang w:val="en-US" w:eastAsia="zh-CN"/>
                    </w:rPr>
                  </w:pPr>
                  <w:r>
                    <w:rPr>
                      <w:rFonts w:hint="eastAsia"/>
                      <w:lang w:val="en-US" w:eastAsia="zh-CN"/>
                    </w:rPr>
                    <w:t>121.5</w:t>
                  </w:r>
                </w:p>
              </w:tc>
            </w:tr>
          </w:tbl>
          <w:p>
            <w:pPr>
              <w:bidi w:val="0"/>
              <w:rPr>
                <w:rFonts w:hint="default"/>
                <w:color w:val="000000" w:themeColor="text1"/>
                <w:lang w:val="en-US" w:eastAsia="zh-CN"/>
                <w14:textFill>
                  <w14:solidFill>
                    <w14:schemeClr w14:val="tx1"/>
                  </w14:solidFill>
                </w14:textFill>
              </w:rPr>
            </w:pP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tc>
      </w:tr>
    </w:tbl>
    <w:p>
      <w:pPr>
        <w:bidi w:val="0"/>
        <w:rPr>
          <w:rFonts w:hint="eastAsia"/>
          <w:color w:val="000000" w:themeColor="text1"/>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
        <w:bidi w:val="0"/>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五、</w:t>
      </w:r>
      <w:bookmarkStart w:id="8" w:name="_Hlk54167917"/>
      <w:r>
        <w:rPr>
          <w:rFonts w:hint="eastAsia"/>
          <w:color w:val="000000" w:themeColor="text1"/>
          <w14:textFill>
            <w14:solidFill>
              <w14:schemeClr w14:val="tx1"/>
            </w14:solidFill>
          </w14:textFill>
        </w:rPr>
        <w:t>环境保护措施监督检查清单</w:t>
      </w:r>
      <w:bookmarkEnd w:id="8"/>
    </w:p>
    <w:tbl>
      <w:tblPr>
        <w:tblStyle w:val="10"/>
        <w:tblW w:w="93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680"/>
        <w:gridCol w:w="1530"/>
        <w:gridCol w:w="2625"/>
        <w:gridCol w:w="2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top"/>
            <mc:AlternateContent>
              <mc:Choice Requires="wpsCustomData">
                <wpsCustomData:diagonals>
                  <wpsCustomData:diagonal from="10000" to="30000">
                    <wpsCustomData:border w:val="single" w:color="auto" w:sz="12" w:space="0"/>
                  </wpsCustomData:diagonal>
                </wpsCustomData:diagonals>
              </mc:Choice>
            </mc:AlternateContent>
          </w:tcPr>
          <w:p>
            <w:pPr>
              <w:pStyle w:val="14"/>
              <w:bidi w:val="0"/>
              <w:snapToGrid w:val="0"/>
              <w:jc w:val="left"/>
              <mc:AlternateContent>
                <mc:Choice Requires="wpsCustomData">
                  <wpsCustomData:diagonalParaType/>
                </mc:Choice>
              </mc:AlternateConten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要素</w:t>
            </w:r>
          </w:p>
          <w:p>
            <w:pPr>
              <w:pStyle w:val="14"/>
              <w:bidi w:val="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内容</w:t>
            </w:r>
          </w:p>
          <w:p>
            <w:pPr>
              <w:pStyle w:val="14"/>
              <w:bidi w:val="0"/>
              <w:jc w:val="left"/>
              <w:rPr>
                <w:rFonts w:hint="eastAsia"/>
                <w:color w:val="000000" w:themeColor="text1"/>
                <w14:textFill>
                  <w14:solidFill>
                    <w14:schemeClr w14:val="tx1"/>
                  </w14:solidFill>
                </w14:textFill>
              </w:rPr>
            </w:pPr>
          </w:p>
        </w:tc>
        <w:tc>
          <w:tcPr>
            <w:tcW w:w="1680"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排放口(编号、</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名称)/污染源</w:t>
            </w:r>
          </w:p>
        </w:tc>
        <w:tc>
          <w:tcPr>
            <w:tcW w:w="1530"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污染物项目</w:t>
            </w:r>
          </w:p>
        </w:tc>
        <w:tc>
          <w:tcPr>
            <w:tcW w:w="2625"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环境保护措施</w:t>
            </w:r>
          </w:p>
        </w:tc>
        <w:tc>
          <w:tcPr>
            <w:tcW w:w="2022"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vMerge w:val="restart"/>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大气环境</w:t>
            </w:r>
          </w:p>
        </w:tc>
        <w:tc>
          <w:tcPr>
            <w:tcW w:w="168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生物质热风炉</w:t>
            </w:r>
            <w:r>
              <w:rPr>
                <w:rFonts w:hint="eastAsia"/>
                <w:color w:val="000000" w:themeColor="text1"/>
                <w:kern w:val="0"/>
                <w:sz w:val="24"/>
                <w:szCs w:val="24"/>
                <w:lang w:val="en-US" w:eastAsia="zh-CN"/>
                <w14:textFill>
                  <w14:solidFill>
                    <w14:schemeClr w14:val="tx1"/>
                  </w14:solidFill>
                </w14:textFill>
              </w:rPr>
              <w:t>45m高排气筒（DA001）</w:t>
            </w:r>
          </w:p>
        </w:tc>
        <w:tc>
          <w:tcPr>
            <w:tcW w:w="1530"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烟尘、二氧化硫、氮氧化物</w:t>
            </w:r>
          </w:p>
        </w:tc>
        <w:tc>
          <w:tcPr>
            <w:tcW w:w="2625"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通过</w:t>
            </w:r>
            <w:r>
              <w:rPr>
                <w:color w:val="000000" w:themeColor="text1"/>
                <w:sz w:val="24"/>
                <w:szCs w:val="24"/>
                <w14:textFill>
                  <w14:solidFill>
                    <w14:schemeClr w14:val="tx1"/>
                  </w14:solidFill>
                </w14:textFill>
              </w:rPr>
              <w:t>SNCR</w:t>
            </w:r>
            <w:r>
              <w:rPr>
                <w:rFonts w:hint="eastAsia"/>
                <w:color w:val="000000" w:themeColor="text1"/>
                <w:sz w:val="24"/>
                <w:szCs w:val="24"/>
                <w14:textFill>
                  <w14:solidFill>
                    <w14:schemeClr w14:val="tx1"/>
                  </w14:solidFill>
                </w14:textFill>
              </w:rPr>
              <w:t>、布袋除尘器、脱硫塔净化后通过</w:t>
            </w:r>
            <w:r>
              <w:rPr>
                <w:color w:val="000000" w:themeColor="text1"/>
                <w:sz w:val="24"/>
                <w:szCs w:val="24"/>
                <w14:textFill>
                  <w14:solidFill>
                    <w14:schemeClr w14:val="tx1"/>
                  </w14:solidFill>
                </w14:textFill>
              </w:rPr>
              <w:t>45m</w:t>
            </w:r>
            <w:r>
              <w:rPr>
                <w:rFonts w:hint="eastAsia"/>
                <w:color w:val="000000" w:themeColor="text1"/>
                <w:sz w:val="24"/>
                <w:szCs w:val="24"/>
                <w14:textFill>
                  <w14:solidFill>
                    <w14:schemeClr w14:val="tx1"/>
                  </w14:solidFill>
                </w14:textFill>
              </w:rPr>
              <w:t>高排气筒外排</w:t>
            </w:r>
          </w:p>
        </w:tc>
        <w:tc>
          <w:tcPr>
            <w:tcW w:w="2022"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《锅炉大气污染物排放标准》（</w:t>
            </w:r>
            <w:r>
              <w:rPr>
                <w:color w:val="000000" w:themeColor="text1"/>
                <w:sz w:val="24"/>
                <w:szCs w:val="24"/>
                <w14:textFill>
                  <w14:solidFill>
                    <w14:schemeClr w14:val="tx1"/>
                  </w14:solidFill>
                </w14:textFill>
              </w:rPr>
              <w:t>GB13271-2014</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表2燃气锅炉排放限值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68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生产区无组织排放</w:t>
            </w:r>
          </w:p>
        </w:tc>
        <w:tc>
          <w:tcPr>
            <w:tcW w:w="1530" w:type="dxa"/>
            <w:tcBorders>
              <w:tl2br w:val="nil"/>
              <w:tr2bl w:val="nil"/>
            </w:tcBorders>
            <w:noWrap w:val="0"/>
            <w:vAlign w:val="center"/>
          </w:tcPr>
          <w:p>
            <w:pPr>
              <w:pStyle w:val="14"/>
              <w:bidi w:val="0"/>
              <w:ind w:firstLine="0" w:firstLineChars="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color w:val="000000" w:themeColor="text1"/>
                <w:lang w:val="en-US" w:eastAsia="zh-CN"/>
                <w14:textFill>
                  <w14:solidFill>
                    <w14:schemeClr w14:val="tx1"/>
                  </w14:solidFill>
                </w14:textFill>
              </w:rPr>
              <w:t>颗粒物</w:t>
            </w:r>
          </w:p>
        </w:tc>
        <w:tc>
          <w:tcPr>
            <w:tcW w:w="2625"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全封闭输运皮带、</w:t>
            </w:r>
            <w:r>
              <w:rPr>
                <w:rFonts w:hint="eastAsia"/>
                <w:color w:val="0000FF"/>
                <w:sz w:val="24"/>
                <w:szCs w:val="24"/>
              </w:rPr>
              <w:t>烘干塔设置过滤网封闭、筛选过程出气口布置</w:t>
            </w:r>
            <w:r>
              <w:rPr>
                <w:rFonts w:hint="eastAsia"/>
                <w:color w:val="0000FF"/>
                <w:sz w:val="24"/>
                <w:szCs w:val="24"/>
                <w:lang w:val="en-US" w:eastAsia="zh-CN"/>
              </w:rPr>
              <w:t>自吸式</w:t>
            </w:r>
            <w:r>
              <w:rPr>
                <w:rFonts w:hint="eastAsia"/>
                <w:color w:val="0000FF"/>
                <w:sz w:val="24"/>
                <w:szCs w:val="24"/>
              </w:rPr>
              <w:t>布袋除尘器</w:t>
            </w:r>
            <w:r>
              <w:rPr>
                <w:rFonts w:hint="eastAsia"/>
                <w:color w:val="000000" w:themeColor="text1"/>
                <w:sz w:val="24"/>
                <w:szCs w:val="24"/>
                <w14:textFill>
                  <w14:solidFill>
                    <w14:schemeClr w14:val="tx1"/>
                  </w14:solidFill>
                </w14:textFill>
              </w:rPr>
              <w:t>、全封闭灰渣库、</w:t>
            </w:r>
            <w:r>
              <w:rPr>
                <w:rFonts w:hint="eastAsia"/>
                <w:color w:val="000000" w:themeColor="text1"/>
                <w:sz w:val="24"/>
                <w:szCs w:val="24"/>
                <w:lang w:eastAsia="zh-CN"/>
                <w14:textFill>
                  <w14:solidFill>
                    <w14:schemeClr w14:val="tx1"/>
                  </w14:solidFill>
                </w14:textFill>
              </w:rPr>
              <w:t>燃料库，</w:t>
            </w:r>
            <w:r>
              <w:rPr>
                <w:rFonts w:hint="eastAsia"/>
                <w:color w:val="000000" w:themeColor="text1"/>
                <w:sz w:val="24"/>
                <w:szCs w:val="24"/>
                <w:lang w:val="en-US" w:eastAsia="zh-CN"/>
                <w14:textFill>
                  <w14:solidFill>
                    <w14:schemeClr w14:val="tx1"/>
                  </w14:solidFill>
                </w14:textFill>
              </w:rPr>
              <w:t>晾晒场设置2m高围墙</w:t>
            </w:r>
          </w:p>
        </w:tc>
        <w:tc>
          <w:tcPr>
            <w:tcW w:w="2022" w:type="dxa"/>
            <w:tcBorders>
              <w:tl2br w:val="nil"/>
              <w:tr2bl w:val="nil"/>
            </w:tcBorders>
            <w:noWrap w:val="0"/>
            <w:vAlign w:val="center"/>
          </w:tcPr>
          <w:p>
            <w:pPr>
              <w:pStyle w:val="14"/>
              <w:bidi w:val="0"/>
              <w:rPr>
                <w:rFonts w:hint="eastAsia" w:eastAsia="宋体"/>
                <w:color w:val="000000" w:themeColor="text1"/>
                <w:lang w:eastAsia="zh-CN"/>
                <w14:textFill>
                  <w14:solidFill>
                    <w14:schemeClr w14:val="tx1"/>
                  </w14:solidFill>
                </w14:textFill>
              </w:rPr>
            </w:pPr>
            <w:r>
              <w:rPr>
                <w:rFonts w:hint="eastAsia"/>
                <w:bCs/>
                <w:color w:val="000000" w:themeColor="text1"/>
                <w:kern w:val="0"/>
                <w:sz w:val="24"/>
                <w:szCs w:val="24"/>
                <w14:textFill>
                  <w14:solidFill>
                    <w14:schemeClr w14:val="tx1"/>
                  </w14:solidFill>
                </w14:textFill>
              </w:rPr>
              <w:t>《大气污染物综合排放标准》（</w:t>
            </w:r>
            <w:r>
              <w:rPr>
                <w:bCs/>
                <w:color w:val="000000" w:themeColor="text1"/>
                <w:kern w:val="0"/>
                <w:sz w:val="24"/>
                <w:szCs w:val="24"/>
                <w14:textFill>
                  <w14:solidFill>
                    <w14:schemeClr w14:val="tx1"/>
                  </w14:solidFill>
                </w14:textFill>
              </w:rPr>
              <w:t>GB16297-1996</w:t>
            </w:r>
            <w:r>
              <w:rPr>
                <w:rFonts w:hint="eastAsia"/>
                <w:bCs/>
                <w:color w:val="000000" w:themeColor="text1"/>
                <w:kern w:val="0"/>
                <w:sz w:val="24"/>
                <w:szCs w:val="24"/>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68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kern w:val="0"/>
                <w:sz w:val="24"/>
                <w:szCs w:val="24"/>
                <w14:textFill>
                  <w14:solidFill>
                    <w14:schemeClr w14:val="tx1"/>
                  </w14:solidFill>
                </w14:textFill>
              </w:rPr>
              <w:t>食堂</w:t>
            </w:r>
            <w:r>
              <w:rPr>
                <w:rFonts w:hint="eastAsia"/>
                <w:color w:val="000000" w:themeColor="text1"/>
                <w:kern w:val="0"/>
                <w:sz w:val="24"/>
                <w:szCs w:val="24"/>
                <w:lang w:val="en-US" w:eastAsia="zh-CN"/>
                <w14:textFill>
                  <w14:solidFill>
                    <w14:schemeClr w14:val="tx1"/>
                  </w14:solidFill>
                </w14:textFill>
              </w:rPr>
              <w:t>顶部排放口</w:t>
            </w:r>
          </w:p>
        </w:tc>
        <w:tc>
          <w:tcPr>
            <w:tcW w:w="1530" w:type="dxa"/>
            <w:tcBorders>
              <w:tl2br w:val="nil"/>
              <w:tr2bl w:val="nil"/>
            </w:tcBorders>
            <w:noWrap w:val="0"/>
            <w:vAlign w:val="center"/>
          </w:tcPr>
          <w:p>
            <w:pPr>
              <w:pStyle w:val="14"/>
              <w:bidi w:val="0"/>
              <w:ind w:firstLine="0" w:firstLineChars="0"/>
              <w:rPr>
                <w:rFonts w:hint="default"/>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餐饮油烟</w:t>
            </w:r>
          </w:p>
        </w:tc>
        <w:tc>
          <w:tcPr>
            <w:tcW w:w="2625" w:type="dxa"/>
            <w:tcBorders>
              <w:tl2br w:val="nil"/>
              <w:tr2bl w:val="nil"/>
            </w:tcBorders>
            <w:noWrap w:val="0"/>
            <w:vAlign w:val="center"/>
          </w:tcPr>
          <w:p>
            <w:pPr>
              <w:pStyle w:val="14"/>
              <w:bidi w:val="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通过油烟净化器净化后引至食堂屋顶外排</w:t>
            </w:r>
          </w:p>
        </w:tc>
        <w:tc>
          <w:tcPr>
            <w:tcW w:w="2022"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bCs/>
                <w:color w:val="000000" w:themeColor="text1"/>
                <w:kern w:val="0"/>
                <w:sz w:val="24"/>
                <w:szCs w:val="24"/>
                <w14:textFill>
                  <w14:solidFill>
                    <w14:schemeClr w14:val="tx1"/>
                  </w14:solidFill>
                </w14:textFill>
              </w:rPr>
              <w:t>《饮食业油烟排放标准（试行）》（</w:t>
            </w:r>
            <w:r>
              <w:rPr>
                <w:bCs/>
                <w:color w:val="000000" w:themeColor="text1"/>
                <w:kern w:val="0"/>
                <w:sz w:val="24"/>
                <w:szCs w:val="24"/>
                <w14:textFill>
                  <w14:solidFill>
                    <w14:schemeClr w14:val="tx1"/>
                  </w14:solidFill>
                </w14:textFill>
              </w:rPr>
              <w:t>GB18483-2001</w:t>
            </w:r>
            <w:r>
              <w:rPr>
                <w:rFonts w:hint="eastAsia"/>
                <w:bCs/>
                <w:color w:val="000000" w:themeColor="text1"/>
                <w:kern w:val="0"/>
                <w:sz w:val="24"/>
                <w:szCs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地表水环境</w:t>
            </w:r>
          </w:p>
        </w:tc>
        <w:tc>
          <w:tcPr>
            <w:tcW w:w="1680" w:type="dxa"/>
            <w:tcBorders>
              <w:tl2br w:val="nil"/>
              <w:tr2bl w:val="nil"/>
            </w:tcBorders>
            <w:noWrap w:val="0"/>
            <w:vAlign w:val="center"/>
          </w:tcPr>
          <w:p>
            <w:pPr>
              <w:pStyle w:val="14"/>
              <w:bidi w:val="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生活污水</w:t>
            </w:r>
          </w:p>
        </w:tc>
        <w:tc>
          <w:tcPr>
            <w:tcW w:w="1530" w:type="dxa"/>
            <w:tcBorders>
              <w:tl2br w:val="nil"/>
              <w:tr2bl w:val="nil"/>
            </w:tcBorders>
            <w:noWrap w:val="0"/>
            <w:vAlign w:val="center"/>
          </w:tcPr>
          <w:p>
            <w:pPr>
              <w:pStyle w:val="14"/>
              <w:bidi w:val="0"/>
              <w:rPr>
                <w:rFonts w:hint="eastAsia"/>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COD、BOD</w:t>
            </w:r>
            <w:r>
              <w:rPr>
                <w:rFonts w:hint="default" w:ascii="Times New Roman" w:hAnsi="Times New Roman" w:eastAsia="宋体" w:cs="Times New Roman"/>
                <w:snapToGrid w:val="0"/>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、SS、氨氮</w:t>
            </w: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、动植物油</w:t>
            </w:r>
          </w:p>
        </w:tc>
        <w:tc>
          <w:tcPr>
            <w:tcW w:w="2625" w:type="dxa"/>
            <w:tcBorders>
              <w:tl2br w:val="nil"/>
              <w:tr2bl w:val="nil"/>
            </w:tcBorders>
            <w:noWrap w:val="0"/>
            <w:vAlign w:val="center"/>
          </w:tcPr>
          <w:p>
            <w:pPr>
              <w:pStyle w:val="14"/>
              <w:bidi w:val="0"/>
              <w:rPr>
                <w:rFonts w:hint="default" w:eastAsia="宋体"/>
                <w:color w:val="000000" w:themeColor="text1"/>
                <w:sz w:val="24"/>
                <w:szCs w:val="24"/>
                <w:lang w:val="en-US" w:eastAsia="zh-CN"/>
                <w14:textFill>
                  <w14:solidFill>
                    <w14:schemeClr w14:val="tx1"/>
                  </w14:solidFill>
                </w14:textFill>
              </w:rPr>
            </w:pPr>
            <w:r>
              <w:rPr>
                <w:rFonts w:hint="eastAsia"/>
                <w:snapToGrid w:val="0"/>
                <w:color w:val="000000" w:themeColor="text1"/>
                <w:kern w:val="0"/>
                <w:sz w:val="24"/>
                <w:szCs w:val="24"/>
                <w14:textFill>
                  <w14:solidFill>
                    <w14:schemeClr w14:val="tx1"/>
                  </w14:solidFill>
                </w14:textFill>
              </w:rPr>
              <w:t>食堂污水经隔油池隔油，排入化粪池</w:t>
            </w:r>
            <w:r>
              <w:rPr>
                <w:rFonts w:hint="eastAsia"/>
                <w:snapToGrid w:val="0"/>
                <w:color w:val="000000" w:themeColor="text1"/>
                <w:kern w:val="0"/>
                <w:sz w:val="24"/>
                <w:szCs w:val="24"/>
                <w:lang w:val="en-US" w:eastAsia="zh-CN"/>
                <w14:textFill>
                  <w14:solidFill>
                    <w14:schemeClr w14:val="tx1"/>
                  </w14:solidFill>
                </w14:textFill>
              </w:rPr>
              <w:t>预处理后定期抽运至污水处理厂进行后续处理</w:t>
            </w:r>
          </w:p>
        </w:tc>
        <w:tc>
          <w:tcPr>
            <w:tcW w:w="2022" w:type="dxa"/>
            <w:tcBorders>
              <w:tl2br w:val="nil"/>
              <w:tr2bl w:val="nil"/>
            </w:tcBorders>
            <w:noWrap w:val="0"/>
            <w:vAlign w:val="center"/>
          </w:tcPr>
          <w:p>
            <w:pPr>
              <w:pStyle w:val="14"/>
              <w:bidi w:val="0"/>
              <w:rPr>
                <w:rFonts w:hint="eastAsia"/>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《污水综合排放标准》（GB8978-1996）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声环境</w:t>
            </w:r>
          </w:p>
        </w:tc>
        <w:tc>
          <w:tcPr>
            <w:tcW w:w="1680" w:type="dxa"/>
            <w:tcBorders>
              <w:tl2br w:val="nil"/>
              <w:tr2bl w:val="nil"/>
            </w:tcBorders>
            <w:noWrap w:val="0"/>
            <w:vAlign w:val="center"/>
          </w:tcPr>
          <w:p>
            <w:pPr>
              <w:pStyle w:val="14"/>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生产车间各类生产机械</w:t>
            </w:r>
          </w:p>
        </w:tc>
        <w:tc>
          <w:tcPr>
            <w:tcW w:w="1530" w:type="dxa"/>
            <w:tcBorders>
              <w:tl2br w:val="nil"/>
              <w:tr2bl w:val="nil"/>
            </w:tcBorders>
            <w:noWrap w:val="0"/>
            <w:vAlign w:val="center"/>
          </w:tcPr>
          <w:p>
            <w:pPr>
              <w:pStyle w:val="14"/>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w:t>
            </w:r>
          </w:p>
        </w:tc>
        <w:tc>
          <w:tcPr>
            <w:tcW w:w="2625"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设置双层隔声窗，选用低噪声设备，风管设置软连接。噪声较高设备设置减振基座和隔声罩</w:t>
            </w:r>
          </w:p>
        </w:tc>
        <w:tc>
          <w:tcPr>
            <w:tcW w:w="2022"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电磁辐射</w:t>
            </w:r>
          </w:p>
        </w:tc>
        <w:tc>
          <w:tcPr>
            <w:tcW w:w="1680" w:type="dxa"/>
            <w:tcBorders>
              <w:tl2br w:val="nil"/>
              <w:tr2bl w:val="nil"/>
            </w:tcBorders>
            <w:noWrap w:val="0"/>
            <w:vAlign w:val="center"/>
          </w:tcPr>
          <w:p>
            <w:pPr>
              <w:pStyle w:val="14"/>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530" w:type="dxa"/>
            <w:tcBorders>
              <w:tl2br w:val="nil"/>
              <w:tr2bl w:val="nil"/>
            </w:tcBorders>
            <w:noWrap w:val="0"/>
            <w:vAlign w:val="center"/>
          </w:tcPr>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625" w:type="dxa"/>
            <w:tcBorders>
              <w:tl2br w:val="nil"/>
              <w:tr2bl w:val="nil"/>
            </w:tcBorders>
            <w:noWrap w:val="0"/>
            <w:vAlign w:val="center"/>
          </w:tcPr>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2022" w:type="dxa"/>
            <w:tcBorders>
              <w:tl2br w:val="nil"/>
              <w:tr2bl w:val="nil"/>
            </w:tcBorders>
            <w:noWrap w:val="0"/>
            <w:vAlign w:val="center"/>
          </w:tcPr>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7857" w:type="dxa"/>
            <w:gridSpan w:val="4"/>
            <w:tcBorders>
              <w:tl2br w:val="nil"/>
              <w:tr2bl w:val="nil"/>
            </w:tcBorders>
            <w:noWrap w:val="0"/>
            <w:vAlign w:val="center"/>
          </w:tcPr>
          <w:p>
            <w:pPr>
              <w:bidi w:val="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生活垃圾分类收集，集中交由环卫部门统一清运卫生填埋</w:t>
            </w:r>
            <w:r>
              <w:rPr>
                <w:rFonts w:hint="eastAsia"/>
                <w:color w:val="000000" w:themeColor="text1"/>
                <w:lang w:val="en-US" w:eastAsia="zh-CN"/>
                <w14:textFill>
                  <w14:solidFill>
                    <w14:schemeClr w14:val="tx1"/>
                  </w14:solidFill>
                </w14:textFill>
              </w:rPr>
              <w:t>；灰渣、烟灰、石膏</w:t>
            </w:r>
            <w:r>
              <w:rPr>
                <w:rFonts w:hint="eastAsia"/>
                <w:color w:val="000000" w:themeColor="text1"/>
                <w14:textFill>
                  <w14:solidFill>
                    <w14:schemeClr w14:val="tx1"/>
                  </w14:solidFill>
                </w14:textFill>
              </w:rPr>
              <w:t>全部外售给建筑公司用作原料使用</w:t>
            </w:r>
            <w:r>
              <w:rPr>
                <w:rFonts w:hint="eastAsia"/>
                <w:color w:val="000000" w:themeColor="text1"/>
                <w:lang w:val="en-US" w:eastAsia="zh-CN"/>
                <w14:textFill>
                  <w14:solidFill>
                    <w14:schemeClr w14:val="tx1"/>
                  </w14:solidFill>
                </w14:textFill>
              </w:rPr>
              <w:t>；杂质外售农户用于堆肥；</w:t>
            </w:r>
            <w:r>
              <w:rPr>
                <w:rFonts w:hint="default"/>
                <w:color w:val="000000" w:themeColor="text1"/>
                <w:lang w:val="en-US" w:eastAsia="zh-CN"/>
                <w14:textFill>
                  <w14:solidFill>
                    <w14:schemeClr w14:val="tx1"/>
                  </w14:solidFill>
                </w14:textFill>
              </w:rPr>
              <w:t>危险废物交由具有相应处理资质的单位进行后续处置</w:t>
            </w: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土壤及地下水</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污染防治措施</w:t>
            </w:r>
          </w:p>
        </w:tc>
        <w:tc>
          <w:tcPr>
            <w:tcW w:w="7857" w:type="dxa"/>
            <w:gridSpan w:val="4"/>
            <w:tcBorders>
              <w:tl2br w:val="nil"/>
              <w:tr2bl w:val="nil"/>
            </w:tcBorders>
            <w:noWrap w:val="0"/>
            <w:vAlign w:val="center"/>
          </w:tcPr>
          <w:p>
            <w:pPr>
              <w:bidi w:val="0"/>
              <w:rPr>
                <w:rFonts w:hint="eastAsia"/>
                <w:color w:val="000000" w:themeColor="text1"/>
                <w14:textFill>
                  <w14:solidFill>
                    <w14:schemeClr w14:val="tx1"/>
                  </w14:solidFill>
                </w14:textFill>
              </w:rPr>
            </w:pPr>
            <w:r>
              <w:rPr>
                <w:rFonts w:hint="default"/>
                <w:color w:val="000000" w:themeColor="text1"/>
                <w14:textFill>
                  <w14:solidFill>
                    <w14:schemeClr w14:val="tx1"/>
                  </w14:solidFill>
                </w14:textFill>
              </w:rPr>
              <w:t>在场内分别建立雨、污收集管网，实行雨污分流制。雨水经明沟排至</w:t>
            </w:r>
            <w:r>
              <w:rPr>
                <w:rFonts w:hint="default"/>
                <w:color w:val="000000" w:themeColor="text1"/>
                <w:lang w:val="en-US" w:eastAsia="zh-CN"/>
                <w14:textFill>
                  <w14:solidFill>
                    <w14:schemeClr w14:val="tx1"/>
                  </w14:solidFill>
                </w14:textFill>
              </w:rPr>
              <w:t>厂区绿化带</w:t>
            </w:r>
            <w:r>
              <w:rPr>
                <w:rFonts w:hint="default"/>
                <w:color w:val="000000" w:themeColor="text1"/>
                <w14:textFill>
                  <w14:solidFill>
                    <w14:schemeClr w14:val="tx1"/>
                  </w14:solidFill>
                </w14:textFill>
              </w:rPr>
              <w:t>，生活污水经</w:t>
            </w:r>
            <w:r>
              <w:rPr>
                <w:rFonts w:hint="eastAsia"/>
                <w:color w:val="000000" w:themeColor="text1"/>
                <w:lang w:val="en-US" w:eastAsia="zh-CN"/>
                <w14:textFill>
                  <w14:solidFill>
                    <w14:schemeClr w14:val="tx1"/>
                  </w14:solidFill>
                </w14:textFill>
              </w:rPr>
              <w:t>排入防渗化粪池，定期抽运至污水处理厂进行后续处理</w:t>
            </w:r>
            <w:r>
              <w:rPr>
                <w:rFonts w:hint="default"/>
                <w:color w:val="000000" w:themeColor="text1"/>
                <w14:textFill>
                  <w14:solidFill>
                    <w14:schemeClr w14:val="tx1"/>
                  </w14:solidFill>
                </w14:textFill>
              </w:rPr>
              <w:t>；）各装置之间管道采用架空敷设，便于及时发现渗漏，防止地下水污染；场内要采取综合防渗措施，防止污染物下渗。危废暂存间、</w:t>
            </w:r>
            <w:r>
              <w:rPr>
                <w:rFonts w:hint="default"/>
                <w:color w:val="000000" w:themeColor="text1"/>
                <w:lang w:val="en-US" w:eastAsia="zh-CN"/>
                <w14:textFill>
                  <w14:solidFill>
                    <w14:schemeClr w14:val="tx1"/>
                  </w14:solidFill>
                </w14:textFill>
              </w:rPr>
              <w:t>生活污水管网</w:t>
            </w:r>
            <w:r>
              <w:rPr>
                <w:rFonts w:hint="eastAsia"/>
                <w:color w:val="000000" w:themeColor="text1"/>
                <w:lang w:val="en-US" w:eastAsia="zh-CN"/>
                <w14:textFill>
                  <w14:solidFill>
                    <w14:schemeClr w14:val="tx1"/>
                  </w14:solidFill>
                </w14:textFill>
              </w:rPr>
              <w:t>、化粪池、灰渣池、脱硫废水循环吃</w:t>
            </w:r>
            <w:r>
              <w:rPr>
                <w:rFonts w:hint="default"/>
                <w:color w:val="000000" w:themeColor="text1"/>
                <w14:textFill>
                  <w14:solidFill>
                    <w14:schemeClr w14:val="tx1"/>
                  </w14:solidFill>
                </w14:textFill>
              </w:rPr>
              <w:t>等污染性大且较易接触地下水的区域为重点污染防渗区；</w:t>
            </w:r>
            <w:r>
              <w:rPr>
                <w:rFonts w:hint="default"/>
                <w:color w:val="000000" w:themeColor="text1"/>
                <w:lang w:val="en-US" w:eastAsia="zh-CN"/>
                <w14:textFill>
                  <w14:solidFill>
                    <w14:schemeClr w14:val="tx1"/>
                  </w14:solidFill>
                </w14:textFill>
              </w:rPr>
              <w:t>一般固体废物暂存处、仓储车间</w:t>
            </w:r>
            <w:r>
              <w:rPr>
                <w:rFonts w:hint="default"/>
                <w:color w:val="000000" w:themeColor="text1"/>
                <w14:textFill>
                  <w14:solidFill>
                    <w14:schemeClr w14:val="tx1"/>
                  </w14:solidFill>
                </w14:textFill>
              </w:rPr>
              <w:t>为一般防渗区；</w:t>
            </w:r>
            <w:r>
              <w:rPr>
                <w:rFonts w:hint="default"/>
                <w:color w:val="000000" w:themeColor="text1"/>
                <w:lang w:val="en-US" w:eastAsia="zh-CN"/>
                <w14:textFill>
                  <w14:solidFill>
                    <w14:schemeClr w14:val="tx1"/>
                  </w14:solidFill>
                </w14:textFill>
              </w:rPr>
              <w:t>职工生活区</w:t>
            </w:r>
            <w:r>
              <w:rPr>
                <w:rFonts w:hint="default"/>
                <w:color w:val="000000" w:themeColor="text1"/>
                <w14:textFill>
                  <w14:solidFill>
                    <w14:schemeClr w14:val="tx1"/>
                  </w14:solidFill>
                </w14:textFill>
              </w:rPr>
              <w:t>等其他区域为非污染区。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生态保护措施</w:t>
            </w:r>
          </w:p>
        </w:tc>
        <w:tc>
          <w:tcPr>
            <w:tcW w:w="7857" w:type="dxa"/>
            <w:gridSpan w:val="4"/>
            <w:tcBorders>
              <w:tl2br w:val="nil"/>
              <w:tr2bl w:val="nil"/>
            </w:tcBorders>
            <w:noWrap w:val="0"/>
            <w:vAlign w:val="center"/>
          </w:tcPr>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施工期</w:t>
            </w:r>
            <w:r>
              <w:rPr>
                <w:rFonts w:hint="default"/>
                <w:color w:val="000000" w:themeColor="text1"/>
                <w14:textFill>
                  <w14:solidFill>
                    <w14:schemeClr w14:val="tx1"/>
                  </w14:solidFill>
                </w14:textFill>
              </w:rPr>
              <w:t>控制施工作业面，不随意堆放建筑材料</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施工结束后恢复施工迹地，厂区进行绿化，绿化面积不小于98m²。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497"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防范措施</w:t>
            </w:r>
          </w:p>
        </w:tc>
        <w:tc>
          <w:tcPr>
            <w:tcW w:w="7857" w:type="dxa"/>
            <w:gridSpan w:val="4"/>
            <w:tcBorders>
              <w:tl2br w:val="nil"/>
              <w:tr2bl w:val="nil"/>
            </w:tcBorders>
            <w:noWrap w:val="0"/>
            <w:vAlign w:val="center"/>
          </w:tcPr>
          <w:p>
            <w:pPr>
              <w:bidi w:val="0"/>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建立健全突发环境事件应急预案</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建立风险应急制度及应急演练计划</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突发环境事件应急预案应通过专家评审并在环境主管部门备案</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加强设备保养</w:t>
            </w:r>
            <w:r>
              <w:rPr>
                <w:rFonts w:hint="default"/>
                <w:color w:val="000000" w:themeColor="text1"/>
                <w:lang w:val="en-US" w:eastAsia="zh-CN"/>
                <w14:textFill>
                  <w14:solidFill>
                    <w14:schemeClr w14:val="tx1"/>
                  </w14:solidFill>
                </w14:textFill>
              </w:rPr>
              <w:t>和巡检，</w:t>
            </w:r>
            <w:r>
              <w:rPr>
                <w:rFonts w:hint="default"/>
                <w:color w:val="000000" w:themeColor="text1"/>
                <w14:textFill>
                  <w14:solidFill>
                    <w14:schemeClr w14:val="tx1"/>
                  </w14:solidFill>
                </w14:textFill>
              </w:rPr>
              <w:t>保证设备设施的正常运行，不得出现跑冒滴漏的情况</w:t>
            </w:r>
            <w:r>
              <w:rPr>
                <w:rFonts w:hint="default"/>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加强消防巡检和管理，防止出现大规模火灾</w:t>
            </w:r>
            <w:r>
              <w:rPr>
                <w:rFonts w:hint="eastAsia"/>
                <w:color w:val="000000" w:themeColor="text1"/>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85" w:hRule="atLeast"/>
          <w:jc w:val="center"/>
        </w:trPr>
        <w:tc>
          <w:tcPr>
            <w:tcW w:w="1497"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其他环境</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管理要求</w:t>
            </w:r>
          </w:p>
        </w:tc>
        <w:tc>
          <w:tcPr>
            <w:tcW w:w="7857" w:type="dxa"/>
            <w:gridSpan w:val="4"/>
            <w:tcBorders>
              <w:tl2br w:val="nil"/>
              <w:tr2bl w:val="nil"/>
            </w:tcBorders>
            <w:noWrap w:val="0"/>
            <w:vAlign w:val="center"/>
          </w:tcPr>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根据《固定污染源排污许可分类管理名录》（201</w:t>
            </w:r>
            <w:r>
              <w:rPr>
                <w:rFonts w:hint="eastAsia"/>
                <w:color w:val="000000" w:themeColor="text1"/>
                <w:lang w:val="en-US" w:eastAsia="zh-CN"/>
                <w14:textFill>
                  <w14:solidFill>
                    <w14:schemeClr w14:val="tx1"/>
                  </w14:solidFill>
                </w14:textFill>
              </w:rPr>
              <w:t>9</w:t>
            </w:r>
            <w:r>
              <w:rPr>
                <w:rFonts w:hint="default"/>
                <w:color w:val="000000" w:themeColor="text1"/>
                <w:lang w:val="en-US" w:eastAsia="zh-CN"/>
                <w14:textFill>
                  <w14:solidFill>
                    <w14:schemeClr w14:val="tx1"/>
                  </w14:solidFill>
                </w14:textFill>
              </w:rPr>
              <w:t>年版），本项目为</w:t>
            </w:r>
            <w:r>
              <w:rPr>
                <w:rFonts w:hint="eastAsia"/>
                <w:color w:val="000000" w:themeColor="text1"/>
                <w:lang w:val="en-US" w:eastAsia="zh-CN"/>
                <w14:textFill>
                  <w14:solidFill>
                    <w14:schemeClr w14:val="tx1"/>
                  </w14:solidFill>
                </w14:textFill>
              </w:rPr>
              <w:t>9 谷物磨制131，实行登记</w:t>
            </w:r>
            <w:r>
              <w:rPr>
                <w:rFonts w:hint="default"/>
                <w:color w:val="000000" w:themeColor="text1"/>
                <w:lang w:val="en-US" w:eastAsia="zh-CN"/>
                <w14:textFill>
                  <w14:solidFill>
                    <w14:schemeClr w14:val="tx1"/>
                  </w14:solidFill>
                </w14:textFill>
              </w:rPr>
              <w:t>管理</w:t>
            </w:r>
            <w:r>
              <w:rPr>
                <w:rFonts w:hint="eastAsia"/>
                <w:color w:val="000000" w:themeColor="text1"/>
                <w:lang w:val="en-US" w:eastAsia="zh-CN"/>
                <w14:textFill>
                  <w14:solidFill>
                    <w14:schemeClr w14:val="tx1"/>
                  </w14:solidFill>
                </w14:textFill>
              </w:rPr>
              <w:t>，同时本项目生物质热风炉属于96 热力生产和供应业中的“单台或者合计处理20吨/小时（14兆瓦）及以上的锅炉（不含电热锅炉）”，为重点管理，则应</w:t>
            </w:r>
            <w:r>
              <w:rPr>
                <w:rFonts w:hint="default"/>
                <w:color w:val="000000" w:themeColor="text1"/>
                <w:lang w:val="en-US" w:eastAsia="zh-CN"/>
                <w14:textFill>
                  <w14:solidFill>
                    <w14:schemeClr w14:val="tx1"/>
                  </w14:solidFill>
                </w14:textFill>
              </w:rPr>
              <w:t xml:space="preserve">根据《排污许可证申请与核发技术规范   </w:t>
            </w:r>
            <w:r>
              <w:rPr>
                <w:rFonts w:hint="eastAsia"/>
                <w:color w:val="000000" w:themeColor="text1"/>
                <w:lang w:val="en-US" w:eastAsia="zh-CN"/>
                <w14:textFill>
                  <w14:solidFill>
                    <w14:schemeClr w14:val="tx1"/>
                  </w14:solidFill>
                </w14:textFill>
              </w:rPr>
              <w:t>锅炉</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（HJ953-2018）</w:t>
            </w:r>
            <w:r>
              <w:rPr>
                <w:rFonts w:hint="default"/>
                <w:color w:val="000000" w:themeColor="text1"/>
                <w:lang w:val="en-US" w:eastAsia="zh-CN"/>
                <w14:textFill>
                  <w14:solidFill>
                    <w14:schemeClr w14:val="tx1"/>
                  </w14:solidFill>
                </w14:textFill>
              </w:rPr>
              <w:t>的要求，本项目应在全国排污许可证管理信息平台申报系统中填报相应的信息表。</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落实环境保护“三同时”，项目建成后应通过竣工环境保护验收后方可投入正常生产。</w:t>
            </w:r>
          </w:p>
        </w:tc>
      </w:tr>
    </w:tbl>
    <w:p>
      <w:pPr>
        <w:pStyle w:val="3"/>
        <w:bidi w:val="0"/>
        <w:outlineLvl w:val="0"/>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lang w:val="en-US" w:eastAsia="zh-CN"/>
          <w14:textFill>
            <w14:solidFill>
              <w14:schemeClr w14:val="tx1"/>
            </w14:solidFill>
          </w14:textFill>
        </w:rPr>
        <w:t>六</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结论</w:t>
      </w:r>
    </w:p>
    <w:tbl>
      <w:tblPr>
        <w:tblStyle w:val="10"/>
        <w:tblW w:w="9354" w:type="dxa"/>
        <w:jc w:val="center"/>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5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2531" w:hRule="atLeast"/>
          <w:jc w:val="center"/>
        </w:trPr>
        <w:tc>
          <w:tcPr>
            <w:tcW w:w="9354" w:type="dxa"/>
            <w:tcBorders>
              <w:tl2br w:val="nil"/>
              <w:tr2bl w:val="nil"/>
            </w:tcBorders>
            <w:noWrap w:val="0"/>
            <w:vAlign w:val="center"/>
          </w:tcPr>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lang w:val="en-US" w:eastAsia="zh-CN"/>
                <w14:textFill>
                  <w14:solidFill>
                    <w14:schemeClr w14:val="tx1"/>
                  </w14:solidFill>
                </w14:textFill>
              </w:rPr>
              <w:t>本项目符合</w:t>
            </w:r>
            <w:r>
              <w:rPr>
                <w:rFonts w:hint="default"/>
                <w:color w:val="000000" w:themeColor="text1"/>
                <w14:textFill>
                  <w14:solidFill>
                    <w14:schemeClr w14:val="tx1"/>
                  </w14:solidFill>
                </w14:textFill>
              </w:rPr>
              <w:t>《产业结构调整指导目录（201</w:t>
            </w:r>
            <w:r>
              <w:rPr>
                <w:rFonts w:hint="default"/>
                <w:color w:val="000000" w:themeColor="text1"/>
                <w:lang w:val="en-US" w:eastAsia="zh-CN"/>
                <w14:textFill>
                  <w14:solidFill>
                    <w14:schemeClr w14:val="tx1"/>
                  </w14:solidFill>
                </w14:textFill>
              </w:rPr>
              <w:t>9</w:t>
            </w:r>
            <w:r>
              <w:rPr>
                <w:rFonts w:hint="default"/>
                <w:color w:val="000000" w:themeColor="text1"/>
                <w14:textFill>
                  <w14:solidFill>
                    <w14:schemeClr w14:val="tx1"/>
                  </w14:solidFill>
                </w14:textFill>
              </w:rPr>
              <w:t>年本）》</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2021年修改</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符合“三线一单”要求，</w:t>
            </w:r>
            <w:r>
              <w:rPr>
                <w:rFonts w:hint="default" w:ascii="Times New Roman" w:hAnsi="Times New Roman" w:eastAsia="宋体" w:cs="Times New Roman"/>
                <w:color w:val="000000" w:themeColor="text1"/>
                <w:sz w:val="24"/>
                <w:szCs w:val="24"/>
                <w14:textFill>
                  <w14:solidFill>
                    <w14:schemeClr w14:val="tx1"/>
                  </w14:solidFill>
                </w14:textFill>
              </w:rPr>
              <w:t>在采取了切实有效的污染防治措施的前提下，项目施工期、运营期排放的污染物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不会</w:t>
            </w:r>
            <w:r>
              <w:rPr>
                <w:rFonts w:hint="default" w:ascii="Times New Roman" w:hAnsi="Times New Roman" w:eastAsia="宋体" w:cs="Times New Roman"/>
                <w:color w:val="000000" w:themeColor="text1"/>
                <w:sz w:val="24"/>
                <w:szCs w:val="24"/>
                <w14:textFill>
                  <w14:solidFill>
                    <w14:schemeClr w14:val="tx1"/>
                  </w14:solidFill>
                </w14:textFill>
              </w:rPr>
              <w:t>对相关区域的环境造成明显污染或不良影响</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建设项目具有环境可行性。</w:t>
            </w:r>
          </w:p>
          <w:p>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建设单位在严格落实本环评所提出的各项环保措施的前提下，从环保的角度来看，项目是可行的。</w:t>
            </w:r>
          </w:p>
        </w:tc>
      </w:tr>
    </w:tbl>
    <w:p>
      <w:pPr>
        <w:bidi w:val="0"/>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
        <w:bidi w:val="0"/>
      </w:pPr>
      <w:r>
        <w:rPr>
          <w:rFonts w:hint="eastAsia"/>
        </w:rPr>
        <w:t>附表</w:t>
      </w:r>
    </w:p>
    <w:p>
      <w:pPr>
        <w:pStyle w:val="4"/>
        <w:bidi w:val="0"/>
        <w:rPr>
          <w:rFonts w:hint="eastAsia"/>
        </w:rPr>
      </w:pPr>
      <w:r>
        <w:rPr>
          <w:rFonts w:hint="eastAsia"/>
        </w:rPr>
        <w:t>建设项目污染物排放量汇总表</w:t>
      </w:r>
    </w:p>
    <w:tbl>
      <w:tblPr>
        <w:tblStyle w:val="10"/>
        <w:tblW w:w="144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486"/>
        <w:gridCol w:w="1784"/>
        <w:gridCol w:w="1338"/>
        <w:gridCol w:w="1784"/>
        <w:gridCol w:w="1635"/>
        <w:gridCol w:w="1586"/>
        <w:gridCol w:w="2000"/>
        <w:gridCol w:w="11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14"/>
              <w:bidi w:val="0"/>
              <w:snapToGrid w:val="0"/>
              <w:jc w:val="left"/>
              <mc:AlternateContent>
                <mc:Choice Requires="wpsCustomData">
                  <wpsCustomData:diagonalParaType/>
                </mc:Choice>
              </mc:AlternateConten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分类</w:t>
            </w:r>
          </w:p>
          <w:p>
            <w:pPr>
              <w:pStyle w:val="14"/>
              <w:bidi w:val="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p>
            <w:pPr>
              <w:pStyle w:val="14"/>
              <w:bidi w:val="0"/>
              <w:jc w:val="left"/>
              <w:rPr>
                <w:rFonts w:hint="eastAsia"/>
                <w:color w:val="000000" w:themeColor="text1"/>
                <w14:textFill>
                  <w14:solidFill>
                    <w14:schemeClr w14:val="tx1"/>
                  </w14:solidFill>
                </w14:textFill>
              </w:rPr>
            </w:pPr>
          </w:p>
        </w:tc>
        <w:tc>
          <w:tcPr>
            <w:tcW w:w="1486"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污染物名称</w:t>
            </w:r>
          </w:p>
        </w:tc>
        <w:tc>
          <w:tcPr>
            <w:tcW w:w="1784"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t>现有工程</w:t>
            </w:r>
          </w:p>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p>
        </w:tc>
        <w:tc>
          <w:tcPr>
            <w:tcW w:w="1338" w:type="dxa"/>
            <w:tcBorders>
              <w:tl2br w:val="nil"/>
              <w:tr2bl w:val="nil"/>
            </w:tcBorders>
            <w:noWrap w:val="0"/>
            <w:tcMar>
              <w:left w:w="28" w:type="dxa"/>
              <w:right w:w="28" w:type="dxa"/>
            </w:tcMar>
            <w:vAlign w:val="center"/>
          </w:tcPr>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现有工程</w:t>
            </w:r>
          </w:p>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许可排放量</w:t>
            </w:r>
          </w:p>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p>
        </w:tc>
        <w:tc>
          <w:tcPr>
            <w:tcW w:w="1784"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t>在建工程</w:t>
            </w:r>
          </w:p>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p>
        </w:tc>
        <w:tc>
          <w:tcPr>
            <w:tcW w:w="1635"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t>本项目</w:t>
            </w:r>
          </w:p>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p>
        </w:tc>
        <w:tc>
          <w:tcPr>
            <w:tcW w:w="1586" w:type="dxa"/>
            <w:tcBorders>
              <w:tl2br w:val="nil"/>
              <w:tr2bl w:val="nil"/>
            </w:tcBorders>
            <w:noWrap w:val="0"/>
            <w:tcMar>
              <w:left w:w="28" w:type="dxa"/>
              <w:right w:w="28" w:type="dxa"/>
            </w:tcMar>
            <w:vAlign w:val="center"/>
          </w:tcPr>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以新带老削减量（新建项目不填）</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p>
        </w:tc>
        <w:tc>
          <w:tcPr>
            <w:tcW w:w="2000" w:type="dxa"/>
            <w:tcBorders>
              <w:tl2br w:val="nil"/>
              <w:tr2bl w:val="nil"/>
            </w:tcBorders>
            <w:noWrap w:val="0"/>
            <w:tcMar>
              <w:left w:w="28" w:type="dxa"/>
              <w:right w:w="28" w:type="dxa"/>
            </w:tcMar>
            <w:vAlign w:val="center"/>
          </w:tcPr>
          <w:p>
            <w:pPr>
              <w:pStyle w:val="14"/>
              <w:bidi w:val="0"/>
              <w:rPr>
                <w:rFonts w:hint="eastAsia"/>
                <w:color w:val="000000" w:themeColor="text1"/>
                <w14:textFill>
                  <w14:solidFill>
                    <w14:schemeClr w14:val="tx1"/>
                  </w14:solidFill>
                </w14:textFill>
              </w:rPr>
            </w:pPr>
            <w:r>
              <w:rPr>
                <w:color w:val="000000" w:themeColor="text1"/>
                <w14:textFill>
                  <w14:solidFill>
                    <w14:schemeClr w14:val="tx1"/>
                  </w14:solidFill>
                </w14:textFill>
              </w:rPr>
              <w:t>本项目建成后</w:t>
            </w:r>
          </w:p>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排放量（固</w:t>
            </w:r>
            <w:r>
              <w:rPr>
                <w:rFonts w:hint="eastAsia"/>
                <w:color w:val="000000" w:themeColor="text1"/>
                <w14:textFill>
                  <w14:solidFill>
                    <w14:schemeClr w14:val="tx1"/>
                  </w14:solidFill>
                </w14:textFill>
              </w:rPr>
              <w:t>体</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物</w:t>
            </w:r>
            <w:r>
              <w:rPr>
                <w:color w:val="000000" w:themeColor="text1"/>
                <w14:textFill>
                  <w14:solidFill>
                    <w14:schemeClr w14:val="tx1"/>
                  </w14:solidFill>
                </w14:textFill>
              </w:rPr>
              <w:t>产生量）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6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p>
        </w:tc>
        <w:tc>
          <w:tcPr>
            <w:tcW w:w="1180" w:type="dxa"/>
            <w:tcBorders>
              <w:tl2br w:val="nil"/>
              <w:tr2bl w:val="nil"/>
            </w:tcBorders>
            <w:noWrap w:val="0"/>
            <w:tcMar>
              <w:left w:w="28" w:type="dxa"/>
              <w:right w:w="28" w:type="dxa"/>
            </w:tcMar>
            <w:vAlign w:val="center"/>
          </w:tcPr>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t>变化量</w:t>
            </w:r>
          </w:p>
          <w:p>
            <w:pPr>
              <w:pStyle w:val="14"/>
              <w:bidi w:val="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7 \* GB3 \* MERGEFORMAT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restart"/>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1486" w:type="dxa"/>
            <w:tcBorders>
              <w:tl2br w:val="nil"/>
              <w:tr2bl w:val="nil"/>
            </w:tcBorders>
            <w:noWrap w:val="0"/>
            <w:vAlign w:val="top"/>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烟尘</w:t>
            </w:r>
          </w:p>
        </w:tc>
        <w:tc>
          <w:tcPr>
            <w:tcW w:w="1784" w:type="dxa"/>
            <w:tcBorders>
              <w:tl2br w:val="nil"/>
              <w:tr2bl w:val="nil"/>
            </w:tcBorders>
            <w:noWrap w:val="0"/>
            <w:vAlign w:val="center"/>
          </w:tcPr>
          <w:p>
            <w:pPr>
              <w:pStyle w:val="14"/>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top"/>
          </w:tcPr>
          <w:p>
            <w:pPr>
              <w:pStyle w:val="14"/>
              <w:bidi w:val="0"/>
              <w:rPr>
                <w:rFonts w:hint="default"/>
                <w:lang w:val="en-US"/>
              </w:rPr>
            </w:pPr>
            <w:r>
              <w:rPr>
                <w:rFonts w:hint="eastAsia"/>
                <w:lang w:val="en-US" w:eastAsia="zh-CN"/>
              </w:rPr>
              <w:t>3.75×10</w:t>
            </w:r>
            <w:r>
              <w:rPr>
                <w:rFonts w:hint="eastAsia"/>
                <w:vertAlign w:val="superscript"/>
                <w:lang w:val="en-US" w:eastAsia="zh-CN"/>
              </w:rPr>
              <w:t>-3</w:t>
            </w:r>
            <w:r>
              <w:t>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top"/>
          </w:tcPr>
          <w:p>
            <w:pPr>
              <w:pStyle w:val="14"/>
              <w:bidi w:val="0"/>
            </w:pPr>
            <w:r>
              <w:rPr>
                <w:rFonts w:hint="eastAsia"/>
                <w:lang w:val="en-US" w:eastAsia="zh-CN"/>
              </w:rPr>
              <w:t>3.75×10</w:t>
            </w:r>
            <w:r>
              <w:rPr>
                <w:rFonts w:hint="eastAsia"/>
                <w:vertAlign w:val="superscript"/>
                <w:lang w:val="en-US" w:eastAsia="zh-CN"/>
              </w:rPr>
              <w:t>-3</w:t>
            </w:r>
            <w:r>
              <w:t>t/a</w:t>
            </w:r>
          </w:p>
        </w:tc>
        <w:tc>
          <w:tcPr>
            <w:tcW w:w="1180" w:type="dxa"/>
            <w:tcBorders>
              <w:tl2br w:val="nil"/>
              <w:tr2bl w:val="nil"/>
            </w:tcBorders>
            <w:noWrap w:val="0"/>
            <w:vAlign w:val="top"/>
          </w:tcPr>
          <w:p>
            <w:pPr>
              <w:pStyle w:val="14"/>
              <w:bidi w:val="0"/>
              <w:rPr>
                <w:lang w:val="en-US" w:eastAsia="zh-CN"/>
              </w:rPr>
            </w:pPr>
            <w:r>
              <w:rPr>
                <w:rFonts w:hint="eastAsia"/>
                <w:lang w:val="en-US" w:eastAsia="zh-CN"/>
              </w:rPr>
              <w:t>+3.75×10</w:t>
            </w:r>
            <w:r>
              <w:rPr>
                <w:rFonts w:hint="eastAsia"/>
                <w:vertAlign w:val="superscript"/>
                <w:lang w:val="en-US" w:eastAsia="zh-CN"/>
              </w:rPr>
              <w:t>-3</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top"/>
          </w:tcPr>
          <w:p>
            <w:pPr>
              <w:pStyle w:val="14"/>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二氧化硫</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top"/>
          </w:tcPr>
          <w:p>
            <w:pPr>
              <w:pStyle w:val="14"/>
              <w:bidi w:val="0"/>
            </w:pPr>
            <w:r>
              <w:rPr>
                <w:rFonts w:hint="eastAsia"/>
                <w:lang w:val="en-US" w:eastAsia="zh-CN"/>
              </w:rPr>
              <w:t>0.166</w:t>
            </w:r>
            <w:r>
              <w:t>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top"/>
          </w:tcPr>
          <w:p>
            <w:pPr>
              <w:pStyle w:val="14"/>
              <w:bidi w:val="0"/>
            </w:pPr>
            <w:r>
              <w:rPr>
                <w:rFonts w:hint="eastAsia"/>
                <w:lang w:val="en-US" w:eastAsia="zh-CN"/>
              </w:rPr>
              <w:t>0.166</w:t>
            </w:r>
            <w:r>
              <w:t>t/a</w:t>
            </w:r>
          </w:p>
        </w:tc>
        <w:tc>
          <w:tcPr>
            <w:tcW w:w="1180" w:type="dxa"/>
            <w:tcBorders>
              <w:tl2br w:val="nil"/>
              <w:tr2bl w:val="nil"/>
            </w:tcBorders>
            <w:noWrap w:val="0"/>
            <w:vAlign w:val="top"/>
          </w:tcPr>
          <w:p>
            <w:pPr>
              <w:pStyle w:val="14"/>
              <w:bidi w:val="0"/>
              <w:rPr>
                <w:lang w:val="en-US" w:eastAsia="zh-CN"/>
              </w:rPr>
            </w:pPr>
            <w:r>
              <w:rPr>
                <w:rFonts w:hint="eastAsia"/>
                <w:lang w:val="en-US" w:eastAsia="zh-CN"/>
              </w:rPr>
              <w:t>+0.166</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top"/>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氮氧化物</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p>
        </w:tc>
        <w:tc>
          <w:tcPr>
            <w:tcW w:w="1338"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p>
        </w:tc>
        <w:tc>
          <w:tcPr>
            <w:tcW w:w="1635" w:type="dxa"/>
            <w:tcBorders>
              <w:tl2br w:val="nil"/>
              <w:tr2bl w:val="nil"/>
            </w:tcBorders>
            <w:noWrap w:val="0"/>
            <w:vAlign w:val="top"/>
          </w:tcPr>
          <w:p>
            <w:pPr>
              <w:pStyle w:val="14"/>
              <w:bidi w:val="0"/>
              <w:rPr>
                <w:rFonts w:hint="default"/>
                <w:lang w:val="en-US" w:eastAsia="zh-CN"/>
              </w:rPr>
            </w:pPr>
            <w:r>
              <w:rPr>
                <w:rFonts w:hint="eastAsia"/>
                <w:lang w:val="en-US" w:eastAsia="zh-CN"/>
              </w:rPr>
              <w:t>1.392t</w:t>
            </w:r>
            <w:r>
              <w:t>/a</w:t>
            </w:r>
          </w:p>
        </w:tc>
        <w:tc>
          <w:tcPr>
            <w:tcW w:w="1586" w:type="dxa"/>
            <w:tcBorders>
              <w:tl2br w:val="nil"/>
              <w:tr2bl w:val="nil"/>
            </w:tcBorders>
            <w:noWrap w:val="0"/>
            <w:vAlign w:val="center"/>
          </w:tcPr>
          <w:p>
            <w:pPr>
              <w:pStyle w:val="14"/>
              <w:bidi w:val="0"/>
              <w:rPr>
                <w:rFonts w:hint="eastAsia"/>
                <w:lang w:val="en-US" w:eastAsia="zh-CN"/>
              </w:rPr>
            </w:pPr>
          </w:p>
        </w:tc>
        <w:tc>
          <w:tcPr>
            <w:tcW w:w="2000" w:type="dxa"/>
            <w:tcBorders>
              <w:tl2br w:val="nil"/>
              <w:tr2bl w:val="nil"/>
            </w:tcBorders>
            <w:noWrap w:val="0"/>
            <w:vAlign w:val="top"/>
          </w:tcPr>
          <w:p>
            <w:pPr>
              <w:pStyle w:val="14"/>
              <w:bidi w:val="0"/>
              <w:rPr>
                <w:rFonts w:hint="eastAsia"/>
                <w:lang w:val="en-US" w:eastAsia="zh-CN"/>
              </w:rPr>
            </w:pPr>
            <w:r>
              <w:rPr>
                <w:rFonts w:hint="eastAsia"/>
                <w:lang w:val="en-US" w:eastAsia="zh-CN"/>
              </w:rPr>
              <w:t>1.392t</w:t>
            </w:r>
            <w:r>
              <w:t>/a</w:t>
            </w:r>
          </w:p>
        </w:tc>
        <w:tc>
          <w:tcPr>
            <w:tcW w:w="1180" w:type="dxa"/>
            <w:tcBorders>
              <w:tl2br w:val="nil"/>
              <w:tr2bl w:val="nil"/>
            </w:tcBorders>
            <w:noWrap w:val="0"/>
            <w:vAlign w:val="top"/>
          </w:tcPr>
          <w:p>
            <w:pPr>
              <w:pStyle w:val="14"/>
              <w:bidi w:val="0"/>
              <w:rPr>
                <w:rFonts w:hint="eastAsia"/>
                <w:lang w:val="en-US" w:eastAsia="zh-CN"/>
              </w:rPr>
            </w:pPr>
            <w:r>
              <w:rPr>
                <w:rFonts w:hint="eastAsia"/>
                <w:lang w:val="en-US" w:eastAsia="zh-CN"/>
              </w:rPr>
              <w:t>+1.392t</w:t>
            </w:r>
            <w: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restart"/>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486" w:type="dxa"/>
            <w:tcBorders>
              <w:tl2br w:val="nil"/>
              <w:tr2bl w:val="nil"/>
            </w:tcBorders>
            <w:noWrap w:val="0"/>
            <w:vAlign w:val="center"/>
          </w:tcPr>
          <w:p>
            <w:pPr>
              <w:pStyle w:val="14"/>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COD</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default"/>
                <w:lang w:val="en-US" w:eastAsia="zh-CN"/>
              </w:rPr>
            </w:pPr>
            <w:r>
              <w:rPr>
                <w:rFonts w:hint="eastAsia"/>
                <w:lang w:val="en-US" w:eastAsia="zh-CN"/>
              </w:rPr>
              <w:t>0.022t/a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eastAsia"/>
                <w:lang w:val="en-US" w:eastAsia="zh-CN"/>
              </w:rPr>
              <w:t>0.022t/a</w:t>
            </w:r>
          </w:p>
        </w:tc>
        <w:tc>
          <w:tcPr>
            <w:tcW w:w="1180" w:type="dxa"/>
            <w:tcBorders>
              <w:tl2br w:val="nil"/>
              <w:tr2bl w:val="nil"/>
            </w:tcBorders>
            <w:noWrap w:val="0"/>
            <w:vAlign w:val="center"/>
          </w:tcPr>
          <w:p>
            <w:pPr>
              <w:pStyle w:val="14"/>
              <w:bidi w:val="0"/>
              <w:rPr>
                <w:rFonts w:hint="default"/>
                <w:lang w:val="en-US" w:eastAsia="zh-CN"/>
              </w:rPr>
            </w:pPr>
            <w:r>
              <w:rPr>
                <w:rFonts w:hint="eastAsia"/>
                <w:lang w:val="en-US" w:eastAsia="zh-CN"/>
              </w:rPr>
              <w:t>+0.022t/a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BOD</w:t>
            </w:r>
            <w:r>
              <w:rPr>
                <w:rFonts w:hint="default"/>
                <w:color w:val="000000" w:themeColor="text1"/>
                <w:vertAlign w:val="subscript"/>
                <w14:textFill>
                  <w14:solidFill>
                    <w14:schemeClr w14:val="tx1"/>
                  </w14:solidFill>
                </w14:textFill>
              </w:rPr>
              <w:t>5</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default"/>
                <w:lang w:val="en-US" w:eastAsia="zh-CN"/>
              </w:rPr>
            </w:pPr>
            <w:r>
              <w:rPr>
                <w:rFonts w:hint="eastAsia"/>
                <w:lang w:val="en-US" w:eastAsia="zh-CN"/>
              </w:rPr>
              <w:t>0.014t/a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eastAsia"/>
                <w:lang w:val="en-US" w:eastAsia="zh-CN"/>
              </w:rPr>
              <w:t>0.014t/a</w:t>
            </w:r>
          </w:p>
        </w:tc>
        <w:tc>
          <w:tcPr>
            <w:tcW w:w="1180" w:type="dxa"/>
            <w:tcBorders>
              <w:tl2br w:val="nil"/>
              <w:tr2bl w:val="nil"/>
            </w:tcBorders>
            <w:noWrap w:val="0"/>
            <w:vAlign w:val="center"/>
          </w:tcPr>
          <w:p>
            <w:pPr>
              <w:pStyle w:val="14"/>
              <w:bidi w:val="0"/>
              <w:rPr>
                <w:rFonts w:hint="default"/>
                <w:lang w:val="en-US" w:eastAsia="zh-CN"/>
              </w:rPr>
            </w:pPr>
            <w:r>
              <w:rPr>
                <w:rFonts w:hint="eastAsia"/>
                <w:lang w:val="en-US" w:eastAsia="zh-CN"/>
              </w:rPr>
              <w:t>+0.014t/a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SS</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default"/>
                <w:lang w:val="en-US" w:eastAsia="zh-CN"/>
              </w:rPr>
            </w:pPr>
            <w:r>
              <w:rPr>
                <w:rFonts w:hint="eastAsia"/>
                <w:lang w:val="en-US" w:eastAsia="zh-CN"/>
              </w:rPr>
              <w:t>0.025t/a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eastAsia"/>
                <w:lang w:val="en-US" w:eastAsia="zh-CN"/>
              </w:rPr>
              <w:t>0.025t/a</w:t>
            </w:r>
          </w:p>
        </w:tc>
        <w:tc>
          <w:tcPr>
            <w:tcW w:w="1180" w:type="dxa"/>
            <w:tcBorders>
              <w:tl2br w:val="nil"/>
              <w:tr2bl w:val="nil"/>
            </w:tcBorders>
            <w:noWrap w:val="0"/>
            <w:vAlign w:val="center"/>
          </w:tcPr>
          <w:p>
            <w:pPr>
              <w:pStyle w:val="14"/>
              <w:bidi w:val="0"/>
              <w:rPr>
                <w:rFonts w:hint="default"/>
                <w:lang w:val="en-US" w:eastAsia="zh-CN"/>
              </w:rPr>
            </w:pPr>
            <w:r>
              <w:rPr>
                <w:rFonts w:hint="eastAsia"/>
                <w:lang w:val="en-US" w:eastAsia="zh-CN"/>
              </w:rPr>
              <w:t>+0.025t/a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氨氮</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default"/>
                <w:lang w:val="en-US" w:eastAsia="zh-CN"/>
              </w:rPr>
            </w:pPr>
            <w:r>
              <w:rPr>
                <w:rFonts w:hint="eastAsia"/>
                <w:lang w:val="en-US" w:eastAsia="zh-CN"/>
              </w:rPr>
              <w:t>0.002t/a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eastAsia"/>
                <w:lang w:val="en-US" w:eastAsia="zh-CN"/>
              </w:rPr>
              <w:t>0.002t/a</w:t>
            </w:r>
          </w:p>
        </w:tc>
        <w:tc>
          <w:tcPr>
            <w:tcW w:w="1180" w:type="dxa"/>
            <w:tcBorders>
              <w:tl2br w:val="nil"/>
              <w:tr2bl w:val="nil"/>
            </w:tcBorders>
            <w:noWrap w:val="0"/>
            <w:vAlign w:val="center"/>
          </w:tcPr>
          <w:p>
            <w:pPr>
              <w:pStyle w:val="14"/>
              <w:bidi w:val="0"/>
              <w:rPr>
                <w:rFonts w:hint="default"/>
                <w:lang w:val="en-US" w:eastAsia="zh-CN"/>
              </w:rPr>
            </w:pPr>
            <w:r>
              <w:rPr>
                <w:rFonts w:hint="eastAsia"/>
                <w:lang w:val="en-US" w:eastAsia="zh-CN"/>
              </w:rPr>
              <w:t>+0.002t/a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动植物油</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default"/>
                <w:lang w:val="en-US" w:eastAsia="zh-CN"/>
              </w:rPr>
            </w:pPr>
            <w:r>
              <w:rPr>
                <w:rFonts w:hint="eastAsia"/>
                <w:lang w:val="en-US" w:eastAsia="zh-CN"/>
              </w:rPr>
              <w:t>0.004t/a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eastAsia"/>
                <w:lang w:val="en-US" w:eastAsia="zh-CN"/>
              </w:rPr>
              <w:t>0.004t/a</w:t>
            </w:r>
          </w:p>
        </w:tc>
        <w:tc>
          <w:tcPr>
            <w:tcW w:w="1180" w:type="dxa"/>
            <w:tcBorders>
              <w:tl2br w:val="nil"/>
              <w:tr2bl w:val="nil"/>
            </w:tcBorders>
            <w:noWrap w:val="0"/>
            <w:vAlign w:val="center"/>
          </w:tcPr>
          <w:p>
            <w:pPr>
              <w:pStyle w:val="14"/>
              <w:bidi w:val="0"/>
              <w:rPr>
                <w:rFonts w:hint="default"/>
                <w:lang w:val="en-US" w:eastAsia="zh-CN"/>
              </w:rPr>
            </w:pPr>
            <w:r>
              <w:rPr>
                <w:rFonts w:hint="eastAsia"/>
                <w:lang w:val="en-US" w:eastAsia="zh-CN"/>
              </w:rPr>
              <w:t>+0.004t/a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restart"/>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一般工业</w:t>
            </w:r>
          </w:p>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1486" w:type="dxa"/>
            <w:tcBorders>
              <w:tl2br w:val="nil"/>
              <w:tr2bl w:val="nil"/>
            </w:tcBorders>
            <w:noWrap w:val="0"/>
            <w:vAlign w:val="center"/>
          </w:tcPr>
          <w:p>
            <w:pPr>
              <w:pStyle w:val="14"/>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炉渣</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default"/>
                <w:lang w:val="en-US" w:eastAsia="zh-CN"/>
              </w:rPr>
            </w:pPr>
            <w:r>
              <w:rPr>
                <w:rFonts w:hint="eastAsia"/>
                <w:lang w:val="en-US" w:eastAsia="zh-CN"/>
              </w:rPr>
              <w:t>104.5</w:t>
            </w:r>
            <w:r>
              <w:t>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eastAsia"/>
                <w:lang w:val="en-US" w:eastAsia="zh-CN"/>
              </w:rPr>
              <w:t>104.5</w:t>
            </w:r>
            <w:r>
              <w:t>t/a</w:t>
            </w:r>
          </w:p>
        </w:tc>
        <w:tc>
          <w:tcPr>
            <w:tcW w:w="1180" w:type="dxa"/>
            <w:tcBorders>
              <w:tl2br w:val="nil"/>
              <w:tr2bl w:val="nil"/>
            </w:tcBorders>
            <w:noWrap w:val="0"/>
            <w:vAlign w:val="center"/>
          </w:tcPr>
          <w:p>
            <w:pPr>
              <w:pStyle w:val="14"/>
              <w:bidi w:val="0"/>
              <w:rPr>
                <w:rFonts w:hint="default"/>
                <w:lang w:val="en-US" w:eastAsia="zh-CN"/>
              </w:rPr>
            </w:pPr>
            <w:r>
              <w:rPr>
                <w:rFonts w:hint="eastAsia"/>
                <w:lang w:val="en-US" w:eastAsia="zh-CN"/>
              </w:rPr>
              <w:t>+104.5</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烟灰</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eastAsia"/>
                <w:lang w:val="en-US" w:eastAsia="zh-CN"/>
              </w:rPr>
            </w:pPr>
            <w:r>
              <w:rPr>
                <w:rFonts w:hint="eastAsia"/>
                <w:lang w:val="en-US" w:eastAsia="zh-CN"/>
              </w:rPr>
              <w:t>1.25</w:t>
            </w:r>
            <w:r>
              <w:t>t/a</w:t>
            </w:r>
          </w:p>
        </w:tc>
        <w:tc>
          <w:tcPr>
            <w:tcW w:w="1586" w:type="dxa"/>
            <w:tcBorders>
              <w:tl2br w:val="nil"/>
              <w:tr2bl w:val="nil"/>
            </w:tcBorders>
            <w:noWrap w:val="0"/>
            <w:vAlign w:val="center"/>
          </w:tcPr>
          <w:p>
            <w:pPr>
              <w:pStyle w:val="14"/>
              <w:bidi w:val="0"/>
              <w:rPr>
                <w:rFonts w:hint="eastAsia"/>
                <w:lang w:val="en-US" w:eastAsia="zh-CN"/>
              </w:rPr>
            </w:pPr>
            <w:r>
              <w:rPr>
                <w:rFonts w:hint="eastAsia"/>
                <w:lang w:val="en-US" w:eastAsia="zh-CN"/>
              </w:rPr>
              <w:t>/</w:t>
            </w:r>
          </w:p>
        </w:tc>
        <w:tc>
          <w:tcPr>
            <w:tcW w:w="2000" w:type="dxa"/>
            <w:tcBorders>
              <w:tl2br w:val="nil"/>
              <w:tr2bl w:val="nil"/>
            </w:tcBorders>
            <w:noWrap w:val="0"/>
            <w:vAlign w:val="center"/>
          </w:tcPr>
          <w:p>
            <w:pPr>
              <w:pStyle w:val="14"/>
              <w:bidi w:val="0"/>
              <w:rPr>
                <w:rFonts w:hint="eastAsia"/>
                <w:lang w:val="en-US" w:eastAsia="zh-CN"/>
              </w:rPr>
            </w:pPr>
            <w:r>
              <w:rPr>
                <w:rFonts w:hint="eastAsia"/>
                <w:lang w:val="en-US" w:eastAsia="zh-CN"/>
              </w:rPr>
              <w:t>1.25</w:t>
            </w:r>
            <w:r>
              <w:t>t/a</w:t>
            </w:r>
          </w:p>
        </w:tc>
        <w:tc>
          <w:tcPr>
            <w:tcW w:w="1180" w:type="dxa"/>
            <w:tcBorders>
              <w:tl2br w:val="nil"/>
              <w:tr2bl w:val="nil"/>
            </w:tcBorders>
            <w:noWrap w:val="0"/>
            <w:vAlign w:val="center"/>
          </w:tcPr>
          <w:p>
            <w:pPr>
              <w:pStyle w:val="14"/>
              <w:bidi w:val="0"/>
              <w:rPr>
                <w:rFonts w:hint="eastAsia"/>
                <w:lang w:val="en-US" w:eastAsia="zh-CN"/>
              </w:rPr>
            </w:pPr>
            <w:r>
              <w:rPr>
                <w:rFonts w:hint="eastAsia"/>
                <w:lang w:val="en-US" w:eastAsia="zh-CN"/>
              </w:rPr>
              <w:t>+1.25</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石膏</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eastAsia"/>
                <w:lang w:val="en-US" w:eastAsia="zh-CN"/>
              </w:rPr>
            </w:pPr>
            <w:r>
              <w:rPr>
                <w:rFonts w:hint="eastAsia"/>
                <w:lang w:val="en-US" w:eastAsia="zh-CN"/>
              </w:rPr>
              <w:t>7.33</w:t>
            </w:r>
            <w:r>
              <w:t>t/a</w:t>
            </w:r>
          </w:p>
        </w:tc>
        <w:tc>
          <w:tcPr>
            <w:tcW w:w="1586" w:type="dxa"/>
            <w:tcBorders>
              <w:tl2br w:val="nil"/>
              <w:tr2bl w:val="nil"/>
            </w:tcBorders>
            <w:noWrap w:val="0"/>
            <w:vAlign w:val="center"/>
          </w:tcPr>
          <w:p>
            <w:pPr>
              <w:pStyle w:val="14"/>
              <w:bidi w:val="0"/>
              <w:rPr>
                <w:rFonts w:hint="eastAsia"/>
                <w:lang w:val="en-US" w:eastAsia="zh-CN"/>
              </w:rPr>
            </w:pPr>
            <w:r>
              <w:rPr>
                <w:rFonts w:hint="eastAsia"/>
                <w:lang w:val="en-US" w:eastAsia="zh-CN"/>
              </w:rPr>
              <w:t>/</w:t>
            </w:r>
          </w:p>
        </w:tc>
        <w:tc>
          <w:tcPr>
            <w:tcW w:w="2000" w:type="dxa"/>
            <w:tcBorders>
              <w:tl2br w:val="nil"/>
              <w:tr2bl w:val="nil"/>
            </w:tcBorders>
            <w:noWrap w:val="0"/>
            <w:vAlign w:val="center"/>
          </w:tcPr>
          <w:p>
            <w:pPr>
              <w:pStyle w:val="14"/>
              <w:bidi w:val="0"/>
              <w:rPr>
                <w:rFonts w:hint="eastAsia"/>
                <w:lang w:val="en-US" w:eastAsia="zh-CN"/>
              </w:rPr>
            </w:pPr>
            <w:r>
              <w:rPr>
                <w:rFonts w:hint="eastAsia"/>
                <w:lang w:val="en-US" w:eastAsia="zh-CN"/>
              </w:rPr>
              <w:t>7.33</w:t>
            </w:r>
            <w:r>
              <w:t>t/a</w:t>
            </w:r>
          </w:p>
        </w:tc>
        <w:tc>
          <w:tcPr>
            <w:tcW w:w="1180" w:type="dxa"/>
            <w:tcBorders>
              <w:tl2br w:val="nil"/>
              <w:tr2bl w:val="nil"/>
            </w:tcBorders>
            <w:noWrap w:val="0"/>
            <w:vAlign w:val="center"/>
          </w:tcPr>
          <w:p>
            <w:pPr>
              <w:pStyle w:val="14"/>
              <w:bidi w:val="0"/>
              <w:rPr>
                <w:rFonts w:hint="eastAsia"/>
                <w:lang w:val="en-US" w:eastAsia="zh-CN"/>
              </w:rPr>
            </w:pPr>
            <w:r>
              <w:rPr>
                <w:rFonts w:hint="eastAsia"/>
                <w:lang w:val="en-US" w:eastAsia="zh-CN"/>
              </w:rPr>
              <w:t>+7.33</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rFonts w:hint="eastAsia"/>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杂质</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eastAsia"/>
                <w:lang w:val="en-US" w:eastAsia="zh-CN"/>
              </w:rPr>
            </w:pPr>
            <w:r>
              <w:rPr>
                <w:rFonts w:hint="eastAsia"/>
                <w:lang w:val="en-US" w:eastAsia="zh-CN"/>
              </w:rPr>
              <w:t>250</w:t>
            </w:r>
            <w:r>
              <w:t>t/a</w:t>
            </w:r>
          </w:p>
        </w:tc>
        <w:tc>
          <w:tcPr>
            <w:tcW w:w="1586" w:type="dxa"/>
            <w:tcBorders>
              <w:tl2br w:val="nil"/>
              <w:tr2bl w:val="nil"/>
            </w:tcBorders>
            <w:noWrap w:val="0"/>
            <w:vAlign w:val="center"/>
          </w:tcPr>
          <w:p>
            <w:pPr>
              <w:pStyle w:val="14"/>
              <w:bidi w:val="0"/>
              <w:rPr>
                <w:rFonts w:hint="eastAsia"/>
                <w:lang w:val="en-US" w:eastAsia="zh-CN"/>
              </w:rPr>
            </w:pPr>
            <w:r>
              <w:rPr>
                <w:rFonts w:hint="eastAsia"/>
                <w:lang w:val="en-US" w:eastAsia="zh-CN"/>
              </w:rPr>
              <w:t>/</w:t>
            </w:r>
          </w:p>
        </w:tc>
        <w:tc>
          <w:tcPr>
            <w:tcW w:w="2000" w:type="dxa"/>
            <w:tcBorders>
              <w:tl2br w:val="nil"/>
              <w:tr2bl w:val="nil"/>
            </w:tcBorders>
            <w:noWrap w:val="0"/>
            <w:vAlign w:val="center"/>
          </w:tcPr>
          <w:p>
            <w:pPr>
              <w:pStyle w:val="14"/>
              <w:bidi w:val="0"/>
              <w:rPr>
                <w:rFonts w:hint="eastAsia"/>
                <w:lang w:val="en-US" w:eastAsia="zh-CN"/>
              </w:rPr>
            </w:pPr>
            <w:r>
              <w:rPr>
                <w:rFonts w:hint="eastAsia"/>
                <w:lang w:val="en-US" w:eastAsia="zh-CN"/>
              </w:rPr>
              <w:t>250</w:t>
            </w:r>
            <w:r>
              <w:t>t/a</w:t>
            </w:r>
          </w:p>
        </w:tc>
        <w:tc>
          <w:tcPr>
            <w:tcW w:w="1180" w:type="dxa"/>
            <w:tcBorders>
              <w:tl2br w:val="nil"/>
              <w:tr2bl w:val="nil"/>
            </w:tcBorders>
            <w:noWrap w:val="0"/>
            <w:vAlign w:val="center"/>
          </w:tcPr>
          <w:p>
            <w:pPr>
              <w:pStyle w:val="14"/>
              <w:bidi w:val="0"/>
              <w:rPr>
                <w:rFonts w:hint="eastAsia"/>
                <w:lang w:val="en-US" w:eastAsia="zh-CN"/>
              </w:rPr>
            </w:pPr>
            <w:r>
              <w:rPr>
                <w:rFonts w:hint="eastAsia"/>
                <w:lang w:val="en-US" w:eastAsia="zh-CN"/>
              </w:rPr>
              <w:t>+250</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restart"/>
            <w:tcBorders>
              <w:tl2br w:val="nil"/>
              <w:tr2bl w:val="nil"/>
            </w:tcBorders>
            <w:noWrap w:val="0"/>
            <w:vAlign w:val="center"/>
          </w:tcPr>
          <w:p>
            <w:pPr>
              <w:pStyle w:val="14"/>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486"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含油抹布</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eastAsia"/>
                <w:lang w:val="en-US" w:eastAsia="zh-CN"/>
              </w:rPr>
            </w:pPr>
            <w:r>
              <w:rPr>
                <w:rFonts w:hint="default"/>
              </w:rPr>
              <w:t>0.</w:t>
            </w:r>
            <w:r>
              <w:rPr>
                <w:rFonts w:hint="default"/>
                <w:lang w:val="en-US" w:eastAsia="zh-CN"/>
              </w:rPr>
              <w:t>05</w:t>
            </w:r>
            <w:r>
              <w:rPr>
                <w:rFonts w:hint="eastAsia"/>
                <w:lang w:val="en-US" w:eastAsia="zh-CN"/>
              </w:rPr>
              <w:t>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default"/>
              </w:rPr>
              <w:t>0.</w:t>
            </w:r>
            <w:r>
              <w:rPr>
                <w:rFonts w:hint="default"/>
                <w:lang w:val="en-US" w:eastAsia="zh-CN"/>
              </w:rPr>
              <w:t>05</w:t>
            </w:r>
            <w:r>
              <w:rPr>
                <w:rFonts w:hint="eastAsia"/>
                <w:lang w:val="en-US" w:eastAsia="zh-CN"/>
              </w:rPr>
              <w:t>t/a</w:t>
            </w:r>
          </w:p>
        </w:tc>
        <w:tc>
          <w:tcPr>
            <w:tcW w:w="1180" w:type="dxa"/>
            <w:tcBorders>
              <w:tl2br w:val="nil"/>
              <w:tr2bl w:val="nil"/>
            </w:tcBorders>
            <w:noWrap w:val="0"/>
            <w:vAlign w:val="center"/>
          </w:tcPr>
          <w:p>
            <w:pPr>
              <w:pStyle w:val="14"/>
              <w:bidi w:val="0"/>
              <w:rPr>
                <w:rFonts w:hint="eastAsia"/>
                <w:lang w:val="en-US" w:eastAsia="zh-CN"/>
              </w:rPr>
            </w:pPr>
            <w:r>
              <w:rPr>
                <w:rFonts w:hint="eastAsia"/>
                <w:lang w:val="en-US" w:eastAsia="zh-CN"/>
              </w:rPr>
              <w:t>+</w:t>
            </w:r>
            <w:r>
              <w:rPr>
                <w:rFonts w:hint="default"/>
              </w:rPr>
              <w:t>0.</w:t>
            </w:r>
            <w:r>
              <w:rPr>
                <w:rFonts w:hint="default"/>
                <w:lang w:val="en-US" w:eastAsia="zh-CN"/>
              </w:rPr>
              <w:t>05</w:t>
            </w:r>
            <w:r>
              <w:rPr>
                <w:rFonts w:hint="eastAsia"/>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664" w:type="dxa"/>
            <w:vMerge w:val="continue"/>
            <w:tcBorders>
              <w:tl2br w:val="nil"/>
              <w:tr2bl w:val="nil"/>
            </w:tcBorders>
            <w:noWrap w:val="0"/>
            <w:vAlign w:val="center"/>
          </w:tcPr>
          <w:p>
            <w:pPr>
              <w:pStyle w:val="14"/>
              <w:bidi w:val="0"/>
              <w:rPr>
                <w:color w:val="000000" w:themeColor="text1"/>
                <w14:textFill>
                  <w14:solidFill>
                    <w14:schemeClr w14:val="tx1"/>
                  </w14:solidFill>
                </w14:textFill>
              </w:rPr>
            </w:pPr>
          </w:p>
        </w:tc>
        <w:tc>
          <w:tcPr>
            <w:tcW w:w="1486" w:type="dxa"/>
            <w:tcBorders>
              <w:tl2br w:val="nil"/>
              <w:tr2bl w:val="nil"/>
            </w:tcBorders>
            <w:noWrap w:val="0"/>
            <w:vAlign w:val="center"/>
          </w:tcPr>
          <w:p>
            <w:pPr>
              <w:pStyle w:val="1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废机油、废油桶</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38"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784" w:type="dxa"/>
            <w:tcBorders>
              <w:tl2br w:val="nil"/>
              <w:tr2bl w:val="nil"/>
            </w:tcBorders>
            <w:noWrap w:val="0"/>
            <w:vAlign w:val="center"/>
          </w:tcPr>
          <w:p>
            <w:pPr>
              <w:pStyle w:val="14"/>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35" w:type="dxa"/>
            <w:tcBorders>
              <w:tl2br w:val="nil"/>
              <w:tr2bl w:val="nil"/>
            </w:tcBorders>
            <w:noWrap w:val="0"/>
            <w:vAlign w:val="center"/>
          </w:tcPr>
          <w:p>
            <w:pPr>
              <w:pStyle w:val="14"/>
              <w:bidi w:val="0"/>
              <w:rPr>
                <w:rFonts w:hint="eastAsia"/>
                <w:lang w:val="en-US" w:eastAsia="zh-CN"/>
              </w:rPr>
            </w:pPr>
            <w:r>
              <w:rPr>
                <w:rFonts w:hint="default"/>
                <w:lang w:val="en-US" w:eastAsia="zh-CN"/>
              </w:rPr>
              <w:t>0.1</w:t>
            </w:r>
            <w:r>
              <w:rPr>
                <w:rFonts w:hint="eastAsia"/>
                <w:lang w:val="en-US" w:eastAsia="zh-CN"/>
              </w:rPr>
              <w:t>t/a</w:t>
            </w:r>
          </w:p>
        </w:tc>
        <w:tc>
          <w:tcPr>
            <w:tcW w:w="1586" w:type="dxa"/>
            <w:tcBorders>
              <w:tl2br w:val="nil"/>
              <w:tr2bl w:val="nil"/>
            </w:tcBorders>
            <w:noWrap w:val="0"/>
            <w:vAlign w:val="center"/>
          </w:tcPr>
          <w:p>
            <w:pPr>
              <w:pStyle w:val="14"/>
              <w:bidi w:val="0"/>
            </w:pPr>
            <w:r>
              <w:rPr>
                <w:rFonts w:hint="eastAsia"/>
                <w:lang w:val="en-US" w:eastAsia="zh-CN"/>
              </w:rPr>
              <w:t>/</w:t>
            </w:r>
          </w:p>
        </w:tc>
        <w:tc>
          <w:tcPr>
            <w:tcW w:w="2000" w:type="dxa"/>
            <w:tcBorders>
              <w:tl2br w:val="nil"/>
              <w:tr2bl w:val="nil"/>
            </w:tcBorders>
            <w:noWrap w:val="0"/>
            <w:vAlign w:val="center"/>
          </w:tcPr>
          <w:p>
            <w:pPr>
              <w:pStyle w:val="14"/>
              <w:bidi w:val="0"/>
            </w:pPr>
            <w:r>
              <w:rPr>
                <w:rFonts w:hint="default"/>
                <w:lang w:val="en-US" w:eastAsia="zh-CN"/>
              </w:rPr>
              <w:t>0.1</w:t>
            </w:r>
            <w:r>
              <w:rPr>
                <w:rFonts w:hint="eastAsia"/>
                <w:lang w:val="en-US" w:eastAsia="zh-CN"/>
              </w:rPr>
              <w:t>t/a</w:t>
            </w:r>
          </w:p>
        </w:tc>
        <w:tc>
          <w:tcPr>
            <w:tcW w:w="1180" w:type="dxa"/>
            <w:tcBorders>
              <w:tl2br w:val="nil"/>
              <w:tr2bl w:val="nil"/>
            </w:tcBorders>
            <w:noWrap w:val="0"/>
            <w:vAlign w:val="center"/>
          </w:tcPr>
          <w:p>
            <w:pPr>
              <w:pStyle w:val="14"/>
              <w:bidi w:val="0"/>
              <w:rPr>
                <w:rFonts w:hint="eastAsia"/>
                <w:lang w:val="en-US" w:eastAsia="zh-CN"/>
              </w:rPr>
            </w:pPr>
            <w:r>
              <w:rPr>
                <w:rFonts w:hint="eastAsia"/>
                <w:lang w:val="en-US" w:eastAsia="zh-CN"/>
              </w:rPr>
              <w:t>+</w:t>
            </w:r>
            <w:r>
              <w:rPr>
                <w:rFonts w:hint="default"/>
                <w:lang w:val="en-US" w:eastAsia="zh-CN"/>
              </w:rPr>
              <w:t>0.1</w:t>
            </w:r>
            <w:r>
              <w:rPr>
                <w:rFonts w:hint="eastAsia"/>
                <w:lang w:val="en-US" w:eastAsia="zh-CN"/>
              </w:rPr>
              <w:t>t/a</w:t>
            </w:r>
          </w:p>
        </w:tc>
      </w:tr>
    </w:tbl>
    <w:p>
      <w:pPr>
        <w:bidi w:val="0"/>
        <w:rPr>
          <w:rFonts w:hint="eastAsia"/>
        </w:rPr>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p>
    <w:p>
      <w:pPr>
        <w:bidi w:val="0"/>
        <w:rPr>
          <w:rFonts w:hint="eastAsia"/>
          <w:color w:val="000000" w:themeColor="text1"/>
          <w14:textFill>
            <w14:solidFill>
              <w14:schemeClr w14:val="tx1"/>
            </w14:solidFill>
          </w14:textFill>
        </w:rPr>
      </w:pPr>
    </w:p>
    <w:p>
      <w:pPr>
        <w:bidi w:val="0"/>
        <w:rPr>
          <w:color w:val="000000" w:themeColor="text1"/>
          <w14:textFill>
            <w14:solidFill>
              <w14:schemeClr w14:val="tx1"/>
            </w14:solidFill>
          </w14:textFill>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3"/>
      </w:rPr>
    </w:pPr>
    <w:r>
      <w:fldChar w:fldCharType="begin"/>
    </w:r>
    <w:r>
      <w:rPr>
        <w:rStyle w:val="13"/>
      </w:rPr>
      <w:instrText xml:space="preserve">PAGE  </w:instrText>
    </w:r>
    <w: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3"/>
        <w:rFonts w:ascii="宋体" w:hAnsi="宋体"/>
        <w:sz w:val="28"/>
        <w:szCs w:val="28"/>
      </w:rPr>
    </w:pPr>
    <w:r>
      <w:rPr>
        <w:rStyle w:val="13"/>
        <w:rFonts w:hint="eastAsia" w:ascii="宋体" w:hAnsi="宋体"/>
        <w:sz w:val="28"/>
        <w:szCs w:val="28"/>
      </w:rPr>
      <w:t>—</w:t>
    </w:r>
    <w:r>
      <w:rPr>
        <w:rStyle w:val="13"/>
        <w:rFonts w:hint="eastAsia" w:ascii="宋体" w:hAnsi="宋体"/>
        <w:sz w:val="20"/>
      </w:rPr>
      <w:t xml:space="preserve">  </w:t>
    </w:r>
    <w:r>
      <w:rPr>
        <w:rStyle w:val="13"/>
        <w:rFonts w:ascii="宋体" w:hAnsi="宋体"/>
        <w:sz w:val="26"/>
        <w:szCs w:val="26"/>
      </w:rPr>
      <w:fldChar w:fldCharType="begin"/>
    </w:r>
    <w:r>
      <w:rPr>
        <w:rStyle w:val="13"/>
        <w:rFonts w:ascii="宋体" w:hAnsi="宋体"/>
        <w:sz w:val="26"/>
        <w:szCs w:val="26"/>
      </w:rPr>
      <w:instrText xml:space="preserve">PAGE  </w:instrText>
    </w:r>
    <w:r>
      <w:rPr>
        <w:rStyle w:val="13"/>
        <w:rFonts w:ascii="宋体" w:hAnsi="宋体"/>
        <w:sz w:val="26"/>
        <w:szCs w:val="26"/>
      </w:rPr>
      <w:fldChar w:fldCharType="separate"/>
    </w:r>
    <w:r>
      <w:rPr>
        <w:rStyle w:val="13"/>
        <w:rFonts w:ascii="宋体" w:hAnsi="宋体"/>
        <w:sz w:val="26"/>
        <w:szCs w:val="26"/>
      </w:rPr>
      <w:t>9</w:t>
    </w:r>
    <w:r>
      <w:rPr>
        <w:rStyle w:val="13"/>
        <w:rFonts w:ascii="宋体" w:hAnsi="宋体"/>
        <w:sz w:val="26"/>
        <w:szCs w:val="26"/>
      </w:rPr>
      <w:fldChar w:fldCharType="end"/>
    </w:r>
    <w:r>
      <w:rPr>
        <w:rStyle w:val="13"/>
        <w:rFonts w:hint="eastAsia" w:ascii="宋体" w:hAnsi="宋体"/>
        <w:sz w:val="20"/>
      </w:rPr>
      <w:t xml:space="preserve">  </w:t>
    </w:r>
    <w:r>
      <w:rPr>
        <w:rStyle w:val="13"/>
        <w:rFonts w:hint="eastAsia" w:ascii="宋体" w:hAnsi="宋体"/>
        <w:sz w:val="28"/>
        <w:szCs w:val="28"/>
      </w:rPr>
      <w:t>—</w:t>
    </w:r>
  </w:p>
  <w:p>
    <w:pPr>
      <w:pStyle w:val="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3"/>
        <w:rFonts w:ascii="宋体" w:hAnsi="宋体"/>
        <w:sz w:val="28"/>
        <w:szCs w:val="28"/>
      </w:rPr>
    </w:pPr>
    <w:r>
      <w:rPr>
        <w:rStyle w:val="13"/>
        <w:rFonts w:hint="eastAsia" w:ascii="宋体" w:hAnsi="宋体"/>
        <w:sz w:val="28"/>
        <w:szCs w:val="28"/>
      </w:rPr>
      <w:t>—</w:t>
    </w:r>
    <w:r>
      <w:rPr>
        <w:rStyle w:val="13"/>
        <w:rFonts w:hint="eastAsia" w:ascii="宋体" w:hAnsi="宋体"/>
        <w:sz w:val="20"/>
      </w:rPr>
      <w:t xml:space="preserve">  </w:t>
    </w:r>
    <w:r>
      <w:rPr>
        <w:rStyle w:val="13"/>
        <w:rFonts w:ascii="宋体" w:hAnsi="宋体"/>
        <w:sz w:val="26"/>
        <w:szCs w:val="26"/>
      </w:rPr>
      <w:fldChar w:fldCharType="begin"/>
    </w:r>
    <w:r>
      <w:rPr>
        <w:rStyle w:val="13"/>
        <w:rFonts w:ascii="宋体" w:hAnsi="宋体"/>
        <w:sz w:val="26"/>
        <w:szCs w:val="26"/>
      </w:rPr>
      <w:instrText xml:space="preserve">PAGE  </w:instrText>
    </w:r>
    <w:r>
      <w:rPr>
        <w:rStyle w:val="13"/>
        <w:rFonts w:ascii="宋体" w:hAnsi="宋体"/>
        <w:sz w:val="26"/>
        <w:szCs w:val="26"/>
      </w:rPr>
      <w:fldChar w:fldCharType="separate"/>
    </w:r>
    <w:r>
      <w:rPr>
        <w:rStyle w:val="13"/>
        <w:rFonts w:ascii="宋体" w:hAnsi="宋体"/>
        <w:sz w:val="26"/>
        <w:szCs w:val="26"/>
      </w:rPr>
      <w:t>11</w:t>
    </w:r>
    <w:r>
      <w:rPr>
        <w:rStyle w:val="13"/>
        <w:rFonts w:ascii="宋体" w:hAnsi="宋体"/>
        <w:sz w:val="26"/>
        <w:szCs w:val="26"/>
      </w:rPr>
      <w:fldChar w:fldCharType="end"/>
    </w:r>
    <w:r>
      <w:rPr>
        <w:rStyle w:val="13"/>
        <w:rFonts w:hint="eastAsia" w:ascii="宋体" w:hAnsi="宋体"/>
        <w:sz w:val="20"/>
      </w:rPr>
      <w:t xml:space="preserve">  </w:t>
    </w:r>
    <w:r>
      <w:rPr>
        <w:rStyle w:val="13"/>
        <w:rFonts w:hint="eastAsia" w:ascii="宋体" w:hAnsi="宋体"/>
        <w:sz w:val="28"/>
        <w:szCs w:val="28"/>
      </w:rPr>
      <w:t>—</w:t>
    </w:r>
  </w:p>
  <w:p>
    <w:pPr>
      <w:pStyle w:val="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37E7E"/>
    <w:multiLevelType w:val="singleLevel"/>
    <w:tmpl w:val="59C37E7E"/>
    <w:lvl w:ilvl="0" w:tentative="0">
      <w:start w:val="1"/>
      <w:numFmt w:val="decimal"/>
      <w:suff w:val="nothing"/>
      <w:lvlText w:val="（%1）"/>
      <w:lvlJc w:val="left"/>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wNTdkZmUxMjVlOTRkZTdmOTI5NDJiMjc2MGY0NDgifQ=="/>
  </w:docVars>
  <w:rsids>
    <w:rsidRoot w:val="00172A27"/>
    <w:rsid w:val="00012F14"/>
    <w:rsid w:val="001160E9"/>
    <w:rsid w:val="00167BB9"/>
    <w:rsid w:val="004416C4"/>
    <w:rsid w:val="004E7788"/>
    <w:rsid w:val="004F31D8"/>
    <w:rsid w:val="005021A9"/>
    <w:rsid w:val="005C50B1"/>
    <w:rsid w:val="005D0FB0"/>
    <w:rsid w:val="005E4B87"/>
    <w:rsid w:val="006B6FEB"/>
    <w:rsid w:val="00742161"/>
    <w:rsid w:val="0099047C"/>
    <w:rsid w:val="00B91921"/>
    <w:rsid w:val="00BB7DEE"/>
    <w:rsid w:val="00C04879"/>
    <w:rsid w:val="00C536DE"/>
    <w:rsid w:val="00C847DB"/>
    <w:rsid w:val="00C96131"/>
    <w:rsid w:val="00CA177D"/>
    <w:rsid w:val="00D7147E"/>
    <w:rsid w:val="01135C20"/>
    <w:rsid w:val="01161E2B"/>
    <w:rsid w:val="011E74CB"/>
    <w:rsid w:val="012A61F9"/>
    <w:rsid w:val="01443181"/>
    <w:rsid w:val="014E7975"/>
    <w:rsid w:val="01662CBA"/>
    <w:rsid w:val="016F3782"/>
    <w:rsid w:val="01720600"/>
    <w:rsid w:val="01727CF6"/>
    <w:rsid w:val="01843EC8"/>
    <w:rsid w:val="01A02789"/>
    <w:rsid w:val="01BC657B"/>
    <w:rsid w:val="01BE323C"/>
    <w:rsid w:val="01C05C0D"/>
    <w:rsid w:val="01DD6C9E"/>
    <w:rsid w:val="01E0661A"/>
    <w:rsid w:val="020C5B1B"/>
    <w:rsid w:val="0279064E"/>
    <w:rsid w:val="028D495F"/>
    <w:rsid w:val="02C060B9"/>
    <w:rsid w:val="02C448A4"/>
    <w:rsid w:val="02C6305F"/>
    <w:rsid w:val="02C71DE3"/>
    <w:rsid w:val="02F16229"/>
    <w:rsid w:val="03395B89"/>
    <w:rsid w:val="034D3E2F"/>
    <w:rsid w:val="03561212"/>
    <w:rsid w:val="036264A6"/>
    <w:rsid w:val="036564B4"/>
    <w:rsid w:val="038907F8"/>
    <w:rsid w:val="03904187"/>
    <w:rsid w:val="03AB229E"/>
    <w:rsid w:val="03AB2A32"/>
    <w:rsid w:val="03C37B22"/>
    <w:rsid w:val="03C80148"/>
    <w:rsid w:val="04096CBF"/>
    <w:rsid w:val="04343C09"/>
    <w:rsid w:val="04355AD4"/>
    <w:rsid w:val="044C0632"/>
    <w:rsid w:val="045B7569"/>
    <w:rsid w:val="045C05A4"/>
    <w:rsid w:val="04652095"/>
    <w:rsid w:val="04696949"/>
    <w:rsid w:val="046F399B"/>
    <w:rsid w:val="048A5475"/>
    <w:rsid w:val="049C6D5B"/>
    <w:rsid w:val="049D7063"/>
    <w:rsid w:val="04B3652C"/>
    <w:rsid w:val="04B556AE"/>
    <w:rsid w:val="04E312E2"/>
    <w:rsid w:val="04F44E56"/>
    <w:rsid w:val="0504377C"/>
    <w:rsid w:val="05245C25"/>
    <w:rsid w:val="05281C38"/>
    <w:rsid w:val="0534543F"/>
    <w:rsid w:val="05391FF9"/>
    <w:rsid w:val="053C59FF"/>
    <w:rsid w:val="054A1EE6"/>
    <w:rsid w:val="056B727E"/>
    <w:rsid w:val="057E683A"/>
    <w:rsid w:val="05895EC5"/>
    <w:rsid w:val="05900C5D"/>
    <w:rsid w:val="0595282A"/>
    <w:rsid w:val="05F22A9D"/>
    <w:rsid w:val="060241F5"/>
    <w:rsid w:val="060E2904"/>
    <w:rsid w:val="063C78A2"/>
    <w:rsid w:val="06435AA4"/>
    <w:rsid w:val="06502C36"/>
    <w:rsid w:val="06832885"/>
    <w:rsid w:val="06997F8A"/>
    <w:rsid w:val="06A70EF2"/>
    <w:rsid w:val="06C51585"/>
    <w:rsid w:val="06D945EC"/>
    <w:rsid w:val="06DF0929"/>
    <w:rsid w:val="06E6538E"/>
    <w:rsid w:val="06FB145F"/>
    <w:rsid w:val="06FF7DD0"/>
    <w:rsid w:val="0704105C"/>
    <w:rsid w:val="071C645C"/>
    <w:rsid w:val="072C3F97"/>
    <w:rsid w:val="072D4783"/>
    <w:rsid w:val="07364552"/>
    <w:rsid w:val="07401962"/>
    <w:rsid w:val="07426095"/>
    <w:rsid w:val="076D0E7A"/>
    <w:rsid w:val="077D2368"/>
    <w:rsid w:val="07A21AE2"/>
    <w:rsid w:val="07AC2311"/>
    <w:rsid w:val="07BB353B"/>
    <w:rsid w:val="07C504A4"/>
    <w:rsid w:val="07CA622A"/>
    <w:rsid w:val="07D61BF1"/>
    <w:rsid w:val="07DA7135"/>
    <w:rsid w:val="07E80CE7"/>
    <w:rsid w:val="07F86E0E"/>
    <w:rsid w:val="081C75B2"/>
    <w:rsid w:val="083E72EC"/>
    <w:rsid w:val="086F18A3"/>
    <w:rsid w:val="08731841"/>
    <w:rsid w:val="088C4FE5"/>
    <w:rsid w:val="08A611AD"/>
    <w:rsid w:val="08B95409"/>
    <w:rsid w:val="08D8481D"/>
    <w:rsid w:val="08EA66D6"/>
    <w:rsid w:val="09102951"/>
    <w:rsid w:val="091E5E12"/>
    <w:rsid w:val="09245373"/>
    <w:rsid w:val="092F7D3D"/>
    <w:rsid w:val="09306970"/>
    <w:rsid w:val="094A5BB8"/>
    <w:rsid w:val="094B59B8"/>
    <w:rsid w:val="094F0C40"/>
    <w:rsid w:val="095E1DBD"/>
    <w:rsid w:val="098630CF"/>
    <w:rsid w:val="098E4D5F"/>
    <w:rsid w:val="09AA6D9C"/>
    <w:rsid w:val="09AC33DD"/>
    <w:rsid w:val="09BA45CC"/>
    <w:rsid w:val="09F23C5B"/>
    <w:rsid w:val="09FA301F"/>
    <w:rsid w:val="0A032426"/>
    <w:rsid w:val="0A065765"/>
    <w:rsid w:val="0A2D435B"/>
    <w:rsid w:val="0A4A2F51"/>
    <w:rsid w:val="0A8D2FC1"/>
    <w:rsid w:val="0AA13BE6"/>
    <w:rsid w:val="0AAA4E8A"/>
    <w:rsid w:val="0AE76FE3"/>
    <w:rsid w:val="0B094BE4"/>
    <w:rsid w:val="0B0E7339"/>
    <w:rsid w:val="0B2C4414"/>
    <w:rsid w:val="0B6A0960"/>
    <w:rsid w:val="0B8C0E70"/>
    <w:rsid w:val="0BA20531"/>
    <w:rsid w:val="0BCB6394"/>
    <w:rsid w:val="0BE81375"/>
    <w:rsid w:val="0BFE4B02"/>
    <w:rsid w:val="0C0B3E26"/>
    <w:rsid w:val="0C12117F"/>
    <w:rsid w:val="0C190FED"/>
    <w:rsid w:val="0C1A53E5"/>
    <w:rsid w:val="0C345E3E"/>
    <w:rsid w:val="0C351AD9"/>
    <w:rsid w:val="0C451FCB"/>
    <w:rsid w:val="0CD50A3D"/>
    <w:rsid w:val="0CE719B6"/>
    <w:rsid w:val="0CE7533E"/>
    <w:rsid w:val="0CFE5813"/>
    <w:rsid w:val="0D0A71F6"/>
    <w:rsid w:val="0D133591"/>
    <w:rsid w:val="0D27293C"/>
    <w:rsid w:val="0D2B1E19"/>
    <w:rsid w:val="0D304F46"/>
    <w:rsid w:val="0D3B3DF7"/>
    <w:rsid w:val="0D483F3C"/>
    <w:rsid w:val="0D742827"/>
    <w:rsid w:val="0D8A28DE"/>
    <w:rsid w:val="0D9A445F"/>
    <w:rsid w:val="0DA43C73"/>
    <w:rsid w:val="0DB95F26"/>
    <w:rsid w:val="0DC5347F"/>
    <w:rsid w:val="0DC90A65"/>
    <w:rsid w:val="0DE968F7"/>
    <w:rsid w:val="0DF6228B"/>
    <w:rsid w:val="0DFC44EE"/>
    <w:rsid w:val="0DFF2D6A"/>
    <w:rsid w:val="0E071A81"/>
    <w:rsid w:val="0E097290"/>
    <w:rsid w:val="0E116B10"/>
    <w:rsid w:val="0E392023"/>
    <w:rsid w:val="0E416C87"/>
    <w:rsid w:val="0E510109"/>
    <w:rsid w:val="0E563862"/>
    <w:rsid w:val="0E5B2386"/>
    <w:rsid w:val="0E7719CE"/>
    <w:rsid w:val="0E855497"/>
    <w:rsid w:val="0EA5518C"/>
    <w:rsid w:val="0ED1217A"/>
    <w:rsid w:val="0EDB183D"/>
    <w:rsid w:val="0EE65145"/>
    <w:rsid w:val="0F042110"/>
    <w:rsid w:val="0F0A20E5"/>
    <w:rsid w:val="0F2714E2"/>
    <w:rsid w:val="0F6405CF"/>
    <w:rsid w:val="0F74008A"/>
    <w:rsid w:val="0F81122F"/>
    <w:rsid w:val="0F8514B5"/>
    <w:rsid w:val="0FA715E0"/>
    <w:rsid w:val="0FB56160"/>
    <w:rsid w:val="0FBC0ADA"/>
    <w:rsid w:val="0FD2334A"/>
    <w:rsid w:val="0FD6760F"/>
    <w:rsid w:val="0FDE5D1E"/>
    <w:rsid w:val="1022691B"/>
    <w:rsid w:val="1034104C"/>
    <w:rsid w:val="105B57C6"/>
    <w:rsid w:val="108B1B6C"/>
    <w:rsid w:val="10B46CF6"/>
    <w:rsid w:val="10D80509"/>
    <w:rsid w:val="110063A4"/>
    <w:rsid w:val="110332B4"/>
    <w:rsid w:val="110A076F"/>
    <w:rsid w:val="11183FB0"/>
    <w:rsid w:val="1121043D"/>
    <w:rsid w:val="1121465B"/>
    <w:rsid w:val="11391CB7"/>
    <w:rsid w:val="113F78F5"/>
    <w:rsid w:val="11480558"/>
    <w:rsid w:val="114B40E2"/>
    <w:rsid w:val="114C5CC7"/>
    <w:rsid w:val="11574FE2"/>
    <w:rsid w:val="115B4ED6"/>
    <w:rsid w:val="115D5E54"/>
    <w:rsid w:val="1162558F"/>
    <w:rsid w:val="116B2376"/>
    <w:rsid w:val="1172333D"/>
    <w:rsid w:val="117340CC"/>
    <w:rsid w:val="117B5C99"/>
    <w:rsid w:val="117C46D5"/>
    <w:rsid w:val="118843F4"/>
    <w:rsid w:val="118A1A3B"/>
    <w:rsid w:val="118B64BB"/>
    <w:rsid w:val="11B7068E"/>
    <w:rsid w:val="11DF3C59"/>
    <w:rsid w:val="122D75AC"/>
    <w:rsid w:val="12353824"/>
    <w:rsid w:val="1255041B"/>
    <w:rsid w:val="126D3D26"/>
    <w:rsid w:val="12A25CA4"/>
    <w:rsid w:val="12A7494F"/>
    <w:rsid w:val="12BF5BE0"/>
    <w:rsid w:val="12CF1FE7"/>
    <w:rsid w:val="12D614E5"/>
    <w:rsid w:val="12E5123C"/>
    <w:rsid w:val="12F60B4D"/>
    <w:rsid w:val="13173D52"/>
    <w:rsid w:val="133E1B67"/>
    <w:rsid w:val="134A6886"/>
    <w:rsid w:val="13553FF6"/>
    <w:rsid w:val="135B5D42"/>
    <w:rsid w:val="136F7038"/>
    <w:rsid w:val="137633EA"/>
    <w:rsid w:val="13772FDC"/>
    <w:rsid w:val="13795EED"/>
    <w:rsid w:val="1385012B"/>
    <w:rsid w:val="138C3EFF"/>
    <w:rsid w:val="139D536B"/>
    <w:rsid w:val="13BD4017"/>
    <w:rsid w:val="13C510F5"/>
    <w:rsid w:val="13C64AD8"/>
    <w:rsid w:val="13E0059E"/>
    <w:rsid w:val="13F166FC"/>
    <w:rsid w:val="13FE2FAD"/>
    <w:rsid w:val="141B0BBB"/>
    <w:rsid w:val="14435F34"/>
    <w:rsid w:val="14513635"/>
    <w:rsid w:val="14553DF3"/>
    <w:rsid w:val="14755CE4"/>
    <w:rsid w:val="149E03BF"/>
    <w:rsid w:val="14A0188D"/>
    <w:rsid w:val="14A31C16"/>
    <w:rsid w:val="14CC100E"/>
    <w:rsid w:val="14D6736F"/>
    <w:rsid w:val="14E56E7E"/>
    <w:rsid w:val="14F40DBE"/>
    <w:rsid w:val="14FB59FD"/>
    <w:rsid w:val="14FE553C"/>
    <w:rsid w:val="14FF27F7"/>
    <w:rsid w:val="151B583A"/>
    <w:rsid w:val="151C7D31"/>
    <w:rsid w:val="154A11E7"/>
    <w:rsid w:val="15541750"/>
    <w:rsid w:val="156F5DF1"/>
    <w:rsid w:val="15990942"/>
    <w:rsid w:val="15BA4DB6"/>
    <w:rsid w:val="15C1137B"/>
    <w:rsid w:val="15C533B2"/>
    <w:rsid w:val="15CB6D9B"/>
    <w:rsid w:val="15D67728"/>
    <w:rsid w:val="15F41759"/>
    <w:rsid w:val="16032FFE"/>
    <w:rsid w:val="16102DEF"/>
    <w:rsid w:val="16125C47"/>
    <w:rsid w:val="162173BB"/>
    <w:rsid w:val="16237A3B"/>
    <w:rsid w:val="16244187"/>
    <w:rsid w:val="16266A1B"/>
    <w:rsid w:val="16414CA9"/>
    <w:rsid w:val="16596EEB"/>
    <w:rsid w:val="1672090C"/>
    <w:rsid w:val="167378B9"/>
    <w:rsid w:val="167426E9"/>
    <w:rsid w:val="16E2281F"/>
    <w:rsid w:val="16F53F17"/>
    <w:rsid w:val="17022133"/>
    <w:rsid w:val="170603BA"/>
    <w:rsid w:val="173207AB"/>
    <w:rsid w:val="173B5DF5"/>
    <w:rsid w:val="1752680F"/>
    <w:rsid w:val="17624934"/>
    <w:rsid w:val="1765769D"/>
    <w:rsid w:val="17691C53"/>
    <w:rsid w:val="178A0EFE"/>
    <w:rsid w:val="179D5400"/>
    <w:rsid w:val="17BB2ED6"/>
    <w:rsid w:val="17CA2793"/>
    <w:rsid w:val="17CB65AB"/>
    <w:rsid w:val="17D56267"/>
    <w:rsid w:val="17F0493C"/>
    <w:rsid w:val="17F225BF"/>
    <w:rsid w:val="17FB5F2C"/>
    <w:rsid w:val="18023577"/>
    <w:rsid w:val="180441EB"/>
    <w:rsid w:val="1837307D"/>
    <w:rsid w:val="185A6035"/>
    <w:rsid w:val="185C4740"/>
    <w:rsid w:val="185E14DE"/>
    <w:rsid w:val="1865169B"/>
    <w:rsid w:val="1865243E"/>
    <w:rsid w:val="186830CA"/>
    <w:rsid w:val="18837A68"/>
    <w:rsid w:val="189E3436"/>
    <w:rsid w:val="18A37B0A"/>
    <w:rsid w:val="18B2357D"/>
    <w:rsid w:val="18C65B80"/>
    <w:rsid w:val="18CA69E3"/>
    <w:rsid w:val="18D349E2"/>
    <w:rsid w:val="18DA34C0"/>
    <w:rsid w:val="18F9603D"/>
    <w:rsid w:val="19052AF7"/>
    <w:rsid w:val="19081EA3"/>
    <w:rsid w:val="19087327"/>
    <w:rsid w:val="190E013D"/>
    <w:rsid w:val="19122495"/>
    <w:rsid w:val="191540CA"/>
    <w:rsid w:val="193A518B"/>
    <w:rsid w:val="194514D8"/>
    <w:rsid w:val="19743090"/>
    <w:rsid w:val="197B5F5B"/>
    <w:rsid w:val="197B74BF"/>
    <w:rsid w:val="19826635"/>
    <w:rsid w:val="199B560C"/>
    <w:rsid w:val="19B567CE"/>
    <w:rsid w:val="19B630F9"/>
    <w:rsid w:val="19C24F30"/>
    <w:rsid w:val="19E27C6F"/>
    <w:rsid w:val="1A160CE5"/>
    <w:rsid w:val="1A371511"/>
    <w:rsid w:val="1A446BE7"/>
    <w:rsid w:val="1A485128"/>
    <w:rsid w:val="1A5F72D1"/>
    <w:rsid w:val="1A6D2774"/>
    <w:rsid w:val="1A945B91"/>
    <w:rsid w:val="1A9B4D22"/>
    <w:rsid w:val="1AA00A88"/>
    <w:rsid w:val="1AAB7D59"/>
    <w:rsid w:val="1AB55B4A"/>
    <w:rsid w:val="1ACD5AD2"/>
    <w:rsid w:val="1AE02DA1"/>
    <w:rsid w:val="1AF1794C"/>
    <w:rsid w:val="1B0B26B7"/>
    <w:rsid w:val="1B1A1821"/>
    <w:rsid w:val="1B355686"/>
    <w:rsid w:val="1B4059AE"/>
    <w:rsid w:val="1B4964D5"/>
    <w:rsid w:val="1B695D83"/>
    <w:rsid w:val="1B8927D9"/>
    <w:rsid w:val="1BB51F7C"/>
    <w:rsid w:val="1BBB7195"/>
    <w:rsid w:val="1BCA18BD"/>
    <w:rsid w:val="1BCF0A9A"/>
    <w:rsid w:val="1BF84BA4"/>
    <w:rsid w:val="1BFA7FF3"/>
    <w:rsid w:val="1C202B67"/>
    <w:rsid w:val="1C252C35"/>
    <w:rsid w:val="1C343B42"/>
    <w:rsid w:val="1C440431"/>
    <w:rsid w:val="1C506EE8"/>
    <w:rsid w:val="1C636B2B"/>
    <w:rsid w:val="1CA56625"/>
    <w:rsid w:val="1CB1067F"/>
    <w:rsid w:val="1D167D4B"/>
    <w:rsid w:val="1D23049C"/>
    <w:rsid w:val="1D290C9C"/>
    <w:rsid w:val="1D3B7A05"/>
    <w:rsid w:val="1D430652"/>
    <w:rsid w:val="1D544708"/>
    <w:rsid w:val="1D8446E0"/>
    <w:rsid w:val="1D89282C"/>
    <w:rsid w:val="1D9956E7"/>
    <w:rsid w:val="1DA1116D"/>
    <w:rsid w:val="1DAA3E84"/>
    <w:rsid w:val="1DCF4830"/>
    <w:rsid w:val="1DD21493"/>
    <w:rsid w:val="1DDB4E68"/>
    <w:rsid w:val="1DF6274C"/>
    <w:rsid w:val="1E0076D2"/>
    <w:rsid w:val="1E285F3C"/>
    <w:rsid w:val="1E3C2B98"/>
    <w:rsid w:val="1E3C6FCC"/>
    <w:rsid w:val="1E430C69"/>
    <w:rsid w:val="1E4C04FB"/>
    <w:rsid w:val="1E547A7F"/>
    <w:rsid w:val="1E5E606E"/>
    <w:rsid w:val="1E8C28F1"/>
    <w:rsid w:val="1EAC4CCE"/>
    <w:rsid w:val="1EB46DC4"/>
    <w:rsid w:val="1EDA61D4"/>
    <w:rsid w:val="1EEC7AF7"/>
    <w:rsid w:val="1EF67DFC"/>
    <w:rsid w:val="1F000C73"/>
    <w:rsid w:val="1F0E03AC"/>
    <w:rsid w:val="1F1209F9"/>
    <w:rsid w:val="1F1227EF"/>
    <w:rsid w:val="1F142351"/>
    <w:rsid w:val="1F155B39"/>
    <w:rsid w:val="1F356C44"/>
    <w:rsid w:val="1F387ABB"/>
    <w:rsid w:val="1F440705"/>
    <w:rsid w:val="1F6951D6"/>
    <w:rsid w:val="1F7D6EB6"/>
    <w:rsid w:val="1FA37780"/>
    <w:rsid w:val="1FB7366E"/>
    <w:rsid w:val="1FC11F70"/>
    <w:rsid w:val="1FFF0375"/>
    <w:rsid w:val="200F1747"/>
    <w:rsid w:val="201D0AAB"/>
    <w:rsid w:val="201E5074"/>
    <w:rsid w:val="20306DA0"/>
    <w:rsid w:val="205910B7"/>
    <w:rsid w:val="20761DC0"/>
    <w:rsid w:val="20833BC8"/>
    <w:rsid w:val="209E7F58"/>
    <w:rsid w:val="20AA012A"/>
    <w:rsid w:val="20C350F6"/>
    <w:rsid w:val="20E31E7A"/>
    <w:rsid w:val="20FD4832"/>
    <w:rsid w:val="21186ABB"/>
    <w:rsid w:val="213A00A8"/>
    <w:rsid w:val="2172408B"/>
    <w:rsid w:val="217E4E68"/>
    <w:rsid w:val="21B3307A"/>
    <w:rsid w:val="21BB2361"/>
    <w:rsid w:val="21D371FA"/>
    <w:rsid w:val="21DE7FBF"/>
    <w:rsid w:val="21E66288"/>
    <w:rsid w:val="21F00140"/>
    <w:rsid w:val="21FB6D2D"/>
    <w:rsid w:val="223E00B3"/>
    <w:rsid w:val="22425881"/>
    <w:rsid w:val="22462C2D"/>
    <w:rsid w:val="224A5495"/>
    <w:rsid w:val="229432FD"/>
    <w:rsid w:val="22A828E8"/>
    <w:rsid w:val="22BF2DB2"/>
    <w:rsid w:val="22C23FC8"/>
    <w:rsid w:val="22D25DDD"/>
    <w:rsid w:val="22D32D44"/>
    <w:rsid w:val="22FC75D9"/>
    <w:rsid w:val="237B0972"/>
    <w:rsid w:val="23AB2006"/>
    <w:rsid w:val="23BB0A58"/>
    <w:rsid w:val="23BC6746"/>
    <w:rsid w:val="23DC368A"/>
    <w:rsid w:val="23DD3E61"/>
    <w:rsid w:val="23E26426"/>
    <w:rsid w:val="23ED4288"/>
    <w:rsid w:val="24137EB7"/>
    <w:rsid w:val="24151A02"/>
    <w:rsid w:val="243B08C1"/>
    <w:rsid w:val="244E7571"/>
    <w:rsid w:val="2454556E"/>
    <w:rsid w:val="245A3493"/>
    <w:rsid w:val="246C40E2"/>
    <w:rsid w:val="247D4770"/>
    <w:rsid w:val="24881797"/>
    <w:rsid w:val="24951444"/>
    <w:rsid w:val="24A23976"/>
    <w:rsid w:val="24B13FEE"/>
    <w:rsid w:val="24B607B2"/>
    <w:rsid w:val="24BA325D"/>
    <w:rsid w:val="24C576B0"/>
    <w:rsid w:val="24C60858"/>
    <w:rsid w:val="24E93670"/>
    <w:rsid w:val="24E972E2"/>
    <w:rsid w:val="24F301BC"/>
    <w:rsid w:val="24FC4669"/>
    <w:rsid w:val="250373F4"/>
    <w:rsid w:val="250B543A"/>
    <w:rsid w:val="250D7D6E"/>
    <w:rsid w:val="251646E7"/>
    <w:rsid w:val="253223D0"/>
    <w:rsid w:val="25376B24"/>
    <w:rsid w:val="25A541D5"/>
    <w:rsid w:val="25EF4843"/>
    <w:rsid w:val="25F85162"/>
    <w:rsid w:val="2601126C"/>
    <w:rsid w:val="260E079D"/>
    <w:rsid w:val="261C01C5"/>
    <w:rsid w:val="26395B62"/>
    <w:rsid w:val="264C2BB2"/>
    <w:rsid w:val="265A3A90"/>
    <w:rsid w:val="26791175"/>
    <w:rsid w:val="267C448A"/>
    <w:rsid w:val="26F418A3"/>
    <w:rsid w:val="26F55D4C"/>
    <w:rsid w:val="2703474C"/>
    <w:rsid w:val="27327ED7"/>
    <w:rsid w:val="27381C27"/>
    <w:rsid w:val="27483C78"/>
    <w:rsid w:val="27502052"/>
    <w:rsid w:val="27522EEC"/>
    <w:rsid w:val="276674D3"/>
    <w:rsid w:val="278A5509"/>
    <w:rsid w:val="27922E23"/>
    <w:rsid w:val="27993FA7"/>
    <w:rsid w:val="27C87942"/>
    <w:rsid w:val="27CF39AF"/>
    <w:rsid w:val="27DF6113"/>
    <w:rsid w:val="27E5501D"/>
    <w:rsid w:val="27EE1618"/>
    <w:rsid w:val="28112030"/>
    <w:rsid w:val="281F58AD"/>
    <w:rsid w:val="282B2680"/>
    <w:rsid w:val="283B1783"/>
    <w:rsid w:val="283E74D1"/>
    <w:rsid w:val="2847320F"/>
    <w:rsid w:val="284826A7"/>
    <w:rsid w:val="284A2BD9"/>
    <w:rsid w:val="286B4638"/>
    <w:rsid w:val="287E20ED"/>
    <w:rsid w:val="28824E00"/>
    <w:rsid w:val="28C015E0"/>
    <w:rsid w:val="28CD299E"/>
    <w:rsid w:val="28DC45D0"/>
    <w:rsid w:val="28E374CA"/>
    <w:rsid w:val="28E91BD2"/>
    <w:rsid w:val="29144FB8"/>
    <w:rsid w:val="29613400"/>
    <w:rsid w:val="297069F2"/>
    <w:rsid w:val="29772926"/>
    <w:rsid w:val="297950CE"/>
    <w:rsid w:val="297A187D"/>
    <w:rsid w:val="29924874"/>
    <w:rsid w:val="299B34FA"/>
    <w:rsid w:val="299E17DD"/>
    <w:rsid w:val="29D677C8"/>
    <w:rsid w:val="29E026B0"/>
    <w:rsid w:val="29E84441"/>
    <w:rsid w:val="2A091A16"/>
    <w:rsid w:val="2A0E75F6"/>
    <w:rsid w:val="2A192068"/>
    <w:rsid w:val="2A1B2A00"/>
    <w:rsid w:val="2A1D06E6"/>
    <w:rsid w:val="2A3B3D0E"/>
    <w:rsid w:val="2A5125F9"/>
    <w:rsid w:val="2A647011"/>
    <w:rsid w:val="2A7F5D88"/>
    <w:rsid w:val="2A863881"/>
    <w:rsid w:val="2A9B249C"/>
    <w:rsid w:val="2AAB35B1"/>
    <w:rsid w:val="2AB17D99"/>
    <w:rsid w:val="2AB22CA0"/>
    <w:rsid w:val="2AB548CD"/>
    <w:rsid w:val="2AC30378"/>
    <w:rsid w:val="2AC56A42"/>
    <w:rsid w:val="2ACF52EB"/>
    <w:rsid w:val="2AD741FF"/>
    <w:rsid w:val="2AEC22B0"/>
    <w:rsid w:val="2B030A7D"/>
    <w:rsid w:val="2B0C4EEE"/>
    <w:rsid w:val="2B2745DE"/>
    <w:rsid w:val="2B5B0E62"/>
    <w:rsid w:val="2B613ADD"/>
    <w:rsid w:val="2B7F4039"/>
    <w:rsid w:val="2B8A3748"/>
    <w:rsid w:val="2B9673C1"/>
    <w:rsid w:val="2BA05908"/>
    <w:rsid w:val="2BA56B55"/>
    <w:rsid w:val="2BC63E3C"/>
    <w:rsid w:val="2BC70BD0"/>
    <w:rsid w:val="2BCA077E"/>
    <w:rsid w:val="2BCE3435"/>
    <w:rsid w:val="2BFF3F8F"/>
    <w:rsid w:val="2C1509A4"/>
    <w:rsid w:val="2C2F389B"/>
    <w:rsid w:val="2C5C08A5"/>
    <w:rsid w:val="2C63407C"/>
    <w:rsid w:val="2C71156B"/>
    <w:rsid w:val="2C784E46"/>
    <w:rsid w:val="2C845582"/>
    <w:rsid w:val="2C974783"/>
    <w:rsid w:val="2CE50B94"/>
    <w:rsid w:val="2CF432B0"/>
    <w:rsid w:val="2CF6461F"/>
    <w:rsid w:val="2CF8665D"/>
    <w:rsid w:val="2D215082"/>
    <w:rsid w:val="2D456F9C"/>
    <w:rsid w:val="2D8E3629"/>
    <w:rsid w:val="2DA309CD"/>
    <w:rsid w:val="2DA46F08"/>
    <w:rsid w:val="2DB43251"/>
    <w:rsid w:val="2DCE3415"/>
    <w:rsid w:val="2DD0384F"/>
    <w:rsid w:val="2DDD0282"/>
    <w:rsid w:val="2E0205B9"/>
    <w:rsid w:val="2E362122"/>
    <w:rsid w:val="2E5905BC"/>
    <w:rsid w:val="2E714345"/>
    <w:rsid w:val="2E811DE7"/>
    <w:rsid w:val="2E883C85"/>
    <w:rsid w:val="2E9E6E04"/>
    <w:rsid w:val="2EAA356E"/>
    <w:rsid w:val="2EB25497"/>
    <w:rsid w:val="2EB65599"/>
    <w:rsid w:val="2EBC68A9"/>
    <w:rsid w:val="2EC844E6"/>
    <w:rsid w:val="2ECF4658"/>
    <w:rsid w:val="2ED9755C"/>
    <w:rsid w:val="2EE93B14"/>
    <w:rsid w:val="2EF33E41"/>
    <w:rsid w:val="2F0929AB"/>
    <w:rsid w:val="2F2E0A0F"/>
    <w:rsid w:val="2F4E2086"/>
    <w:rsid w:val="2F5A0D66"/>
    <w:rsid w:val="2F7E438D"/>
    <w:rsid w:val="2F872612"/>
    <w:rsid w:val="2FCF7ACB"/>
    <w:rsid w:val="2FD63D85"/>
    <w:rsid w:val="2FDF52B6"/>
    <w:rsid w:val="2FE84E84"/>
    <w:rsid w:val="2FF82CC7"/>
    <w:rsid w:val="2FFD0C75"/>
    <w:rsid w:val="300E1440"/>
    <w:rsid w:val="30170519"/>
    <w:rsid w:val="301B103B"/>
    <w:rsid w:val="30260C3A"/>
    <w:rsid w:val="303464B8"/>
    <w:rsid w:val="303C37BC"/>
    <w:rsid w:val="30813103"/>
    <w:rsid w:val="30AC23CC"/>
    <w:rsid w:val="30AE32CA"/>
    <w:rsid w:val="30BA5EE8"/>
    <w:rsid w:val="30D01060"/>
    <w:rsid w:val="30D07F90"/>
    <w:rsid w:val="30D36566"/>
    <w:rsid w:val="31147C82"/>
    <w:rsid w:val="31413290"/>
    <w:rsid w:val="3143068C"/>
    <w:rsid w:val="3146409C"/>
    <w:rsid w:val="3157313C"/>
    <w:rsid w:val="315D0E30"/>
    <w:rsid w:val="3176721C"/>
    <w:rsid w:val="317D0CC3"/>
    <w:rsid w:val="31AC0A7F"/>
    <w:rsid w:val="31B72718"/>
    <w:rsid w:val="31BF68BC"/>
    <w:rsid w:val="31C776CF"/>
    <w:rsid w:val="31CF1598"/>
    <w:rsid w:val="31E718ED"/>
    <w:rsid w:val="323A414E"/>
    <w:rsid w:val="32437EA8"/>
    <w:rsid w:val="324D2A41"/>
    <w:rsid w:val="326F0ADA"/>
    <w:rsid w:val="32953CB7"/>
    <w:rsid w:val="329738D2"/>
    <w:rsid w:val="32B60F0B"/>
    <w:rsid w:val="32B619D8"/>
    <w:rsid w:val="32C263DB"/>
    <w:rsid w:val="32D9334C"/>
    <w:rsid w:val="32DA3B7D"/>
    <w:rsid w:val="330E2933"/>
    <w:rsid w:val="3325763C"/>
    <w:rsid w:val="3327245D"/>
    <w:rsid w:val="333C6E44"/>
    <w:rsid w:val="336964E9"/>
    <w:rsid w:val="33735FF2"/>
    <w:rsid w:val="33890E96"/>
    <w:rsid w:val="339F0019"/>
    <w:rsid w:val="33B140BB"/>
    <w:rsid w:val="33C9078A"/>
    <w:rsid w:val="33CC49D1"/>
    <w:rsid w:val="33F77930"/>
    <w:rsid w:val="34163DE0"/>
    <w:rsid w:val="341C677C"/>
    <w:rsid w:val="345676DE"/>
    <w:rsid w:val="3460539E"/>
    <w:rsid w:val="346C78B8"/>
    <w:rsid w:val="347205A4"/>
    <w:rsid w:val="34845373"/>
    <w:rsid w:val="34867A5A"/>
    <w:rsid w:val="3492016D"/>
    <w:rsid w:val="349E609E"/>
    <w:rsid w:val="34A47165"/>
    <w:rsid w:val="34A55F18"/>
    <w:rsid w:val="34D04ECF"/>
    <w:rsid w:val="352C7E85"/>
    <w:rsid w:val="35382B01"/>
    <w:rsid w:val="35496CA0"/>
    <w:rsid w:val="35510805"/>
    <w:rsid w:val="355D0FC4"/>
    <w:rsid w:val="359B6404"/>
    <w:rsid w:val="35AC7404"/>
    <w:rsid w:val="35C357C5"/>
    <w:rsid w:val="35CA44CA"/>
    <w:rsid w:val="35DC041F"/>
    <w:rsid w:val="35DC3F31"/>
    <w:rsid w:val="35E02A06"/>
    <w:rsid w:val="35EC717E"/>
    <w:rsid w:val="3610599F"/>
    <w:rsid w:val="363C0F60"/>
    <w:rsid w:val="369407F2"/>
    <w:rsid w:val="36A130D8"/>
    <w:rsid w:val="36C61054"/>
    <w:rsid w:val="36D527D4"/>
    <w:rsid w:val="37085BA0"/>
    <w:rsid w:val="372D16C7"/>
    <w:rsid w:val="37301B4B"/>
    <w:rsid w:val="37406466"/>
    <w:rsid w:val="374C58CF"/>
    <w:rsid w:val="37723387"/>
    <w:rsid w:val="37864198"/>
    <w:rsid w:val="37A72952"/>
    <w:rsid w:val="37B84272"/>
    <w:rsid w:val="37DC3427"/>
    <w:rsid w:val="37EB3A48"/>
    <w:rsid w:val="37EC741E"/>
    <w:rsid w:val="37F166EE"/>
    <w:rsid w:val="380A437F"/>
    <w:rsid w:val="380F7C75"/>
    <w:rsid w:val="38192AEA"/>
    <w:rsid w:val="381C21F8"/>
    <w:rsid w:val="383B2FED"/>
    <w:rsid w:val="383D6DD6"/>
    <w:rsid w:val="386F1796"/>
    <w:rsid w:val="387377C8"/>
    <w:rsid w:val="387B7EF8"/>
    <w:rsid w:val="38825EF2"/>
    <w:rsid w:val="38962001"/>
    <w:rsid w:val="38A307AE"/>
    <w:rsid w:val="38D2392B"/>
    <w:rsid w:val="38F37B64"/>
    <w:rsid w:val="39043A15"/>
    <w:rsid w:val="392B4775"/>
    <w:rsid w:val="39327123"/>
    <w:rsid w:val="39414624"/>
    <w:rsid w:val="39416168"/>
    <w:rsid w:val="39470527"/>
    <w:rsid w:val="395F21FB"/>
    <w:rsid w:val="397E6F80"/>
    <w:rsid w:val="39AF21DA"/>
    <w:rsid w:val="39B05680"/>
    <w:rsid w:val="39B9118A"/>
    <w:rsid w:val="39F25771"/>
    <w:rsid w:val="39F378E7"/>
    <w:rsid w:val="39FB1AC6"/>
    <w:rsid w:val="39FD50AB"/>
    <w:rsid w:val="3A2F049F"/>
    <w:rsid w:val="3A3B20CD"/>
    <w:rsid w:val="3A476A35"/>
    <w:rsid w:val="3A506C2E"/>
    <w:rsid w:val="3A617883"/>
    <w:rsid w:val="3A74587B"/>
    <w:rsid w:val="3A876251"/>
    <w:rsid w:val="3ABF6C5F"/>
    <w:rsid w:val="3AC26248"/>
    <w:rsid w:val="3AC763CF"/>
    <w:rsid w:val="3ACD2E07"/>
    <w:rsid w:val="3ACF5448"/>
    <w:rsid w:val="3AF42D88"/>
    <w:rsid w:val="3AFE7D17"/>
    <w:rsid w:val="3B1D311F"/>
    <w:rsid w:val="3B2066B3"/>
    <w:rsid w:val="3B635957"/>
    <w:rsid w:val="3B6D220D"/>
    <w:rsid w:val="3B880EEF"/>
    <w:rsid w:val="3B8E787A"/>
    <w:rsid w:val="3B947155"/>
    <w:rsid w:val="3B987631"/>
    <w:rsid w:val="3BB1726E"/>
    <w:rsid w:val="3BCE0C67"/>
    <w:rsid w:val="3BDC41D2"/>
    <w:rsid w:val="3BE100D5"/>
    <w:rsid w:val="3BFF3102"/>
    <w:rsid w:val="3C02398B"/>
    <w:rsid w:val="3C061639"/>
    <w:rsid w:val="3C1131D2"/>
    <w:rsid w:val="3C127C93"/>
    <w:rsid w:val="3C217117"/>
    <w:rsid w:val="3C414438"/>
    <w:rsid w:val="3C5C4CB9"/>
    <w:rsid w:val="3C5E0108"/>
    <w:rsid w:val="3C6C2847"/>
    <w:rsid w:val="3CA571AA"/>
    <w:rsid w:val="3CBD7976"/>
    <w:rsid w:val="3CD434FF"/>
    <w:rsid w:val="3CEB1518"/>
    <w:rsid w:val="3CED284C"/>
    <w:rsid w:val="3CF76CF4"/>
    <w:rsid w:val="3D01120A"/>
    <w:rsid w:val="3D03095B"/>
    <w:rsid w:val="3D0403A2"/>
    <w:rsid w:val="3D0879EA"/>
    <w:rsid w:val="3D4E3C0A"/>
    <w:rsid w:val="3D5516DF"/>
    <w:rsid w:val="3D5D6532"/>
    <w:rsid w:val="3D704A53"/>
    <w:rsid w:val="3D996D69"/>
    <w:rsid w:val="3D9A2BE3"/>
    <w:rsid w:val="3DA97AFA"/>
    <w:rsid w:val="3DAD2116"/>
    <w:rsid w:val="3DAD337D"/>
    <w:rsid w:val="3DD26BD3"/>
    <w:rsid w:val="3DE510AB"/>
    <w:rsid w:val="3E0D15C3"/>
    <w:rsid w:val="3E266029"/>
    <w:rsid w:val="3E331BC2"/>
    <w:rsid w:val="3E355096"/>
    <w:rsid w:val="3E3E6116"/>
    <w:rsid w:val="3E461637"/>
    <w:rsid w:val="3E4C0AD1"/>
    <w:rsid w:val="3E4D3209"/>
    <w:rsid w:val="3E516B17"/>
    <w:rsid w:val="3E5B4006"/>
    <w:rsid w:val="3E791933"/>
    <w:rsid w:val="3E917200"/>
    <w:rsid w:val="3EC923FF"/>
    <w:rsid w:val="3EE86092"/>
    <w:rsid w:val="3EEC0273"/>
    <w:rsid w:val="3EF36A20"/>
    <w:rsid w:val="3EF87F71"/>
    <w:rsid w:val="3F1E1F7E"/>
    <w:rsid w:val="3F422A0C"/>
    <w:rsid w:val="3F723AFA"/>
    <w:rsid w:val="3F78347C"/>
    <w:rsid w:val="3F796617"/>
    <w:rsid w:val="3FA74F09"/>
    <w:rsid w:val="3FB32F49"/>
    <w:rsid w:val="3FB81D80"/>
    <w:rsid w:val="3FC213CD"/>
    <w:rsid w:val="3FD0377F"/>
    <w:rsid w:val="3FF3315A"/>
    <w:rsid w:val="4025219D"/>
    <w:rsid w:val="4029119B"/>
    <w:rsid w:val="405B0280"/>
    <w:rsid w:val="40903DF4"/>
    <w:rsid w:val="40A07D2E"/>
    <w:rsid w:val="40A26AB1"/>
    <w:rsid w:val="40C1181A"/>
    <w:rsid w:val="40C829F8"/>
    <w:rsid w:val="40DF26F1"/>
    <w:rsid w:val="40E52551"/>
    <w:rsid w:val="40EB57D7"/>
    <w:rsid w:val="40F527BC"/>
    <w:rsid w:val="40F70CC1"/>
    <w:rsid w:val="40F97BA6"/>
    <w:rsid w:val="41082030"/>
    <w:rsid w:val="41184925"/>
    <w:rsid w:val="413F5EE3"/>
    <w:rsid w:val="414E3B63"/>
    <w:rsid w:val="41532373"/>
    <w:rsid w:val="415E52CB"/>
    <w:rsid w:val="419531C7"/>
    <w:rsid w:val="41AB4545"/>
    <w:rsid w:val="41DB5D21"/>
    <w:rsid w:val="41DE77F0"/>
    <w:rsid w:val="41E12AAD"/>
    <w:rsid w:val="41EA2996"/>
    <w:rsid w:val="42034CA8"/>
    <w:rsid w:val="42050927"/>
    <w:rsid w:val="42292DF3"/>
    <w:rsid w:val="42294FF9"/>
    <w:rsid w:val="42562629"/>
    <w:rsid w:val="425A69CB"/>
    <w:rsid w:val="42602057"/>
    <w:rsid w:val="427A1FE3"/>
    <w:rsid w:val="428E107E"/>
    <w:rsid w:val="429B580F"/>
    <w:rsid w:val="429D2FC6"/>
    <w:rsid w:val="42B159CE"/>
    <w:rsid w:val="42B77459"/>
    <w:rsid w:val="42D00FAD"/>
    <w:rsid w:val="42D4708E"/>
    <w:rsid w:val="42DB1728"/>
    <w:rsid w:val="42E2124C"/>
    <w:rsid w:val="42E25C09"/>
    <w:rsid w:val="431840E5"/>
    <w:rsid w:val="4345757C"/>
    <w:rsid w:val="43761461"/>
    <w:rsid w:val="43840AA7"/>
    <w:rsid w:val="438457A6"/>
    <w:rsid w:val="43AE035F"/>
    <w:rsid w:val="43EC00A1"/>
    <w:rsid w:val="440D40EF"/>
    <w:rsid w:val="440E1D8C"/>
    <w:rsid w:val="44123129"/>
    <w:rsid w:val="442411DC"/>
    <w:rsid w:val="44363515"/>
    <w:rsid w:val="444F0F3F"/>
    <w:rsid w:val="44505479"/>
    <w:rsid w:val="44581B7D"/>
    <w:rsid w:val="4459093F"/>
    <w:rsid w:val="445C1020"/>
    <w:rsid w:val="445D7038"/>
    <w:rsid w:val="44692299"/>
    <w:rsid w:val="446A7B59"/>
    <w:rsid w:val="446C5AB5"/>
    <w:rsid w:val="447058EA"/>
    <w:rsid w:val="44764AD7"/>
    <w:rsid w:val="44790D30"/>
    <w:rsid w:val="44826584"/>
    <w:rsid w:val="449526AD"/>
    <w:rsid w:val="44CC38A7"/>
    <w:rsid w:val="44DA1B50"/>
    <w:rsid w:val="45202A90"/>
    <w:rsid w:val="4522555E"/>
    <w:rsid w:val="45491AF0"/>
    <w:rsid w:val="45555B06"/>
    <w:rsid w:val="45563514"/>
    <w:rsid w:val="45594EEE"/>
    <w:rsid w:val="456434C3"/>
    <w:rsid w:val="459A4827"/>
    <w:rsid w:val="45A6076C"/>
    <w:rsid w:val="45BA35FD"/>
    <w:rsid w:val="45C3609D"/>
    <w:rsid w:val="45C74BC0"/>
    <w:rsid w:val="45D53C32"/>
    <w:rsid w:val="45D54BFB"/>
    <w:rsid w:val="45FF2172"/>
    <w:rsid w:val="46056F63"/>
    <w:rsid w:val="461E757B"/>
    <w:rsid w:val="46265B7C"/>
    <w:rsid w:val="46331485"/>
    <w:rsid w:val="464621C8"/>
    <w:rsid w:val="467B6290"/>
    <w:rsid w:val="468B313D"/>
    <w:rsid w:val="46A660FF"/>
    <w:rsid w:val="46B4220E"/>
    <w:rsid w:val="46BF28BC"/>
    <w:rsid w:val="46DF30E4"/>
    <w:rsid w:val="46E0323C"/>
    <w:rsid w:val="46E975C6"/>
    <w:rsid w:val="4707312D"/>
    <w:rsid w:val="473670E0"/>
    <w:rsid w:val="47373D4B"/>
    <w:rsid w:val="47672C75"/>
    <w:rsid w:val="476E52A8"/>
    <w:rsid w:val="477E1D33"/>
    <w:rsid w:val="478C148F"/>
    <w:rsid w:val="47AE4350"/>
    <w:rsid w:val="47ED566E"/>
    <w:rsid w:val="48025936"/>
    <w:rsid w:val="48050C7F"/>
    <w:rsid w:val="485F6343"/>
    <w:rsid w:val="48624398"/>
    <w:rsid w:val="48642F3D"/>
    <w:rsid w:val="486E0064"/>
    <w:rsid w:val="48876413"/>
    <w:rsid w:val="48B84910"/>
    <w:rsid w:val="48BB43EF"/>
    <w:rsid w:val="48D658CA"/>
    <w:rsid w:val="48FB1007"/>
    <w:rsid w:val="48FB6A44"/>
    <w:rsid w:val="490758E4"/>
    <w:rsid w:val="49206551"/>
    <w:rsid w:val="494E3DA2"/>
    <w:rsid w:val="49591E31"/>
    <w:rsid w:val="497D7CA4"/>
    <w:rsid w:val="498A24BC"/>
    <w:rsid w:val="49B20E6D"/>
    <w:rsid w:val="49D82353"/>
    <w:rsid w:val="49E00FAB"/>
    <w:rsid w:val="49E72EB5"/>
    <w:rsid w:val="4A04542B"/>
    <w:rsid w:val="4A2C4CBC"/>
    <w:rsid w:val="4A475EB8"/>
    <w:rsid w:val="4A5314EF"/>
    <w:rsid w:val="4AF27565"/>
    <w:rsid w:val="4AF35415"/>
    <w:rsid w:val="4B123C08"/>
    <w:rsid w:val="4B1B3B39"/>
    <w:rsid w:val="4B2A242F"/>
    <w:rsid w:val="4B2E3259"/>
    <w:rsid w:val="4B557AB7"/>
    <w:rsid w:val="4B630C55"/>
    <w:rsid w:val="4B8D7606"/>
    <w:rsid w:val="4B8E50F3"/>
    <w:rsid w:val="4BB749D7"/>
    <w:rsid w:val="4BD91065"/>
    <w:rsid w:val="4BFE4440"/>
    <w:rsid w:val="4C0B35DF"/>
    <w:rsid w:val="4C10504A"/>
    <w:rsid w:val="4C252E9F"/>
    <w:rsid w:val="4C3239A8"/>
    <w:rsid w:val="4C350543"/>
    <w:rsid w:val="4C391089"/>
    <w:rsid w:val="4C417C5D"/>
    <w:rsid w:val="4C4316FD"/>
    <w:rsid w:val="4C5C585E"/>
    <w:rsid w:val="4C855ADE"/>
    <w:rsid w:val="4CA47CF2"/>
    <w:rsid w:val="4CA87AC6"/>
    <w:rsid w:val="4CDD3B04"/>
    <w:rsid w:val="4CDE3F62"/>
    <w:rsid w:val="4CE104A4"/>
    <w:rsid w:val="4CF46E47"/>
    <w:rsid w:val="4D225FE8"/>
    <w:rsid w:val="4D3266EB"/>
    <w:rsid w:val="4D640142"/>
    <w:rsid w:val="4D655D2A"/>
    <w:rsid w:val="4DC33D85"/>
    <w:rsid w:val="4DCD5B93"/>
    <w:rsid w:val="4DE13792"/>
    <w:rsid w:val="4DF77A98"/>
    <w:rsid w:val="4E256093"/>
    <w:rsid w:val="4E505E8F"/>
    <w:rsid w:val="4E7178BE"/>
    <w:rsid w:val="4E7F2E01"/>
    <w:rsid w:val="4E835D45"/>
    <w:rsid w:val="4E94692B"/>
    <w:rsid w:val="4EA0285C"/>
    <w:rsid w:val="4EAA0A70"/>
    <w:rsid w:val="4EAD044A"/>
    <w:rsid w:val="4EAF64CB"/>
    <w:rsid w:val="4EDD7CC6"/>
    <w:rsid w:val="4EE01B9B"/>
    <w:rsid w:val="4EE50322"/>
    <w:rsid w:val="4EF62DA1"/>
    <w:rsid w:val="4F06254F"/>
    <w:rsid w:val="4F372203"/>
    <w:rsid w:val="4F4568B7"/>
    <w:rsid w:val="4F480204"/>
    <w:rsid w:val="4F5412CA"/>
    <w:rsid w:val="4F744C6F"/>
    <w:rsid w:val="4F7806DE"/>
    <w:rsid w:val="4F7F3951"/>
    <w:rsid w:val="4FB53B7C"/>
    <w:rsid w:val="4FC54584"/>
    <w:rsid w:val="4FCD6E5C"/>
    <w:rsid w:val="4FD91AEE"/>
    <w:rsid w:val="4FEC044C"/>
    <w:rsid w:val="4FF27B40"/>
    <w:rsid w:val="4FF47EB7"/>
    <w:rsid w:val="4FFA2286"/>
    <w:rsid w:val="500A2850"/>
    <w:rsid w:val="500F3A91"/>
    <w:rsid w:val="501431C6"/>
    <w:rsid w:val="50726ADB"/>
    <w:rsid w:val="507761F0"/>
    <w:rsid w:val="508E0493"/>
    <w:rsid w:val="50985489"/>
    <w:rsid w:val="50B5411F"/>
    <w:rsid w:val="50C265AD"/>
    <w:rsid w:val="50D36B02"/>
    <w:rsid w:val="50D47B18"/>
    <w:rsid w:val="50F95DB7"/>
    <w:rsid w:val="50FD71E2"/>
    <w:rsid w:val="50FE1958"/>
    <w:rsid w:val="511002DC"/>
    <w:rsid w:val="51370D21"/>
    <w:rsid w:val="513932CA"/>
    <w:rsid w:val="5154488B"/>
    <w:rsid w:val="51553F4F"/>
    <w:rsid w:val="51612D51"/>
    <w:rsid w:val="51662B08"/>
    <w:rsid w:val="51735F5F"/>
    <w:rsid w:val="51863FE0"/>
    <w:rsid w:val="51A45E3F"/>
    <w:rsid w:val="51A533F3"/>
    <w:rsid w:val="51C10464"/>
    <w:rsid w:val="51E00AC5"/>
    <w:rsid w:val="52046900"/>
    <w:rsid w:val="52364EA8"/>
    <w:rsid w:val="528E46F5"/>
    <w:rsid w:val="529A4BEE"/>
    <w:rsid w:val="52A16C40"/>
    <w:rsid w:val="52A662B6"/>
    <w:rsid w:val="52A95601"/>
    <w:rsid w:val="52D72CC8"/>
    <w:rsid w:val="52F035F4"/>
    <w:rsid w:val="52F1389F"/>
    <w:rsid w:val="53146BEE"/>
    <w:rsid w:val="533F7D8D"/>
    <w:rsid w:val="53497564"/>
    <w:rsid w:val="535C7DBC"/>
    <w:rsid w:val="537B4987"/>
    <w:rsid w:val="539D4C52"/>
    <w:rsid w:val="53A25C93"/>
    <w:rsid w:val="53AC54B5"/>
    <w:rsid w:val="53B0071D"/>
    <w:rsid w:val="53C12FAD"/>
    <w:rsid w:val="53F21FA9"/>
    <w:rsid w:val="53F50F05"/>
    <w:rsid w:val="54145077"/>
    <w:rsid w:val="542466EE"/>
    <w:rsid w:val="54280C85"/>
    <w:rsid w:val="544D5ABE"/>
    <w:rsid w:val="545129EE"/>
    <w:rsid w:val="545A47D4"/>
    <w:rsid w:val="54686AB8"/>
    <w:rsid w:val="54801515"/>
    <w:rsid w:val="54B9239C"/>
    <w:rsid w:val="54D416F5"/>
    <w:rsid w:val="54E449C6"/>
    <w:rsid w:val="54F02BA8"/>
    <w:rsid w:val="54F6099D"/>
    <w:rsid w:val="550D7429"/>
    <w:rsid w:val="551903A7"/>
    <w:rsid w:val="553423C4"/>
    <w:rsid w:val="553A4171"/>
    <w:rsid w:val="55655E62"/>
    <w:rsid w:val="556C45C2"/>
    <w:rsid w:val="557028B8"/>
    <w:rsid w:val="55813505"/>
    <w:rsid w:val="5586775C"/>
    <w:rsid w:val="5593472D"/>
    <w:rsid w:val="55991650"/>
    <w:rsid w:val="55B20E5E"/>
    <w:rsid w:val="55F77F62"/>
    <w:rsid w:val="5603520B"/>
    <w:rsid w:val="560E6D65"/>
    <w:rsid w:val="56595A2B"/>
    <w:rsid w:val="565A50B4"/>
    <w:rsid w:val="565C6CA5"/>
    <w:rsid w:val="56610A15"/>
    <w:rsid w:val="56B83B3F"/>
    <w:rsid w:val="56CE58A3"/>
    <w:rsid w:val="56DE7261"/>
    <w:rsid w:val="56E4713D"/>
    <w:rsid w:val="56F8346D"/>
    <w:rsid w:val="57100CE9"/>
    <w:rsid w:val="57176039"/>
    <w:rsid w:val="57547271"/>
    <w:rsid w:val="575D24FF"/>
    <w:rsid w:val="57690D4E"/>
    <w:rsid w:val="576A3A86"/>
    <w:rsid w:val="57800D8E"/>
    <w:rsid w:val="57822463"/>
    <w:rsid w:val="578A09BD"/>
    <w:rsid w:val="57AB7DC9"/>
    <w:rsid w:val="57BE5556"/>
    <w:rsid w:val="57D83E87"/>
    <w:rsid w:val="57D973B6"/>
    <w:rsid w:val="57DD518F"/>
    <w:rsid w:val="57FF19FF"/>
    <w:rsid w:val="58116B6B"/>
    <w:rsid w:val="58150FAB"/>
    <w:rsid w:val="581D725C"/>
    <w:rsid w:val="58242DCD"/>
    <w:rsid w:val="58580DA9"/>
    <w:rsid w:val="585B3012"/>
    <w:rsid w:val="586B6DD2"/>
    <w:rsid w:val="5891028A"/>
    <w:rsid w:val="58943F81"/>
    <w:rsid w:val="589B69CF"/>
    <w:rsid w:val="58BA0D79"/>
    <w:rsid w:val="58FF222E"/>
    <w:rsid w:val="59010B8F"/>
    <w:rsid w:val="590A0828"/>
    <w:rsid w:val="59203C3B"/>
    <w:rsid w:val="59375017"/>
    <w:rsid w:val="597C4349"/>
    <w:rsid w:val="598F535E"/>
    <w:rsid w:val="59A41A76"/>
    <w:rsid w:val="59FD1603"/>
    <w:rsid w:val="5A2A49F1"/>
    <w:rsid w:val="5A2E1A8F"/>
    <w:rsid w:val="5A312BCA"/>
    <w:rsid w:val="5A3C2CCE"/>
    <w:rsid w:val="5A41427E"/>
    <w:rsid w:val="5A7F3922"/>
    <w:rsid w:val="5AA11B7D"/>
    <w:rsid w:val="5ACA5FF4"/>
    <w:rsid w:val="5AF32475"/>
    <w:rsid w:val="5AFC3569"/>
    <w:rsid w:val="5B187BE7"/>
    <w:rsid w:val="5B39395C"/>
    <w:rsid w:val="5B5F4B50"/>
    <w:rsid w:val="5B684AA1"/>
    <w:rsid w:val="5B8779CA"/>
    <w:rsid w:val="5B8C4E3A"/>
    <w:rsid w:val="5B9621A7"/>
    <w:rsid w:val="5BB06822"/>
    <w:rsid w:val="5BBA34DE"/>
    <w:rsid w:val="5BBB0C6B"/>
    <w:rsid w:val="5BDA46D2"/>
    <w:rsid w:val="5BDC5426"/>
    <w:rsid w:val="5BE54D04"/>
    <w:rsid w:val="5BEC3ABC"/>
    <w:rsid w:val="5BEE65E3"/>
    <w:rsid w:val="5C015ABC"/>
    <w:rsid w:val="5C0655D8"/>
    <w:rsid w:val="5C1D0F1F"/>
    <w:rsid w:val="5C1E13B2"/>
    <w:rsid w:val="5C3657BF"/>
    <w:rsid w:val="5C765BBC"/>
    <w:rsid w:val="5C77785A"/>
    <w:rsid w:val="5C8A5BD7"/>
    <w:rsid w:val="5C8A7081"/>
    <w:rsid w:val="5CA06350"/>
    <w:rsid w:val="5CA51B7C"/>
    <w:rsid w:val="5CAB732E"/>
    <w:rsid w:val="5CB802A8"/>
    <w:rsid w:val="5CE42AA2"/>
    <w:rsid w:val="5CF25791"/>
    <w:rsid w:val="5CF556C6"/>
    <w:rsid w:val="5CF621AA"/>
    <w:rsid w:val="5D0A7E0C"/>
    <w:rsid w:val="5D2671F6"/>
    <w:rsid w:val="5D5D52BF"/>
    <w:rsid w:val="5D75739A"/>
    <w:rsid w:val="5D760A01"/>
    <w:rsid w:val="5D923008"/>
    <w:rsid w:val="5DBD5B16"/>
    <w:rsid w:val="5DC4007C"/>
    <w:rsid w:val="5DCB06DD"/>
    <w:rsid w:val="5DCD19D0"/>
    <w:rsid w:val="5DD748D3"/>
    <w:rsid w:val="5DE71D5D"/>
    <w:rsid w:val="5DFC68F7"/>
    <w:rsid w:val="5E087D5B"/>
    <w:rsid w:val="5E316135"/>
    <w:rsid w:val="5E343EBF"/>
    <w:rsid w:val="5E452B7D"/>
    <w:rsid w:val="5E510381"/>
    <w:rsid w:val="5E6210E2"/>
    <w:rsid w:val="5E73735C"/>
    <w:rsid w:val="5E7E563C"/>
    <w:rsid w:val="5E8B31EA"/>
    <w:rsid w:val="5EDE590F"/>
    <w:rsid w:val="5EFA417C"/>
    <w:rsid w:val="5F013A07"/>
    <w:rsid w:val="5F15707B"/>
    <w:rsid w:val="5F207D88"/>
    <w:rsid w:val="5F2358A4"/>
    <w:rsid w:val="5F2D4B66"/>
    <w:rsid w:val="5F2F209D"/>
    <w:rsid w:val="5F4F5021"/>
    <w:rsid w:val="5F510807"/>
    <w:rsid w:val="5F9234CA"/>
    <w:rsid w:val="5F960F6E"/>
    <w:rsid w:val="5F9F1EB2"/>
    <w:rsid w:val="5FB114FA"/>
    <w:rsid w:val="5FB7094B"/>
    <w:rsid w:val="60234E96"/>
    <w:rsid w:val="602B3CF5"/>
    <w:rsid w:val="606B393C"/>
    <w:rsid w:val="608C3AB9"/>
    <w:rsid w:val="609C5325"/>
    <w:rsid w:val="609E7554"/>
    <w:rsid w:val="60A0558C"/>
    <w:rsid w:val="60A63887"/>
    <w:rsid w:val="60AC6837"/>
    <w:rsid w:val="60D019CB"/>
    <w:rsid w:val="60D1516A"/>
    <w:rsid w:val="60D32306"/>
    <w:rsid w:val="60D62D32"/>
    <w:rsid w:val="60EF72B1"/>
    <w:rsid w:val="60F364B1"/>
    <w:rsid w:val="610E7824"/>
    <w:rsid w:val="614E5F2D"/>
    <w:rsid w:val="61607C1D"/>
    <w:rsid w:val="619F1D91"/>
    <w:rsid w:val="61A41FF1"/>
    <w:rsid w:val="61D3332F"/>
    <w:rsid w:val="61DA6A23"/>
    <w:rsid w:val="61ED4D35"/>
    <w:rsid w:val="62044C6F"/>
    <w:rsid w:val="620A41AB"/>
    <w:rsid w:val="62102D32"/>
    <w:rsid w:val="62183DE1"/>
    <w:rsid w:val="62285CFE"/>
    <w:rsid w:val="62461996"/>
    <w:rsid w:val="6246481E"/>
    <w:rsid w:val="624B4669"/>
    <w:rsid w:val="624E09AE"/>
    <w:rsid w:val="624F32A6"/>
    <w:rsid w:val="625A5818"/>
    <w:rsid w:val="626639AB"/>
    <w:rsid w:val="626845C4"/>
    <w:rsid w:val="62BC578B"/>
    <w:rsid w:val="62CC633D"/>
    <w:rsid w:val="62F56ED0"/>
    <w:rsid w:val="631222E4"/>
    <w:rsid w:val="631230E6"/>
    <w:rsid w:val="63135B1B"/>
    <w:rsid w:val="63333AD9"/>
    <w:rsid w:val="633A2A92"/>
    <w:rsid w:val="633A730A"/>
    <w:rsid w:val="634E71DD"/>
    <w:rsid w:val="63821273"/>
    <w:rsid w:val="639449EA"/>
    <w:rsid w:val="63AF4172"/>
    <w:rsid w:val="63B87863"/>
    <w:rsid w:val="63D33207"/>
    <w:rsid w:val="63D57A51"/>
    <w:rsid w:val="63EF0010"/>
    <w:rsid w:val="64065956"/>
    <w:rsid w:val="64192902"/>
    <w:rsid w:val="641A0A7F"/>
    <w:rsid w:val="64283730"/>
    <w:rsid w:val="644233D7"/>
    <w:rsid w:val="644A0021"/>
    <w:rsid w:val="645E65FE"/>
    <w:rsid w:val="647E50C2"/>
    <w:rsid w:val="647E5E72"/>
    <w:rsid w:val="6493254C"/>
    <w:rsid w:val="64A110CD"/>
    <w:rsid w:val="64BC11C2"/>
    <w:rsid w:val="64BD565F"/>
    <w:rsid w:val="64E25B78"/>
    <w:rsid w:val="650D5260"/>
    <w:rsid w:val="651E17C4"/>
    <w:rsid w:val="651E507F"/>
    <w:rsid w:val="653531B3"/>
    <w:rsid w:val="654328CD"/>
    <w:rsid w:val="65463BEF"/>
    <w:rsid w:val="658A5415"/>
    <w:rsid w:val="659263FC"/>
    <w:rsid w:val="65B90F15"/>
    <w:rsid w:val="65BD3BF3"/>
    <w:rsid w:val="65C01F08"/>
    <w:rsid w:val="65D42CAD"/>
    <w:rsid w:val="65EA3834"/>
    <w:rsid w:val="65F529A2"/>
    <w:rsid w:val="66047DA9"/>
    <w:rsid w:val="660D3CD5"/>
    <w:rsid w:val="661E5A24"/>
    <w:rsid w:val="663D6ED2"/>
    <w:rsid w:val="663E4F9C"/>
    <w:rsid w:val="66425D11"/>
    <w:rsid w:val="664A0705"/>
    <w:rsid w:val="664C6899"/>
    <w:rsid w:val="66592CAF"/>
    <w:rsid w:val="666E0A7F"/>
    <w:rsid w:val="66703970"/>
    <w:rsid w:val="66966038"/>
    <w:rsid w:val="66995C51"/>
    <w:rsid w:val="66BC6813"/>
    <w:rsid w:val="66BF3E72"/>
    <w:rsid w:val="66D4273A"/>
    <w:rsid w:val="66DB7BB5"/>
    <w:rsid w:val="67004793"/>
    <w:rsid w:val="67025593"/>
    <w:rsid w:val="672C011E"/>
    <w:rsid w:val="675001C8"/>
    <w:rsid w:val="67540470"/>
    <w:rsid w:val="675E352F"/>
    <w:rsid w:val="67794802"/>
    <w:rsid w:val="678A1D33"/>
    <w:rsid w:val="67971638"/>
    <w:rsid w:val="679B18A7"/>
    <w:rsid w:val="67AC2B1B"/>
    <w:rsid w:val="67E255E5"/>
    <w:rsid w:val="67E45554"/>
    <w:rsid w:val="67F63DC6"/>
    <w:rsid w:val="67F9028F"/>
    <w:rsid w:val="681948FD"/>
    <w:rsid w:val="681E4CE0"/>
    <w:rsid w:val="6829695A"/>
    <w:rsid w:val="684204AC"/>
    <w:rsid w:val="685103F7"/>
    <w:rsid w:val="685E0E2F"/>
    <w:rsid w:val="6888467E"/>
    <w:rsid w:val="688A7A48"/>
    <w:rsid w:val="68957E58"/>
    <w:rsid w:val="68967F11"/>
    <w:rsid w:val="689B5ADA"/>
    <w:rsid w:val="68C6024F"/>
    <w:rsid w:val="68DC39B1"/>
    <w:rsid w:val="68E249B9"/>
    <w:rsid w:val="68EA7F57"/>
    <w:rsid w:val="695D0B3B"/>
    <w:rsid w:val="69690FD7"/>
    <w:rsid w:val="69764A48"/>
    <w:rsid w:val="697B3C85"/>
    <w:rsid w:val="697C7AEB"/>
    <w:rsid w:val="6994548A"/>
    <w:rsid w:val="69F12C5C"/>
    <w:rsid w:val="69F1481B"/>
    <w:rsid w:val="69F679D9"/>
    <w:rsid w:val="6A20254E"/>
    <w:rsid w:val="6A657E01"/>
    <w:rsid w:val="6A6C5BC1"/>
    <w:rsid w:val="6A7F12EF"/>
    <w:rsid w:val="6AB06F01"/>
    <w:rsid w:val="6ABB104F"/>
    <w:rsid w:val="6ACD3413"/>
    <w:rsid w:val="6AD63756"/>
    <w:rsid w:val="6ADA0DE8"/>
    <w:rsid w:val="6ADC3F7E"/>
    <w:rsid w:val="6AE42F71"/>
    <w:rsid w:val="6B0B35AA"/>
    <w:rsid w:val="6B102B12"/>
    <w:rsid w:val="6B293821"/>
    <w:rsid w:val="6B2F0EAA"/>
    <w:rsid w:val="6B5C3CC5"/>
    <w:rsid w:val="6B777EFC"/>
    <w:rsid w:val="6B926770"/>
    <w:rsid w:val="6BCC2366"/>
    <w:rsid w:val="6C2856BA"/>
    <w:rsid w:val="6C335A47"/>
    <w:rsid w:val="6C3B2225"/>
    <w:rsid w:val="6C3E3029"/>
    <w:rsid w:val="6C5A1E09"/>
    <w:rsid w:val="6C5B0FCF"/>
    <w:rsid w:val="6C6136FD"/>
    <w:rsid w:val="6C641C89"/>
    <w:rsid w:val="6C69753A"/>
    <w:rsid w:val="6CC017CC"/>
    <w:rsid w:val="6CD87838"/>
    <w:rsid w:val="6CED7946"/>
    <w:rsid w:val="6D0A05BA"/>
    <w:rsid w:val="6D336203"/>
    <w:rsid w:val="6D3F3415"/>
    <w:rsid w:val="6D5E2DF6"/>
    <w:rsid w:val="6D6A0E6C"/>
    <w:rsid w:val="6D8F1EF7"/>
    <w:rsid w:val="6DB603F6"/>
    <w:rsid w:val="6DBA68CD"/>
    <w:rsid w:val="6DD2435B"/>
    <w:rsid w:val="6DE713E6"/>
    <w:rsid w:val="6E111435"/>
    <w:rsid w:val="6E1D2C18"/>
    <w:rsid w:val="6E3513FC"/>
    <w:rsid w:val="6E3C476A"/>
    <w:rsid w:val="6E65581A"/>
    <w:rsid w:val="6E6637D2"/>
    <w:rsid w:val="6E6B6FFF"/>
    <w:rsid w:val="6E974DC1"/>
    <w:rsid w:val="6EA62D33"/>
    <w:rsid w:val="6EA853AF"/>
    <w:rsid w:val="6EC36A3F"/>
    <w:rsid w:val="6ECB7965"/>
    <w:rsid w:val="6ED27AB2"/>
    <w:rsid w:val="6EDF6927"/>
    <w:rsid w:val="6EE3547A"/>
    <w:rsid w:val="6EF17B41"/>
    <w:rsid w:val="6F143C9A"/>
    <w:rsid w:val="6F247EAB"/>
    <w:rsid w:val="6F280FFD"/>
    <w:rsid w:val="6F3F61A0"/>
    <w:rsid w:val="6F50368F"/>
    <w:rsid w:val="6F785DB3"/>
    <w:rsid w:val="6F983CAF"/>
    <w:rsid w:val="6FA8247D"/>
    <w:rsid w:val="6FB24019"/>
    <w:rsid w:val="6FCB2DA0"/>
    <w:rsid w:val="6FCC6282"/>
    <w:rsid w:val="6FDC2F29"/>
    <w:rsid w:val="6FDD508B"/>
    <w:rsid w:val="6FE34F11"/>
    <w:rsid w:val="6FF807CA"/>
    <w:rsid w:val="7005260E"/>
    <w:rsid w:val="70062690"/>
    <w:rsid w:val="700E38C4"/>
    <w:rsid w:val="701D2EAD"/>
    <w:rsid w:val="70391072"/>
    <w:rsid w:val="705054D0"/>
    <w:rsid w:val="706012D1"/>
    <w:rsid w:val="70785B24"/>
    <w:rsid w:val="709C5D84"/>
    <w:rsid w:val="70C83967"/>
    <w:rsid w:val="70CF6556"/>
    <w:rsid w:val="70DE382D"/>
    <w:rsid w:val="70E165F5"/>
    <w:rsid w:val="713F198F"/>
    <w:rsid w:val="71675208"/>
    <w:rsid w:val="716A3C68"/>
    <w:rsid w:val="716E38C7"/>
    <w:rsid w:val="716E75C0"/>
    <w:rsid w:val="7179329F"/>
    <w:rsid w:val="717B5924"/>
    <w:rsid w:val="71965FE3"/>
    <w:rsid w:val="71991050"/>
    <w:rsid w:val="719A1767"/>
    <w:rsid w:val="71A75CDD"/>
    <w:rsid w:val="71CC1CA8"/>
    <w:rsid w:val="71D2343D"/>
    <w:rsid w:val="71DD0987"/>
    <w:rsid w:val="71E3127A"/>
    <w:rsid w:val="71EA3777"/>
    <w:rsid w:val="71F870F2"/>
    <w:rsid w:val="72264476"/>
    <w:rsid w:val="722E49C1"/>
    <w:rsid w:val="7246600E"/>
    <w:rsid w:val="72632545"/>
    <w:rsid w:val="72703CD8"/>
    <w:rsid w:val="727559CC"/>
    <w:rsid w:val="7275775A"/>
    <w:rsid w:val="7276315A"/>
    <w:rsid w:val="72764A3D"/>
    <w:rsid w:val="72792C64"/>
    <w:rsid w:val="72851D8E"/>
    <w:rsid w:val="728802C9"/>
    <w:rsid w:val="729045BC"/>
    <w:rsid w:val="729F2A57"/>
    <w:rsid w:val="72B93E19"/>
    <w:rsid w:val="72C015DF"/>
    <w:rsid w:val="72CF40EA"/>
    <w:rsid w:val="72D11A83"/>
    <w:rsid w:val="72E67B87"/>
    <w:rsid w:val="72F57AAD"/>
    <w:rsid w:val="72F71D0C"/>
    <w:rsid w:val="73032243"/>
    <w:rsid w:val="730407B7"/>
    <w:rsid w:val="731C7163"/>
    <w:rsid w:val="732142A3"/>
    <w:rsid w:val="732677F4"/>
    <w:rsid w:val="732E1F5A"/>
    <w:rsid w:val="73431CEA"/>
    <w:rsid w:val="734B5799"/>
    <w:rsid w:val="734C246B"/>
    <w:rsid w:val="737362B5"/>
    <w:rsid w:val="73A23BB1"/>
    <w:rsid w:val="73B94514"/>
    <w:rsid w:val="73C65B6A"/>
    <w:rsid w:val="73D0530B"/>
    <w:rsid w:val="73D777A4"/>
    <w:rsid w:val="74095D8A"/>
    <w:rsid w:val="74255CBC"/>
    <w:rsid w:val="745C5F63"/>
    <w:rsid w:val="745C639D"/>
    <w:rsid w:val="745E0A10"/>
    <w:rsid w:val="74643291"/>
    <w:rsid w:val="74867791"/>
    <w:rsid w:val="74A9104E"/>
    <w:rsid w:val="74AC093E"/>
    <w:rsid w:val="74AE5A0D"/>
    <w:rsid w:val="74B155A1"/>
    <w:rsid w:val="74B433D2"/>
    <w:rsid w:val="74C00F9C"/>
    <w:rsid w:val="74CC2270"/>
    <w:rsid w:val="74DC6038"/>
    <w:rsid w:val="74E21A92"/>
    <w:rsid w:val="74EB42AE"/>
    <w:rsid w:val="74F27788"/>
    <w:rsid w:val="74F36FBE"/>
    <w:rsid w:val="7500007B"/>
    <w:rsid w:val="75016AB5"/>
    <w:rsid w:val="750312F5"/>
    <w:rsid w:val="75072170"/>
    <w:rsid w:val="751C3E3B"/>
    <w:rsid w:val="75244499"/>
    <w:rsid w:val="7544471F"/>
    <w:rsid w:val="755B3B1B"/>
    <w:rsid w:val="75825236"/>
    <w:rsid w:val="759E24B7"/>
    <w:rsid w:val="75EC4BBB"/>
    <w:rsid w:val="75F32FD1"/>
    <w:rsid w:val="75F82FD3"/>
    <w:rsid w:val="76047832"/>
    <w:rsid w:val="76161988"/>
    <w:rsid w:val="762F2717"/>
    <w:rsid w:val="763466B2"/>
    <w:rsid w:val="763B622B"/>
    <w:rsid w:val="763D3429"/>
    <w:rsid w:val="766C7CB4"/>
    <w:rsid w:val="76727587"/>
    <w:rsid w:val="76A807D2"/>
    <w:rsid w:val="76B463CC"/>
    <w:rsid w:val="76BD6B92"/>
    <w:rsid w:val="76CD0602"/>
    <w:rsid w:val="76D21D73"/>
    <w:rsid w:val="76D84D7F"/>
    <w:rsid w:val="76DC181E"/>
    <w:rsid w:val="76EA7BFE"/>
    <w:rsid w:val="76ED18FE"/>
    <w:rsid w:val="76EF4456"/>
    <w:rsid w:val="77117653"/>
    <w:rsid w:val="777874C4"/>
    <w:rsid w:val="77AF3BEF"/>
    <w:rsid w:val="77B068A1"/>
    <w:rsid w:val="77BE1779"/>
    <w:rsid w:val="77E57228"/>
    <w:rsid w:val="77F155D3"/>
    <w:rsid w:val="77F86242"/>
    <w:rsid w:val="77FB6308"/>
    <w:rsid w:val="7826746B"/>
    <w:rsid w:val="78392A24"/>
    <w:rsid w:val="783B439E"/>
    <w:rsid w:val="784A612B"/>
    <w:rsid w:val="787717E7"/>
    <w:rsid w:val="787F09CE"/>
    <w:rsid w:val="788075D2"/>
    <w:rsid w:val="78D136DC"/>
    <w:rsid w:val="78DD3886"/>
    <w:rsid w:val="78E315F6"/>
    <w:rsid w:val="78E67AA4"/>
    <w:rsid w:val="790733B9"/>
    <w:rsid w:val="791A1122"/>
    <w:rsid w:val="79316A8A"/>
    <w:rsid w:val="7951517D"/>
    <w:rsid w:val="796500C0"/>
    <w:rsid w:val="797615E4"/>
    <w:rsid w:val="799503BA"/>
    <w:rsid w:val="799F1D49"/>
    <w:rsid w:val="79A54F2D"/>
    <w:rsid w:val="79A7073D"/>
    <w:rsid w:val="79CC0EBE"/>
    <w:rsid w:val="79D8775A"/>
    <w:rsid w:val="79E32CF3"/>
    <w:rsid w:val="7A014CAD"/>
    <w:rsid w:val="7A0C5EE6"/>
    <w:rsid w:val="7A1A61B5"/>
    <w:rsid w:val="7A303DF1"/>
    <w:rsid w:val="7A33682E"/>
    <w:rsid w:val="7A5F1509"/>
    <w:rsid w:val="7A702C9E"/>
    <w:rsid w:val="7A811211"/>
    <w:rsid w:val="7A9D73F0"/>
    <w:rsid w:val="7A9F53A8"/>
    <w:rsid w:val="7AA04AC7"/>
    <w:rsid w:val="7AAC68DB"/>
    <w:rsid w:val="7AAE6636"/>
    <w:rsid w:val="7AD17EC5"/>
    <w:rsid w:val="7B0F1AC6"/>
    <w:rsid w:val="7B1F2392"/>
    <w:rsid w:val="7B2A2214"/>
    <w:rsid w:val="7B481F8C"/>
    <w:rsid w:val="7B545813"/>
    <w:rsid w:val="7B6C5304"/>
    <w:rsid w:val="7B6F287C"/>
    <w:rsid w:val="7B7B086B"/>
    <w:rsid w:val="7B9A3348"/>
    <w:rsid w:val="7BE677C4"/>
    <w:rsid w:val="7BF13F8D"/>
    <w:rsid w:val="7BFF1130"/>
    <w:rsid w:val="7C063886"/>
    <w:rsid w:val="7C181F36"/>
    <w:rsid w:val="7C2267B4"/>
    <w:rsid w:val="7C2C718D"/>
    <w:rsid w:val="7C2F3331"/>
    <w:rsid w:val="7C353E49"/>
    <w:rsid w:val="7C61480E"/>
    <w:rsid w:val="7C636440"/>
    <w:rsid w:val="7C7932FB"/>
    <w:rsid w:val="7C7E4701"/>
    <w:rsid w:val="7CAE4849"/>
    <w:rsid w:val="7CB239B6"/>
    <w:rsid w:val="7CBC413D"/>
    <w:rsid w:val="7CCC02D1"/>
    <w:rsid w:val="7CE40E65"/>
    <w:rsid w:val="7CE65EFE"/>
    <w:rsid w:val="7CEE2544"/>
    <w:rsid w:val="7D0C4529"/>
    <w:rsid w:val="7D1F4538"/>
    <w:rsid w:val="7D292A96"/>
    <w:rsid w:val="7D58191F"/>
    <w:rsid w:val="7D586DF9"/>
    <w:rsid w:val="7D7D0555"/>
    <w:rsid w:val="7D8456FD"/>
    <w:rsid w:val="7DA627C7"/>
    <w:rsid w:val="7DC120BE"/>
    <w:rsid w:val="7DED62C2"/>
    <w:rsid w:val="7E150D43"/>
    <w:rsid w:val="7E1E3C13"/>
    <w:rsid w:val="7E31104B"/>
    <w:rsid w:val="7E394EF9"/>
    <w:rsid w:val="7E9072F4"/>
    <w:rsid w:val="7E926376"/>
    <w:rsid w:val="7E942031"/>
    <w:rsid w:val="7EA2087A"/>
    <w:rsid w:val="7EB04E01"/>
    <w:rsid w:val="7EB46D21"/>
    <w:rsid w:val="7EE1635E"/>
    <w:rsid w:val="7EE6108A"/>
    <w:rsid w:val="7EF85E73"/>
    <w:rsid w:val="7EFE4656"/>
    <w:rsid w:val="7F0B33ED"/>
    <w:rsid w:val="7F3E2A62"/>
    <w:rsid w:val="7F5138A3"/>
    <w:rsid w:val="7F62631E"/>
    <w:rsid w:val="7F6F47E8"/>
    <w:rsid w:val="7F952D9F"/>
    <w:rsid w:val="7FA2459A"/>
    <w:rsid w:val="7FA833A2"/>
    <w:rsid w:val="7FAC4DBA"/>
    <w:rsid w:val="7FC52303"/>
    <w:rsid w:val="7FD64A07"/>
    <w:rsid w:val="7FD65946"/>
    <w:rsid w:val="7FF21442"/>
    <w:rsid w:val="7FFB0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6"/>
    <w:qFormat/>
    <w:uiPriority w:val="0"/>
    <w:pPr>
      <w:spacing w:before="0" w:beforeAutospacing="0" w:after="0" w:afterAutospacing="0"/>
      <w:ind w:firstLine="0" w:firstLineChars="0"/>
      <w:jc w:val="center"/>
      <w:outlineLvl w:val="0"/>
    </w:pPr>
    <w:rPr>
      <w:rFonts w:hint="eastAsia" w:ascii="Times New Roman" w:hAnsi="Times New Roman" w:eastAsia="宋体" w:cs="Times New Roman"/>
      <w:b/>
      <w:bCs/>
      <w:sz w:val="44"/>
      <w:szCs w:val="44"/>
      <w:lang w:bidi="ar"/>
    </w:rPr>
  </w:style>
  <w:style w:type="paragraph" w:styleId="3">
    <w:name w:val="heading 2"/>
    <w:basedOn w:val="1"/>
    <w:next w:val="1"/>
    <w:link w:val="17"/>
    <w:unhideWhenUsed/>
    <w:qFormat/>
    <w:uiPriority w:val="0"/>
    <w:pPr>
      <w:keepNext/>
      <w:keepLines/>
      <w:spacing w:beforeLines="0" w:beforeAutospacing="0" w:afterLines="0" w:afterAutospacing="0" w:line="360" w:lineRule="auto"/>
      <w:ind w:firstLine="0" w:firstLineChars="0"/>
      <w:outlineLvl w:val="1"/>
    </w:pPr>
    <w:rPr>
      <w:rFonts w:ascii="Times New Roman" w:hAnsi="Times New Roman" w:eastAsia="宋体"/>
      <w:b/>
      <w:sz w:val="32"/>
      <w:szCs w:val="32"/>
    </w:rPr>
  </w:style>
  <w:style w:type="paragraph" w:styleId="4">
    <w:name w:val="heading 3"/>
    <w:basedOn w:val="1"/>
    <w:next w:val="1"/>
    <w:link w:val="18"/>
    <w:unhideWhenUsed/>
    <w:qFormat/>
    <w:uiPriority w:val="0"/>
    <w:pPr>
      <w:keepNext/>
      <w:keepLines/>
      <w:adjustRightInd/>
      <w:spacing w:line="360" w:lineRule="auto"/>
      <w:ind w:firstLine="0" w:firstLineChars="0"/>
      <w:outlineLvl w:val="2"/>
    </w:pPr>
    <w:rPr>
      <w:rFonts w:ascii="Times New Roman" w:hAnsi="Times New Roman" w:eastAsia="宋体" w:cs="Times New Roman"/>
      <w:b/>
      <w:bCs/>
      <w:kern w:val="0"/>
      <w:sz w:val="30"/>
      <w:szCs w:val="30"/>
    </w:rPr>
  </w:style>
  <w:style w:type="paragraph" w:styleId="5">
    <w:name w:val="heading 4"/>
    <w:basedOn w:val="1"/>
    <w:next w:val="1"/>
    <w:link w:val="19"/>
    <w:semiHidden/>
    <w:unhideWhenUsed/>
    <w:qFormat/>
    <w:uiPriority w:val="0"/>
    <w:pPr>
      <w:keepNext/>
      <w:keepLines/>
      <w:spacing w:line="360" w:lineRule="auto"/>
      <w:ind w:firstLine="643" w:firstLineChars="200"/>
      <w:outlineLvl w:val="3"/>
    </w:pPr>
    <w:rPr>
      <w:rFonts w:ascii="Times New Roman" w:hAnsi="Times New Roman" w:eastAsia="宋体" w:cs="Times New Roman"/>
      <w:b/>
      <w:bCs/>
      <w:sz w:val="28"/>
      <w:szCs w:val="28"/>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rFonts w:ascii="Times New Roman" w:hAnsi="Times New Roman" w:eastAsia="宋体" w:cs="Times New Roman"/>
      <w:b/>
      <w:bCs/>
    </w:rPr>
  </w:style>
  <w:style w:type="paragraph" w:styleId="7">
    <w:name w:val="heading 6"/>
    <w:basedOn w:val="1"/>
    <w:next w:val="1"/>
    <w:semiHidden/>
    <w:unhideWhenUsed/>
    <w:qFormat/>
    <w:uiPriority w:val="0"/>
    <w:pPr>
      <w:keepNext/>
      <w:keepLines/>
      <w:spacing w:beforeLines="0" w:beforeAutospacing="0" w:afterLines="0" w:afterAutospacing="0" w:line="360" w:lineRule="auto"/>
      <w:outlineLvl w:val="5"/>
    </w:pPr>
    <w:rPr>
      <w:rFonts w:ascii="Times New Roman" w:hAnsi="Times New Roman" w:eastAsia="宋体" w:cs="Times New Roman"/>
      <w:b/>
    </w:rPr>
  </w:style>
  <w:style w:type="character" w:default="1" w:styleId="12">
    <w:name w:val="Default Paragraph Font"/>
    <w:semiHidden/>
    <w:unhideWhenUsed/>
    <w:qFormat/>
    <w:uiPriority w:val="1"/>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8">
    <w:name w:val="footer"/>
    <w:basedOn w:val="1"/>
    <w:qFormat/>
    <w:uiPriority w:val="99"/>
    <w:pPr>
      <w:tabs>
        <w:tab w:val="center" w:pos="4153"/>
        <w:tab w:val="right" w:pos="8306"/>
      </w:tabs>
      <w:snapToGrid w:val="0"/>
      <w:jc w:val="left"/>
    </w:pPr>
    <w:rPr>
      <w:kern w:val="0"/>
      <w:sz w:val="18"/>
      <w:szCs w:val="20"/>
    </w:rPr>
  </w:style>
  <w:style w:type="paragraph" w:styleId="9">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page number"/>
    <w:basedOn w:val="12"/>
    <w:qFormat/>
    <w:uiPriority w:val="0"/>
  </w:style>
  <w:style w:type="paragraph" w:customStyle="1" w:styleId="14">
    <w:name w:val="正文（居中）"/>
    <w:basedOn w:val="1"/>
    <w:link w:val="20"/>
    <w:qFormat/>
    <w:uiPriority w:val="0"/>
    <w:pPr>
      <w:spacing w:line="240" w:lineRule="auto"/>
      <w:ind w:firstLine="0" w:firstLineChars="0"/>
      <w:jc w:val="center"/>
    </w:pPr>
    <w:rPr>
      <w:rFonts w:ascii="Times New Roman" w:hAnsi="Times New Roman"/>
    </w:rPr>
  </w:style>
  <w:style w:type="paragraph" w:customStyle="1" w:styleId="15">
    <w:name w:val="表格"/>
    <w:basedOn w:val="1"/>
    <w:next w:val="1"/>
    <w:qFormat/>
    <w:uiPriority w:val="0"/>
    <w:pPr>
      <w:spacing w:line="240" w:lineRule="auto"/>
      <w:ind w:left="0" w:firstLine="0" w:firstLineChars="0"/>
      <w:jc w:val="center"/>
    </w:pPr>
    <w:rPr>
      <w:rFonts w:ascii="Times New Roman" w:hAnsi="Times New Roman" w:eastAsia="宋体"/>
      <w:sz w:val="21"/>
      <w:szCs w:val="21"/>
    </w:rPr>
  </w:style>
  <w:style w:type="character" w:customStyle="1" w:styleId="16">
    <w:name w:val=" Char Char5"/>
    <w:basedOn w:val="12"/>
    <w:link w:val="2"/>
    <w:qFormat/>
    <w:uiPriority w:val="0"/>
    <w:rPr>
      <w:rFonts w:ascii="Times New Roman" w:hAnsi="Times New Roman" w:eastAsia="宋体" w:cs="Times New Roman"/>
      <w:b/>
      <w:kern w:val="2"/>
      <w:sz w:val="44"/>
      <w:szCs w:val="44"/>
      <w:lang w:val="en-US" w:eastAsia="zh-CN" w:bidi="ar-SA"/>
    </w:rPr>
  </w:style>
  <w:style w:type="character" w:customStyle="1" w:styleId="17">
    <w:name w:val="标题 2 Char"/>
    <w:link w:val="3"/>
    <w:qFormat/>
    <w:uiPriority w:val="0"/>
    <w:rPr>
      <w:rFonts w:ascii="Times New Roman" w:hAnsi="Times New Roman" w:eastAsia="宋体"/>
      <w:b/>
      <w:sz w:val="32"/>
      <w:szCs w:val="32"/>
    </w:rPr>
  </w:style>
  <w:style w:type="character" w:customStyle="1" w:styleId="18">
    <w:name w:val="标题 3 Char"/>
    <w:link w:val="4"/>
    <w:qFormat/>
    <w:uiPriority w:val="0"/>
    <w:rPr>
      <w:rFonts w:ascii="Times New Roman" w:hAnsi="Times New Roman" w:eastAsia="宋体" w:cs="Times New Roman"/>
      <w:b/>
      <w:bCs/>
      <w:sz w:val="30"/>
      <w:szCs w:val="30"/>
    </w:rPr>
  </w:style>
  <w:style w:type="character" w:customStyle="1" w:styleId="19">
    <w:name w:val="标题 4 Char"/>
    <w:link w:val="5"/>
    <w:qFormat/>
    <w:uiPriority w:val="0"/>
    <w:rPr>
      <w:rFonts w:ascii="Times New Roman" w:hAnsi="Times New Roman" w:eastAsia="宋体" w:cs="Times New Roman"/>
      <w:b/>
      <w:sz w:val="28"/>
      <w:szCs w:val="28"/>
    </w:rPr>
  </w:style>
  <w:style w:type="character" w:customStyle="1" w:styleId="20">
    <w:name w:val="正文（居中） Char"/>
    <w:link w:val="14"/>
    <w:qFormat/>
    <w:uiPriority w:val="0"/>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wmf"/><Relationship Id="rId41" Type="http://schemas.openxmlformats.org/officeDocument/2006/relationships/oleObject" Target="embeddings/oleObject13.bin"/><Relationship Id="rId40" Type="http://schemas.openxmlformats.org/officeDocument/2006/relationships/image" Target="media/image21.wmf"/><Relationship Id="rId4" Type="http://schemas.openxmlformats.org/officeDocument/2006/relationships/footer" Target="footer2.xml"/><Relationship Id="rId39" Type="http://schemas.openxmlformats.org/officeDocument/2006/relationships/oleObject" Target="embeddings/oleObject12.bin"/><Relationship Id="rId38" Type="http://schemas.openxmlformats.org/officeDocument/2006/relationships/image" Target="media/image20.wmf"/><Relationship Id="rId37" Type="http://schemas.openxmlformats.org/officeDocument/2006/relationships/oleObject" Target="embeddings/oleObject11.bin"/><Relationship Id="rId36" Type="http://schemas.openxmlformats.org/officeDocument/2006/relationships/image" Target="media/image19.wmf"/><Relationship Id="rId35" Type="http://schemas.openxmlformats.org/officeDocument/2006/relationships/oleObject" Target="embeddings/oleObject10.bin"/><Relationship Id="rId34" Type="http://schemas.openxmlformats.org/officeDocument/2006/relationships/image" Target="media/image18.wmf"/><Relationship Id="rId33" Type="http://schemas.openxmlformats.org/officeDocument/2006/relationships/oleObject" Target="embeddings/oleObject9.bin"/><Relationship Id="rId32" Type="http://schemas.openxmlformats.org/officeDocument/2006/relationships/image" Target="media/image17.wmf"/><Relationship Id="rId31" Type="http://schemas.openxmlformats.org/officeDocument/2006/relationships/oleObject" Target="embeddings/oleObject8.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5.wmf"/><Relationship Id="rId27" Type="http://schemas.openxmlformats.org/officeDocument/2006/relationships/oleObject" Target="embeddings/oleObject6.bin"/><Relationship Id="rId26" Type="http://schemas.openxmlformats.org/officeDocument/2006/relationships/image" Target="media/image14.wmf"/><Relationship Id="rId25" Type="http://schemas.openxmlformats.org/officeDocument/2006/relationships/oleObject" Target="embeddings/oleObject5.bin"/><Relationship Id="rId24" Type="http://schemas.openxmlformats.org/officeDocument/2006/relationships/image" Target="media/image13.wmf"/><Relationship Id="rId23" Type="http://schemas.openxmlformats.org/officeDocument/2006/relationships/oleObject" Target="embeddings/oleObject4.bin"/><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81</Pages>
  <Words>45782</Words>
  <Characters>51819</Characters>
  <Lines>0</Lines>
  <Paragraphs>0</Paragraphs>
  <TotalTime>4</TotalTime>
  <ScaleCrop>false</ScaleCrop>
  <LinksUpToDate>false</LinksUpToDate>
  <CharactersWithSpaces>52684</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2021-03-22T08:12:00Z</dcterms:created>
  <dc:creator>张宏成</dc:creator>
  <cp:lastModifiedBy>Haibara Ai</cp:lastModifiedBy>
  <dcterms:modified xsi:type="dcterms:W3CDTF">2023-10-18T10:15:45Z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88ECEB03B14442B291ADCE51F5E259AF</vt:lpwstr>
  </property>
</Properties>
</file>