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0" w:firstLineChars="0"/>
        <w:jc w:val="center"/>
        <w:outlineLvl w:val="9"/>
        <w:rPr>
          <w:rFonts w:hint="eastAsia" w:ascii="Times New Roman" w:hAnsi="Times New Roman" w:eastAsia="仿宋_GB2312" w:cs="Times New Roman"/>
          <w:color w:val="000000" w:themeColor="text1"/>
          <w:sz w:val="36"/>
          <w:szCs w:val="36"/>
          <w:lang w:eastAsia="zh-CN"/>
          <w14:textFill>
            <w14:solidFill>
              <w14:schemeClr w14:val="tx1"/>
            </w14:solidFill>
          </w14:textFill>
        </w:rPr>
      </w:pPr>
    </w:p>
    <w:p>
      <w:pPr>
        <w:spacing w:line="240" w:lineRule="auto"/>
        <w:ind w:firstLine="0" w:firstLineChars="0"/>
        <w:jc w:val="center"/>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spacing w:line="240" w:lineRule="auto"/>
        <w:ind w:firstLine="0" w:firstLineChars="0"/>
        <w:jc w:val="center"/>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spacing w:line="240" w:lineRule="auto"/>
        <w:ind w:firstLine="0" w:firstLineChars="0"/>
        <w:jc w:val="center"/>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adjustRightInd w:val="0"/>
        <w:snapToGrid w:val="0"/>
        <w:spacing w:line="240" w:lineRule="auto"/>
        <w:ind w:firstLine="0" w:firstLineChars="0"/>
        <w:jc w:val="center"/>
        <w:outlineLvl w:val="9"/>
        <w:rPr>
          <w:rFonts w:hint="default" w:ascii="Times New Roman" w:hAnsi="Times New Roman" w:eastAsia="方正小标宋_GBK" w:cs="Times New Roman"/>
          <w:bCs/>
          <w:color w:val="000000" w:themeColor="text1"/>
          <w:sz w:val="72"/>
          <w:szCs w:val="72"/>
          <w14:textFill>
            <w14:solidFill>
              <w14:schemeClr w14:val="tx1"/>
            </w14:solidFill>
          </w14:textFill>
        </w:rPr>
      </w:pPr>
      <w:bookmarkStart w:id="0" w:name="_Toc28744"/>
      <w:bookmarkStart w:id="1" w:name="_Toc28264"/>
      <w:bookmarkStart w:id="2" w:name="_Toc8872"/>
      <w:bookmarkStart w:id="3" w:name="_Toc3603"/>
      <w:bookmarkStart w:id="4" w:name="_Toc4196"/>
      <w:bookmarkStart w:id="5" w:name="_Toc11110"/>
      <w:bookmarkStart w:id="6" w:name="_Toc24101"/>
      <w:r>
        <w:rPr>
          <w:rFonts w:hint="default" w:ascii="Times New Roman" w:hAnsi="Times New Roman" w:eastAsia="方正小标宋_GBK" w:cs="Times New Roman"/>
          <w:bCs/>
          <w:color w:val="000000" w:themeColor="text1"/>
          <w:sz w:val="72"/>
          <w:szCs w:val="72"/>
          <w14:textFill>
            <w14:solidFill>
              <w14:schemeClr w14:val="tx1"/>
            </w14:solidFill>
          </w14:textFill>
        </w:rPr>
        <w:t>建设项目环境影响报告表</w:t>
      </w:r>
      <w:bookmarkEnd w:id="0"/>
      <w:bookmarkEnd w:id="1"/>
      <w:bookmarkEnd w:id="2"/>
      <w:bookmarkEnd w:id="3"/>
      <w:bookmarkEnd w:id="4"/>
      <w:bookmarkEnd w:id="5"/>
      <w:bookmarkEnd w:id="6"/>
    </w:p>
    <w:p>
      <w:pPr>
        <w:adjustRightInd w:val="0"/>
        <w:snapToGrid w:val="0"/>
        <w:spacing w:before="192" w:beforeLines="80" w:line="240" w:lineRule="auto"/>
        <w:ind w:firstLine="0" w:firstLineChars="0"/>
        <w:jc w:val="center"/>
        <w:outlineLvl w:val="9"/>
        <w:rPr>
          <w:rFonts w:hint="default" w:ascii="Times New Roman" w:hAnsi="Times New Roman" w:eastAsia="楷体_GB2312" w:cs="Times New Roman"/>
          <w:bCs/>
          <w:color w:val="000000" w:themeColor="text1"/>
          <w:sz w:val="48"/>
          <w:szCs w:val="48"/>
          <w14:textFill>
            <w14:solidFill>
              <w14:schemeClr w14:val="tx1"/>
            </w14:solidFill>
          </w14:textFill>
        </w:rPr>
      </w:pPr>
      <w:bookmarkStart w:id="7" w:name="_Toc14564"/>
      <w:r>
        <w:rPr>
          <w:rFonts w:hint="default" w:ascii="Times New Roman" w:hAnsi="Times New Roman" w:eastAsia="楷体_GB2312" w:cs="Times New Roman"/>
          <w:bCs/>
          <w:color w:val="000000" w:themeColor="text1"/>
          <w:sz w:val="48"/>
          <w:szCs w:val="48"/>
          <w14:textFill>
            <w14:solidFill>
              <w14:schemeClr w14:val="tx1"/>
            </w14:solidFill>
          </w14:textFill>
        </w:rPr>
        <w:t>（</w:t>
      </w:r>
      <w:r>
        <w:rPr>
          <w:rFonts w:hint="default" w:ascii="Times New Roman" w:hAnsi="Times New Roman" w:eastAsia="楷体_GB2312" w:cs="Times New Roman"/>
          <w:bCs/>
          <w:color w:val="000000" w:themeColor="text1"/>
          <w:sz w:val="48"/>
          <w:szCs w:val="48"/>
          <w:lang w:val="en-US" w:eastAsia="zh-CN"/>
          <w14:textFill>
            <w14:solidFill>
              <w14:schemeClr w14:val="tx1"/>
            </w14:solidFill>
          </w14:textFill>
        </w:rPr>
        <w:t>生态</w:t>
      </w:r>
      <w:r>
        <w:rPr>
          <w:rFonts w:hint="default" w:ascii="Times New Roman" w:hAnsi="Times New Roman" w:eastAsia="楷体_GB2312" w:cs="Times New Roman"/>
          <w:bCs/>
          <w:color w:val="000000" w:themeColor="text1"/>
          <w:sz w:val="48"/>
          <w:szCs w:val="48"/>
          <w14:textFill>
            <w14:solidFill>
              <w14:schemeClr w14:val="tx1"/>
            </w14:solidFill>
          </w14:textFill>
        </w:rPr>
        <w:t>影响类）</w:t>
      </w:r>
      <w:bookmarkEnd w:id="7"/>
    </w:p>
    <w:p>
      <w:pPr>
        <w:adjustRightInd w:val="0"/>
        <w:snapToGrid w:val="0"/>
        <w:spacing w:line="240" w:lineRule="auto"/>
        <w:ind w:firstLine="0" w:firstLineChars="0"/>
        <w:jc w:val="center"/>
        <w:outlineLvl w:val="9"/>
        <w:rPr>
          <w:rFonts w:hint="default" w:ascii="Times New Roman" w:hAnsi="Times New Roman" w:eastAsia="华文仿宋" w:cs="Times New Roman"/>
          <w:color w:val="000000" w:themeColor="text1"/>
          <w:kern w:val="44"/>
          <w:sz w:val="44"/>
          <w:szCs w:val="44"/>
          <w14:textFill>
            <w14:solidFill>
              <w14:schemeClr w14:val="tx1"/>
            </w14:solidFill>
          </w14:textFill>
        </w:rPr>
      </w:pPr>
    </w:p>
    <w:p>
      <w:pPr>
        <w:spacing w:line="240" w:lineRule="auto"/>
        <w:ind w:firstLine="0" w:firstLineChars="0"/>
        <w:jc w:val="center"/>
        <w:outlineLvl w:val="9"/>
        <w:rPr>
          <w:rFonts w:hint="eastAsia" w:ascii="Times New Roman" w:hAnsi="Times New Roman" w:eastAsia="仿宋" w:cs="Times New Roman"/>
          <w:color w:val="000000" w:themeColor="text1"/>
          <w:sz w:val="52"/>
          <w:szCs w:val="52"/>
          <w:lang w:eastAsia="zh-CN"/>
          <w14:textFill>
            <w14:solidFill>
              <w14:schemeClr w14:val="tx1"/>
            </w14:solidFill>
          </w14:textFill>
        </w:rPr>
      </w:pPr>
      <w:r>
        <w:rPr>
          <w:rFonts w:hint="eastAsia" w:eastAsia="仿宋" w:cs="Times New Roman"/>
          <w:color w:val="000000" w:themeColor="text1"/>
          <w:sz w:val="52"/>
          <w:szCs w:val="52"/>
          <w:lang w:eastAsia="zh-CN"/>
          <w14:textFill>
            <w14:solidFill>
              <w14:schemeClr w14:val="tx1"/>
            </w14:solidFill>
          </w14:textFill>
        </w:rPr>
        <w:t>（报批稿）</w:t>
      </w:r>
    </w:p>
    <w:p>
      <w:pPr>
        <w:spacing w:line="240" w:lineRule="auto"/>
        <w:ind w:firstLine="0" w:firstLineChars="0"/>
        <w:jc w:val="center"/>
        <w:outlineLvl w:val="9"/>
        <w:rPr>
          <w:rFonts w:hint="default" w:ascii="Times New Roman" w:hAnsi="Times New Roman" w:eastAsia="仿宋" w:cs="Times New Roman"/>
          <w:color w:val="000000" w:themeColor="text1"/>
          <w:sz w:val="44"/>
          <w:szCs w:val="44"/>
          <w14:textFill>
            <w14:solidFill>
              <w14:schemeClr w14:val="tx1"/>
            </w14:solidFill>
          </w14:textFill>
        </w:rPr>
      </w:pPr>
    </w:p>
    <w:p>
      <w:pPr>
        <w:pStyle w:val="25"/>
        <w:jc w:val="center"/>
        <w:outlineLvl w:val="9"/>
        <w:rPr>
          <w:rFonts w:hint="default" w:ascii="Times New Roman" w:hAnsi="Times New Roman" w:cs="Times New Roman"/>
          <w:color w:val="000000" w:themeColor="text1"/>
          <w14:textFill>
            <w14:solidFill>
              <w14:schemeClr w14:val="tx1"/>
            </w14:solidFill>
          </w14:textFill>
        </w:rPr>
      </w:pPr>
    </w:p>
    <w:p>
      <w:pPr>
        <w:spacing w:line="240" w:lineRule="auto"/>
        <w:ind w:firstLine="0" w:firstLineChars="0"/>
        <w:jc w:val="center"/>
        <w:outlineLvl w:val="9"/>
        <w:rPr>
          <w:rFonts w:hint="default" w:ascii="Times New Roman" w:hAnsi="Times New Roman" w:eastAsia="仿宋" w:cs="Times New Roman"/>
          <w:color w:val="000000" w:themeColor="text1"/>
          <w:sz w:val="44"/>
          <w:szCs w:val="44"/>
          <w14:textFill>
            <w14:solidFill>
              <w14:schemeClr w14:val="tx1"/>
            </w14:solidFill>
          </w14:textFill>
        </w:rPr>
      </w:pPr>
    </w:p>
    <w:p>
      <w:pPr>
        <w:spacing w:line="240" w:lineRule="auto"/>
        <w:ind w:firstLine="0" w:firstLineChars="0"/>
        <w:jc w:val="center"/>
        <w:outlineLvl w:val="9"/>
        <w:rPr>
          <w:rFonts w:hint="default" w:ascii="Times New Roman" w:hAnsi="Times New Roman" w:eastAsia="仿宋" w:cs="Times New Roman"/>
          <w:color w:val="000000" w:themeColor="text1"/>
          <w:sz w:val="44"/>
          <w:szCs w:val="44"/>
          <w14:textFill>
            <w14:solidFill>
              <w14:schemeClr w14:val="tx1"/>
            </w14:solidFill>
          </w14:textFill>
        </w:rPr>
      </w:pPr>
    </w:p>
    <w:p>
      <w:pPr>
        <w:keepNext w:val="0"/>
        <w:keepLines w:val="0"/>
        <w:widowControl/>
        <w:suppressLineNumbers w:val="0"/>
        <w:ind w:left="2160" w:leftChars="300" w:hanging="1440" w:hangingChars="400"/>
        <w:jc w:val="left"/>
        <w:outlineLvl w:val="9"/>
        <w:rPr>
          <w:rFonts w:hint="default" w:ascii="Times New Roman" w:hAnsi="Times New Roman" w:eastAsia="仿宋_GB2312" w:cs="Times New Roman"/>
          <w:color w:val="000000" w:themeColor="text1"/>
          <w:sz w:val="36"/>
          <w:szCs w:val="36"/>
          <w:lang w:val="en-US" w:eastAsia="zh-CN"/>
          <w14:textFill>
            <w14:solidFill>
              <w14:schemeClr w14:val="tx1"/>
            </w14:solidFill>
          </w14:textFill>
        </w:rPr>
      </w:pPr>
      <w:bookmarkStart w:id="8" w:name="_Toc27576"/>
      <w:r>
        <w:rPr>
          <w:rFonts w:hint="default" w:ascii="Times New Roman" w:hAnsi="Times New Roman" w:eastAsia="仿宋_GB2312" w:cs="Times New Roman"/>
          <w:color w:val="000000" w:themeColor="text1"/>
          <w:sz w:val="36"/>
          <w:szCs w:val="36"/>
          <w14:textFill>
            <w14:solidFill>
              <w14:schemeClr w14:val="tx1"/>
            </w14:solidFill>
          </w14:textFill>
        </w:rPr>
        <w:t>项目名称：</w:t>
      </w:r>
      <w:bookmarkEnd w:id="8"/>
      <w:r>
        <w:rPr>
          <w:rFonts w:hint="eastAsia" w:eastAsia="仿宋_GB2312" w:cs="Times New Roman"/>
          <w:color w:val="000000" w:themeColor="text1"/>
          <w:sz w:val="36"/>
          <w:szCs w:val="36"/>
          <w:u w:val="single"/>
          <w:lang w:val="en-US" w:eastAsia="zh-CN"/>
          <w14:textFill>
            <w14:solidFill>
              <w14:schemeClr w14:val="tx1"/>
            </w14:solidFill>
          </w14:textFill>
        </w:rPr>
        <w:t xml:space="preserve">准东新特硅基绿色低碳硅基产业园区示范项目（光伏项目）                </w:t>
      </w:r>
      <w:r>
        <w:rPr>
          <w:rFonts w:hint="default" w:ascii="Times New Roman" w:hAnsi="Times New Roman" w:eastAsia="仿宋_GB2312"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仿宋_GB2312" w:cs="Times New Roman"/>
          <w:color w:val="000000" w:themeColor="text1"/>
          <w:sz w:val="36"/>
          <w:szCs w:val="36"/>
          <w:lang w:val="en-US" w:eastAsia="zh-CN"/>
          <w14:textFill>
            <w14:solidFill>
              <w14:schemeClr w14:val="tx1"/>
            </w14:solidFill>
          </w14:textFill>
        </w:rPr>
        <w:t xml:space="preserve">  </w:t>
      </w:r>
    </w:p>
    <w:p>
      <w:pPr>
        <w:adjustRightInd w:val="0"/>
        <w:snapToGrid w:val="0"/>
        <w:spacing w:line="288" w:lineRule="auto"/>
        <w:ind w:left="0" w:leftChars="0" w:firstLine="360" w:firstLineChars="100"/>
        <w:outlineLvl w:val="9"/>
        <w:rPr>
          <w:rFonts w:hint="default" w:ascii="Times New Roman" w:hAnsi="Times New Roman" w:eastAsia="仿宋_GB2312" w:cs="Times New Roman"/>
          <w:color w:val="000000" w:themeColor="text1"/>
          <w:sz w:val="36"/>
          <w:szCs w:val="36"/>
          <w:u w:val="single"/>
          <w:lang w:val="en-US"/>
          <w14:textFill>
            <w14:solidFill>
              <w14:schemeClr w14:val="tx1"/>
            </w14:solidFill>
          </w14:textFill>
        </w:rPr>
      </w:pPr>
      <w:r>
        <w:rPr>
          <w:rFonts w:hint="default" w:ascii="Times New Roman" w:hAnsi="Times New Roman" w:eastAsia="仿宋_GB2312" w:cs="Times New Roman"/>
          <w:color w:val="000000" w:themeColor="text1"/>
          <w:sz w:val="36"/>
          <w:szCs w:val="36"/>
          <w14:textFill>
            <w14:solidFill>
              <w14:schemeClr w14:val="tx1"/>
            </w14:solidFill>
          </w14:textFill>
        </w:rPr>
        <w:t>建设单位（盖章）：</w:t>
      </w:r>
      <w:r>
        <w:rPr>
          <w:rFonts w:hint="eastAsia" w:eastAsia="仿宋_GB2312" w:cs="Times New Roman"/>
          <w:color w:val="000000" w:themeColor="text1"/>
          <w:sz w:val="36"/>
          <w:szCs w:val="36"/>
          <w:u w:val="single"/>
          <w:lang w:val="en-US" w:eastAsia="zh-CN"/>
          <w14:textFill>
            <w14:solidFill>
              <w14:schemeClr w14:val="tx1"/>
            </w14:solidFill>
          </w14:textFill>
        </w:rPr>
        <w:t>昌吉州盛裕新能源发电</w:t>
      </w:r>
      <w:r>
        <w:rPr>
          <w:rFonts w:hint="eastAsia" w:ascii="Times New Roman" w:hAnsi="Times New Roman" w:eastAsia="仿宋_GB2312" w:cs="Times New Roman"/>
          <w:color w:val="000000" w:themeColor="text1"/>
          <w:sz w:val="36"/>
          <w:szCs w:val="36"/>
          <w:u w:val="single"/>
          <w:lang w:val="en-US" w:eastAsia="zh-CN"/>
          <w14:textFill>
            <w14:solidFill>
              <w14:schemeClr w14:val="tx1"/>
            </w14:solidFill>
          </w14:textFill>
        </w:rPr>
        <w:t>有限公司</w:t>
      </w:r>
      <w:r>
        <w:rPr>
          <w:rFonts w:hint="eastAsia" w:eastAsia="仿宋_GB2312" w:cs="Times New Roman"/>
          <w:color w:val="000000" w:themeColor="text1"/>
          <w:sz w:val="36"/>
          <w:szCs w:val="36"/>
          <w:u w:val="single"/>
          <w:lang w:val="en-US" w:eastAsia="zh-CN"/>
          <w14:textFill>
            <w14:solidFill>
              <w14:schemeClr w14:val="tx1"/>
            </w14:solidFill>
          </w14:textFill>
        </w:rPr>
        <w:t xml:space="preserve">       </w:t>
      </w:r>
    </w:p>
    <w:p>
      <w:pPr>
        <w:adjustRightInd w:val="0"/>
        <w:snapToGrid w:val="0"/>
        <w:spacing w:line="288" w:lineRule="auto"/>
        <w:ind w:firstLine="360" w:firstLineChars="100"/>
        <w:jc w:val="left"/>
        <w:outlineLvl w:val="9"/>
        <w:rPr>
          <w:rFonts w:hint="default" w:ascii="Times New Roman" w:hAnsi="Times New Roman" w:eastAsia="仿宋_GB2312" w:cs="Times New Roman"/>
          <w:color w:val="000000" w:themeColor="text1"/>
          <w:sz w:val="36"/>
          <w:szCs w:val="36"/>
          <w:u w:val="single"/>
          <w14:textFill>
            <w14:solidFill>
              <w14:schemeClr w14:val="tx1"/>
            </w14:solidFill>
          </w14:textFill>
        </w:rPr>
      </w:pPr>
      <w:r>
        <w:rPr>
          <w:rFonts w:hint="default" w:ascii="Times New Roman" w:hAnsi="Times New Roman" w:eastAsia="仿宋_GB2312" w:cs="Times New Roman"/>
          <w:color w:val="000000" w:themeColor="text1"/>
          <w:sz w:val="36"/>
          <w:szCs w:val="36"/>
          <w14:textFill>
            <w14:solidFill>
              <w14:schemeClr w14:val="tx1"/>
            </w14:solidFill>
          </w14:textFill>
        </w:rPr>
        <w:t>编制日期：</w:t>
      </w:r>
      <w:r>
        <w:rPr>
          <w:rFonts w:hint="default" w:ascii="Times New Roman" w:hAnsi="Times New Roman" w:eastAsia="仿宋_GB2312" w:cs="Times New Roman"/>
          <w:color w:val="000000" w:themeColor="text1"/>
          <w:sz w:val="36"/>
          <w:szCs w:val="36"/>
          <w:u w:val="single"/>
          <w:lang w:eastAsia="zh-CN"/>
          <w14:textFill>
            <w14:solidFill>
              <w14:schemeClr w14:val="tx1"/>
            </w14:solidFill>
          </w14:textFill>
        </w:rPr>
        <w:t xml:space="preserve">        </w:t>
      </w:r>
      <w:r>
        <w:rPr>
          <w:rFonts w:hint="default" w:ascii="Times New Roman" w:hAnsi="Times New Roman" w:eastAsia="仿宋_GB2312" w:cs="Times New Roman"/>
          <w:color w:val="000000" w:themeColor="text1"/>
          <w:sz w:val="36"/>
          <w:szCs w:val="36"/>
          <w:u w:val="single"/>
          <w:lang w:val="en-US" w:eastAsia="zh-CN"/>
          <w14:textFill>
            <w14:solidFill>
              <w14:schemeClr w14:val="tx1"/>
            </w14:solidFill>
          </w14:textFill>
        </w:rPr>
        <w:t xml:space="preserve">    </w:t>
      </w:r>
      <w:r>
        <w:rPr>
          <w:rFonts w:hint="default" w:ascii="Times New Roman" w:hAnsi="Times New Roman" w:eastAsia="仿宋_GB2312" w:cs="Times New Roman"/>
          <w:color w:val="000000" w:themeColor="text1"/>
          <w:sz w:val="36"/>
          <w:szCs w:val="36"/>
          <w:u w:val="single"/>
          <w:lang w:eastAsia="zh-CN"/>
          <w14:textFill>
            <w14:solidFill>
              <w14:schemeClr w14:val="tx1"/>
            </w14:solidFill>
          </w14:textFill>
        </w:rPr>
        <w:t xml:space="preserve"> </w:t>
      </w:r>
      <w:r>
        <w:rPr>
          <w:rFonts w:hint="default" w:ascii="Times New Roman" w:hAnsi="Times New Roman" w:eastAsia="仿宋_GB2312" w:cs="Times New Roman"/>
          <w:color w:val="000000" w:themeColor="text1"/>
          <w:sz w:val="36"/>
          <w:szCs w:val="36"/>
          <w:u w:val="single"/>
          <w:lang w:val="en-US" w:eastAsia="zh-CN"/>
          <w14:textFill>
            <w14:solidFill>
              <w14:schemeClr w14:val="tx1"/>
            </w14:solidFill>
          </w14:textFill>
        </w:rPr>
        <w:t>202</w:t>
      </w:r>
      <w:r>
        <w:rPr>
          <w:rFonts w:hint="eastAsia" w:eastAsia="仿宋_GB2312" w:cs="Times New Roman"/>
          <w:color w:val="000000" w:themeColor="text1"/>
          <w:sz w:val="36"/>
          <w:szCs w:val="36"/>
          <w:u w:val="single"/>
          <w:lang w:val="en-US" w:eastAsia="zh-CN"/>
          <w14:textFill>
            <w14:solidFill>
              <w14:schemeClr w14:val="tx1"/>
            </w14:solidFill>
          </w14:textFill>
        </w:rPr>
        <w:t>3</w:t>
      </w:r>
      <w:r>
        <w:rPr>
          <w:rFonts w:hint="default" w:ascii="Times New Roman" w:hAnsi="Times New Roman" w:eastAsia="仿宋_GB2312" w:cs="Times New Roman"/>
          <w:color w:val="000000" w:themeColor="text1"/>
          <w:sz w:val="36"/>
          <w:szCs w:val="36"/>
          <w:u w:val="single"/>
          <w:lang w:eastAsia="zh-CN"/>
          <w14:textFill>
            <w14:solidFill>
              <w14:schemeClr w14:val="tx1"/>
            </w14:solidFill>
          </w14:textFill>
        </w:rPr>
        <w:t>年</w:t>
      </w:r>
      <w:r>
        <w:rPr>
          <w:rFonts w:hint="eastAsia" w:eastAsia="仿宋_GB2312" w:cs="Times New Roman"/>
          <w:color w:val="000000" w:themeColor="text1"/>
          <w:sz w:val="36"/>
          <w:szCs w:val="36"/>
          <w:u w:val="single"/>
          <w:lang w:val="en-US" w:eastAsia="zh-CN"/>
          <w14:textFill>
            <w14:solidFill>
              <w14:schemeClr w14:val="tx1"/>
            </w14:solidFill>
          </w14:textFill>
        </w:rPr>
        <w:t>9月</w:t>
      </w:r>
      <w:r>
        <w:rPr>
          <w:rFonts w:hint="default" w:ascii="Times New Roman" w:hAnsi="Times New Roman" w:eastAsia="仿宋_GB2312" w:cs="Times New Roman"/>
          <w:color w:val="000000" w:themeColor="text1"/>
          <w:sz w:val="36"/>
          <w:szCs w:val="36"/>
          <w:u w:val="single"/>
          <w:lang w:eastAsia="zh-CN"/>
          <w14:textFill>
            <w14:solidFill>
              <w14:schemeClr w14:val="tx1"/>
            </w14:solidFill>
          </w14:textFill>
        </w:rPr>
        <w:t xml:space="preserve">      </w:t>
      </w:r>
      <w:bookmarkStart w:id="9" w:name="_Hlk57884087"/>
      <w:r>
        <w:rPr>
          <w:rFonts w:hint="default" w:ascii="Times New Roman" w:hAnsi="Times New Roman" w:eastAsia="仿宋_GB2312" w:cs="Times New Roman"/>
          <w:color w:val="000000" w:themeColor="text1"/>
          <w:sz w:val="36"/>
          <w:szCs w:val="36"/>
          <w:u w:val="single"/>
          <w:lang w:val="en-US" w:eastAsia="zh-CN"/>
          <w14:textFill>
            <w14:solidFill>
              <w14:schemeClr w14:val="tx1"/>
            </w14:solidFill>
          </w14:textFill>
        </w:rPr>
        <w:t xml:space="preserve">       </w:t>
      </w:r>
    </w:p>
    <w:p>
      <w:pPr>
        <w:adjustRightInd w:val="0"/>
        <w:snapToGrid w:val="0"/>
        <w:spacing w:line="240" w:lineRule="auto"/>
        <w:ind w:firstLine="0" w:firstLineChars="0"/>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adjustRightInd w:val="0"/>
        <w:snapToGrid w:val="0"/>
        <w:spacing w:line="240" w:lineRule="auto"/>
        <w:ind w:firstLine="0" w:firstLineChars="0"/>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adjustRightInd w:val="0"/>
        <w:snapToGrid w:val="0"/>
        <w:spacing w:line="240" w:lineRule="auto"/>
        <w:ind w:firstLine="0" w:firstLineChars="0"/>
        <w:outlineLvl w:val="9"/>
        <w:rPr>
          <w:rFonts w:hint="default" w:ascii="Times New Roman" w:hAnsi="Times New Roman" w:eastAsia="仿宋_GB2312" w:cs="Times New Roman"/>
          <w:color w:val="000000" w:themeColor="text1"/>
          <w:sz w:val="36"/>
          <w:szCs w:val="36"/>
          <w14:textFill>
            <w14:solidFill>
              <w14:schemeClr w14:val="tx1"/>
            </w14:solidFill>
          </w14:textFill>
        </w:rPr>
      </w:pPr>
    </w:p>
    <w:p>
      <w:pPr>
        <w:pStyle w:val="25"/>
        <w:outlineLvl w:val="9"/>
        <w:rPr>
          <w:rFonts w:hint="default" w:ascii="Times New Roman" w:hAnsi="Times New Roman" w:cs="Times New Roman"/>
          <w:color w:val="000000" w:themeColor="text1"/>
          <w14:textFill>
            <w14:solidFill>
              <w14:schemeClr w14:val="tx1"/>
            </w14:solidFill>
          </w14:textFill>
        </w:rPr>
      </w:pPr>
    </w:p>
    <w:bookmarkEnd w:id="9"/>
    <w:p>
      <w:pPr>
        <w:adjustRightInd w:val="0"/>
        <w:snapToGrid w:val="0"/>
        <w:spacing w:line="240" w:lineRule="auto"/>
        <w:ind w:firstLine="0" w:firstLineChars="0"/>
        <w:jc w:val="center"/>
        <w:outlineLvl w:val="9"/>
        <w:rPr>
          <w:rFonts w:hint="default" w:ascii="Times New Roman" w:hAnsi="Times New Roman" w:eastAsia="楷体_GB2312" w:cs="Times New Roman"/>
          <w:color w:val="000000" w:themeColor="text1"/>
          <w:sz w:val="36"/>
          <w:szCs w:val="36"/>
          <w14:textFill>
            <w14:solidFill>
              <w14:schemeClr w14:val="tx1"/>
            </w14:solidFill>
          </w14:textFill>
        </w:rPr>
      </w:pPr>
    </w:p>
    <w:p>
      <w:pPr>
        <w:adjustRightInd w:val="0"/>
        <w:snapToGrid w:val="0"/>
        <w:spacing w:line="240" w:lineRule="auto"/>
        <w:ind w:firstLine="0" w:firstLineChars="0"/>
        <w:jc w:val="center"/>
        <w:outlineLvl w:val="9"/>
        <w:rPr>
          <w:rFonts w:hint="default" w:ascii="Times New Roman" w:hAnsi="Times New Roman" w:eastAsia="楷体_GB2312" w:cs="Times New Roman"/>
          <w:color w:val="000000" w:themeColor="text1"/>
          <w:sz w:val="36"/>
          <w:szCs w:val="36"/>
          <w14:textFill>
            <w14:solidFill>
              <w14:schemeClr w14:val="tx1"/>
            </w14:solidFill>
          </w14:textFill>
        </w:rPr>
      </w:pPr>
      <w:bookmarkStart w:id="10" w:name="_Toc26570"/>
      <w:bookmarkStart w:id="11" w:name="_Toc1833"/>
      <w:bookmarkStart w:id="12" w:name="_Toc17417"/>
      <w:bookmarkStart w:id="13" w:name="_Toc6181"/>
      <w:bookmarkStart w:id="14" w:name="_Toc2428"/>
      <w:bookmarkStart w:id="15" w:name="_Toc2307"/>
      <w:r>
        <w:rPr>
          <w:rFonts w:hint="default" w:ascii="Times New Roman" w:hAnsi="Times New Roman" w:eastAsia="楷体_GB2312" w:cs="Times New Roman"/>
          <w:color w:val="000000" w:themeColor="text1"/>
          <w:sz w:val="36"/>
          <w:szCs w:val="36"/>
          <w14:textFill>
            <w14:solidFill>
              <w14:schemeClr w14:val="tx1"/>
            </w14:solidFill>
          </w14:textFill>
        </w:rPr>
        <w:t>中华人民共和国生态环境部制</w:t>
      </w:r>
      <w:bookmarkEnd w:id="10"/>
      <w:bookmarkEnd w:id="11"/>
      <w:bookmarkEnd w:id="12"/>
      <w:bookmarkEnd w:id="13"/>
      <w:bookmarkEnd w:id="14"/>
      <w:bookmarkEnd w:id="15"/>
    </w:p>
    <w:p>
      <w:pPr>
        <w:ind w:left="0" w:leftChars="0" w:firstLine="0" w:firstLineChars="0"/>
        <w:rPr>
          <w:rFonts w:hint="eastAsia" w:eastAsia="宋体"/>
          <w:b/>
          <w:bCs/>
          <w:color w:val="000000" w:themeColor="text1"/>
          <w:lang w:eastAsia="zh-CN"/>
          <w14:textFill>
            <w14:solidFill>
              <w14:schemeClr w14:val="tx1"/>
            </w14:solidFill>
          </w14:textFill>
        </w:rPr>
        <w:sectPr>
          <w:headerReference r:id="rId5" w:type="first"/>
          <w:footerReference r:id="rId8" w:type="first"/>
          <w:headerReference r:id="rId3" w:type="default"/>
          <w:footerReference r:id="rId6" w:type="default"/>
          <w:headerReference r:id="rId4" w:type="even"/>
          <w:footerReference r:id="rId7"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titlePg/>
          <w:docGrid w:linePitch="326" w:charSpace="0"/>
        </w:sectPr>
      </w:pPr>
      <w:r>
        <w:rPr>
          <w:rFonts w:hint="default"/>
          <w:color w:val="000000" w:themeColor="text1"/>
          <w14:textFill>
            <w14:solidFill>
              <w14:schemeClr w14:val="tx1"/>
            </w14:solidFill>
          </w14:textFill>
        </w:rPr>
        <w:br w:type="page"/>
      </w:r>
    </w:p>
    <w:tbl>
      <w:tblPr>
        <w:tblStyle w:val="36"/>
        <w:tblW w:w="894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74"/>
        <w:gridCol w:w="44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5" w:hRule="exac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eastAsia"/>
                <w:vertAlign w:val="baseline"/>
                <w:lang w:val="en-US" w:eastAsia="zh-CN"/>
              </w:rPr>
              <w:drawing>
                <wp:inline distT="0" distB="0" distL="114300" distR="114300">
                  <wp:extent cx="2696210" cy="1858645"/>
                  <wp:effectExtent l="0" t="0" r="1270" b="635"/>
                  <wp:docPr id="14" name="图片 8" descr="20f8ca4f8f687b3ad0a00fbba3a512b"/>
                  <wp:cNvGraphicFramePr/>
                  <a:graphic xmlns:a="http://schemas.openxmlformats.org/drawingml/2006/main">
                    <a:graphicData uri="http://schemas.openxmlformats.org/drawingml/2006/picture">
                      <pic:pic xmlns:pic="http://schemas.openxmlformats.org/drawingml/2006/picture">
                        <pic:nvPicPr>
                          <pic:cNvPr id="14" name="图片 8" descr="20f8ca4f8f687b3ad0a00fbba3a512b"/>
                          <pic:cNvPicPr/>
                        </pic:nvPicPr>
                        <pic:blipFill>
                          <a:blip r:embed="rId14"/>
                          <a:stretch>
                            <a:fillRect/>
                          </a:stretch>
                        </pic:blipFill>
                        <pic:spPr>
                          <a:xfrm>
                            <a:off x="0" y="0"/>
                            <a:ext cx="2696210" cy="1858645"/>
                          </a:xfrm>
                          <a:prstGeom prst="rect">
                            <a:avLst/>
                          </a:prstGeom>
                          <a:noFill/>
                          <a:ln>
                            <a:noFill/>
                          </a:ln>
                        </pic:spPr>
                      </pic:pic>
                    </a:graphicData>
                  </a:graphic>
                </wp:inline>
              </w:drawing>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eastAsia"/>
                <w:vertAlign w:val="baseline"/>
                <w:lang w:val="en-US" w:eastAsia="zh-CN"/>
              </w:rPr>
              <w:drawing>
                <wp:inline distT="0" distB="0" distL="114300" distR="114300">
                  <wp:extent cx="2696210" cy="1934845"/>
                  <wp:effectExtent l="0" t="0" r="1270" b="635"/>
                  <wp:docPr id="15" name="图片 9" descr="11ce3123c52c3fc60645b8294112d9e"/>
                  <wp:cNvGraphicFramePr/>
                  <a:graphic xmlns:a="http://schemas.openxmlformats.org/drawingml/2006/main">
                    <a:graphicData uri="http://schemas.openxmlformats.org/drawingml/2006/picture">
                      <pic:pic xmlns:pic="http://schemas.openxmlformats.org/drawingml/2006/picture">
                        <pic:nvPicPr>
                          <pic:cNvPr id="15" name="图片 9" descr="11ce3123c52c3fc60645b8294112d9e"/>
                          <pic:cNvPicPr/>
                        </pic:nvPicPr>
                        <pic:blipFill>
                          <a:blip r:embed="rId15"/>
                          <a:stretch>
                            <a:fillRect/>
                          </a:stretch>
                        </pic:blipFill>
                        <pic:spPr>
                          <a:xfrm>
                            <a:off x="0" y="0"/>
                            <a:ext cx="2696210" cy="19348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36" w:hRule="atLeas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4"/>
                <w:szCs w:val="40"/>
                <w:lang w:val="en-US" w:eastAsia="zh-CN" w:bidi="ar-SA"/>
                <w14:textFill>
                  <w14:solidFill>
                    <w14:schemeClr w14:val="tx1"/>
                  </w14:solidFill>
                </w14:textFill>
              </w:rPr>
            </w:pPr>
            <w:r>
              <w:rPr>
                <w:rFonts w:hint="eastAsia" w:cs="Times New Roman"/>
                <w:color w:val="000000" w:themeColor="text1"/>
                <w:kern w:val="2"/>
                <w:sz w:val="24"/>
                <w:szCs w:val="40"/>
                <w:lang w:val="en-US" w:eastAsia="zh-CN" w:bidi="ar-SA"/>
                <w14:textFill>
                  <w14:solidFill>
                    <w14:schemeClr w14:val="tx1"/>
                  </w14:solidFill>
                </w14:textFill>
              </w:rPr>
              <w:t>项目区东侧</w:t>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4"/>
                <w:szCs w:val="40"/>
                <w:lang w:val="en-US" w:eastAsia="zh-CN" w:bidi="ar-SA"/>
                <w14:textFill>
                  <w14:solidFill>
                    <w14:schemeClr w14:val="tx1"/>
                  </w14:solidFill>
                </w14:textFill>
              </w:rPr>
            </w:pPr>
            <w:r>
              <w:rPr>
                <w:rFonts w:hint="eastAsia" w:cs="Times New Roman"/>
                <w:color w:val="000000" w:themeColor="text1"/>
                <w:kern w:val="2"/>
                <w:sz w:val="24"/>
                <w:szCs w:val="40"/>
                <w:lang w:val="en-US" w:eastAsia="zh-CN" w:bidi="ar-SA"/>
                <w14:textFill>
                  <w14:solidFill>
                    <w14:schemeClr w14:val="tx1"/>
                  </w14:solidFill>
                </w14:textFill>
              </w:rPr>
              <w:t>项目区西侧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85" w:hRule="exac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vertAlign w:val="baseline"/>
                <w:lang w:val="en-US" w:eastAsia="zh-CN"/>
              </w:rPr>
              <w:drawing>
                <wp:inline distT="0" distB="0" distL="114300" distR="114300">
                  <wp:extent cx="2599055" cy="1944370"/>
                  <wp:effectExtent l="0" t="0" r="6985" b="6350"/>
                  <wp:docPr id="9" name="图片 5" descr="68f096c57a5508d8b9dc0cef438b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68f096c57a5508d8b9dc0cef438b918"/>
                          <pic:cNvPicPr>
                            <a:picLocks noChangeAspect="1"/>
                          </pic:cNvPicPr>
                        </pic:nvPicPr>
                        <pic:blipFill>
                          <a:blip r:embed="rId16"/>
                          <a:stretch>
                            <a:fillRect/>
                          </a:stretch>
                        </pic:blipFill>
                        <pic:spPr>
                          <a:xfrm>
                            <a:off x="0" y="0"/>
                            <a:ext cx="2599055" cy="1944370"/>
                          </a:xfrm>
                          <a:prstGeom prst="rect">
                            <a:avLst/>
                          </a:prstGeom>
                          <a:noFill/>
                          <a:ln>
                            <a:noFill/>
                          </a:ln>
                        </pic:spPr>
                      </pic:pic>
                    </a:graphicData>
                  </a:graphic>
                </wp:inline>
              </w:drawing>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vertAlign w:val="baseline"/>
                <w:lang w:val="en-US" w:eastAsia="zh-CN"/>
              </w:rPr>
              <w:drawing>
                <wp:inline distT="0" distB="0" distL="114300" distR="114300">
                  <wp:extent cx="2825750" cy="1894840"/>
                  <wp:effectExtent l="0" t="0" r="8890" b="10160"/>
                  <wp:docPr id="12" name="图片 7" descr="02c1449abefcdd24bb26506d9c795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02c1449abefcdd24bb26506d9c795b0"/>
                          <pic:cNvPicPr>
                            <a:picLocks noChangeAspect="1"/>
                          </pic:cNvPicPr>
                        </pic:nvPicPr>
                        <pic:blipFill>
                          <a:blip r:embed="rId17"/>
                          <a:stretch>
                            <a:fillRect/>
                          </a:stretch>
                        </pic:blipFill>
                        <pic:spPr>
                          <a:xfrm>
                            <a:off x="0" y="0"/>
                            <a:ext cx="2825750" cy="18948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4"/>
                <w:szCs w:val="40"/>
                <w:lang w:val="en-US" w:eastAsia="zh-CN"/>
                <w14:textFill>
                  <w14:solidFill>
                    <w14:schemeClr w14:val="tx1"/>
                  </w14:solidFill>
                </w14:textFill>
              </w:rPr>
            </w:pPr>
            <w:r>
              <w:rPr>
                <w:rFonts w:hint="eastAsia" w:cs="Times New Roman"/>
                <w:color w:val="000000" w:themeColor="text1"/>
                <w:sz w:val="24"/>
                <w:szCs w:val="40"/>
                <w:lang w:val="en-US" w:eastAsia="zh-CN"/>
                <w14:textFill>
                  <w14:solidFill>
                    <w14:schemeClr w14:val="tx1"/>
                  </w14:solidFill>
                </w14:textFill>
              </w:rPr>
              <w:t>项目区南侧</w:t>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4"/>
                <w:szCs w:val="40"/>
                <w:lang w:val="en-US" w:eastAsia="zh-CN"/>
                <w14:textFill>
                  <w14:solidFill>
                    <w14:schemeClr w14:val="tx1"/>
                  </w14:solidFill>
                </w14:textFill>
              </w:rPr>
            </w:pPr>
            <w:r>
              <w:rPr>
                <w:rFonts w:hint="eastAsia" w:cs="Times New Roman"/>
                <w:color w:val="000000" w:themeColor="text1"/>
                <w:sz w:val="24"/>
                <w:szCs w:val="40"/>
                <w:lang w:val="en-US" w:eastAsia="zh-CN"/>
                <w14:textFill>
                  <w14:solidFill>
                    <w14:schemeClr w14:val="tx1"/>
                  </w14:solidFill>
                </w14:textFill>
              </w:rPr>
              <w:t>项目区北侧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5" w:hRule="exac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4"/>
                <w:szCs w:val="40"/>
                <w:lang w:val="en-US" w:eastAsia="zh-CN"/>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2531745" cy="1711325"/>
                  <wp:effectExtent l="0" t="0" r="13335" b="10795"/>
                  <wp:docPr id="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5"/>
                          <pic:cNvPicPr>
                            <a:picLocks noChangeAspect="1"/>
                          </pic:cNvPicPr>
                        </pic:nvPicPr>
                        <pic:blipFill>
                          <a:blip r:embed="rId18"/>
                          <a:stretch>
                            <a:fillRect/>
                          </a:stretch>
                        </pic:blipFill>
                        <pic:spPr>
                          <a:xfrm>
                            <a:off x="0" y="0"/>
                            <a:ext cx="2531745" cy="1711325"/>
                          </a:xfrm>
                          <a:prstGeom prst="rect">
                            <a:avLst/>
                          </a:prstGeom>
                          <a:noFill/>
                          <a:ln w="9525">
                            <a:noFill/>
                          </a:ln>
                        </pic:spPr>
                      </pic:pic>
                    </a:graphicData>
                  </a:graphic>
                </wp:inline>
              </w:drawing>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4"/>
                <w:szCs w:val="40"/>
                <w:lang w:val="en-US" w:eastAsia="zh-CN"/>
                <w14:textFill>
                  <w14:solidFill>
                    <w14:schemeClr w14:val="tx1"/>
                  </w14:solidFill>
                </w14:textFill>
              </w:rPr>
            </w:pPr>
            <w:r>
              <w:rPr>
                <w:rFonts w:hint="eastAsia"/>
                <w:vertAlign w:val="baseline"/>
                <w:lang w:val="en-US" w:eastAsia="zh-CN"/>
              </w:rPr>
              <w:drawing>
                <wp:inline distT="0" distB="0" distL="114300" distR="114300">
                  <wp:extent cx="2696210" cy="1783080"/>
                  <wp:effectExtent l="0" t="0" r="1270" b="0"/>
                  <wp:docPr id="18" name="图片 12" descr="11ce3123c52c3fc60645b8294112d9e"/>
                  <wp:cNvGraphicFramePr/>
                  <a:graphic xmlns:a="http://schemas.openxmlformats.org/drawingml/2006/main">
                    <a:graphicData uri="http://schemas.openxmlformats.org/drawingml/2006/picture">
                      <pic:pic xmlns:pic="http://schemas.openxmlformats.org/drawingml/2006/picture">
                        <pic:nvPicPr>
                          <pic:cNvPr id="18" name="图片 12" descr="11ce3123c52c3fc60645b8294112d9e"/>
                          <pic:cNvPicPr/>
                        </pic:nvPicPr>
                        <pic:blipFill>
                          <a:blip r:embed="rId15"/>
                          <a:stretch>
                            <a:fillRect/>
                          </a:stretch>
                        </pic:blipFill>
                        <pic:spPr>
                          <a:xfrm>
                            <a:off x="0" y="0"/>
                            <a:ext cx="2696210" cy="17830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4" w:hRule="exact"/>
          <w:jc w:val="center"/>
        </w:trPr>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4"/>
                <w:szCs w:val="40"/>
                <w:lang w:val="en-US" w:eastAsia="zh-CN"/>
                <w14:textFill>
                  <w14:solidFill>
                    <w14:schemeClr w14:val="tx1"/>
                  </w14:solidFill>
                </w14:textFill>
              </w:rPr>
            </w:pPr>
            <w:r>
              <w:rPr>
                <w:rFonts w:hint="eastAsia" w:cs="Times New Roman"/>
                <w:color w:val="000000" w:themeColor="text1"/>
                <w:sz w:val="24"/>
                <w:szCs w:val="40"/>
                <w:lang w:val="en-US" w:eastAsia="zh-CN"/>
                <w14:textFill>
                  <w14:solidFill>
                    <w14:schemeClr w14:val="tx1"/>
                  </w14:solidFill>
                </w14:textFill>
              </w:rPr>
              <w:t>项目区现状</w:t>
            </w:r>
          </w:p>
        </w:tc>
        <w:tc>
          <w:tcPr>
            <w:tcW w:w="447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4"/>
                <w:szCs w:val="40"/>
                <w:lang w:val="en-US" w:eastAsia="zh-CN"/>
                <w14:textFill>
                  <w14:solidFill>
                    <w14:schemeClr w14:val="tx1"/>
                  </w14:solidFill>
                </w14:textFill>
              </w:rPr>
            </w:pPr>
            <w:r>
              <w:rPr>
                <w:rFonts w:hint="eastAsia" w:cs="Times New Roman"/>
                <w:color w:val="000000" w:themeColor="text1"/>
                <w:sz w:val="24"/>
                <w:szCs w:val="40"/>
                <w:lang w:val="en-US" w:eastAsia="zh-CN"/>
                <w14:textFill>
                  <w14:solidFill>
                    <w14:schemeClr w14:val="tx1"/>
                  </w14:solidFill>
                </w14:textFill>
              </w:rPr>
              <w:t>项目区现状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10" w:hRule="exact"/>
          <w:jc w:val="center"/>
        </w:trPr>
        <w:tc>
          <w:tcPr>
            <w:tcW w:w="8948" w:type="dxa"/>
            <w:gridSpan w:val="2"/>
            <w:tcBorders>
              <w:tl2br w:val="nil"/>
              <w:tr2bl w:val="nil"/>
            </w:tcBorders>
            <w:vAlign w:val="center"/>
          </w:tcPr>
          <w:p>
            <w:pPr>
              <w:spacing w:line="240" w:lineRule="auto"/>
              <w:ind w:left="0" w:leftChars="0" w:firstLine="0" w:firstLineChars="0"/>
              <w:jc w:val="center"/>
              <w:rPr>
                <w:rFonts w:hint="default" w:ascii="Times New Roman" w:hAnsi="Times New Roman" w:eastAsia="宋体" w:cs="Times New Roman"/>
                <w:color w:val="000000" w:themeColor="text1"/>
                <w:sz w:val="24"/>
                <w:szCs w:val="22"/>
                <w14:textFill>
                  <w14:solidFill>
                    <w14:schemeClr w14:val="tx1"/>
                  </w14:solidFill>
                </w14:textFill>
              </w:rPr>
            </w:pPr>
            <w:r>
              <w:rPr>
                <w:rFonts w:hint="default" w:ascii="Times New Roman" w:hAnsi="Times New Roman" w:eastAsia="宋体" w:cs="Times New Roman"/>
                <w:b/>
                <w:bCs/>
                <w:color w:val="000000" w:themeColor="text1"/>
                <w:sz w:val="28"/>
                <w:szCs w:val="44"/>
                <w14:textFill>
                  <w14:solidFill>
                    <w14:schemeClr w14:val="tx1"/>
                  </w14:solidFill>
                </w14:textFill>
              </w:rPr>
              <w:t>现场勘查图</w:t>
            </w:r>
          </w:p>
        </w:tc>
      </w:tr>
    </w:tbl>
    <w:p>
      <w:pPr>
        <w:adjustRightInd w:val="0"/>
        <w:snapToGrid w:val="0"/>
        <w:spacing w:line="240" w:lineRule="auto"/>
        <w:ind w:firstLine="0" w:firstLineChars="0"/>
        <w:jc w:val="center"/>
        <w:rPr>
          <w:rFonts w:hint="default" w:ascii="Times New Roman" w:hAnsi="Times New Roman" w:eastAsia="楷体_GB2312" w:cs="Times New Roman"/>
          <w:b/>
          <w:bCs/>
          <w:color w:val="000000" w:themeColor="text1"/>
          <w:sz w:val="36"/>
          <w:szCs w:val="36"/>
          <w:highlight w:val="yellow"/>
          <w14:textFill>
            <w14:solidFill>
              <w14:schemeClr w14:val="tx1"/>
            </w14:solidFill>
          </w14:textFill>
        </w:rPr>
        <w:sectPr>
          <w:footerReference r:id="rId10" w:type="first"/>
          <w:footerReference r:id="rId9"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titlePg/>
          <w:docGrid w:linePitch="326" w:charSpace="0"/>
        </w:sectPr>
      </w:pPr>
    </w:p>
    <w:p>
      <w:pPr>
        <w:spacing w:before="0" w:beforeLines="0" w:after="0" w:afterLines="0" w:line="360" w:lineRule="auto"/>
        <w:ind w:left="0" w:leftChars="0" w:right="0" w:rightChars="0" w:firstLine="0" w:firstLineChars="0"/>
        <w:jc w:val="both"/>
        <w:rPr>
          <w:color w:val="000000" w:themeColor="text1"/>
          <w14:textFill>
            <w14:solidFill>
              <w14:schemeClr w14:val="tx1"/>
            </w14:solidFill>
          </w14:textFill>
        </w:rPr>
      </w:pPr>
      <w:bookmarkStart w:id="16" w:name="_Toc4944"/>
      <w:bookmarkStart w:id="17" w:name="_Toc27761"/>
      <w:bookmarkStart w:id="18" w:name="_Toc24648"/>
      <w:bookmarkStart w:id="19" w:name="_Toc1765"/>
      <w:bookmarkStart w:id="20" w:name="_Toc14595"/>
      <w:bookmarkStart w:id="21" w:name="_Toc11728"/>
      <w:bookmarkStart w:id="22" w:name="_Toc7411"/>
      <w:bookmarkStart w:id="23" w:name="_Toc2254"/>
    </w:p>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eastAsia" w:ascii="黑体" w:hAnsi="黑体" w:eastAsia="黑体" w:cs="黑体"/>
          <w:b w:val="0"/>
          <w:bCs w:val="0"/>
          <w:snapToGrid w:val="0"/>
          <w:color w:val="000000" w:themeColor="text1"/>
          <w:sz w:val="30"/>
          <w:szCs w:val="30"/>
          <w14:textFill>
            <w14:solidFill>
              <w14:schemeClr w14:val="tx1"/>
            </w14:solidFill>
          </w14:textFill>
        </w:rPr>
      </w:pPr>
      <w:r>
        <w:rPr>
          <w:rFonts w:hint="eastAsia" w:ascii="黑体" w:hAnsi="黑体" w:eastAsia="黑体" w:cs="黑体"/>
          <w:b w:val="0"/>
          <w:bCs w:val="0"/>
          <w:snapToGrid w:val="0"/>
          <w:color w:val="000000" w:themeColor="text1"/>
          <w:sz w:val="30"/>
          <w:szCs w:val="30"/>
          <w14:textFill>
            <w14:solidFill>
              <w14:schemeClr w14:val="tx1"/>
            </w14:solidFill>
          </w14:textFill>
        </w:rPr>
        <w:t>一、建设项目基本情况</w:t>
      </w:r>
      <w:bookmarkEnd w:id="16"/>
      <w:bookmarkEnd w:id="17"/>
      <w:bookmarkEnd w:id="18"/>
      <w:bookmarkEnd w:id="19"/>
      <w:bookmarkEnd w:id="20"/>
      <w:bookmarkEnd w:id="21"/>
      <w:bookmarkEnd w:id="22"/>
      <w:bookmarkEnd w:id="23"/>
    </w:p>
    <w:tbl>
      <w:tblPr>
        <w:tblStyle w:val="35"/>
        <w:tblW w:w="913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23"/>
        <w:gridCol w:w="2278"/>
        <w:gridCol w:w="2339"/>
        <w:gridCol w:w="29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建设项目名称</w:t>
            </w:r>
          </w:p>
        </w:tc>
        <w:tc>
          <w:tcPr>
            <w:tcW w:w="7613" w:type="dxa"/>
            <w:gridSpan w:val="3"/>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准东新特硅基绿色低碳硅基产业园区示范项目（光伏项目）</w:t>
            </w:r>
          </w:p>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项目代码</w:t>
            </w:r>
          </w:p>
        </w:tc>
        <w:tc>
          <w:tcPr>
            <w:tcW w:w="7613" w:type="dxa"/>
            <w:gridSpan w:val="3"/>
            <w:vAlign w:val="center"/>
          </w:tcPr>
          <w:p>
            <w:pPr>
              <w:keepNext w:val="0"/>
              <w:keepLines w:val="0"/>
              <w:pageBreakBefore w:val="0"/>
              <w:kinsoku/>
              <w:wordWrap/>
              <w:overflowPunct/>
              <w:topLinePunct w:val="0"/>
              <w:bidi w:val="0"/>
              <w:adjustRightInd w:val="0"/>
              <w:snapToGrid w:val="0"/>
              <w:spacing w:line="240" w:lineRule="auto"/>
              <w:ind w:left="24" w:leftChars="10" w:right="24" w:rightChars="10" w:firstLine="0" w:firstLineChars="0"/>
              <w:jc w:val="center"/>
              <w:textAlignment w:val="auto"/>
              <w:outlineLvl w:val="9"/>
              <w:rPr>
                <w:rFonts w:hint="default" w:ascii="Times New Roman" w:hAnsi="Times New Roman" w:eastAsia="宋体" w:cs="Times New Roman"/>
                <w:color w:val="000000" w:themeColor="text1"/>
                <w:kern w:val="2"/>
                <w:sz w:val="24"/>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2307-652325-04-01-322447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建设单位联系人</w:t>
            </w:r>
          </w:p>
        </w:tc>
        <w:tc>
          <w:tcPr>
            <w:tcW w:w="2278" w:type="dxa"/>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杨炳钊</w:t>
            </w:r>
          </w:p>
        </w:tc>
        <w:tc>
          <w:tcPr>
            <w:tcW w:w="2339" w:type="dxa"/>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联系方式</w:t>
            </w:r>
          </w:p>
        </w:tc>
        <w:tc>
          <w:tcPr>
            <w:tcW w:w="2996" w:type="dxa"/>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18690288500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建设地点</w:t>
            </w:r>
          </w:p>
        </w:tc>
        <w:tc>
          <w:tcPr>
            <w:tcW w:w="7613" w:type="dxa"/>
            <w:gridSpan w:val="3"/>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2"/>
                <w:sz w:val="24"/>
                <w:szCs w:val="21"/>
                <w:lang w:val="en-US" w:eastAsia="zh-CN" w:bidi="ar-SA"/>
                <w14:textFill>
                  <w14:solidFill>
                    <w14:schemeClr w14:val="tx1"/>
                  </w14:solidFill>
                </w14:textFill>
              </w:rPr>
            </w:pPr>
            <w:r>
              <w:rPr>
                <w:rFonts w:hint="eastAsia" w:ascii="宋体" w:hAnsi="宋体" w:cs="宋体"/>
                <w:color w:val="000000" w:themeColor="text1"/>
                <w:sz w:val="24"/>
                <w:szCs w:val="24"/>
                <w:u w:val="single"/>
                <w14:textFill>
                  <w14:solidFill>
                    <w14:schemeClr w14:val="tx1"/>
                  </w14:solidFill>
                </w14:textFill>
              </w:rPr>
              <w:t>新疆维吾尔自治区昌吉回族自治州</w:t>
            </w:r>
            <w:r>
              <w:rPr>
                <w:rFonts w:hint="eastAsia" w:ascii="宋体" w:hAnsi="宋体" w:cs="宋体"/>
                <w:color w:val="000000" w:themeColor="text1"/>
                <w:sz w:val="24"/>
                <w:szCs w:val="24"/>
                <w:u w:val="single"/>
                <w:lang w:eastAsia="zh-CN"/>
                <w14:textFill>
                  <w14:solidFill>
                    <w14:schemeClr w14:val="tx1"/>
                  </w14:solidFill>
                </w14:textFill>
              </w:rPr>
              <w:t>奇台县塔塔尔族乡（北山直属）（距奇台县城约</w:t>
            </w:r>
            <w:r>
              <w:rPr>
                <w:rFonts w:hint="eastAsia" w:ascii="宋体" w:hAnsi="宋体" w:cs="宋体"/>
                <w:color w:val="000000" w:themeColor="text1"/>
                <w:sz w:val="24"/>
                <w:szCs w:val="24"/>
                <w:u w:val="single"/>
                <w:lang w:val="en-US" w:eastAsia="zh-CN"/>
                <w14:textFill>
                  <w14:solidFill>
                    <w14:schemeClr w14:val="tx1"/>
                  </w14:solidFill>
                </w14:textFill>
              </w:rPr>
              <w:t>50km</w:t>
            </w:r>
            <w:r>
              <w:rPr>
                <w:rFonts w:hint="eastAsia" w:ascii="宋体" w:hAnsi="宋体" w:cs="宋体"/>
                <w:color w:val="000000" w:themeColor="text1"/>
                <w:sz w:val="24"/>
                <w:szCs w:val="24"/>
                <w:u w:val="single"/>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地理坐标</w:t>
            </w:r>
          </w:p>
        </w:tc>
        <w:tc>
          <w:tcPr>
            <w:tcW w:w="7613" w:type="dxa"/>
            <w:gridSpan w:val="3"/>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lang w:val="en-US"/>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中心坐标东经</w:t>
            </w:r>
            <w:r>
              <w:rPr>
                <w:rFonts w:hint="eastAsia" w:cs="Times New Roman"/>
                <w:color w:val="000000" w:themeColor="text1"/>
                <w:sz w:val="24"/>
                <w:highlight w:val="none"/>
                <w:lang w:val="en-US" w:eastAsia="zh-CN"/>
                <w14:textFill>
                  <w14:solidFill>
                    <w14:schemeClr w14:val="tx1"/>
                  </w14:solidFill>
                </w14:textFill>
              </w:rPr>
              <w:t>89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29.281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″,北纬</w:t>
            </w:r>
            <w:r>
              <w:rPr>
                <w:rFonts w:hint="eastAsia" w:cs="Times New Roman"/>
                <w:color w:val="000000" w:themeColor="text1"/>
                <w:sz w:val="24"/>
                <w:highlight w:val="none"/>
                <w:lang w:val="en-US" w:eastAsia="zh-CN"/>
                <w14:textFill>
                  <w14:solidFill>
                    <w14:schemeClr w14:val="tx1"/>
                  </w14:solidFill>
                </w14:textFill>
              </w:rPr>
              <w:t>44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34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11.212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1206"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w:t>
            </w:r>
          </w:p>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行业类别</w:t>
            </w:r>
          </w:p>
        </w:tc>
        <w:tc>
          <w:tcPr>
            <w:tcW w:w="2278" w:type="dxa"/>
            <w:vAlign w:val="center"/>
          </w:tcPr>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四十一、电力、热力生产和供应业中90、陆地利用地热、太阳能热等发电</w:t>
            </w:r>
          </w:p>
          <w:p>
            <w:pPr>
              <w:keepNext w:val="0"/>
              <w:keepLines w:val="0"/>
              <w:pageBreakBefore w:val="0"/>
              <w:widowControl/>
              <w:suppressLineNumbers w:val="0"/>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p>
        </w:tc>
        <w:tc>
          <w:tcPr>
            <w:tcW w:w="23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用地（用海）面积（m</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）/长度（km）</w:t>
            </w:r>
          </w:p>
        </w:tc>
        <w:tc>
          <w:tcPr>
            <w:tcW w:w="29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center"/>
              <w:textAlignment w:val="auto"/>
              <w:rPr>
                <w:rFonts w:hint="default"/>
                <w:color w:val="000000" w:themeColor="text1"/>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约35525.62亩，23684930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建设性质</w:t>
            </w:r>
          </w:p>
        </w:tc>
        <w:tc>
          <w:tcPr>
            <w:tcW w:w="227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新建（迁建）</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改建</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扩建</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技术改造</w:t>
            </w:r>
          </w:p>
        </w:tc>
        <w:tc>
          <w:tcPr>
            <w:tcW w:w="233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申报情形</w:t>
            </w:r>
          </w:p>
        </w:tc>
        <w:tc>
          <w:tcPr>
            <w:tcW w:w="29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首次申报项目</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不予批准后再次申报项目</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超五年重新审核项目</w:t>
            </w:r>
          </w:p>
          <w:p>
            <w:pPr>
              <w:keepNext w:val="0"/>
              <w:keepLines w:val="0"/>
              <w:pageBreakBefore w:val="0"/>
              <w:widowControl w:val="0"/>
              <w:kinsoku/>
              <w:wordWrap/>
              <w:overflowPunct/>
              <w:topLinePunct w:val="0"/>
              <w:autoSpaceDE/>
              <w:autoSpaceDN/>
              <w:bidi w:val="0"/>
              <w:adjustRightInd w:val="0"/>
              <w:snapToGrid w:val="0"/>
              <w:spacing w:line="240" w:lineRule="auto"/>
              <w:ind w:left="24" w:leftChars="10" w:right="24" w:rightChars="10" w:firstLine="0" w:firstLineChars="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项目审批（核准/备案）部门（选填）</w:t>
            </w:r>
          </w:p>
        </w:tc>
        <w:tc>
          <w:tcPr>
            <w:tcW w:w="2278"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昌吉州发展和改革委员会</w:t>
            </w:r>
          </w:p>
        </w:tc>
        <w:tc>
          <w:tcPr>
            <w:tcW w:w="2339"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项目审批（核准/</w:t>
            </w:r>
          </w:p>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备案）文号（选填）</w:t>
            </w:r>
          </w:p>
        </w:tc>
        <w:tc>
          <w:tcPr>
            <w:tcW w:w="2996"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昌州发改工〔2023〕83号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总投资（万元）</w:t>
            </w:r>
          </w:p>
        </w:tc>
        <w:tc>
          <w:tcPr>
            <w:tcW w:w="2278"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447152.99</w:t>
            </w:r>
          </w:p>
        </w:tc>
        <w:tc>
          <w:tcPr>
            <w:tcW w:w="233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环保投资（万元）</w:t>
            </w:r>
          </w:p>
        </w:tc>
        <w:tc>
          <w:tcPr>
            <w:tcW w:w="2996"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328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环保投资占比（%）</w:t>
            </w:r>
          </w:p>
        </w:tc>
        <w:tc>
          <w:tcPr>
            <w:tcW w:w="2278"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0.073</w:t>
            </w:r>
          </w:p>
        </w:tc>
        <w:tc>
          <w:tcPr>
            <w:tcW w:w="233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施工工期</w:t>
            </w:r>
          </w:p>
        </w:tc>
        <w:tc>
          <w:tcPr>
            <w:tcW w:w="2996" w:type="dxa"/>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是否开工建设</w:t>
            </w:r>
          </w:p>
        </w:tc>
        <w:tc>
          <w:tcPr>
            <w:tcW w:w="7613" w:type="dxa"/>
            <w:gridSpan w:val="3"/>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否</w:t>
            </w:r>
          </w:p>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left"/>
              <w:textAlignment w:val="auto"/>
              <w:rPr>
                <w:rFonts w:hint="default" w:ascii="Times New Roman" w:hAnsi="Times New Roman" w:eastAsia="宋体" w:cs="Times New Roman"/>
                <w:color w:val="000000" w:themeColor="text1"/>
                <w:sz w:val="24"/>
                <w:lang w:val="en-US"/>
                <w14:textFill>
                  <w14:solidFill>
                    <w14:schemeClr w14:val="tx1"/>
                  </w14:solidFill>
                </w14:textFill>
              </w:rPr>
            </w:pP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是：</w:t>
            </w:r>
            <w:r>
              <w:rPr>
                <w:rFonts w:hint="eastAsia" w:cs="Times New Roman"/>
                <w:color w:val="000000" w:themeColor="text1"/>
                <w:sz w:val="24"/>
                <w:u w:val="single"/>
                <w:lang w:val="en-US" w:eastAsia="zh-CN"/>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56"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专项评价设置情况</w:t>
            </w:r>
          </w:p>
        </w:tc>
        <w:tc>
          <w:tcPr>
            <w:tcW w:w="7613" w:type="dxa"/>
            <w:gridSpan w:val="3"/>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spacing w:line="240" w:lineRule="auto"/>
              <w:ind w:right="24" w:rightChars="10" w:firstLine="3600" w:firstLineChars="1500"/>
              <w:textAlignment w:val="auto"/>
              <w:rPr>
                <w:rFonts w:hint="eastAsia" w:ascii="Times New Roman" w:hAnsi="Times New Roman" w:eastAsia="宋体" w:cs="Times New Roman"/>
                <w:color w:val="000000" w:themeColor="text1"/>
                <w:kern w:val="0"/>
                <w:sz w:val="24"/>
                <w:lang w:eastAsia="zh-CN"/>
                <w14:textFill>
                  <w14:solidFill>
                    <w14:schemeClr w14:val="tx1"/>
                  </w14:solidFill>
                </w14:textFill>
              </w:rPr>
            </w:pPr>
            <w:r>
              <w:rPr>
                <w:rFonts w:hint="eastAsia" w:cs="Times New Roman"/>
                <w:bCs/>
                <w:color w:val="000000" w:themeColor="text1"/>
                <w:kern w:val="24"/>
                <w:sz w:val="24"/>
                <w:lang w:eastAsia="zh-CN"/>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07"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规划情况</w:t>
            </w:r>
          </w:p>
        </w:tc>
        <w:tc>
          <w:tcPr>
            <w:tcW w:w="7613" w:type="dxa"/>
            <w:gridSpan w:val="3"/>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lang w:val="en-US" w:eastAsia="zh-CN"/>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规划环境影响</w:t>
            </w:r>
          </w:p>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评价情况</w:t>
            </w:r>
          </w:p>
        </w:tc>
        <w:tc>
          <w:tcPr>
            <w:tcW w:w="7613" w:type="dxa"/>
            <w:gridSpan w:val="3"/>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829"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规划及</w:t>
            </w:r>
            <w:r>
              <w:rPr>
                <w:rFonts w:hint="default" w:ascii="Times New Roman" w:hAnsi="Times New Roman" w:eastAsia="宋体" w:cs="Times New Roman"/>
                <w:color w:val="000000" w:themeColor="text1"/>
                <w:sz w:val="24"/>
                <w14:textFill>
                  <w14:solidFill>
                    <w14:schemeClr w14:val="tx1"/>
                  </w14:solidFill>
                </w14:textFill>
              </w:rPr>
              <w:t>规划环境影响评价</w:t>
            </w:r>
            <w:r>
              <w:rPr>
                <w:rFonts w:hint="default" w:ascii="Times New Roman" w:hAnsi="Times New Roman" w:eastAsia="宋体" w:cs="Times New Roman"/>
                <w:color w:val="000000" w:themeColor="text1"/>
                <w:kern w:val="0"/>
                <w:sz w:val="24"/>
                <w14:textFill>
                  <w14:solidFill>
                    <w14:schemeClr w14:val="tx1"/>
                  </w14:solidFill>
                </w14:textFill>
              </w:rPr>
              <w:t>符合性分析</w:t>
            </w:r>
          </w:p>
        </w:tc>
        <w:tc>
          <w:tcPr>
            <w:tcW w:w="7613" w:type="dxa"/>
            <w:gridSpan w:val="3"/>
            <w:tcMar>
              <w:top w:w="16" w:type="dxa"/>
              <w:left w:w="16" w:type="dxa"/>
              <w:right w:w="16" w:type="dxa"/>
            </w:tcMar>
            <w:vAlign w:val="center"/>
          </w:tcPr>
          <w:p>
            <w:pPr>
              <w:keepNext w:val="0"/>
              <w:keepLines w:val="0"/>
              <w:pageBreakBefore w:val="0"/>
              <w:widowControl w:val="0"/>
              <w:tabs>
                <w:tab w:val="left" w:pos="621"/>
              </w:tabs>
              <w:kinsoku/>
              <w:wordWrap/>
              <w:overflowPunct/>
              <w:topLinePunct w:val="0"/>
              <w:bidi w:val="0"/>
              <w:spacing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SA"/>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523"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4"/>
                <w14:textFill>
                  <w14:solidFill>
                    <w14:schemeClr w14:val="tx1"/>
                  </w14:solidFill>
                </w14:textFill>
              </w:rPr>
            </w:pPr>
            <w:bookmarkStart w:id="24" w:name="_Hlk56690880"/>
            <w:r>
              <w:rPr>
                <w:rFonts w:hint="default" w:ascii="Times New Roman" w:hAnsi="Times New Roman" w:eastAsia="宋体" w:cs="Times New Roman"/>
                <w:color w:val="000000" w:themeColor="text1"/>
                <w:kern w:val="0"/>
                <w:sz w:val="24"/>
                <w14:textFill>
                  <w14:solidFill>
                    <w14:schemeClr w14:val="tx1"/>
                  </w14:solidFill>
                </w14:textFill>
              </w:rPr>
              <w:t>其他符合性分析</w:t>
            </w:r>
            <w:bookmarkEnd w:id="24"/>
          </w:p>
        </w:tc>
        <w:tc>
          <w:tcPr>
            <w:tcW w:w="7613" w:type="dxa"/>
            <w:gridSpan w:val="3"/>
            <w:tcMar>
              <w:top w:w="16" w:type="dxa"/>
              <w:left w:w="16" w:type="dxa"/>
              <w:right w:w="16"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157" w:beforeLines="50"/>
              <w:ind w:left="24" w:leftChars="10" w:right="24" w:rightChars="10" w:firstLine="0" w:firstLineChars="0"/>
              <w:jc w:val="both"/>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1、产业政策符合性分析 </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bookmarkStart w:id="25" w:name="_Toc26970"/>
            <w:bookmarkStart w:id="26" w:name="_Toc23774"/>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color w:val="000000" w:themeColor="text1"/>
                <w:sz w:val="24"/>
                <w:szCs w:val="24"/>
                <w:lang w:val="en-US"/>
                <w14:textFill>
                  <w14:solidFill>
                    <w14:schemeClr w14:val="tx1"/>
                  </w14:solidFill>
                </w14:textFill>
              </w:rPr>
              <w:t>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光伏发电</w:t>
            </w:r>
            <w:r>
              <w:rPr>
                <w:rFonts w:hint="default" w:ascii="Times New Roman" w:hAnsi="Times New Roman" w:eastAsia="宋体" w:cs="Times New Roman"/>
                <w:color w:val="000000" w:themeColor="text1"/>
                <w:sz w:val="24"/>
                <w:szCs w:val="24"/>
                <w:lang w:val="en-US"/>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，属</w:t>
            </w:r>
            <w:r>
              <w:rPr>
                <w:rFonts w:hint="default" w:ascii="Times New Roman" w:hAnsi="Times New Roman" w:eastAsia="宋体" w:cs="Times New Roman"/>
                <w:color w:val="000000" w:themeColor="text1"/>
                <w:sz w:val="24"/>
                <w:szCs w:val="24"/>
                <w:lang w:val="en-US"/>
                <w14:textFill>
                  <w14:solidFill>
                    <w14:schemeClr w14:val="tx1"/>
                  </w14:solidFill>
                </w14:textFill>
              </w:rPr>
              <w:t>国家发展和改革委员会《产业结构调整指导目录》（2019年本）</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及</w:t>
            </w:r>
            <w:r>
              <w:rPr>
                <w:rFonts w:hint="eastAsia" w:cs="Times New Roman"/>
                <w:color w:val="000000" w:themeColor="text1"/>
                <w:sz w:val="24"/>
                <w:szCs w:val="24"/>
                <w:lang w:val="en-US" w:eastAsia="zh-CN"/>
                <w14:textFill>
                  <w14:solidFill>
                    <w14:schemeClr w14:val="tx1"/>
                  </w14:solidFill>
                </w14:textFill>
              </w:rPr>
              <w:t>2021年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修订</w:t>
            </w:r>
            <w:r>
              <w:rPr>
                <w:rFonts w:hint="eastAsia" w:cs="Times New Roman"/>
                <w:color w:val="000000" w:themeColor="text1"/>
                <w:sz w:val="24"/>
                <w:szCs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中的“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第一类鼓励类</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”中“五、新能源”中“</w:t>
            </w:r>
            <w:r>
              <w:rPr>
                <w:rFonts w:hint="default" w:ascii="Times New Roman" w:hAnsi="Times New Roman" w:eastAsia="宋体" w:cs="Times New Roman"/>
                <w:color w:val="000000" w:themeColor="text1"/>
                <w:sz w:val="24"/>
                <w:szCs w:val="24"/>
                <w:lang w:val="en-US"/>
                <w14:textFill>
                  <w14:solidFill>
                    <w14:schemeClr w14:val="tx1"/>
                  </w14:solidFill>
                </w14:textFill>
              </w:rPr>
              <w:t>太阳能光伏发电系统集成技术开发应用</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类项目，符合国家产业政策。</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西部地区鼓励类产业目录（2020年本）》，本项目属于“十、新疆维吾尔自治区”中“3.风力、光伏发电场建设及运营，太阳能发电系统制造”，为西部地区鼓励类产业，符合《西部地区鼓励类产业目录（2020年本）》要求。</w:t>
            </w:r>
          </w:p>
          <w:p>
            <w:pPr>
              <w:pStyle w:val="6"/>
              <w:pageBreakBefore w:val="0"/>
              <w:kinsoku/>
              <w:wordWrap/>
              <w:overflowPunct/>
              <w:topLinePunct w:val="0"/>
              <w:bidi w:val="0"/>
              <w:ind w:left="24" w:leftChars="10" w:right="24" w:rightChars="10" w:firstLine="0" w:firstLineChars="0"/>
              <w:textAlignment w:val="auto"/>
              <w:rPr>
                <w:rFonts w:hint="default" w:ascii="Times New Roman" w:hAnsi="Times New Roman" w:eastAsia="宋体" w:cs="Times New Roman"/>
                <w:b/>
                <w:bCs w:val="0"/>
                <w:color w:val="000000" w:themeColor="text1"/>
                <w:kern w:val="0"/>
                <w:sz w:val="24"/>
                <w:szCs w:val="24"/>
                <w:lang w:val="en-US" w:eastAsia="zh-CN" w:bidi="ar"/>
                <w14:textFill>
                  <w14:solidFill>
                    <w14:schemeClr w14:val="tx1"/>
                  </w14:solidFill>
                </w14:textFill>
              </w:rPr>
            </w:pPr>
            <w:r>
              <w:rPr>
                <w:rFonts w:hint="eastAsia" w:cs="Times New Roman"/>
                <w:b/>
                <w:bCs w:val="0"/>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b/>
                <w:bCs w:val="0"/>
                <w:color w:val="000000" w:themeColor="text1"/>
                <w:kern w:val="0"/>
                <w:sz w:val="24"/>
                <w:szCs w:val="24"/>
                <w:lang w:val="en-US" w:eastAsia="zh-CN" w:bidi="ar"/>
                <w14:textFill>
                  <w14:solidFill>
                    <w14:schemeClr w14:val="tx1"/>
                  </w14:solidFill>
                </w14:textFill>
              </w:rPr>
              <w:t>三线一单</w:t>
            </w:r>
            <w:r>
              <w:rPr>
                <w:rFonts w:hint="eastAsia" w:cs="Times New Roman"/>
                <w:b/>
                <w:bCs w:val="0"/>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b/>
                <w:bCs w:val="0"/>
                <w:color w:val="000000" w:themeColor="text1"/>
                <w:kern w:val="0"/>
                <w:sz w:val="24"/>
                <w:szCs w:val="24"/>
                <w:lang w:val="en-US" w:eastAsia="zh-CN" w:bidi="ar"/>
                <w14:textFill>
                  <w14:solidFill>
                    <w14:schemeClr w14:val="tx1"/>
                  </w14:solidFill>
                </w14:textFill>
              </w:rPr>
              <w:t>符合性分析</w:t>
            </w:r>
            <w:bookmarkEnd w:id="25"/>
            <w:bookmarkEnd w:id="26"/>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lang w:val="en-US"/>
                <w14:textFill>
                  <w14:solidFill>
                    <w14:schemeClr w14:val="tx1"/>
                  </w14:solidFill>
                </w14:textFill>
              </w:rPr>
              <w:t>根据《关于以改善环境质量为核心加强环境影响评价管理的通知》（环环评[2016]150号）：</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为适应以改善环境质量为核心的环境管理要求，切实加强环境影响评价管理，落实：</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生态保护红线、环境质量底线、资源利用上线和环境准入负面清单</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约束</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2021年2月21日，新疆维吾尔自治区人民政府以新政发﹝2021﹞18号文印发了关于《新疆维吾尔自治区“三线一单”生态环境分区管控方案》(以下简称“方案”)的通知，《方案》提出：到2025年，全区生态环境质量总体改善，环境风险得到有效管控。建立较为完善的生态环境分区管控体系与数据信息应用机制和共享系统，生态环境治理体系和治理能力现代化取得显著进展。</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关于《昌吉回族自治州“三线一单”生态环境分区管控方案》</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的通知</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“方案”提出：到2035年，全州生态环境质量实现根本好转，节约资源和保护生态环境的空间格局、产业结构、生产方式、生活方式总体形成，生态系统健康和人群健康得到充分保障，环境经济实现良性循环。</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val="en-US"/>
                <w14:textFill>
                  <w14:solidFill>
                    <w14:schemeClr w14:val="tx1"/>
                  </w14:solidFill>
                </w14:textFill>
              </w:rPr>
              <w:t>生态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保护</w:t>
            </w:r>
            <w:r>
              <w:rPr>
                <w:rFonts w:hint="default" w:ascii="Times New Roman" w:hAnsi="Times New Roman" w:eastAsia="宋体" w:cs="Times New Roman"/>
                <w:color w:val="000000" w:themeColor="text1"/>
                <w:sz w:val="24"/>
                <w:szCs w:val="24"/>
                <w:lang w:val="en-US"/>
                <w14:textFill>
                  <w14:solidFill>
                    <w14:schemeClr w14:val="tx1"/>
                  </w14:solidFill>
                </w14:textFill>
              </w:rPr>
              <w:t>红线</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工程</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位于新疆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奇台县北部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，选址不涉及自然保护区、森林公园、风景名胜区、世界文化和自然遗产地、饮用水源保护区及其他重要生态功能区和生态环境敏感区、脆弱区，不在生态保护红线范围内，符合生态保护红线要求。</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14:textFill>
                  <w14:solidFill>
                    <w14:schemeClr w14:val="tx1"/>
                  </w14:solidFill>
                </w14:textFill>
              </w:rPr>
              <w:t>（2）环境质量底线</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本工程</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施工期采取有效措施防治大气、水污染，运营期无大气、水污染，对区域环境空气质量、地表水环境无影响</w:t>
            </w:r>
            <w:r>
              <w:rPr>
                <w:rFonts w:hint="eastAsia" w:cs="Times New Roman"/>
                <w:color w:val="000000" w:themeColor="text1"/>
                <w:sz w:val="24"/>
                <w:szCs w:val="24"/>
                <w:lang w:val="en-US" w:eastAsia="zh-CN"/>
                <w14:textFill>
                  <w14:solidFill>
                    <w14:schemeClr w14:val="tx1"/>
                  </w14:solidFill>
                </w14:textFill>
              </w:rPr>
              <w:t>。工程建设</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不会对周边区域土壤环境造成影响。建设项目采取的环保措施能确保污染物对环境质量影响降到最小，不</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会</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突破所在区域环境质量底线。</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（3）资源利用上线</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工程为光伏</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发电</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，运营期无能源消耗，</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地表</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有少量荒漠植被，无珍稀濒危物种。工程占地面积较小，造成的自然资源损失的量较小。项目区不属于资源、能源紧缺区域，运营期无能源消耗，不会超过划定的资源利用上线，可以满足资源利用要求。</w:t>
            </w:r>
          </w:p>
          <w:p>
            <w:pPr>
              <w:spacing w:line="360" w:lineRule="auto"/>
              <w:ind w:firstLine="480" w:firstLineChars="200"/>
              <w:jc w:val="both"/>
              <w:outlineLvl w:val="9"/>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14:textFill>
                  <w14:solidFill>
                    <w14:schemeClr w14:val="tx1"/>
                  </w14:solidFill>
                </w14:textFill>
              </w:rPr>
              <w:t>（4）环境管控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要求</w:t>
            </w:r>
          </w:p>
          <w:p>
            <w:pPr>
              <w:spacing w:line="360" w:lineRule="auto"/>
              <w:ind w:firstLine="480" w:firstLineChars="200"/>
              <w:jc w:val="both"/>
              <w:outlineLvl w:val="9"/>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14:textFill>
                  <w14:solidFill>
                    <w14:schemeClr w14:val="tx1"/>
                  </w14:solidFill>
                </w14:textFill>
              </w:rPr>
              <w:t>①</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4"/>
                <w:szCs w:val="24"/>
                <w:lang w:val="en-US"/>
                <w14:textFill>
                  <w14:solidFill>
                    <w14:schemeClr w14:val="tx1"/>
                  </w14:solidFill>
                </w14:textFill>
              </w:rPr>
              <w:t>自治区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三线一单</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生态环境分区管控</w:t>
            </w:r>
            <w:r>
              <w:rPr>
                <w:rFonts w:hint="eastAsia" w:cs="Times New Roman"/>
                <w:color w:val="000000" w:themeColor="text1"/>
                <w:sz w:val="24"/>
                <w:szCs w:val="24"/>
                <w:lang w:val="en-US" w:eastAsia="zh-CN"/>
                <w14:textFill>
                  <w14:solidFill>
                    <w14:schemeClr w14:val="tx1"/>
                  </w14:solidFill>
                </w14:textFill>
              </w:rPr>
              <w:t>符合性分析</w:t>
            </w:r>
          </w:p>
          <w:p>
            <w:pPr>
              <w:spacing w:line="360" w:lineRule="auto"/>
              <w:ind w:firstLine="480" w:firstLineChars="200"/>
              <w:jc w:val="both"/>
              <w:outlineLvl w:val="9"/>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lang w:val="en-US"/>
                <w14:textFill>
                  <w14:solidFill>
                    <w14:schemeClr w14:val="tx1"/>
                  </w14:solidFill>
                </w14:textFill>
              </w:rPr>
              <w:t>根据《关于印发&lt;新疆维吾尔自治区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三线一单</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生态环境分区管控方案&gt;的通知》（新政发[2021]18号）生态环境分区管控中环境管控单元分为优先保护单元、重点管控单元和一般管控单元三类，该方案将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昌吉州</w:t>
            </w:r>
            <w:r>
              <w:rPr>
                <w:rFonts w:hint="default" w:ascii="Times New Roman" w:hAnsi="Times New Roman" w:eastAsia="宋体" w:cs="Times New Roman"/>
                <w:color w:val="000000" w:themeColor="text1"/>
                <w:sz w:val="24"/>
                <w:szCs w:val="24"/>
                <w:lang w:val="en-US"/>
                <w14:textFill>
                  <w14:solidFill>
                    <w14:schemeClr w14:val="tx1"/>
                  </w14:solidFill>
                </w14:textFill>
              </w:rPr>
              <w:t>环境管控单元划定为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119</w:t>
            </w:r>
            <w:r>
              <w:rPr>
                <w:rFonts w:hint="default" w:ascii="Times New Roman" w:hAnsi="Times New Roman" w:eastAsia="宋体" w:cs="Times New Roman"/>
                <w:color w:val="000000" w:themeColor="text1"/>
                <w:sz w:val="24"/>
                <w:szCs w:val="24"/>
                <w:lang w:val="en-US"/>
                <w14:textFill>
                  <w14:solidFill>
                    <w14:schemeClr w14:val="tx1"/>
                  </w14:solidFill>
                </w14:textFill>
              </w:rPr>
              <w:t>个，其中优先保护单元</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31</w:t>
            </w:r>
            <w:r>
              <w:rPr>
                <w:rFonts w:hint="default" w:ascii="Times New Roman" w:hAnsi="Times New Roman" w:eastAsia="宋体" w:cs="Times New Roman"/>
                <w:color w:val="000000" w:themeColor="text1"/>
                <w:sz w:val="24"/>
                <w:szCs w:val="24"/>
                <w:lang w:val="en-US"/>
                <w14:textFill>
                  <w14:solidFill>
                    <w14:schemeClr w14:val="tx1"/>
                  </w14:solidFill>
                </w14:textFill>
              </w:rPr>
              <w:t>个，重点管控单元</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81</w:t>
            </w:r>
            <w:r>
              <w:rPr>
                <w:rFonts w:hint="default" w:ascii="Times New Roman" w:hAnsi="Times New Roman" w:eastAsia="宋体" w:cs="Times New Roman"/>
                <w:color w:val="000000" w:themeColor="text1"/>
                <w:sz w:val="24"/>
                <w:szCs w:val="24"/>
                <w:lang w:val="en-US"/>
                <w14:textFill>
                  <w14:solidFill>
                    <w14:schemeClr w14:val="tx1"/>
                  </w14:solidFill>
                </w14:textFill>
              </w:rPr>
              <w:t>个，一般管控单元</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lang w:val="en-US"/>
                <w14:textFill>
                  <w14:solidFill>
                    <w14:schemeClr w14:val="tx1"/>
                  </w14:solidFill>
                </w14:textFill>
              </w:rPr>
              <w:t>个。本项目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位于自治区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三线一单</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生态环境分区中的</w:t>
            </w:r>
            <w:r>
              <w:rPr>
                <w:rFonts w:hint="eastAsia" w:cs="Times New Roman"/>
                <w:color w:val="000000" w:themeColor="text1"/>
                <w:sz w:val="24"/>
                <w:szCs w:val="24"/>
                <w:lang w:val="en-US" w:eastAsia="zh-CN"/>
                <w14:textFill>
                  <w14:solidFill>
                    <w14:schemeClr w14:val="tx1"/>
                  </w14:solidFill>
                </w14:textFill>
              </w:rPr>
              <w:t>一般管</w:t>
            </w:r>
            <w:r>
              <w:rPr>
                <w:rFonts w:hint="default" w:ascii="Times New Roman" w:hAnsi="Times New Roman" w:eastAsia="宋体" w:cs="Times New Roman"/>
                <w:color w:val="000000" w:themeColor="text1"/>
                <w:sz w:val="24"/>
                <w:szCs w:val="24"/>
                <w:lang w:val="en-US"/>
                <w14:textFill>
                  <w14:solidFill>
                    <w14:schemeClr w14:val="tx1"/>
                  </w14:solidFill>
                </w14:textFill>
              </w:rPr>
              <w:t>控单元内</w:t>
            </w:r>
            <w:r>
              <w:rPr>
                <w:color w:val="000000" w:themeColor="text1"/>
                <w14:textFill>
                  <w14:solidFill>
                    <w14:schemeClr w14:val="tx1"/>
                  </w14:solidFill>
                </w14:textFill>
              </w:rPr>
              <w:t>。</w:t>
            </w:r>
          </w:p>
          <w:p>
            <w:pPr>
              <w:spacing w:line="360" w:lineRule="auto"/>
              <w:ind w:firstLine="480" w:firstLineChars="200"/>
              <w:jc w:val="both"/>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w:t>
            </w:r>
            <w:r>
              <w:rPr>
                <w:rFonts w:hint="eastAsia" w:cs="Times New Roman"/>
                <w:color w:val="000000" w:themeColor="text1"/>
                <w:sz w:val="24"/>
                <w:szCs w:val="24"/>
                <w:lang w:val="en-US" w:eastAsia="zh-CN"/>
                <w14:textFill>
                  <w14:solidFill>
                    <w14:schemeClr w14:val="tx1"/>
                  </w14:solidFill>
                </w14:textFill>
              </w:rPr>
              <w:t>工程</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在新疆维吾尔自治区环境管控单元中的位置见附图</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spacing w:line="360" w:lineRule="auto"/>
              <w:ind w:firstLine="480" w:firstLineChars="200"/>
              <w:jc w:val="both"/>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按照《新疆维吾尔自治区“三线一单”生态环境分区管控方案》，全区划分为七大片区，包括北疆北部</w:t>
            </w:r>
            <w:r>
              <w:rPr>
                <w:rFonts w:hint="eastAsia"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塔城地区、阿勒泰地区</w:t>
            </w:r>
            <w:r>
              <w:rPr>
                <w:rFonts w:hint="eastAsia"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、伊犁河谷、克奎乌</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博州、乌昌石、吐哈、天山南坡</w:t>
            </w:r>
            <w:r>
              <w:rPr>
                <w:rFonts w:hint="eastAsia"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巴州、阿克苏地区</w:t>
            </w:r>
            <w:r>
              <w:rPr>
                <w:rFonts w:hint="eastAsia"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和南疆三地州片区，新疆维吾尔自治区生态环境厅制定《新疆维吾尔自治区七大片区“三线一单”生态环境分区管控要求》。本</w:t>
            </w:r>
            <w:r>
              <w:rPr>
                <w:rFonts w:hint="eastAsia" w:cs="Times New Roman"/>
                <w:color w:val="000000" w:themeColor="text1"/>
                <w:sz w:val="24"/>
                <w:szCs w:val="24"/>
                <w:lang w:val="en-US" w:eastAsia="zh-CN"/>
                <w14:textFill>
                  <w14:solidFill>
                    <w14:schemeClr w14:val="tx1"/>
                  </w14:solidFill>
                </w14:textFill>
              </w:rPr>
              <w:t>工程</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位于乌昌石片区，具体管控要求见表1。</w:t>
            </w:r>
          </w:p>
          <w:p>
            <w:pPr>
              <w:pStyle w:val="45"/>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表1-1  本工程与“三线一单”符合性分析</w:t>
            </w:r>
          </w:p>
          <w:tbl>
            <w:tblPr>
              <w:tblStyle w:val="36"/>
              <w:tblW w:w="723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1"/>
              <w:gridCol w:w="3492"/>
              <w:gridCol w:w="2443"/>
              <w:gridCol w:w="8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31" w:type="dxa"/>
                  <w:tcBorders>
                    <w:bottom w:val="single" w:color="auto" w:sz="12" w:space="0"/>
                  </w:tcBorders>
                  <w:vAlign w:val="center"/>
                </w:tcPr>
                <w:p>
                  <w:pPr>
                    <w:jc w:val="center"/>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t>内内容</w:t>
                  </w:r>
                </w:p>
              </w:tc>
              <w:tc>
                <w:tcPr>
                  <w:tcW w:w="3492" w:type="dxa"/>
                  <w:tcBorders>
                    <w:bottom w:val="single" w:color="auto" w:sz="12" w:space="0"/>
                  </w:tcBorders>
                  <w:vAlign w:val="center"/>
                </w:tcPr>
                <w:p>
                  <w:pPr>
                    <w:pStyle w:val="117"/>
                    <w:spacing w:line="240" w:lineRule="auto"/>
                    <w:rPr>
                      <w:rFonts w:hint="eastAsia" w:ascii="宋体" w:hAnsi="宋体" w:eastAsia="宋体" w:cs="宋体"/>
                      <w:b/>
                      <w:snapToGrid w:val="0"/>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具体要求</w:t>
                  </w:r>
                </w:p>
              </w:tc>
              <w:tc>
                <w:tcPr>
                  <w:tcW w:w="2443" w:type="dxa"/>
                  <w:tcBorders>
                    <w:bottom w:val="single" w:color="auto" w:sz="12" w:space="0"/>
                  </w:tcBorders>
                  <w:vAlign w:val="center"/>
                </w:tcPr>
                <w:p>
                  <w:pPr>
                    <w:jc w:val="center"/>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t>本项目建设内容</w:t>
                  </w:r>
                </w:p>
              </w:tc>
              <w:tc>
                <w:tcPr>
                  <w:tcW w:w="870" w:type="dxa"/>
                  <w:tcBorders>
                    <w:bottom w:val="single" w:color="auto" w:sz="12" w:space="0"/>
                  </w:tcBorders>
                  <w:vAlign w:val="center"/>
                </w:tcPr>
                <w:p>
                  <w:pPr>
                    <w:ind w:left="0" w:leftChars="0" w:firstLine="0" w:firstLineChars="0"/>
                    <w:jc w:val="both"/>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vertAlign w:val="baseline"/>
                      <w:lang w:val="en-US" w:eastAsia="zh-CN"/>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31" w:type="dxa"/>
                  <w:tcBorders>
                    <w:top w:val="single" w:color="auto" w:sz="12" w:space="0"/>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24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生态保护红线</w:t>
                  </w:r>
                </w:p>
              </w:tc>
              <w:tc>
                <w:tcPr>
                  <w:tcW w:w="3492" w:type="dxa"/>
                  <w:tcBorders>
                    <w:top w:val="single" w:color="auto" w:sz="12" w:space="0"/>
                    <w:tl2br w:val="nil"/>
                    <w:tr2bl w:val="nil"/>
                  </w:tcBorders>
                  <w:vAlign w:val="center"/>
                </w:tcPr>
                <w:p>
                  <w:pPr>
                    <w:adjustRightInd w:val="0"/>
                    <w:snapToGrid w:val="0"/>
                    <w:spacing w:line="360" w:lineRule="auto"/>
                    <w:jc w:val="both"/>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生态保护红线是生态空间范围内具有特殊重要生态功能必须实行强制性保护的区域。相关规划环评将生态空间管控作为重要内容，规划区涉及生态保护红线的，在规划环评结论和审查意见中落实生态保护红线的管理要求，提出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443" w:type="dxa"/>
                  <w:tcBorders>
                    <w:top w:val="single" w:color="auto" w:sz="12" w:space="0"/>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both"/>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建设项目位于新疆维吾尔自治区昌吉回族自治州</w:t>
                  </w:r>
                  <w:r>
                    <w:rPr>
                      <w:rFonts w:hint="eastAsia" w:ascii="宋体" w:hAnsi="宋体" w:eastAsia="宋体" w:cs="宋体"/>
                      <w:color w:val="000000" w:themeColor="text1"/>
                      <w:sz w:val="21"/>
                      <w:szCs w:val="21"/>
                      <w:highlight w:val="none"/>
                      <w:lang w:val="en-US" w:eastAsia="zh-CN"/>
                      <w14:textFill>
                        <w14:solidFill>
                          <w14:schemeClr w14:val="tx1"/>
                        </w14:solidFill>
                      </w14:textFill>
                    </w:rPr>
                    <w:t>奇台县北部</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项目不涉及国家公园、自然保护区、风景名胜区、世界文化和自然遗产地、饮用水水源保护区等环境敏感区，</w:t>
                  </w:r>
                  <w:r>
                    <w:rPr>
                      <w:rFonts w:hint="eastAsia" w:ascii="宋体" w:hAnsi="宋体" w:eastAsia="宋体" w:cs="宋体"/>
                      <w:color w:val="000000" w:themeColor="text1"/>
                      <w:sz w:val="21"/>
                      <w:szCs w:val="21"/>
                      <w:highlight w:val="none"/>
                      <w:lang w:val="en-US" w:eastAsia="zh-CN"/>
                      <w14:textFill>
                        <w14:solidFill>
                          <w14:schemeClr w14:val="tx1"/>
                        </w14:solidFill>
                      </w14:textFill>
                    </w:rPr>
                    <w:t>项目区</w:t>
                  </w:r>
                  <w:r>
                    <w:rPr>
                      <w:rFonts w:hint="eastAsia" w:ascii="宋体" w:hAnsi="宋体" w:eastAsia="宋体" w:cs="宋体"/>
                      <w:color w:val="000000" w:themeColor="text1"/>
                      <w:sz w:val="21"/>
                      <w:szCs w:val="21"/>
                      <w:highlight w:val="none"/>
                      <w14:textFill>
                        <w14:solidFill>
                          <w14:schemeClr w14:val="tx1"/>
                        </w14:solidFill>
                      </w14:textFill>
                    </w:rPr>
                    <w:t>不涉及生态保护红线。</w:t>
                  </w:r>
                </w:p>
              </w:tc>
              <w:tc>
                <w:tcPr>
                  <w:tcW w:w="870" w:type="dxa"/>
                  <w:tcBorders>
                    <w:top w:val="single" w:color="auto" w:sz="12" w:space="0"/>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center"/>
                    <w:textAlignment w:val="auto"/>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31"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24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资源利用上线</w:t>
                  </w:r>
                </w:p>
              </w:tc>
              <w:tc>
                <w:tcPr>
                  <w:tcW w:w="3492" w:type="dxa"/>
                  <w:tcBorders>
                    <w:tl2br w:val="nil"/>
                    <w:tr2bl w:val="nil"/>
                  </w:tcBorders>
                  <w:vAlign w:val="center"/>
                </w:tcPr>
                <w:p>
                  <w:pPr>
                    <w:adjustRightInd w:val="0"/>
                    <w:snapToGrid w:val="0"/>
                    <w:spacing w:line="360" w:lineRule="auto"/>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总量控制要求。</w:t>
                  </w:r>
                </w:p>
              </w:tc>
              <w:tc>
                <w:tcPr>
                  <w:tcW w:w="2443"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left"/>
                    <w:textAlignment w:val="auto"/>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项目的建设运营对水资源及其他资源能源消耗量极小，</w:t>
                  </w:r>
                  <w:r>
                    <w:rPr>
                      <w:rFonts w:hint="eastAsia" w:ascii="宋体" w:hAnsi="宋体" w:eastAsia="宋体" w:cs="宋体"/>
                      <w:color w:val="000000" w:themeColor="text1"/>
                      <w:sz w:val="21"/>
                      <w:szCs w:val="21"/>
                      <w:highlight w:val="none"/>
                      <w:lang w:val="en-US" w:eastAsia="zh-CN"/>
                      <w14:textFill>
                        <w14:solidFill>
                          <w14:schemeClr w14:val="tx1"/>
                        </w14:solidFill>
                      </w14:textFill>
                    </w:rPr>
                    <w:t>设计</w:t>
                  </w:r>
                  <w:r>
                    <w:rPr>
                      <w:rFonts w:hint="eastAsia" w:ascii="宋体" w:hAnsi="宋体" w:eastAsia="宋体" w:cs="宋体"/>
                      <w:color w:val="000000" w:themeColor="text1"/>
                      <w:sz w:val="21"/>
                      <w:szCs w:val="21"/>
                      <w:highlight w:val="none"/>
                      <w14:textFill>
                        <w14:solidFill>
                          <w14:schemeClr w14:val="tx1"/>
                        </w14:solidFill>
                      </w14:textFill>
                    </w:rPr>
                    <w:t>严格控制用地指标、节约土地资源</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且项目为新能源发电项目，</w:t>
                  </w:r>
                  <w:r>
                    <w:rPr>
                      <w:rFonts w:hint="eastAsia" w:ascii="宋体" w:hAnsi="宋体" w:eastAsia="宋体" w:cs="宋体"/>
                      <w:color w:val="000000" w:themeColor="text1"/>
                      <w:sz w:val="21"/>
                      <w:szCs w:val="21"/>
                      <w:highlight w:val="none"/>
                      <w:lang w:val="en-US" w:eastAsia="zh-CN"/>
                      <w14:textFill>
                        <w14:solidFill>
                          <w14:schemeClr w14:val="tx1"/>
                        </w14:solidFill>
                      </w14:textFill>
                    </w:rPr>
                    <w:t>积极推进低碳发展，</w:t>
                  </w:r>
                  <w:r>
                    <w:rPr>
                      <w:rFonts w:hint="eastAsia" w:ascii="宋体" w:hAnsi="宋体" w:eastAsia="宋体" w:cs="宋体"/>
                      <w:color w:val="000000" w:themeColor="text1"/>
                      <w:sz w:val="21"/>
                      <w:szCs w:val="21"/>
                      <w:highlight w:val="none"/>
                      <w14:textFill>
                        <w14:solidFill>
                          <w14:schemeClr w14:val="tx1"/>
                        </w14:solidFill>
                      </w14:textFill>
                    </w:rPr>
                    <w:t>项目的建设不会突破</w:t>
                  </w:r>
                  <w:r>
                    <w:rPr>
                      <w:rFonts w:hint="eastAsia" w:ascii="宋体" w:hAnsi="宋体" w:eastAsia="宋体" w:cs="宋体"/>
                      <w:color w:val="000000" w:themeColor="text1"/>
                      <w:sz w:val="21"/>
                      <w:szCs w:val="21"/>
                      <w:highlight w:val="none"/>
                      <w:lang w:val="en-US" w:eastAsia="zh-CN"/>
                      <w14:textFill>
                        <w14:solidFill>
                          <w14:schemeClr w14:val="tx1"/>
                        </w14:solidFill>
                      </w14:textFill>
                    </w:rPr>
                    <w:t>奇台县规划的土地</w:t>
                  </w:r>
                  <w:r>
                    <w:rPr>
                      <w:rFonts w:hint="eastAsia" w:ascii="宋体" w:hAnsi="宋体" w:eastAsia="宋体" w:cs="宋体"/>
                      <w:color w:val="000000" w:themeColor="text1"/>
                      <w:sz w:val="21"/>
                      <w:szCs w:val="21"/>
                      <w:highlight w:val="none"/>
                      <w14:textFill>
                        <w14:solidFill>
                          <w14:schemeClr w14:val="tx1"/>
                        </w14:solidFill>
                      </w14:textFill>
                    </w:rPr>
                    <w:t>资源能源利用上线。</w:t>
                  </w:r>
                </w:p>
              </w:tc>
              <w:tc>
                <w:tcPr>
                  <w:tcW w:w="870"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31"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240" w:lineRule="auto"/>
                    <w:ind w:firstLine="0" w:firstLineChars="0"/>
                    <w:jc w:val="center"/>
                    <w:textAlignment w:val="auto"/>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环境质量底线</w:t>
                  </w:r>
                </w:p>
              </w:tc>
              <w:tc>
                <w:tcPr>
                  <w:tcW w:w="3492" w:type="dxa"/>
                  <w:tcBorders>
                    <w:tl2br w:val="nil"/>
                    <w:tr2bl w:val="nil"/>
                  </w:tcBorders>
                  <w:vAlign w:val="center"/>
                </w:tcPr>
                <w:p>
                  <w:pPr>
                    <w:pStyle w:val="117"/>
                    <w:spacing w:line="360" w:lineRule="auto"/>
                    <w:rPr>
                      <w:rFonts w:hint="eastAsia" w:ascii="宋体" w:hAnsi="宋体" w:eastAsia="宋体" w:cs="宋体"/>
                      <w:snapToGrid w:val="0"/>
                      <w:color w:val="000000" w:themeColor="text1"/>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资源是环境的载体，资源利用上线是个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2443"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环境质量底线只能改善不能恶化。</w:t>
                  </w:r>
                  <w:r>
                    <w:rPr>
                      <w:rFonts w:hint="eastAsia" w:ascii="宋体" w:hAnsi="宋体" w:eastAsia="宋体" w:cs="宋体"/>
                      <w:color w:val="000000" w:themeColor="text1"/>
                      <w:sz w:val="21"/>
                      <w:szCs w:val="21"/>
                      <w:highlight w:val="none"/>
                      <w:lang w:val="en-US" w:eastAsia="zh-CN"/>
                      <w14:textFill>
                        <w14:solidFill>
                          <w14:schemeClr w14:val="tx1"/>
                        </w14:solidFill>
                      </w14:textFill>
                    </w:rPr>
                    <w:t>本项目施工期采取有效措施防治大气、水污染，运营期不排放大气污染物。因此，建设项目建成运行后对区域环境质量基本无影响。</w:t>
                  </w:r>
                </w:p>
              </w:tc>
              <w:tc>
                <w:tcPr>
                  <w:tcW w:w="870"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31"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24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环境准入清单</w:t>
                  </w:r>
                </w:p>
              </w:tc>
              <w:tc>
                <w:tcPr>
                  <w:tcW w:w="3492" w:type="dxa"/>
                  <w:tcBorders>
                    <w:tl2br w:val="nil"/>
                    <w:tr2bl w:val="nil"/>
                  </w:tcBorders>
                  <w:vAlign w:val="center"/>
                </w:tcPr>
                <w:p>
                  <w:pPr>
                    <w:adjustRightInd w:val="0"/>
                    <w:snapToGrid w:val="0"/>
                    <w:spacing w:line="360" w:lineRule="auto"/>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14:textFill>
                        <w14:solidFill>
                          <w14:schemeClr w14:val="tx1"/>
                        </w14:solidFill>
                      </w14:textFill>
                    </w:rPr>
                    <w:t>环境准入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清单，充分发挥清单对产业发展和项目准入的指导和约束作用。</w:t>
                  </w:r>
                </w:p>
              </w:tc>
              <w:tc>
                <w:tcPr>
                  <w:tcW w:w="2443"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left"/>
                    <w:textAlignment w:val="auto"/>
                    <w:rPr>
                      <w:rFonts w:hint="eastAsia" w:ascii="宋体" w:hAnsi="宋体" w:eastAsia="宋体" w:cs="宋体"/>
                      <w:color w:val="000000" w:themeColor="text1"/>
                      <w:sz w:val="21"/>
                      <w:szCs w:val="21"/>
                      <w:highlight w:val="none"/>
                      <w:vertAlign w:val="baseline"/>
                      <w:lang w:val="en-US"/>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建设项目位于新疆维吾尔自治区昌吉回族自治州奇台县北部，项目区不涉及生态保护红线，选址较为合理；资源利用量较少；项目为新能源发电项目，</w:t>
                  </w:r>
                  <w:r>
                    <w:rPr>
                      <w:rFonts w:hint="eastAsia" w:ascii="Times New Roman" w:hAnsi="Times New Roman" w:eastAsia="宋体" w:cs="Times New Roman"/>
                      <w:b w:val="0"/>
                      <w:color w:val="0000FF"/>
                      <w:kern w:val="0"/>
                      <w:sz w:val="21"/>
                      <w:szCs w:val="21"/>
                      <w:highlight w:val="none"/>
                      <w:lang w:val="en-US" w:eastAsia="zh-CN" w:bidi="ar-SA"/>
                    </w:rPr>
                    <w:t>项目涉及的环境风险主要为“废变压油”泄露引起的地下水和土壤的污染风险，项目通过专用容器收集，交由资质单位处置等措施后，环境风险可控。</w:t>
                  </w:r>
                </w:p>
              </w:tc>
              <w:tc>
                <w:tcPr>
                  <w:tcW w:w="870" w:type="dxa"/>
                  <w:tcBorders>
                    <w:tl2br w:val="nil"/>
                    <w:tr2bl w:val="nil"/>
                  </w:tcBorders>
                  <w:vAlign w:val="center"/>
                </w:tcPr>
                <w:p>
                  <w:pPr>
                    <w:keepNext w:val="0"/>
                    <w:keepLines w:val="0"/>
                    <w:pageBreakBefore w:val="0"/>
                    <w:widowControl w:val="0"/>
                    <w:kinsoku/>
                    <w:wordWrap w:val="0"/>
                    <w:overflowPunct/>
                    <w:topLinePunct/>
                    <w:autoSpaceDE/>
                    <w:autoSpaceDN/>
                    <w:bidi w:val="0"/>
                    <w:adjustRightInd/>
                    <w:snapToGrid w:val="0"/>
                    <w:spacing w:line="360" w:lineRule="auto"/>
                    <w:ind w:firstLine="0" w:firstLineChars="0"/>
                    <w:jc w:val="center"/>
                    <w:textAlignment w:val="auto"/>
                    <w:rPr>
                      <w:rFonts w:hint="eastAsia" w:ascii="宋体" w:hAnsi="宋体" w:eastAsia="宋体" w:cs="宋体"/>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snapToGrid/>
              <w:spacing w:before="157" w:beforeLines="50"/>
              <w:ind w:left="24" w:leftChars="10" w:right="24" w:rightChars="10"/>
              <w:textAlignment w:val="auto"/>
              <w:outlineLvl w:val="9"/>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根据表</w:t>
            </w:r>
            <w:r>
              <w:rPr>
                <w:rFonts w:hint="eastAsia" w:cs="Times New Roman"/>
                <w:color w:val="000000" w:themeColor="text1"/>
                <w:sz w:val="24"/>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分析，本</w:t>
            </w:r>
            <w:r>
              <w:rPr>
                <w:rFonts w:hint="eastAsia" w:cs="Times New Roman"/>
                <w:color w:val="000000" w:themeColor="text1"/>
                <w:sz w:val="24"/>
                <w:highlight w:val="none"/>
                <w:lang w:val="en-US" w:eastAsia="zh-CN"/>
                <w14:textFill>
                  <w14:solidFill>
                    <w14:schemeClr w14:val="tx1"/>
                  </w14:solidFill>
                </w14:textFill>
              </w:rPr>
              <w:t>工程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的建设符合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《新疆维吾尔自治区七大片区“三线一单”生态环境分区管控要求》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要求</w:t>
            </w:r>
            <w:r>
              <w:rPr>
                <w:rFonts w:hint="eastAsia" w:cs="Times New Roman"/>
                <w:color w:val="000000" w:themeColor="text1"/>
                <w:sz w:val="24"/>
                <w:highlight w:val="none"/>
                <w:lang w:val="en-US" w:eastAsia="zh-CN"/>
                <w14:textFill>
                  <w14:solidFill>
                    <w14:schemeClr w14:val="tx1"/>
                  </w14:solidFill>
                </w14:textFill>
              </w:rPr>
              <w:t>。</w:t>
            </w:r>
          </w:p>
          <w:p>
            <w:pPr>
              <w:pStyle w:val="106"/>
              <w:keepNext w:val="0"/>
              <w:keepLines w:val="0"/>
              <w:pageBreakBefore w:val="0"/>
              <w:widowControl w:val="0"/>
              <w:kinsoku/>
              <w:wordWrap/>
              <w:overflowPunct/>
              <w:topLinePunct w:val="0"/>
              <w:autoSpaceDE w:val="0"/>
              <w:autoSpaceDN w:val="0"/>
              <w:bidi w:val="0"/>
              <w:adjustRightInd w:val="0"/>
              <w:snapToGrid w:val="0"/>
              <w:spacing w:line="360" w:lineRule="auto"/>
              <w:ind w:firstLine="48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 xml:space="preserve">② </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昌吉州</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三线一单</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生态环境分区管控</w:t>
            </w:r>
            <w:r>
              <w:rPr>
                <w:rFonts w:hint="eastAsia" w:cs="Times New Roman"/>
                <w:color w:val="000000" w:themeColor="text1"/>
                <w:sz w:val="24"/>
                <w:szCs w:val="24"/>
                <w:lang w:val="en-US" w:eastAsia="zh-CN"/>
                <w14:textFill>
                  <w14:solidFill>
                    <w14:schemeClr w14:val="tx1"/>
                  </w14:solidFill>
                </w14:textFill>
              </w:rPr>
              <w:t>符合性分析</w:t>
            </w:r>
          </w:p>
          <w:p>
            <w:pPr>
              <w:spacing w:line="360" w:lineRule="auto"/>
              <w:ind w:firstLine="480" w:firstLineChars="200"/>
              <w:jc w:val="both"/>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根据《昌吉回族自治州</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三线一单</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生态环境分区管控方案》</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昌州政办发〔2021〕41号），昌吉州划定了119</w:t>
            </w:r>
            <w:r>
              <w:rPr>
                <w:rFonts w:hint="default" w:ascii="Times New Roman" w:hAnsi="Times New Roman" w:eastAsia="宋体" w:cs="Times New Roman"/>
                <w:color w:val="000000" w:themeColor="text1"/>
                <w:sz w:val="24"/>
                <w:szCs w:val="24"/>
                <w:lang w:val="en-US"/>
                <w14:textFill>
                  <w14:solidFill>
                    <w14:schemeClr w14:val="tx1"/>
                  </w14:solidFill>
                </w14:textFill>
              </w:rPr>
              <w:t>个环境管控单元</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分为优先保护单元、重点管控单元和一般管控单元三类，实施分类管控。</w:t>
            </w:r>
          </w:p>
          <w:p>
            <w:pPr>
              <w:pStyle w:val="106"/>
              <w:spacing w:line="360" w:lineRule="auto"/>
              <w:ind w:firstLine="480"/>
              <w:rPr>
                <w:rFonts w:hint="default" w:ascii="Times New Roman" w:hAnsi="Times New Roman" w:cs="Times New Roman"/>
                <w:color w:val="000000" w:themeColor="text1"/>
                <w:highlight w:val="none"/>
                <w:lang w:val="en-US"/>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本项目位于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新疆维吾尔自治区昌吉回族自治州</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奇台县北部规划光伏发电区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，根据《昌吉回族自治州“三线一单”生态环境分区管控方案及生态环境准入清单》本项目</w:t>
            </w:r>
            <w:r>
              <w:rPr>
                <w:rFonts w:hint="default" w:ascii="Times New Roman" w:hAnsi="Times New Roman" w:eastAsia="宋体" w:cs="Times New Roman"/>
                <w:color w:val="000000" w:themeColor="text1"/>
                <w:highlight w:val="none"/>
                <w14:textFill>
                  <w14:solidFill>
                    <w14:schemeClr w14:val="tx1"/>
                  </w14:solidFill>
                </w14:textFill>
              </w:rPr>
              <w:t>所属为</w:t>
            </w:r>
            <w:r>
              <w:rPr>
                <w:rFonts w:hint="default" w:ascii="Times New Roman" w:hAnsi="Times New Roman" w:cs="Times New Roman"/>
                <w:color w:val="000000" w:themeColor="text1"/>
                <w:highlight w:val="none"/>
                <w14:textFill>
                  <w14:solidFill>
                    <w14:schemeClr w14:val="tx1"/>
                  </w14:solidFill>
                </w14:textFill>
              </w:rPr>
              <w:t>文件</w:t>
            </w:r>
            <w:r>
              <w:rPr>
                <w:rFonts w:hint="default"/>
              </w:rPr>
              <w:t>中“</w:t>
            </w:r>
            <w:r>
              <w:rPr>
                <w:rFonts w:hint="eastAsia"/>
                <w:lang w:val="en-US" w:eastAsia="zh-CN"/>
              </w:rPr>
              <w:t>奇台县</w:t>
            </w:r>
            <w:r>
              <w:rPr>
                <w:rFonts w:hint="default"/>
              </w:rPr>
              <w:t>一般管控单元”</w:t>
            </w:r>
            <w:r>
              <w:rPr>
                <w:rFonts w:hint="eastAsia" w:cs="Times New Roman"/>
                <w:color w:val="000000" w:themeColor="text1"/>
                <w:highlight w:val="none"/>
                <w:lang w:eastAsia="zh-CN"/>
                <w14:textFill>
                  <w14:solidFill>
                    <w14:schemeClr w14:val="tx1"/>
                  </w14:solidFill>
                </w14:textFill>
              </w:rPr>
              <w:t>，环境管控单元编码</w:t>
            </w:r>
            <w:r>
              <w:rPr>
                <w:rFonts w:hint="eastAsia" w:ascii="Times New Roman" w:hAnsi="Times New Roman" w:eastAsia="宋体" w:cs="Times New Roman"/>
                <w:color w:val="000000" w:themeColor="text1"/>
                <w:highlight w:val="none"/>
                <w:lang w:eastAsia="zh-CN"/>
                <w14:textFill>
                  <w14:solidFill>
                    <w14:schemeClr w14:val="tx1"/>
                  </w14:solidFill>
                </w14:textFill>
              </w:rPr>
              <w:t>：ZH65232830001</w:t>
            </w:r>
            <w:r>
              <w:rPr>
                <w:rFonts w:hint="default" w:ascii="Times New Roman" w:hAnsi="Times New Roman" w:eastAsia="宋体" w:cs="Times New Roman"/>
                <w:color w:val="000000" w:themeColor="text1"/>
                <w:highlight w:val="none"/>
                <w14:textFill>
                  <w14:solidFill>
                    <w14:schemeClr w14:val="tx1"/>
                  </w14:solidFill>
                </w14:textFill>
              </w:rPr>
              <w:t>。本项目与</w:t>
            </w:r>
            <w:r>
              <w:rPr>
                <w:rFonts w:hint="default" w:ascii="Times New Roman" w:hAnsi="Times New Roman" w:cs="Times New Roman"/>
                <w:color w:val="000000" w:themeColor="text1"/>
                <w:highlight w:val="none"/>
                <w14:textFill>
                  <w14:solidFill>
                    <w14:schemeClr w14:val="tx1"/>
                  </w14:solidFill>
                </w14:textFill>
              </w:rPr>
              <w:t>其符合情况见下表</w:t>
            </w:r>
            <w:r>
              <w:rPr>
                <w:rFonts w:hint="default" w:ascii="Times New Roman" w:hAnsi="Times New Roman" w:cs="Times New Roman"/>
                <w:color w:val="000000" w:themeColor="text1"/>
                <w:highlight w:val="none"/>
                <w:lang w:val="en-US" w:eastAsia="zh-CN"/>
                <w14:textFill>
                  <w14:solidFill>
                    <w14:schemeClr w14:val="tx1"/>
                  </w14:solidFill>
                </w14:textFill>
              </w:rPr>
              <w:t>1-2</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环境管控单元分类图见附图4。</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生态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环境准入清</w:t>
            </w:r>
            <w:r>
              <w:rPr>
                <w:rFonts w:hint="default" w:ascii="Times New Roman" w:hAnsi="Times New Roman" w:eastAsia="宋体" w:cs="Times New Roman"/>
                <w:color w:val="000000" w:themeColor="text1"/>
                <w:sz w:val="24"/>
                <w:szCs w:val="24"/>
                <w14:textFill>
                  <w14:solidFill>
                    <w14:schemeClr w14:val="tx1"/>
                  </w14:solidFill>
                </w14:textFill>
              </w:rPr>
              <w:t>单</w:t>
            </w:r>
          </w:p>
          <w:p>
            <w:pPr>
              <w:pageBreakBefore w:val="0"/>
              <w:kinsoku/>
              <w:wordWrap/>
              <w:overflowPunct/>
              <w:topLinePunct w:val="0"/>
              <w:bidi w:val="0"/>
              <w:spacing w:line="360" w:lineRule="auto"/>
              <w:ind w:left="24" w:leftChars="10" w:right="24" w:rightChars="1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根据昌吉州对</w:t>
            </w:r>
            <w:r>
              <w:rPr>
                <w:rFonts w:hint="eastAsia" w:cs="Times New Roman"/>
                <w:color w:val="000000" w:themeColor="text1"/>
                <w:sz w:val="24"/>
                <w:szCs w:val="24"/>
                <w:lang w:eastAsia="zh-CN"/>
                <w14:textFill>
                  <w14:solidFill>
                    <w14:schemeClr w14:val="tx1"/>
                  </w14:solidFill>
                </w14:textFill>
              </w:rPr>
              <w:t>一般</w:t>
            </w:r>
            <w:r>
              <w:rPr>
                <w:rFonts w:hint="default" w:ascii="Times New Roman" w:hAnsi="Times New Roman" w:eastAsia="宋体" w:cs="Times New Roman"/>
                <w:color w:val="000000" w:themeColor="text1"/>
                <w:sz w:val="24"/>
                <w:szCs w:val="24"/>
                <w14:textFill>
                  <w14:solidFill>
                    <w14:schemeClr w14:val="tx1"/>
                  </w14:solidFill>
                </w14:textFill>
              </w:rPr>
              <w:t>管控单元划分的生态环境准入清单，本项目位于</w:t>
            </w:r>
            <w:r>
              <w:rPr>
                <w:rFonts w:hint="eastAsia" w:cs="Times New Roman"/>
                <w:color w:val="000000" w:themeColor="text1"/>
                <w:sz w:val="24"/>
                <w:szCs w:val="24"/>
                <w:lang w:eastAsia="zh-CN"/>
                <w14:textFill>
                  <w14:solidFill>
                    <w14:schemeClr w14:val="tx1"/>
                  </w14:solidFill>
                </w14:textFill>
              </w:rPr>
              <w:t>奇台县一般管控单元</w:t>
            </w:r>
            <w:r>
              <w:rPr>
                <w:rFonts w:hint="default" w:ascii="Times New Roman" w:hAnsi="Times New Roman" w:eastAsia="宋体" w:cs="Times New Roman"/>
                <w:color w:val="000000" w:themeColor="text1"/>
                <w:sz w:val="24"/>
                <w:szCs w:val="24"/>
                <w14:textFill>
                  <w14:solidFill>
                    <w14:schemeClr w14:val="tx1"/>
                  </w14:solidFill>
                </w14:textFill>
              </w:rPr>
              <w:t>，需执行的生态环境准入清单管控要求</w:t>
            </w:r>
            <w:r>
              <w:rPr>
                <w:rFonts w:hint="eastAsia"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具体见表</w:t>
            </w:r>
            <w:r>
              <w:rPr>
                <w:rFonts w:hint="eastAsia" w:cs="Times New Roman"/>
                <w:color w:val="000000" w:themeColor="text1"/>
                <w:sz w:val="24"/>
                <w:szCs w:val="24"/>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14:textFill>
                  <w14:solidFill>
                    <w14:schemeClr w14:val="tx1"/>
                  </w14:solidFill>
                </w14:textFill>
              </w:rPr>
              <w:t>。</w:t>
            </w:r>
          </w:p>
          <w:p>
            <w:pPr>
              <w:pStyle w:val="29"/>
              <w:keepNext w:val="0"/>
              <w:keepLines w:val="0"/>
              <w:pageBreakBefore w:val="0"/>
              <w:widowControl w:val="0"/>
              <w:kinsoku/>
              <w:wordWrap/>
              <w:overflowPunct/>
              <w:topLinePunct w:val="0"/>
              <w:autoSpaceDE w:val="0"/>
              <w:autoSpaceDN w:val="0"/>
              <w:bidi w:val="0"/>
              <w:adjustRightInd w:val="0"/>
              <w:snapToGrid w:val="0"/>
              <w:spacing w:before="0" w:beforeLines="50" w:line="240" w:lineRule="auto"/>
              <w:ind w:left="24" w:leftChars="10" w:right="24" w:rightChars="10" w:firstLine="0" w:firstLineChars="0"/>
              <w:jc w:val="center"/>
              <w:textAlignment w:val="auto"/>
              <w:outlineLvl w:val="9"/>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表</w:t>
            </w:r>
            <w:r>
              <w:rPr>
                <w:rFonts w:hint="eastAsia" w:cs="Times New Roman"/>
                <w:b/>
                <w:bCs/>
                <w:color w:val="000000" w:themeColor="text1"/>
                <w:sz w:val="24"/>
                <w:szCs w:val="24"/>
                <w:lang w:val="en-US" w:eastAsia="zh-CN"/>
                <w14:textFill>
                  <w14:solidFill>
                    <w14:schemeClr w14:val="tx1"/>
                  </w14:solidFill>
                </w14:textFill>
              </w:rPr>
              <w:t>1-2</w:t>
            </w:r>
            <w:r>
              <w:rPr>
                <w:rFonts w:hint="default" w:ascii="Times New Roman" w:hAnsi="Times New Roman" w:eastAsia="宋体" w:cs="Times New Roman"/>
                <w:b/>
                <w:bCs/>
                <w:color w:val="000000" w:themeColor="text1"/>
                <w:sz w:val="24"/>
                <w:szCs w:val="24"/>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 xml:space="preserve">  本项目所在</w:t>
            </w:r>
            <w:r>
              <w:rPr>
                <w:rFonts w:hint="eastAsia" w:cs="Times New Roman"/>
                <w:b/>
                <w:bCs/>
                <w:color w:val="000000" w:themeColor="text1"/>
                <w:sz w:val="24"/>
                <w:szCs w:val="24"/>
                <w:lang w:val="en-US" w:eastAsia="zh-CN"/>
                <w14:textFill>
                  <w14:solidFill>
                    <w14:schemeClr w14:val="tx1"/>
                  </w14:solidFill>
                </w14:textFill>
              </w:rPr>
              <w:t>地</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执行的生态环境准入清单管控要求</w:t>
            </w:r>
          </w:p>
          <w:tbl>
            <w:tblPr>
              <w:tblStyle w:val="35"/>
              <w:tblW w:w="74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2828"/>
              <w:gridCol w:w="2137"/>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jc w:val="center"/>
              </w:trPr>
              <w:tc>
                <w:tcPr>
                  <w:tcW w:w="1213" w:type="dxa"/>
                  <w:vAlign w:val="center"/>
                </w:tcPr>
                <w:p>
                  <w:pPr>
                    <w:pStyle w:val="118"/>
                    <w:ind w:left="0" w:leftChars="0" w:firstLine="0" w:firstLineChars="0"/>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bCs w:val="0"/>
                      <w:color w:val="000000" w:themeColor="text1"/>
                      <w:spacing w:val="-2"/>
                      <w:sz w:val="21"/>
                      <w:szCs w:val="21"/>
                      <w:highlight w:val="none"/>
                      <w14:textFill>
                        <w14:solidFill>
                          <w14:schemeClr w14:val="tx1"/>
                        </w14:solidFill>
                      </w14:textFill>
                    </w:rPr>
                    <w:t>管控名称</w:t>
                  </w:r>
                </w:p>
              </w:tc>
              <w:tc>
                <w:tcPr>
                  <w:tcW w:w="2828" w:type="dxa"/>
                  <w:vAlign w:val="center"/>
                </w:tcPr>
                <w:p>
                  <w:pPr>
                    <w:pStyle w:val="118"/>
                    <w:ind w:firstLine="0" w:firstLineChars="0"/>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bCs w:val="0"/>
                      <w:color w:val="000000" w:themeColor="text1"/>
                      <w:spacing w:val="-2"/>
                      <w:sz w:val="21"/>
                      <w:szCs w:val="21"/>
                      <w:highlight w:val="none"/>
                      <w14:textFill>
                        <w14:solidFill>
                          <w14:schemeClr w14:val="tx1"/>
                        </w14:solidFill>
                      </w14:textFill>
                    </w:rPr>
                    <w:t>管控要求</w:t>
                  </w:r>
                </w:p>
              </w:tc>
              <w:tc>
                <w:tcPr>
                  <w:tcW w:w="2137" w:type="dxa"/>
                  <w:vAlign w:val="center"/>
                </w:tcPr>
                <w:p>
                  <w:pPr>
                    <w:pStyle w:val="118"/>
                    <w:ind w:left="0" w:leftChars="0" w:firstLine="0" w:firstLineChars="0"/>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bCs w:val="0"/>
                      <w:color w:val="000000" w:themeColor="text1"/>
                      <w:spacing w:val="-2"/>
                      <w:sz w:val="21"/>
                      <w:szCs w:val="21"/>
                      <w:highlight w:val="none"/>
                      <w14:textFill>
                        <w14:solidFill>
                          <w14:schemeClr w14:val="tx1"/>
                        </w14:solidFill>
                      </w14:textFill>
                    </w:rPr>
                    <w:t>项目概况</w:t>
                  </w:r>
                </w:p>
              </w:tc>
              <w:tc>
                <w:tcPr>
                  <w:tcW w:w="1293" w:type="dxa"/>
                  <w:vAlign w:val="center"/>
                </w:tcPr>
                <w:p>
                  <w:pPr>
                    <w:pStyle w:val="118"/>
                    <w:ind w:left="0" w:leftChars="0" w:firstLine="0" w:firstLineChars="0"/>
                    <w:jc w:val="center"/>
                    <w:rPr>
                      <w:rFonts w:hint="eastAsia" w:ascii="宋体" w:hAnsi="宋体" w:eastAsia="宋体" w:cs="宋体"/>
                      <w:b/>
                      <w:bCs w:val="0"/>
                      <w:color w:val="000000" w:themeColor="text1"/>
                      <w:spacing w:val="-2"/>
                      <w:sz w:val="21"/>
                      <w:szCs w:val="21"/>
                      <w:highlight w:val="none"/>
                      <w14:textFill>
                        <w14:solidFill>
                          <w14:schemeClr w14:val="tx1"/>
                        </w14:solidFill>
                      </w14:textFill>
                    </w:rPr>
                  </w:pPr>
                  <w:r>
                    <w:rPr>
                      <w:rFonts w:hint="eastAsia" w:ascii="宋体" w:hAnsi="宋体" w:eastAsia="宋体" w:cs="宋体"/>
                      <w:b/>
                      <w:bCs w:val="0"/>
                      <w:color w:val="000000" w:themeColor="text1"/>
                      <w:spacing w:val="-2"/>
                      <w:sz w:val="21"/>
                      <w:szCs w:val="21"/>
                      <w:highlight w:val="none"/>
                      <w:lang w:val="en-US" w:eastAsia="zh-CN"/>
                      <w14:textFill>
                        <w14:solidFill>
                          <w14:schemeClr w14:val="tx1"/>
                        </w14:solidFill>
                      </w14:textFill>
                    </w:rPr>
                    <w:t>符</w:t>
                  </w:r>
                  <w:r>
                    <w:rPr>
                      <w:rFonts w:hint="eastAsia" w:ascii="宋体" w:hAnsi="宋体" w:eastAsia="宋体" w:cs="宋体"/>
                      <w:b/>
                      <w:bCs w:val="0"/>
                      <w:color w:val="000000" w:themeColor="text1"/>
                      <w:spacing w:val="-2"/>
                      <w:sz w:val="21"/>
                      <w:szCs w:val="21"/>
                      <w:highlight w:val="none"/>
                      <w14:textFill>
                        <w14:solidFill>
                          <w14:schemeClr w14:val="tx1"/>
                        </w14:solidFill>
                      </w14:textFill>
                    </w:rPr>
                    <w:t>合</w:t>
                  </w:r>
                </w:p>
                <w:p>
                  <w:pPr>
                    <w:pStyle w:val="118"/>
                    <w:ind w:left="0" w:leftChars="0" w:firstLine="0" w:firstLineChars="0"/>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bCs w:val="0"/>
                      <w:color w:val="000000" w:themeColor="text1"/>
                      <w:spacing w:val="-2"/>
                      <w:sz w:val="21"/>
                      <w:szCs w:val="21"/>
                      <w:highlight w:val="none"/>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13" w:type="dxa"/>
                  <w:vAlign w:val="center"/>
                </w:tcPr>
                <w:p>
                  <w:pPr>
                    <w:pStyle w:val="118"/>
                    <w:spacing w:line="360" w:lineRule="auto"/>
                    <w:ind w:left="0" w:leftChars="0" w:firstLine="0" w:firstLineChars="0"/>
                    <w:jc w:val="both"/>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color w:val="000000" w:themeColor="text1"/>
                      <w:spacing w:val="-2"/>
                      <w:sz w:val="21"/>
                      <w:szCs w:val="21"/>
                      <w:highlight w:val="none"/>
                      <w14:textFill>
                        <w14:solidFill>
                          <w14:schemeClr w14:val="tx1"/>
                        </w14:solidFill>
                      </w14:textFill>
                    </w:rPr>
                    <w:t>空间布局约束</w:t>
                  </w:r>
                </w:p>
              </w:tc>
              <w:tc>
                <w:tcPr>
                  <w:tcW w:w="2828" w:type="dxa"/>
                  <w:vAlign w:val="center"/>
                </w:tcPr>
                <w:p>
                  <w:pPr>
                    <w:pStyle w:val="118"/>
                    <w:spacing w:line="360" w:lineRule="auto"/>
                    <w:ind w:left="0" w:leftChars="0" w:firstLine="0" w:firstLineChars="0"/>
                    <w:jc w:val="both"/>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color w:val="000000" w:themeColor="text1"/>
                      <w:spacing w:val="-2"/>
                      <w:sz w:val="21"/>
                      <w:szCs w:val="21"/>
                      <w:highlight w:val="none"/>
                      <w:lang w:val="en-US" w:eastAsia="zh-CN"/>
                      <w14:textFill>
                        <w14:solidFill>
                          <w14:schemeClr w14:val="tx1"/>
                        </w14:solidFill>
                      </w14:textFill>
                    </w:rPr>
                    <w:t>执行自治区总体准入要求中关于一般环境管控单元的准入要求（表2-4 A7.1）。限制进行大规模高强度工业化城镇化开发，严格控制金属冶炼、石油化工、焦化等“高污染、高环境风险产品”工业项目，原则上不增加产能，现有“高污染、高环境风险产品”工业项目持续削减污染物排放总量并严格控制环境风险。原则上禁止建设涉及一类重金属、持久性有机污染物排放的工业项目。建立集镇居住商业区、耕地保护区与工业功能区等集聚区块之间的防护带。严格执行畜禽养殖禁养区规定，根据区域用地和消纳水平，合理确定养殖规模。加强基本农田保护，严格限制非农项目占用耕地。</w:t>
                  </w:r>
                </w:p>
              </w:tc>
              <w:tc>
                <w:tcPr>
                  <w:tcW w:w="2137" w:type="dxa"/>
                  <w:vAlign w:val="center"/>
                </w:tcPr>
                <w:p>
                  <w:pPr>
                    <w:keepNext w:val="0"/>
                    <w:keepLines w:val="0"/>
                    <w:widowControl/>
                    <w:suppressLineNumbers w:val="0"/>
                    <w:spacing w:line="360" w:lineRule="auto"/>
                    <w:jc w:val="both"/>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pacing w:val="-2"/>
                      <w:kern w:val="2"/>
                      <w:sz w:val="21"/>
                      <w:szCs w:val="21"/>
                      <w:highlight w:val="none"/>
                      <w:lang w:val="en-US" w:eastAsia="zh-CN" w:bidi="ar-SA"/>
                      <w14:textFill>
                        <w14:solidFill>
                          <w14:schemeClr w14:val="tx1"/>
                        </w14:solidFill>
                      </w14:textFill>
                    </w:rPr>
                    <w:t>本项目为光伏发电项目，不属于“高污染、高环境风险产品”的工业项目，不涉及一类重金属、持久性有机污染物。本项目占地类型为</w:t>
                  </w:r>
                  <w:r>
                    <w:rPr>
                      <w:rFonts w:hint="eastAsia" w:ascii="宋体" w:hAnsi="宋体" w:cs="宋体"/>
                      <w:b w:val="0"/>
                      <w:bCs/>
                      <w:color w:val="000000" w:themeColor="text1"/>
                      <w:spacing w:val="-2"/>
                      <w:kern w:val="2"/>
                      <w:sz w:val="21"/>
                      <w:szCs w:val="21"/>
                      <w:highlight w:val="none"/>
                      <w:lang w:val="en-US" w:eastAsia="zh-CN" w:bidi="ar-SA"/>
                      <w14:textFill>
                        <w14:solidFill>
                          <w14:schemeClr w14:val="tx1"/>
                        </w14:solidFill>
                      </w14:textFill>
                    </w:rPr>
                    <w:t>戈壁荒漠</w:t>
                  </w:r>
                  <w:r>
                    <w:rPr>
                      <w:rFonts w:hint="eastAsia" w:ascii="宋体" w:hAnsi="宋体" w:eastAsia="宋体" w:cs="宋体"/>
                      <w:b w:val="0"/>
                      <w:bCs/>
                      <w:color w:val="000000" w:themeColor="text1"/>
                      <w:spacing w:val="-2"/>
                      <w:kern w:val="2"/>
                      <w:sz w:val="21"/>
                      <w:szCs w:val="21"/>
                      <w:highlight w:val="none"/>
                      <w:lang w:val="en-US" w:eastAsia="zh-CN" w:bidi="ar-SA"/>
                      <w14:textFill>
                        <w14:solidFill>
                          <w14:schemeClr w14:val="tx1"/>
                        </w14:solidFill>
                      </w14:textFill>
                    </w:rPr>
                    <w:t>，不涉及耕地及基本农田。</w:t>
                  </w:r>
                  <w:r>
                    <w:rPr>
                      <w:rFonts w:hint="eastAsia" w:ascii="宋体" w:hAnsi="宋体" w:eastAsia="宋体" w:cs="宋体"/>
                      <w:color w:val="000000" w:themeColor="text1"/>
                      <w:spacing w:val="-2"/>
                      <w:sz w:val="21"/>
                      <w:szCs w:val="21"/>
                      <w:highlight w:val="none"/>
                      <w14:textFill>
                        <w14:solidFill>
                          <w14:schemeClr w14:val="tx1"/>
                        </w14:solidFill>
                      </w14:textFill>
                    </w:rPr>
                    <w:t>项目符合自治区总体准入要求中关于</w:t>
                  </w:r>
                  <w:r>
                    <w:rPr>
                      <w:rFonts w:hint="eastAsia" w:ascii="宋体" w:hAnsi="宋体" w:eastAsia="宋体" w:cs="宋体"/>
                      <w:b w:val="0"/>
                      <w:bCs/>
                      <w:color w:val="000000" w:themeColor="text1"/>
                      <w:spacing w:val="-2"/>
                      <w:kern w:val="2"/>
                      <w:sz w:val="21"/>
                      <w:szCs w:val="21"/>
                      <w:highlight w:val="none"/>
                      <w:lang w:val="en-US" w:eastAsia="zh-CN" w:bidi="ar-SA"/>
                      <w14:textFill>
                        <w14:solidFill>
                          <w14:schemeClr w14:val="tx1"/>
                        </w14:solidFill>
                      </w14:textFill>
                    </w:rPr>
                    <w:t>一般管控单元</w:t>
                  </w:r>
                  <w:r>
                    <w:rPr>
                      <w:rFonts w:hint="eastAsia" w:ascii="宋体" w:hAnsi="宋体" w:eastAsia="宋体" w:cs="宋体"/>
                      <w:color w:val="000000" w:themeColor="text1"/>
                      <w:spacing w:val="-2"/>
                      <w:sz w:val="21"/>
                      <w:szCs w:val="21"/>
                      <w:highlight w:val="none"/>
                      <w14:textFill>
                        <w14:solidFill>
                          <w14:schemeClr w14:val="tx1"/>
                        </w14:solidFill>
                      </w14:textFill>
                    </w:rPr>
                    <w:t>空间布局要求的准入要求。</w:t>
                  </w:r>
                </w:p>
              </w:tc>
              <w:tc>
                <w:tcPr>
                  <w:tcW w:w="1293" w:type="dxa"/>
                  <w:vAlign w:val="center"/>
                </w:tcPr>
                <w:p>
                  <w:pPr>
                    <w:pStyle w:val="118"/>
                    <w:spacing w:line="360" w:lineRule="auto"/>
                    <w:ind w:left="0" w:leftChars="0" w:firstLine="0" w:firstLineChars="0"/>
                    <w:jc w:val="both"/>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pacing w:val="-2"/>
                      <w:sz w:val="21"/>
                      <w:szCs w:val="21"/>
                      <w:highlight w:val="none"/>
                      <w:lang w:val="en-US" w:eastAsia="zh-CN"/>
                      <w14:textFill>
                        <w14:solidFill>
                          <w14:schemeClr w14:val="tx1"/>
                        </w14:solidFill>
                      </w14:textFill>
                    </w:rPr>
                    <w:t>符</w:t>
                  </w:r>
                  <w:r>
                    <w:rPr>
                      <w:rFonts w:hint="eastAsia" w:ascii="宋体" w:hAnsi="宋体" w:eastAsia="宋体" w:cs="宋体"/>
                      <w:color w:val="000000" w:themeColor="text1"/>
                      <w:spacing w:val="-2"/>
                      <w:sz w:val="21"/>
                      <w:szCs w:val="21"/>
                      <w:highlight w:val="none"/>
                      <w14:textFill>
                        <w14:solidFill>
                          <w14:schemeClr w14:val="tx1"/>
                        </w14:solidFill>
                      </w14:textFill>
                    </w:rPr>
                    <w:t>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1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pacing w:val="-2"/>
                      <w:sz w:val="21"/>
                      <w:szCs w:val="21"/>
                      <w:highlight w:val="none"/>
                      <w14:textFill>
                        <w14:solidFill>
                          <w14:schemeClr w14:val="tx1"/>
                        </w14:solidFill>
                      </w14:textFill>
                    </w:rPr>
                    <w:t>污染物排放管控</w:t>
                  </w:r>
                </w:p>
              </w:tc>
              <w:tc>
                <w:tcPr>
                  <w:tcW w:w="2828" w:type="dxa"/>
                  <w:vAlign w:val="center"/>
                </w:tcPr>
                <w:p>
                  <w:pPr>
                    <w:pStyle w:val="106"/>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pacing w:val="-2"/>
                      <w:kern w:val="2"/>
                      <w:sz w:val="21"/>
                      <w:szCs w:val="21"/>
                      <w:highlight w:val="none"/>
                      <w:lang w:val="en-US" w:eastAsia="zh-CN" w:bidi="ar-SA"/>
                      <w14:textFill>
                        <w14:solidFill>
                          <w14:schemeClr w14:val="tx1"/>
                        </w14:solidFill>
                      </w14:textFill>
                    </w:rPr>
                    <w:t>执行自治区总体准入要求中关于一般环境管控单元的准入要求（表2-4 A7.2）。落实污染物总量控制制度，根据区域环境质量改善目标，削减污染物排放总量。加强农业面源污染治理，严格控制化肥农药施加量，逐步削减农业面源污染物排放量。</w:t>
                  </w:r>
                </w:p>
              </w:tc>
              <w:tc>
                <w:tcPr>
                  <w:tcW w:w="2137" w:type="dxa"/>
                  <w:vAlign w:val="center"/>
                </w:tcPr>
                <w:p>
                  <w:pPr>
                    <w:pStyle w:val="106"/>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pacing w:val="-2"/>
                      <w:kern w:val="2"/>
                      <w:sz w:val="21"/>
                      <w:szCs w:val="21"/>
                      <w:highlight w:val="none"/>
                      <w:lang w:val="en-US" w:eastAsia="zh-CN" w:bidi="ar-SA"/>
                      <w14:textFill>
                        <w14:solidFill>
                          <w14:schemeClr w14:val="tx1"/>
                        </w14:solidFill>
                      </w14:textFill>
                    </w:rPr>
                    <w:t>本项目运营期项目运营期废水主要为光伏组件擦拭废水，少量蒸发损耗，其余擦拭废水沿板面直接落入光伏组件下方的绿地，用于植被浇灌，无需申请总量控制。本项目符合自治区总体准入要求中关于一般管控单元污染物排放的准入要求。</w:t>
                  </w:r>
                </w:p>
              </w:tc>
              <w:tc>
                <w:tcPr>
                  <w:tcW w:w="129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pacing w:val="-2"/>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1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环境风险防控</w:t>
                  </w:r>
                </w:p>
              </w:tc>
              <w:tc>
                <w:tcPr>
                  <w:tcW w:w="2828" w:type="dxa"/>
                  <w:vAlign w:val="center"/>
                </w:tcPr>
                <w:p>
                  <w:pPr>
                    <w:pStyle w:val="118"/>
                    <w:spacing w:line="360" w:lineRule="auto"/>
                    <w:ind w:left="0" w:leftChars="0" w:firstLine="0" w:firstLineChars="0"/>
                    <w:jc w:val="both"/>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执行自治区总体准入要求中关于一般环境管控单元的准入要求（表2-4 A7.3）。</w:t>
                  </w:r>
                </w:p>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加强生态公益林保护与建设，防止水土流失。禁止向农用地排放重金属或者其他有毒有害物质含量超标的污水、污泥，以及可能造成土壤污染的尾矿、矿渣等。加强农田土壤、灌溉水的监测及评价，对周边或区域环境风险源进行评估。</w:t>
                  </w:r>
                </w:p>
              </w:tc>
              <w:tc>
                <w:tcPr>
                  <w:tcW w:w="2137"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本项目在施工期采用表土剥离，篷布苫盖等措施防止水土流失，施工完毕后及时恢复施工遗迹，恢复植被，对永久占地进行补偿。本项目占地不涉及农田；项目涉及的环境风险主要为“废变压油”泄露引起的地下水和土壤的污染风险，项目通过专用容器收集，交由资质单位处置等措施后，环境风险可控。项目符合自治区总体准入要求中关于一般管控单元环境风险的准入要求。</w:t>
                  </w:r>
                </w:p>
              </w:tc>
              <w:tc>
                <w:tcPr>
                  <w:tcW w:w="129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pacing w:val="-2"/>
                      <w:sz w:val="21"/>
                      <w:szCs w:val="21"/>
                      <w:highlight w:val="none"/>
                      <w:lang w:val="en-US" w:eastAsia="zh-CN"/>
                      <w14:textFill>
                        <w14:solidFill>
                          <w14:schemeClr w14:val="tx1"/>
                        </w14:solidFill>
                      </w14:textFill>
                    </w:rPr>
                    <w:t>符</w:t>
                  </w:r>
                  <w:r>
                    <w:rPr>
                      <w:rFonts w:hint="eastAsia" w:ascii="宋体" w:hAnsi="宋体" w:eastAsia="宋体" w:cs="宋体"/>
                      <w:color w:val="000000" w:themeColor="text1"/>
                      <w:spacing w:val="-2"/>
                      <w:sz w:val="21"/>
                      <w:szCs w:val="21"/>
                      <w:highlight w:val="none"/>
                      <w14:textFill>
                        <w14:solidFill>
                          <w14:schemeClr w14:val="tx1"/>
                        </w14:solidFill>
                      </w14:textFill>
                    </w:rPr>
                    <w:t>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1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资源利用效率</w:t>
                  </w:r>
                </w:p>
              </w:tc>
              <w:tc>
                <w:tcPr>
                  <w:tcW w:w="2828" w:type="dxa"/>
                  <w:vAlign w:val="center"/>
                </w:tcPr>
                <w:p>
                  <w:pPr>
                    <w:pStyle w:val="118"/>
                    <w:spacing w:line="360" w:lineRule="auto"/>
                    <w:ind w:left="0" w:leftChars="0" w:firstLine="0" w:firstLineChars="0"/>
                    <w:jc w:val="both"/>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执行自治区总体准入要求中关于一般环境管控单元的准入要求（表2-4 A7.4）。</w:t>
                  </w:r>
                </w:p>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实行水资源消耗总量和强度双控，推进农业节水，提高农业用水效率。优化能源结构，加强能源清洁利用。</w:t>
                  </w:r>
                </w:p>
              </w:tc>
              <w:tc>
                <w:tcPr>
                  <w:tcW w:w="2137"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b w:val="0"/>
                      <w:color w:val="000000" w:themeColor="text1"/>
                      <w:kern w:val="0"/>
                      <w:sz w:val="21"/>
                      <w:szCs w:val="21"/>
                      <w:highlight w:val="none"/>
                      <w:lang w:val="en-US" w:eastAsia="zh-CN" w:bidi="ar-SA"/>
                      <w14:textFill>
                        <w14:solidFill>
                          <w14:schemeClr w14:val="tx1"/>
                        </w14:solidFill>
                      </w14:textFill>
                    </w:rPr>
                    <w:t>本项目为光伏发电项目，对加强能源清洁利用起到正效作用。项目符合自治区总体准入要求中关于一般管控单元资源利用要求的准入要求。</w:t>
                  </w:r>
                </w:p>
              </w:tc>
              <w:tc>
                <w:tcPr>
                  <w:tcW w:w="1293" w:type="dxa"/>
                  <w:vAlign w:val="center"/>
                </w:tcPr>
                <w:p>
                  <w:pPr>
                    <w:pStyle w:val="118"/>
                    <w:spacing w:line="360" w:lineRule="auto"/>
                    <w:ind w:left="0" w:leftChars="0" w:firstLine="0" w:firstLineChars="0"/>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pacing w:val="-2"/>
                      <w:sz w:val="21"/>
                      <w:szCs w:val="21"/>
                      <w:highlight w:val="none"/>
                      <w:lang w:val="en-US" w:eastAsia="zh-CN"/>
                      <w14:textFill>
                        <w14:solidFill>
                          <w14:schemeClr w14:val="tx1"/>
                        </w14:solidFill>
                      </w14:textFill>
                    </w:rPr>
                    <w:t>符</w:t>
                  </w:r>
                  <w:r>
                    <w:rPr>
                      <w:rFonts w:hint="eastAsia" w:ascii="宋体" w:hAnsi="宋体" w:eastAsia="宋体" w:cs="宋体"/>
                      <w:color w:val="000000" w:themeColor="text1"/>
                      <w:spacing w:val="-2"/>
                      <w:sz w:val="21"/>
                      <w:szCs w:val="21"/>
                      <w:highlight w:val="none"/>
                      <w14:textFill>
                        <w14:solidFill>
                          <w14:schemeClr w14:val="tx1"/>
                        </w14:solidFill>
                      </w14:textFill>
                    </w:rPr>
                    <w:t>合</w:t>
                  </w:r>
                </w:p>
              </w:tc>
            </w:tr>
          </w:tbl>
          <w:p>
            <w:pPr>
              <w:keepNext w:val="0"/>
              <w:keepLines w:val="0"/>
              <w:pageBreakBefore w:val="0"/>
              <w:widowControl w:val="0"/>
              <w:kinsoku/>
              <w:wordWrap/>
              <w:overflowPunct/>
              <w:topLinePunct w:val="0"/>
              <w:autoSpaceDE/>
              <w:autoSpaceDN/>
              <w:bidi w:val="0"/>
              <w:adjustRightInd/>
              <w:snapToGrid/>
              <w:spacing w:before="157" w:beforeLines="50"/>
              <w:ind w:left="24" w:leftChars="10" w:right="24" w:rightChars="10"/>
              <w:textAlignment w:val="auto"/>
              <w:outlineLvl w:val="9"/>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根据表</w:t>
            </w:r>
            <w:r>
              <w:rPr>
                <w:rFonts w:hint="eastAsia" w:cs="Times New Roman"/>
                <w:color w:val="000000" w:themeColor="text1"/>
                <w:sz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分析，本</w:t>
            </w:r>
            <w:r>
              <w:rPr>
                <w:rFonts w:hint="eastAsia" w:cs="Times New Roman"/>
                <w:color w:val="000000" w:themeColor="text1"/>
                <w:sz w:val="24"/>
                <w:highlight w:val="none"/>
                <w:lang w:val="en-US" w:eastAsia="zh-CN"/>
                <w14:textFill>
                  <w14:solidFill>
                    <w14:schemeClr w14:val="tx1"/>
                  </w14:solidFill>
                </w14:textFill>
              </w:rPr>
              <w:t>工程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的建设符合</w:t>
            </w:r>
            <w:r>
              <w:rPr>
                <w:rFonts w:hint="eastAsia" w:cs="Times New Roman"/>
                <w:color w:val="000000" w:themeColor="text1"/>
                <w:sz w:val="24"/>
                <w:szCs w:val="24"/>
                <w:lang w:val="en-US" w:eastAsia="zh-CN"/>
                <w14:textFill>
                  <w14:solidFill>
                    <w14:schemeClr w14:val="tx1"/>
                  </w14:solidFill>
                </w14:textFill>
              </w:rPr>
              <w:t>昌吉州</w:t>
            </w:r>
            <w:r>
              <w:rPr>
                <w:rFonts w:hint="default" w:ascii="Times New Roman" w:hAnsi="Times New Roman" w:eastAsia="宋体" w:cs="Times New Roman"/>
                <w:color w:val="000000" w:themeColor="text1"/>
                <w:sz w:val="24"/>
                <w:szCs w:val="24"/>
                <w:lang w:eastAsia="zh-CN"/>
                <w14:textFill>
                  <w14:solidFill>
                    <w14:schemeClr w14:val="tx1"/>
                  </w14:solidFill>
                </w14:textFill>
              </w:rPr>
              <w:t>生态环境准入清单</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要求</w:t>
            </w:r>
            <w:r>
              <w:rPr>
                <w:rFonts w:hint="eastAsia"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firstLine="0" w:firstLineChars="0"/>
              <w:jc w:val="both"/>
              <w:textAlignment w:val="auto"/>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3</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、本工程与《新疆生态环境保护“十四五”规划》的符合性分析</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根据规划第三章“坚持创新引领，推动绿色低碳发展”中的第三节“建设清洁低碳能源体系”，要求“大力发展清洁能源。进一步壮大清洁能源产业，着力转变能源生产和消费模式，推动化石能源转型升级。加快非化石能源发展，推进风电和太阳能发电基地建设，积极开发分布式太阳能发电和分散式风电，支持可再生能源与工业、建筑、交通、农业、生态等产业和设施协同发展，配套发展储能产业，推进抽水蓄能电站建设，加快新型储能示范推广应用。积极发展可再生能源微电网、局域网，提高可再生能源的推广和消纳能力。</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w:t>
            </w:r>
            <w:r>
              <w:rPr>
                <w:rFonts w:hint="eastAsia" w:cs="Times New Roman"/>
                <w:color w:val="000000" w:themeColor="text1"/>
                <w:kern w:val="0"/>
                <w:sz w:val="24"/>
                <w:szCs w:val="24"/>
                <w:lang w:val="en-US" w:eastAsia="zh-CN" w:bidi="ar"/>
                <w14:textFill>
                  <w14:solidFill>
                    <w14:schemeClr w14:val="tx1"/>
                  </w14:solidFill>
                </w14:textFill>
              </w:rPr>
              <w:t>工程</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为</w:t>
            </w:r>
            <w:r>
              <w:rPr>
                <w:rFonts w:hint="eastAsia" w:cs="Times New Roman"/>
                <w:color w:val="000000" w:themeColor="text1"/>
                <w:kern w:val="0"/>
                <w:sz w:val="24"/>
                <w:szCs w:val="24"/>
                <w:lang w:val="en-US" w:eastAsia="zh-CN" w:bidi="ar"/>
                <w14:textFill>
                  <w14:solidFill>
                    <w14:schemeClr w14:val="tx1"/>
                  </w14:solidFill>
                </w14:textFill>
              </w:rPr>
              <w:t>光伏发电项目</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，属于清洁能源项目，符合规划要求。</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firstLine="0" w:firstLineChars="0"/>
              <w:jc w:val="both"/>
              <w:textAlignment w:val="auto"/>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4、</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本工程与《昌吉州生态环境保护“十四五”规划》的符合性分析</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根据规划第三章“重点任务”中“（一）加强结构优化调整，推进经济社会绿色转型发展”，要求优化调整能源结构。积极落实能源消费双控制度，强化节能评估审查。到2025年“乌-昌-石”区域在保证企业生产刚性需求的情况下，煤炭消费占一次能源消费比重有所下降。大力开发水能、风能、太阳能等可再生能源。加快构建结构多元、供应稳定的现代绿色能源产业体系，建立健全可再生能源电力消纳保障机制。</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firstLine="480" w:firstLineChars="200"/>
              <w:jc w:val="both"/>
              <w:textAlignment w:val="auto"/>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w:t>
            </w:r>
            <w:r>
              <w:rPr>
                <w:rFonts w:hint="eastAsia" w:cs="Times New Roman"/>
                <w:color w:val="000000" w:themeColor="text1"/>
                <w:kern w:val="0"/>
                <w:sz w:val="24"/>
                <w:szCs w:val="24"/>
                <w:lang w:val="en-US" w:eastAsia="zh-CN" w:bidi="ar"/>
                <w14:textFill>
                  <w14:solidFill>
                    <w14:schemeClr w14:val="tx1"/>
                  </w14:solidFill>
                </w14:textFill>
              </w:rPr>
              <w:t>工程</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为</w:t>
            </w:r>
            <w:r>
              <w:rPr>
                <w:rFonts w:hint="eastAsia" w:cs="Times New Roman"/>
                <w:color w:val="000000" w:themeColor="text1"/>
                <w:kern w:val="0"/>
                <w:sz w:val="24"/>
                <w:szCs w:val="24"/>
                <w:lang w:val="en-US" w:eastAsia="zh-CN" w:bidi="ar"/>
                <w14:textFill>
                  <w14:solidFill>
                    <w14:schemeClr w14:val="tx1"/>
                  </w14:solidFill>
                </w14:textFill>
              </w:rPr>
              <w:t>光伏发电</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工程，属于清洁能源项目，符合规划要求。</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firstLine="241" w:firstLineChars="100"/>
              <w:jc w:val="both"/>
              <w:textAlignment w:val="auto"/>
              <w:rPr>
                <w:rFonts w:hint="default"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5、本项目与</w:t>
            </w:r>
            <w:r>
              <w:rPr>
                <w:rFonts w:hint="default" w:cs="Times New Roman"/>
                <w:b/>
                <w:bCs/>
                <w:color w:val="000000" w:themeColor="text1"/>
                <w:kern w:val="0"/>
                <w:sz w:val="24"/>
                <w:szCs w:val="24"/>
                <w:lang w:val="en-US" w:eastAsia="zh-CN" w:bidi="ar"/>
                <w14:textFill>
                  <w14:solidFill>
                    <w14:schemeClr w14:val="tx1"/>
                  </w14:solidFill>
                </w14:textFill>
              </w:rPr>
              <w:t>《新疆电网“十四五”电力发展规划》</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jc w:val="both"/>
              <w:textAlignment w:val="auto"/>
              <w:rPr>
                <w:rFonts w:hint="default" w:cs="Times New Roman"/>
                <w:color w:val="000000" w:themeColor="text1"/>
                <w:kern w:val="0"/>
                <w:sz w:val="24"/>
                <w:szCs w:val="24"/>
                <w:lang w:val="en-US" w:eastAsia="zh-CN" w:bidi="ar"/>
                <w14:textFill>
                  <w14:solidFill>
                    <w14:schemeClr w14:val="tx1"/>
                  </w14:solidFill>
                </w14:textFill>
              </w:rPr>
            </w:pPr>
            <w:r>
              <w:rPr>
                <w:rFonts w:hint="default" w:cs="Times New Roman"/>
                <w:color w:val="000000" w:themeColor="text1"/>
                <w:kern w:val="0"/>
                <w:sz w:val="24"/>
                <w:szCs w:val="24"/>
                <w:lang w:val="en-US" w:eastAsia="zh-CN" w:bidi="ar"/>
                <w14:textFill>
                  <w14:solidFill>
                    <w14:schemeClr w14:val="tx1"/>
                  </w14:solidFill>
                </w14:textFill>
              </w:rPr>
              <w:t>根据《新疆“十四五”供需形势分析及网架梳理》中可知：“十四五”新疆电网将形成“内供七环网，外送六通道”的网架结构，建成全国覆盖范围最广的750千伏省级主网架，实现南北疆电力互供、常规电源与新能源互补、疆电外送，大大提升新疆与西北、西南、华中电网电气联系及新能源外送消纳。为更好服务新疆电网发展，顺应新型电力系统背景下“源网荷储”一体化规划，经研院分别从“源网荷储”方面提出建议。通过在电源侧深度挖掘火电调峰能力、加快推进火电厂建设进度、加大火电灵活性改造力度、优化新能源配比</w:t>
            </w:r>
            <w:r>
              <w:rPr>
                <w:rFonts w:hint="eastAsia" w:cs="Times New Roman"/>
                <w:color w:val="000000" w:themeColor="text1"/>
                <w:kern w:val="0"/>
                <w:sz w:val="24"/>
                <w:szCs w:val="24"/>
                <w:lang w:val="en-US" w:eastAsia="zh-CN" w:bidi="ar"/>
                <w14:textFill>
                  <w14:solidFill>
                    <w14:schemeClr w14:val="tx1"/>
                  </w14:solidFill>
                </w14:textFill>
              </w:rPr>
              <w:t>；</w:t>
            </w:r>
            <w:r>
              <w:rPr>
                <w:rFonts w:hint="default" w:cs="Times New Roman"/>
                <w:color w:val="000000" w:themeColor="text1"/>
                <w:kern w:val="0"/>
                <w:sz w:val="24"/>
                <w:szCs w:val="24"/>
                <w:lang w:val="en-US" w:eastAsia="zh-CN" w:bidi="ar"/>
                <w14:textFill>
                  <w14:solidFill>
                    <w14:schemeClr w14:val="tx1"/>
                  </w14:solidFill>
                </w14:textFill>
              </w:rPr>
              <w:t>电网侧积极推动网架补强、优化工程投产时序</w:t>
            </w:r>
            <w:r>
              <w:rPr>
                <w:rFonts w:hint="eastAsia" w:cs="Times New Roman"/>
                <w:color w:val="000000" w:themeColor="text1"/>
                <w:kern w:val="0"/>
                <w:sz w:val="24"/>
                <w:szCs w:val="24"/>
                <w:lang w:val="en-US" w:eastAsia="zh-CN" w:bidi="ar"/>
                <w14:textFill>
                  <w14:solidFill>
                    <w14:schemeClr w14:val="tx1"/>
                  </w14:solidFill>
                </w14:textFill>
              </w:rPr>
              <w:t>；</w:t>
            </w:r>
            <w:r>
              <w:rPr>
                <w:rFonts w:hint="default" w:cs="Times New Roman"/>
                <w:color w:val="000000" w:themeColor="text1"/>
                <w:kern w:val="0"/>
                <w:sz w:val="24"/>
                <w:szCs w:val="24"/>
                <w:lang w:val="en-US" w:eastAsia="zh-CN" w:bidi="ar"/>
                <w14:textFill>
                  <w14:solidFill>
                    <w14:schemeClr w14:val="tx1"/>
                  </w14:solidFill>
                </w14:textFill>
              </w:rPr>
              <w:t>在负荷侧可合理布局重大产业建设、加快负荷调节库建设</w:t>
            </w:r>
            <w:r>
              <w:rPr>
                <w:rFonts w:hint="eastAsia" w:cs="Times New Roman"/>
                <w:color w:val="000000" w:themeColor="text1"/>
                <w:kern w:val="0"/>
                <w:sz w:val="24"/>
                <w:szCs w:val="24"/>
                <w:lang w:val="en-US" w:eastAsia="zh-CN" w:bidi="ar"/>
                <w14:textFill>
                  <w14:solidFill>
                    <w14:schemeClr w14:val="tx1"/>
                  </w14:solidFill>
                </w14:textFill>
              </w:rPr>
              <w:t>；</w:t>
            </w:r>
            <w:r>
              <w:rPr>
                <w:rFonts w:hint="default" w:cs="Times New Roman"/>
                <w:color w:val="000000" w:themeColor="text1"/>
                <w:kern w:val="0"/>
                <w:sz w:val="24"/>
                <w:szCs w:val="24"/>
                <w:lang w:val="en-US" w:eastAsia="zh-CN" w:bidi="ar"/>
                <w14:textFill>
                  <w14:solidFill>
                    <w14:schemeClr w14:val="tx1"/>
                  </w14:solidFill>
                </w14:textFill>
              </w:rPr>
              <w:t>储能侧针对供电保障提出科学详细的储能布局等措施。“源网荷储”全方位行动，提升新疆电网适应性和增强供电保障能力。</w:t>
            </w:r>
          </w:p>
          <w:p>
            <w:pPr>
              <w:keepNext w:val="0"/>
              <w:keepLines w:val="0"/>
              <w:pageBreakBefore w:val="0"/>
              <w:widowControl/>
              <w:suppressLineNumbers w:val="0"/>
              <w:kinsoku/>
              <w:wordWrap/>
              <w:overflowPunct/>
              <w:topLinePunct w:val="0"/>
              <w:autoSpaceDE/>
              <w:autoSpaceDN/>
              <w:bidi w:val="0"/>
              <w:adjustRightInd/>
              <w:snapToGrid/>
              <w:ind w:left="24" w:leftChars="10" w:right="24" w:rightChars="10"/>
              <w:jc w:val="both"/>
              <w:textAlignment w:val="auto"/>
              <w:rPr>
                <w:rFonts w:hint="default" w:cs="Times New Roman"/>
                <w:color w:val="000000" w:themeColor="text1"/>
                <w:kern w:val="0"/>
                <w:sz w:val="24"/>
                <w:szCs w:val="24"/>
                <w:lang w:val="en-US" w:eastAsia="zh-CN" w:bidi="ar"/>
                <w14:textFill>
                  <w14:solidFill>
                    <w14:schemeClr w14:val="tx1"/>
                  </w14:solidFill>
                </w14:textFill>
              </w:rPr>
            </w:pPr>
            <w:r>
              <w:rPr>
                <w:rFonts w:hint="default" w:cs="Times New Roman"/>
                <w:color w:val="000000" w:themeColor="text1"/>
                <w:kern w:val="0"/>
                <w:sz w:val="24"/>
                <w:szCs w:val="24"/>
                <w:lang w:val="en-US" w:eastAsia="zh-CN" w:bidi="ar"/>
                <w14:textFill>
                  <w14:solidFill>
                    <w14:schemeClr w14:val="tx1"/>
                  </w14:solidFill>
                </w14:textFill>
              </w:rPr>
              <w:t>本项目符合“十四五”电力发展中常规电源与新能源互补、优化新能源配比，储能侧针对供电保障提出科学详细的储能布局等要求。大力推进国家大型太阳能发电基地建设。依托疆内750千伏电网、特高压直流外送通道及其他能源利用形式，加快南疆、哈密、吐鲁番、准东、博州等区域太阳能资源开发利用，重点打造“两大基地，四大集群”，实施光伏领跑者计划。积极推进分布式光伏发展。</w:t>
            </w:r>
            <w:r>
              <w:rPr>
                <w:rFonts w:hint="eastAsia" w:cs="Times New Roman"/>
                <w:color w:val="000000" w:themeColor="text1"/>
                <w:kern w:val="0"/>
                <w:sz w:val="24"/>
                <w:szCs w:val="24"/>
                <w:lang w:val="en-US" w:eastAsia="zh-CN" w:bidi="ar"/>
                <w14:textFill>
                  <w14:solidFill>
                    <w14:schemeClr w14:val="tx1"/>
                  </w14:solidFill>
                </w14:textFill>
              </w:rPr>
              <w:t>本</w:t>
            </w:r>
            <w:r>
              <w:rPr>
                <w:rFonts w:hint="default" w:cs="Times New Roman"/>
                <w:color w:val="000000" w:themeColor="text1"/>
                <w:kern w:val="0"/>
                <w:sz w:val="24"/>
                <w:szCs w:val="24"/>
                <w:lang w:val="en-US" w:eastAsia="zh-CN" w:bidi="ar"/>
                <w14:textFill>
                  <w14:solidFill>
                    <w14:schemeClr w14:val="tx1"/>
                  </w14:solidFill>
                </w14:textFill>
              </w:rPr>
              <w:t>项目为</w:t>
            </w:r>
            <w:r>
              <w:rPr>
                <w:rFonts w:hint="eastAsia" w:cs="Times New Roman"/>
                <w:color w:val="000000" w:themeColor="text1"/>
                <w:kern w:val="0"/>
                <w:sz w:val="24"/>
                <w:szCs w:val="24"/>
                <w:lang w:val="en-US" w:eastAsia="zh-CN" w:bidi="ar"/>
                <w14:textFill>
                  <w14:solidFill>
                    <w14:schemeClr w14:val="tx1"/>
                  </w14:solidFill>
                </w14:textFill>
              </w:rPr>
              <w:t>光伏发电项目</w:t>
            </w:r>
            <w:r>
              <w:rPr>
                <w:rFonts w:hint="default" w:cs="Times New Roman"/>
                <w:color w:val="000000" w:themeColor="text1"/>
                <w:kern w:val="0"/>
                <w:sz w:val="24"/>
                <w:szCs w:val="24"/>
                <w:lang w:val="en-US" w:eastAsia="zh-CN" w:bidi="ar"/>
                <w14:textFill>
                  <w14:solidFill>
                    <w14:schemeClr w14:val="tx1"/>
                  </w14:solidFill>
                </w14:textFill>
              </w:rPr>
              <w:t>，符合</w:t>
            </w:r>
            <w:r>
              <w:rPr>
                <w:rFonts w:hint="eastAsia" w:cs="Times New Roman"/>
                <w:color w:val="000000" w:themeColor="text1"/>
                <w:kern w:val="0"/>
                <w:sz w:val="24"/>
                <w:szCs w:val="24"/>
                <w:lang w:val="en-US" w:eastAsia="zh-CN" w:bidi="ar"/>
                <w14:textFill>
                  <w14:solidFill>
                    <w14:schemeClr w14:val="tx1"/>
                  </w14:solidFill>
                </w14:textFill>
              </w:rPr>
              <w:t>规划</w:t>
            </w:r>
            <w:r>
              <w:rPr>
                <w:rFonts w:hint="default" w:cs="Times New Roman"/>
                <w:color w:val="000000" w:themeColor="text1"/>
                <w:kern w:val="0"/>
                <w:sz w:val="24"/>
                <w:szCs w:val="24"/>
                <w:lang w:val="en-US" w:eastAsia="zh-CN" w:bidi="ar"/>
                <w14:textFill>
                  <w14:solidFill>
                    <w14:schemeClr w14:val="tx1"/>
                  </w14:solidFill>
                </w14:textFill>
              </w:rPr>
              <w:t>要求。</w:t>
            </w:r>
          </w:p>
          <w:p>
            <w:pPr>
              <w:pStyle w:val="116"/>
              <w:spacing w:line="360" w:lineRule="auto"/>
              <w:ind w:left="0" w:leftChars="0" w:firstLine="240" w:firstLineChars="100"/>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cs="Times New Roman"/>
                <w:color w:val="000000" w:themeColor="text1"/>
                <w:kern w:val="0"/>
                <w:sz w:val="24"/>
                <w:szCs w:val="24"/>
                <w:lang w:val="en-US" w:eastAsia="zh-CN" w:bidi="ar"/>
                <w14:textFill>
                  <w14:solidFill>
                    <w14:schemeClr w14:val="tx1"/>
                  </w14:solidFill>
                </w14:textFill>
              </w:rPr>
              <w:t>6、</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与《新疆维吾尔自治区重点行业环境准入条件（修订）》的符合性分析</w:t>
            </w:r>
          </w:p>
          <w:p>
            <w:pPr>
              <w:autoSpaceDE w:val="0"/>
              <w:autoSpaceDN w:val="0"/>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新疆维吾尔自治区重点行业环境准入条件（修订）》中电力行业准入条件，（1）选址布局方面，风电、光伏发电项目应符合自治区风区规划及区域、产业规划要求，与项目当地风能、光伏资源、环境等情况相适应，用地必须符合土地供应政策和土地使用标准。（2）污染物防治与环境保护方面，需采用先进成熟、节能环保型技术装备，保证机组的安全、稳定和长期运转。</w:t>
            </w:r>
          </w:p>
          <w:p>
            <w:pPr>
              <w:pStyle w:val="116"/>
              <w:spacing w:line="360" w:lineRule="auto"/>
              <w:ind w:left="0" w:leftChars="0"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本项目选址位于新疆维吾尔自治区</w:t>
            </w:r>
            <w:r>
              <w:rPr>
                <w:rFonts w:hint="eastAsia" w:cs="Times New Roman"/>
                <w:color w:val="000000" w:themeColor="text1"/>
                <w:sz w:val="24"/>
                <w:szCs w:val="24"/>
                <w:lang w:val="en-US" w:eastAsia="zh-CN"/>
                <w14:textFill>
                  <w14:solidFill>
                    <w14:schemeClr w14:val="tx1"/>
                  </w14:solidFill>
                </w14:textFill>
              </w:rPr>
              <w:t>奇台县，</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符合自治区规划及区域、产业规划要求，与项目当地光伏资源、环境等情况相适应，项目区周边无自然保护区、世界自然遗产地、风景名胜区、森林公园、地质公园、重要湿地、饮用水水源保护区等重点保护区域内及其它法律法规禁止的区域进行污染环境的任何开发活动用地符合土地供应政策及标准。项目建设符合《新疆维吾尔自治区重点行业环境准入条件（修</w:t>
            </w:r>
            <w:r>
              <w:rPr>
                <w:rFonts w:hint="eastAsia" w:ascii="宋体" w:hAnsi="宋体" w:eastAsia="宋体" w:cs="宋体"/>
                <w:color w:val="000000" w:themeColor="text1"/>
                <w:sz w:val="24"/>
                <w:szCs w:val="24"/>
                <w:lang w:val="en-US" w:eastAsia="zh-CN"/>
                <w14:textFill>
                  <w14:solidFill>
                    <w14:schemeClr w14:val="tx1"/>
                  </w14:solidFill>
                </w14:textFill>
              </w:rPr>
              <w:t>订）》相关要求。</w:t>
            </w:r>
          </w:p>
          <w:p>
            <w:pPr>
              <w:pStyle w:val="116"/>
              <w:spacing w:line="360" w:lineRule="auto"/>
              <w:ind w:left="0" w:leftChars="0" w:firstLine="0" w:firstLineChars="0"/>
              <w:rPr>
                <w:rFonts w:hint="eastAsia" w:ascii="宋体" w:hAnsi="宋体" w:eastAsia="宋体" w:cs="宋体"/>
                <w:b/>
                <w:bCs/>
                <w:color w:val="000000" w:themeColor="text1"/>
                <w:highlight w:val="none"/>
                <w:lang w:val="en-US" w:eastAsia="zh-CN"/>
                <w14:textFill>
                  <w14:solidFill>
                    <w14:schemeClr w14:val="tx1"/>
                  </w14:solidFill>
                </w14:textFill>
              </w:rPr>
            </w:pPr>
            <w:r>
              <w:rPr>
                <w:rFonts w:hint="eastAsia" w:ascii="宋体" w:hAnsi="宋体" w:cs="宋体"/>
                <w:b/>
                <w:bCs/>
                <w:color w:val="000000" w:themeColor="text1"/>
                <w:highlight w:val="none"/>
                <w:lang w:val="en-US" w:eastAsia="zh-CN"/>
                <w14:textFill>
                  <w14:solidFill>
                    <w14:schemeClr w14:val="tx1"/>
                  </w14:solidFill>
                </w14:textFill>
              </w:rPr>
              <w:t>7</w:t>
            </w:r>
            <w:r>
              <w:rPr>
                <w:rFonts w:hint="eastAsia" w:ascii="宋体" w:hAnsi="宋体" w:eastAsia="宋体" w:cs="宋体"/>
                <w:b/>
                <w:bCs/>
                <w:color w:val="000000" w:themeColor="text1"/>
                <w:highlight w:val="none"/>
                <w:lang w:val="en-US" w:eastAsia="zh-CN"/>
                <w14:textFill>
                  <w14:solidFill>
                    <w14:schemeClr w14:val="tx1"/>
                  </w14:solidFill>
                </w14:textFill>
              </w:rPr>
              <w:t>、与《“十四五”可再生能源发展规划》符合性分析</w:t>
            </w:r>
          </w:p>
          <w:p>
            <w:pPr>
              <w:autoSpaceDE w:val="0"/>
              <w:autoSpaceDN w:val="0"/>
              <w:adjustRightInd w:val="0"/>
              <w:snapToGrid w:val="0"/>
              <w:spacing w:line="360" w:lineRule="auto"/>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十四五”可再生能源发展规划》指出：大力推进风电和光伏发电基地化开发。在风能和太阳能资源禀赋较好、建设条件优越、具备持续规模化开发条件的地区，着力提升新能源就地消纳和外送能力，重点建设新疆、黄河上游、河西走廊、黄河几字弯、冀北、松辽、黄河下游新能源基地和海上风电基地集群。加快推进以沙漠、戈壁、荒漠地区为重点的大型风电太阳能发电基地。以风光资源为依托、以区域电网为支撑、以输电通道为牵引、以高效消纳为目标，统筹优化风电光伏布局和支撑调节电源，在内蒙古、青海、甘肃等西部北部沙漠、戈壁、荒漠地区，加快建设一批生态友好、经济优越、体现国家战略和国家意志的大型风电光伏基地项目。</w:t>
            </w:r>
          </w:p>
          <w:p>
            <w:pPr>
              <w:pStyle w:val="116"/>
              <w:spacing w:line="360" w:lineRule="auto"/>
              <w:ind w:left="0" w:leftChars="0"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本项目为光伏项目，建设地点位于新疆维吾尔自治区</w:t>
            </w:r>
            <w:r>
              <w:rPr>
                <w:rFonts w:hint="eastAsia" w:ascii="宋体" w:hAnsi="宋体" w:cs="宋体"/>
                <w:color w:val="000000" w:themeColor="text1"/>
                <w:sz w:val="24"/>
                <w:szCs w:val="24"/>
                <w:lang w:val="en-US" w:eastAsia="zh-CN"/>
                <w14:textFill>
                  <w14:solidFill>
                    <w14:schemeClr w14:val="tx1"/>
                  </w14:solidFill>
                </w14:textFill>
              </w:rPr>
              <w:t>奇台县</w:t>
            </w:r>
            <w:r>
              <w:rPr>
                <w:rFonts w:hint="eastAsia" w:ascii="宋体" w:hAnsi="宋体" w:eastAsia="宋体" w:cs="宋体"/>
                <w:color w:val="000000" w:themeColor="text1"/>
                <w:sz w:val="24"/>
                <w:szCs w:val="24"/>
                <w:lang w:val="en-US" w:eastAsia="zh-CN"/>
                <w14:textFill>
                  <w14:solidFill>
                    <w14:schemeClr w14:val="tx1"/>
                  </w14:solidFill>
                </w14:textFill>
              </w:rPr>
              <w:t>，项目生产出绿色环保的光伏电力，提高土地空间的经济价，项目建设符合《“十四五”可再生能源发展规划》。</w:t>
            </w:r>
          </w:p>
          <w:p>
            <w:pPr>
              <w:pStyle w:val="116"/>
              <w:spacing w:line="360" w:lineRule="auto"/>
              <w:ind w:left="0" w:leftChars="0" w:firstLine="0" w:firstLineChars="0"/>
              <w:rPr>
                <w:rFonts w:hint="default" w:ascii="Times New Roman" w:hAnsi="Times New Roman" w:eastAsia="宋体" w:cs="Times New Roman"/>
                <w:b/>
                <w:bCs/>
                <w:color w:val="auto"/>
                <w:highlight w:val="none"/>
                <w:lang w:val="en-US" w:eastAsia="zh-CN"/>
              </w:rPr>
            </w:pPr>
            <w:r>
              <w:rPr>
                <w:rFonts w:hint="eastAsia" w:eastAsia="宋体" w:cs="Times New Roman"/>
                <w:b/>
                <w:bCs/>
                <w:color w:val="auto"/>
                <w:highlight w:val="none"/>
                <w:lang w:val="en-US" w:eastAsia="zh-CN"/>
              </w:rPr>
              <w:t>8</w:t>
            </w:r>
            <w:r>
              <w:rPr>
                <w:rFonts w:hint="eastAsia" w:ascii="Times New Roman" w:hAnsi="Times New Roman" w:eastAsia="宋体"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与</w:t>
            </w:r>
            <w:r>
              <w:rPr>
                <w:rFonts w:hint="eastAsia" w:ascii="Times New Roman" w:hAnsi="Times New Roman" w:eastAsia="宋体" w:cs="Times New Roman"/>
                <w:b/>
                <w:bCs/>
                <w:color w:val="auto"/>
                <w:highlight w:val="none"/>
                <w:lang w:val="en-US" w:eastAsia="zh-CN"/>
              </w:rPr>
              <w:t>新疆维吾尔自治区“</w:t>
            </w:r>
            <w:r>
              <w:rPr>
                <w:rFonts w:hint="default" w:ascii="Times New Roman" w:hAnsi="Times New Roman" w:eastAsia="宋体" w:cs="Times New Roman"/>
                <w:b/>
                <w:bCs/>
                <w:color w:val="auto"/>
                <w:highlight w:val="none"/>
                <w:lang w:val="en-US" w:eastAsia="zh-CN"/>
              </w:rPr>
              <w:t>关于扩大新能源消纳促进新能源持续健康发展的实施意见</w:t>
            </w:r>
            <w:r>
              <w:rPr>
                <w:rFonts w:hint="eastAsia" w:ascii="Times New Roman" w:hAnsi="Times New Roman" w:eastAsia="宋体" w:cs="Times New Roman"/>
                <w:b/>
                <w:bCs/>
                <w:color w:val="auto"/>
                <w:highlight w:val="none"/>
                <w:lang w:val="en-US" w:eastAsia="zh-CN"/>
              </w:rPr>
              <w:t>”（新政发〔2016〕79号）相符性分析</w:t>
            </w:r>
          </w:p>
          <w:p>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根据新疆维吾尔自治区“关于扩大新能源消纳促进新能源持续健康发展的实施意见”（新政发〔2016〕79号）中</w:t>
            </w:r>
            <w:r>
              <w:rPr>
                <w:rFonts w:hint="eastAsia" w:ascii="Times New Roman" w:hAnsi="Times New Roman" w:eastAsia="宋体" w:cs="Times New Roman"/>
                <w:color w:val="auto"/>
                <w:sz w:val="24"/>
                <w:szCs w:val="24"/>
                <w:lang w:val="en-US" w:eastAsia="zh-CN"/>
              </w:rPr>
              <w:t>“加强电网调度监管，研究出台新疆风光电优先调度工作实施细则，规范电网调度秩序，确保可再生能源优先发电权，实现清洁调度和节能调度优先。”、“加强可再生能源开发利用目标引导制度监管，建立可再生能源电力绿色证书交易机制，鼓励绿色证书持有人按照相关规定参与碳减排交易和节能量交易。”</w:t>
            </w:r>
          </w:p>
          <w:p>
            <w:pPr>
              <w:autoSpaceDE w:val="0"/>
              <w:autoSpaceDN w:val="0"/>
              <w:adjustRightInd w:val="0"/>
              <w:snapToGrid w:val="0"/>
              <w:spacing w:line="360" w:lineRule="auto"/>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auto"/>
                <w:sz w:val="24"/>
                <w:szCs w:val="24"/>
                <w:lang w:val="en-US" w:eastAsia="zh-CN"/>
              </w:rPr>
              <w:t>本项为</w:t>
            </w:r>
            <w:r>
              <w:rPr>
                <w:rFonts w:hint="eastAsia" w:eastAsia="宋体" w:cs="Times New Roman"/>
                <w:color w:val="auto"/>
                <w:sz w:val="24"/>
                <w:szCs w:val="24"/>
                <w:lang w:val="en-US" w:eastAsia="zh-CN"/>
              </w:rPr>
              <w:t>光伏发电</w:t>
            </w:r>
            <w:r>
              <w:rPr>
                <w:rFonts w:hint="default" w:ascii="Times New Roman" w:hAnsi="Times New Roman" w:eastAsia="宋体" w:cs="Times New Roman"/>
                <w:color w:val="auto"/>
                <w:sz w:val="24"/>
                <w:szCs w:val="24"/>
                <w:lang w:val="en-US" w:eastAsia="zh-CN"/>
              </w:rPr>
              <w:t>建设</w:t>
            </w:r>
            <w:r>
              <w:rPr>
                <w:rFonts w:hint="eastAsia"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lang w:val="en-US" w:eastAsia="zh-CN"/>
              </w:rPr>
              <w:t>，建设地点位于新疆维吾尔自治区昌吉回族自治州</w:t>
            </w:r>
            <w:r>
              <w:rPr>
                <w:rFonts w:hint="eastAsia" w:ascii="Times New Roman" w:hAnsi="Times New Roman" w:eastAsia="宋体" w:cs="Times New Roman"/>
                <w:color w:val="auto"/>
                <w:sz w:val="24"/>
                <w:szCs w:val="24"/>
                <w:lang w:val="en-US" w:eastAsia="zh-CN"/>
              </w:rPr>
              <w:t>奇台县，本项目采用</w:t>
            </w:r>
            <w:r>
              <w:rPr>
                <w:rFonts w:hint="eastAsia" w:eastAsia="宋体" w:cs="Times New Roman"/>
                <w:color w:val="auto"/>
                <w:sz w:val="24"/>
                <w:szCs w:val="24"/>
                <w:lang w:val="en-US" w:eastAsia="zh-CN"/>
              </w:rPr>
              <w:t>光伏</w:t>
            </w:r>
            <w:r>
              <w:rPr>
                <w:rFonts w:hint="eastAsia" w:ascii="Times New Roman" w:hAnsi="Times New Roman" w:eastAsia="宋体" w:cs="Times New Roman"/>
                <w:color w:val="auto"/>
                <w:sz w:val="24"/>
                <w:szCs w:val="24"/>
                <w:lang w:val="en-US" w:eastAsia="zh-CN"/>
              </w:rPr>
              <w:t>发电</w:t>
            </w:r>
            <w:r>
              <w:rPr>
                <w:rFonts w:hint="eastAsia"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提高土地空间的经济</w:t>
            </w:r>
            <w:r>
              <w:rPr>
                <w:rFonts w:hint="eastAsia" w:eastAsia="宋体" w:cs="Times New Roman"/>
                <w:color w:val="auto"/>
                <w:sz w:val="24"/>
                <w:szCs w:val="24"/>
                <w:lang w:val="en-US" w:eastAsia="zh-CN"/>
              </w:rPr>
              <w:t>价值。</w:t>
            </w:r>
            <w:r>
              <w:rPr>
                <w:rFonts w:hint="eastAsia" w:ascii="Times New Roman" w:hAnsi="Times New Roman" w:eastAsia="宋体" w:cs="Times New Roman"/>
                <w:color w:val="auto"/>
                <w:sz w:val="24"/>
                <w:szCs w:val="24"/>
                <w:lang w:val="en-US" w:eastAsia="zh-CN"/>
              </w:rPr>
              <w:t>本项目建设符合</w:t>
            </w:r>
            <w:r>
              <w:rPr>
                <w:rFonts w:hint="default" w:ascii="Times New Roman" w:hAnsi="Times New Roman" w:eastAsia="宋体" w:cs="Times New Roman"/>
                <w:color w:val="auto"/>
                <w:sz w:val="24"/>
                <w:szCs w:val="24"/>
                <w:lang w:val="en-US" w:eastAsia="zh-CN"/>
              </w:rPr>
              <w:t>新疆维吾尔自治区“关于扩大新能源消纳促进新能源持续健康发展的实施意见”（新政发〔2016〕79号）</w:t>
            </w:r>
            <w:r>
              <w:rPr>
                <w:rFonts w:hint="eastAsia" w:ascii="Times New Roman" w:hAnsi="Times New Roman" w:eastAsia="宋体" w:cs="Times New Roman"/>
                <w:color w:val="auto"/>
                <w:sz w:val="24"/>
                <w:szCs w:val="24"/>
                <w:lang w:val="en-US" w:eastAsia="zh-CN"/>
              </w:rPr>
              <w:t>。</w:t>
            </w:r>
          </w:p>
          <w:p>
            <w:pPr>
              <w:pStyle w:val="116"/>
              <w:spacing w:line="360" w:lineRule="auto"/>
              <w:ind w:left="0" w:leftChars="0" w:firstLine="0" w:firstLineChars="0"/>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9</w:t>
            </w:r>
            <w:r>
              <w:rPr>
                <w:rFonts w:hint="eastAsia"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与《国家能源局关于支持光伏扶贫和规范光伏发电产业用地的意见》（国土资规[2017]8 号）</w:t>
            </w:r>
          </w:p>
          <w:p>
            <w:pPr>
              <w:pStyle w:val="116"/>
              <w:spacing w:line="360" w:lineRule="auto"/>
              <w:ind w:left="0" w:leftChars="0" w:firstLine="480" w:firstLineChars="20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《国家能源局关于支持光伏扶贫和规范光伏发电产业用地的意见》（国土资规[2017]8 号）提出光伏发电可以利用未利用地的，不得占用农用地；可以利用劣地的，不得占用好地。禁止以任何方式占用永久基本农田，严禁在国家相关法律法规和规划明确禁止的区域发展光伏发电项目。</w:t>
            </w:r>
          </w:p>
          <w:p>
            <w:pPr>
              <w:pStyle w:val="116"/>
              <w:spacing w:line="360" w:lineRule="auto"/>
              <w:ind w:left="0" w:leftChars="0" w:firstLine="480" w:firstLineChars="200"/>
              <w:rPr>
                <w:rFonts w:hint="default" w:ascii="宋体" w:hAnsi="宋体" w:eastAsia="宋体" w:cs="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auto"/>
                <w:sz w:val="24"/>
                <w:szCs w:val="24"/>
                <w:lang w:val="en-US" w:eastAsia="zh-CN"/>
              </w:rPr>
              <w:t>本项为</w:t>
            </w:r>
            <w:r>
              <w:rPr>
                <w:rFonts w:hint="eastAsia" w:eastAsia="宋体" w:cs="Times New Roman"/>
                <w:color w:val="auto"/>
                <w:sz w:val="24"/>
                <w:szCs w:val="24"/>
                <w:lang w:val="en-US" w:eastAsia="zh-CN"/>
              </w:rPr>
              <w:t>光伏发电</w:t>
            </w:r>
            <w:r>
              <w:rPr>
                <w:rFonts w:hint="default" w:ascii="Times New Roman" w:hAnsi="Times New Roman" w:eastAsia="宋体" w:cs="Times New Roman"/>
                <w:color w:val="auto"/>
                <w:sz w:val="24"/>
                <w:szCs w:val="24"/>
                <w:lang w:val="en-US" w:eastAsia="zh-CN"/>
              </w:rPr>
              <w:t>建设</w:t>
            </w:r>
            <w:r>
              <w:rPr>
                <w:rFonts w:hint="eastAsia" w:ascii="Times New Roman" w:hAnsi="Times New Roman" w:eastAsia="宋体" w:cs="Times New Roman"/>
                <w:color w:val="auto"/>
                <w:sz w:val="24"/>
                <w:szCs w:val="24"/>
                <w:lang w:val="en-US" w:eastAsia="zh-CN"/>
              </w:rPr>
              <w:t>项目</w:t>
            </w:r>
            <w:r>
              <w:rPr>
                <w:rFonts w:hint="eastAsia" w:eastAsia="宋体" w:cs="Times New Roman"/>
                <w:color w:val="auto"/>
                <w:sz w:val="24"/>
                <w:szCs w:val="24"/>
                <w:lang w:val="en-US" w:eastAsia="zh-CN"/>
              </w:rPr>
              <w:t>，占地类型为戈壁荒漠，没有占用农用地和永久基本农田。符合</w:t>
            </w:r>
            <w:r>
              <w:rPr>
                <w:rFonts w:hint="eastAsia" w:ascii="Times New Roman" w:hAnsi="Times New Roman" w:eastAsia="宋体" w:cs="Times New Roman"/>
                <w:color w:val="auto"/>
                <w:kern w:val="2"/>
                <w:sz w:val="24"/>
                <w:szCs w:val="24"/>
                <w:lang w:val="en-US" w:eastAsia="zh-CN" w:bidi="ar-SA"/>
              </w:rPr>
              <w:t>《国家能源局关于支持光伏扶贫和规范光伏发电产业用地的意见》（国土资规[2017]8 号）</w:t>
            </w:r>
            <w:r>
              <w:rPr>
                <w:rFonts w:hint="eastAsia" w:eastAsia="宋体" w:cs="Times New Roman"/>
                <w:color w:val="auto"/>
                <w:kern w:val="2"/>
                <w:sz w:val="24"/>
                <w:szCs w:val="24"/>
                <w:lang w:val="en-US" w:eastAsia="zh-CN" w:bidi="ar-SA"/>
              </w:rPr>
              <w:t>要求。</w:t>
            </w:r>
          </w:p>
        </w:tc>
      </w:tr>
    </w:tbl>
    <w:p>
      <w:pPr>
        <w:ind w:firstLine="600"/>
        <w:outlineLvl w:val="9"/>
        <w:rPr>
          <w:rFonts w:hint="default" w:ascii="Times New Roman" w:hAnsi="Times New Roman" w:eastAsia="宋体" w:cs="Times New Roman"/>
          <w:color w:val="000000" w:themeColor="text1"/>
          <w:sz w:val="30"/>
          <w14:textFill>
            <w14:solidFill>
              <w14:schemeClr w14:val="tx1"/>
            </w14:solidFill>
          </w14:textFill>
        </w:rPr>
        <w:sectPr>
          <w:footerReference r:id="rId11"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eastAsia" w:ascii="黑体" w:hAnsi="黑体" w:eastAsia="黑体" w:cs="黑体"/>
          <w:b w:val="0"/>
          <w:bCs w:val="0"/>
          <w:snapToGrid w:val="0"/>
          <w:color w:val="000000" w:themeColor="text1"/>
          <w:sz w:val="30"/>
          <w:szCs w:val="30"/>
          <w:highlight w:val="none"/>
          <w:lang w:eastAsia="zh-CN"/>
          <w14:textFill>
            <w14:solidFill>
              <w14:schemeClr w14:val="tx1"/>
            </w14:solidFill>
          </w14:textFill>
        </w:rPr>
      </w:pPr>
      <w:bookmarkStart w:id="27" w:name="_Toc29784"/>
      <w:bookmarkStart w:id="28" w:name="_Toc25574"/>
      <w:bookmarkStart w:id="29" w:name="_Toc30813"/>
      <w:bookmarkStart w:id="30" w:name="_Toc30738"/>
      <w:bookmarkStart w:id="31" w:name="_Toc15795"/>
      <w:bookmarkStart w:id="32" w:name="_Toc18674"/>
      <w:bookmarkStart w:id="33" w:name="_Toc11444"/>
      <w:bookmarkStart w:id="34" w:name="_Toc23085"/>
      <w:r>
        <w:rPr>
          <w:rFonts w:hint="eastAsia" w:ascii="黑体" w:hAnsi="黑体" w:eastAsia="黑体" w:cs="黑体"/>
          <w:b w:val="0"/>
          <w:bCs w:val="0"/>
          <w:snapToGrid w:val="0"/>
          <w:color w:val="000000" w:themeColor="text1"/>
          <w:sz w:val="30"/>
          <w:szCs w:val="30"/>
          <w:highlight w:val="none"/>
          <w14:textFill>
            <w14:solidFill>
              <w14:schemeClr w14:val="tx1"/>
            </w14:solidFill>
          </w14:textFill>
        </w:rPr>
        <w:t>二、建设</w:t>
      </w:r>
      <w:bookmarkEnd w:id="27"/>
      <w:bookmarkEnd w:id="28"/>
      <w:bookmarkEnd w:id="29"/>
      <w:r>
        <w:rPr>
          <w:rFonts w:hint="eastAsia" w:ascii="黑体" w:hAnsi="黑体" w:eastAsia="黑体" w:cs="黑体"/>
          <w:b w:val="0"/>
          <w:bCs w:val="0"/>
          <w:snapToGrid w:val="0"/>
          <w:color w:val="000000" w:themeColor="text1"/>
          <w:sz w:val="30"/>
          <w:szCs w:val="30"/>
          <w:highlight w:val="none"/>
          <w:lang w:val="en-US" w:eastAsia="zh-CN"/>
          <w14:textFill>
            <w14:solidFill>
              <w14:schemeClr w14:val="tx1"/>
            </w14:solidFill>
          </w14:textFill>
        </w:rPr>
        <w:t>内容</w:t>
      </w:r>
      <w:bookmarkEnd w:id="30"/>
      <w:bookmarkEnd w:id="31"/>
      <w:bookmarkEnd w:id="32"/>
      <w:bookmarkEnd w:id="33"/>
      <w:bookmarkEnd w:id="34"/>
    </w:p>
    <w:tbl>
      <w:tblPr>
        <w:tblStyle w:val="35"/>
        <w:tblW w:w="927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5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705" w:hRule="atLeast"/>
          <w:jc w:val="center"/>
        </w:trPr>
        <w:tc>
          <w:tcPr>
            <w:tcW w:w="704" w:type="dxa"/>
            <w:vAlign w:val="center"/>
          </w:tcPr>
          <w:p>
            <w:pPr>
              <w:pStyle w:val="31"/>
              <w:adjustRightInd w:val="0"/>
              <w:snapToGrid w:val="0"/>
              <w:spacing w:before="0" w:beforeAutospacing="0" w:after="0" w:afterAutospacing="0" w:line="240" w:lineRule="auto"/>
              <w:ind w:firstLine="0" w:firstLineChars="0"/>
              <w:jc w:val="center"/>
              <w:outlineLvl w:val="9"/>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地理位置</w:t>
            </w:r>
          </w:p>
        </w:tc>
        <w:tc>
          <w:tcPr>
            <w:tcW w:w="8571" w:type="dxa"/>
            <w:vAlign w:val="center"/>
          </w:tcPr>
          <w:p>
            <w:pPr>
              <w:pStyle w:val="14"/>
              <w:keepNext w:val="0"/>
              <w:keepLines w:val="0"/>
              <w:pageBreakBefore w:val="0"/>
              <w:widowControl w:val="0"/>
              <w:kinsoku/>
              <w:wordWrap/>
              <w:overflowPunct/>
              <w:topLinePunct w:val="0"/>
              <w:autoSpaceDE/>
              <w:autoSpaceDN/>
              <w:bidi w:val="0"/>
              <w:adjustRightInd/>
              <w:snapToGrid/>
              <w:spacing w:before="157" w:beforeLines="50" w:after="0"/>
              <w:ind w:left="0" w:leftChars="0"/>
              <w:textAlignment w:val="auto"/>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pPr>
            <w:r>
              <w:rPr>
                <w:rFonts w:hint="eastAsia" w:cs="Times New Roman"/>
                <w:color w:val="000000" w:themeColor="text1"/>
                <w:kern w:val="0"/>
                <w:sz w:val="24"/>
                <w:szCs w:val="20"/>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规划用地位于新疆维吾尔自治区昌吉回族自治州奇台县塔塔尔族乡（北山直属），场址南侧距奇台县约50km，东侧距省道S240约6km，</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中心坐标东经</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89</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28</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29.281</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″,北纬</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44</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34</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11.212</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0"/>
                <w:lang w:val="en-US" w:eastAsia="zh-CN" w:bidi="ar-SA"/>
                <w14:textFill>
                  <w14:solidFill>
                    <w14:schemeClr w14:val="tx1"/>
                  </w14:solidFill>
                </w14:textFill>
              </w:rPr>
              <w:t>，站址地貌单元较单一，呈荒漠景观，场地地形开阔，起伏不大，东高西低，地势大致由东向西倾斜，场地地面高度约在 564.2～575.1m，地面坡度约在 0.2%左右。</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具有很好的太阳能开发利用价值，适于建设光伏发电工程。</w:t>
            </w:r>
          </w:p>
          <w:p>
            <w:pPr>
              <w:pStyle w:val="14"/>
              <w:keepNext w:val="0"/>
              <w:keepLines w:val="0"/>
              <w:pageBreakBefore w:val="0"/>
              <w:widowControl w:val="0"/>
              <w:kinsoku/>
              <w:wordWrap/>
              <w:overflowPunct/>
              <w:topLinePunct w:val="0"/>
              <w:autoSpaceDE/>
              <w:autoSpaceDN/>
              <w:bidi w:val="0"/>
              <w:adjustRightInd/>
              <w:snapToGrid/>
              <w:spacing w:after="0"/>
              <w:ind w:left="0" w:left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kern w:val="0"/>
                <w:sz w:val="24"/>
                <w:szCs w:val="20"/>
                <w:lang w:val="en-US" w:eastAsia="zh-CN" w:bidi="ar-SA"/>
                <w14:textFill>
                  <w14:solidFill>
                    <w14:schemeClr w14:val="tx1"/>
                  </w14:solidFill>
                </w14:textFill>
              </w:rPr>
              <w:t>本工程地理位置图见附图</w:t>
            </w:r>
            <w:r>
              <w:rPr>
                <w:rFonts w:hint="eastAsia" w:cs="Times New Roman"/>
                <w:color w:val="000000" w:themeColor="text1"/>
                <w:kern w:val="0"/>
                <w:sz w:val="24"/>
                <w:szCs w:val="20"/>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，周边关系图见</w:t>
            </w:r>
            <w:r>
              <w:rPr>
                <w:rFonts w:hint="default" w:ascii="Times New Roman" w:hAnsi="Times New Roman" w:cs="Times New Roman"/>
                <w:color w:val="000000" w:themeColor="text1"/>
                <w:kern w:val="0"/>
                <w:sz w:val="24"/>
                <w:szCs w:val="20"/>
                <w:lang w:val="en-US" w:eastAsia="zh-CN" w:bidi="ar-SA"/>
                <w14:textFill>
                  <w14:solidFill>
                    <w14:schemeClr w14:val="tx1"/>
                  </w14:solidFill>
                </w14:textFill>
              </w:rPr>
              <w:t>附图</w:t>
            </w:r>
            <w:r>
              <w:rPr>
                <w:rFonts w:hint="eastAsia" w:cs="Times New Roman"/>
                <w:color w:val="000000" w:themeColor="text1"/>
                <w:kern w:val="0"/>
                <w:sz w:val="24"/>
                <w:szCs w:val="20"/>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04" w:type="dxa"/>
            <w:vAlign w:val="center"/>
          </w:tcPr>
          <w:p>
            <w:pPr>
              <w:pStyle w:val="31"/>
              <w:adjustRightInd w:val="0"/>
              <w:snapToGrid w:val="0"/>
              <w:spacing w:before="0" w:beforeAutospacing="0" w:after="0" w:afterAutospacing="0" w:line="240" w:lineRule="auto"/>
              <w:ind w:firstLine="0" w:firstLineChars="0"/>
              <w:jc w:val="center"/>
              <w:outlineLvl w:val="9"/>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项目组成及规模</w:t>
            </w:r>
          </w:p>
        </w:tc>
        <w:tc>
          <w:tcPr>
            <w:tcW w:w="8571" w:type="dxa"/>
            <w:vAlign w:val="center"/>
          </w:tcPr>
          <w:p>
            <w:pPr>
              <w:pStyle w:val="7"/>
              <w:keepNext/>
              <w:keepLines/>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default" w:ascii="Times New Roman" w:hAnsi="Times New Roman" w:eastAsia="宋体" w:cs="Times New Roman"/>
                <w:b/>
                <w:bCs/>
                <w:color w:val="000000" w:themeColor="text1"/>
                <w:kern w:val="0"/>
                <w:sz w:val="24"/>
                <w:szCs w:val="20"/>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0"/>
                <w:lang w:val="en-US" w:eastAsia="zh-CN" w:bidi="ar-SA"/>
                <w14:textFill>
                  <w14:solidFill>
                    <w14:schemeClr w14:val="tx1"/>
                  </w14:solidFill>
                </w14:textFill>
              </w:rPr>
              <w:t>1、项目建设内容</w:t>
            </w:r>
          </w:p>
          <w:p>
            <w:pPr>
              <w:pStyle w:val="7"/>
              <w:keepNext/>
              <w:keepLines/>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本工程本项目规划总装机容量 1000MW，</w:t>
            </w:r>
            <w:r>
              <w:rPr>
                <w:rFonts w:hint="default" w:ascii="Times New Roman" w:hAnsi="Times New Roman" w:eastAsia="宋体" w:cs="Times New Roman"/>
                <w:color w:val="000000" w:themeColor="text1"/>
                <w:kern w:val="0"/>
                <w:sz w:val="24"/>
                <w:szCs w:val="20"/>
                <w:lang w:val="en-US" w:eastAsia="zh-CN" w:bidi="ar-SA"/>
                <w14:textFill>
                  <w14:solidFill>
                    <w14:schemeClr w14:val="tx1"/>
                  </w14:solidFill>
                </w14:textFill>
              </w:rPr>
              <w:t>主要建设内容包括：</w:t>
            </w:r>
          </w:p>
          <w:p>
            <w:pPr>
              <w:ind w:firstLine="480"/>
              <w:rPr>
                <w:rFonts w:hint="eastAsia"/>
                <w:color w:val="000000" w:themeColor="text1"/>
                <w:highlight w:val="none"/>
                <w:lang w:val="en-US" w:eastAsia="zh-CN"/>
                <w14:textFill>
                  <w14:solidFill>
                    <w14:schemeClr w14:val="tx1"/>
                  </w14:solidFill>
                </w14:textFill>
              </w:rPr>
            </w:pPr>
            <w:r>
              <w:rPr>
                <w:color w:val="000000" w:themeColor="text1"/>
                <w:szCs w:val="24"/>
                <w:highlight w:val="none"/>
                <w14:textFill>
                  <w14:solidFill>
                    <w14:schemeClr w14:val="tx1"/>
                  </w14:solidFill>
                </w14:textFill>
              </w:rPr>
              <w:t>本工程属于平地光伏，采用“分块发电，集中并网”的总体设计方案，终期建设光伏电站</w:t>
            </w:r>
            <w:r>
              <w:rPr>
                <w:rFonts w:hint="eastAsia"/>
                <w:color w:val="000000" w:themeColor="text1"/>
                <w:szCs w:val="24"/>
                <w:highlight w:val="none"/>
                <w:lang w:val="en-US" w:eastAsia="zh-CN"/>
                <w14:textFill>
                  <w14:solidFill>
                    <w14:schemeClr w14:val="tx1"/>
                  </w14:solidFill>
                </w14:textFill>
              </w:rPr>
              <w:t>交流侧装机1000MW</w:t>
            </w:r>
            <w:r>
              <w:rPr>
                <w:color w:val="000000" w:themeColor="text1"/>
                <w:szCs w:val="24"/>
                <w:highlight w:val="none"/>
                <w14:textFill>
                  <w14:solidFill>
                    <w14:schemeClr w14:val="tx1"/>
                  </w14:solidFill>
                </w14:textFill>
              </w:rPr>
              <w:t>。</w:t>
            </w:r>
            <w:r>
              <w:rPr>
                <w:rFonts w:hint="eastAsia"/>
                <w:color w:val="000000" w:themeColor="text1"/>
                <w:szCs w:val="24"/>
                <w:highlight w:val="none"/>
                <w:lang w:val="en-US" w:eastAsia="zh-CN"/>
                <w14:textFill>
                  <w14:solidFill>
                    <w14:schemeClr w14:val="tx1"/>
                  </w14:solidFill>
                </w14:textFill>
              </w:rPr>
              <w:t>常规</w:t>
            </w:r>
            <w:r>
              <w:rPr>
                <w:color w:val="000000" w:themeColor="text1"/>
                <w:szCs w:val="24"/>
                <w:highlight w:val="none"/>
                <w14:textFill>
                  <w14:solidFill>
                    <w14:schemeClr w14:val="tx1"/>
                  </w14:solidFill>
                </w14:textFill>
              </w:rPr>
              <w:t>光伏阵列分成</w:t>
            </w:r>
            <w:r>
              <w:rPr>
                <w:rFonts w:hint="eastAsia"/>
                <w:color w:val="000000" w:themeColor="text1"/>
                <w:szCs w:val="24"/>
                <w:highlight w:val="none"/>
                <w:lang w:val="en-US" w:eastAsia="zh-CN"/>
                <w14:textFill>
                  <w14:solidFill>
                    <w14:schemeClr w14:val="tx1"/>
                  </w14:solidFill>
                </w14:textFill>
              </w:rPr>
              <w:t>303</w:t>
            </w:r>
            <w:r>
              <w:rPr>
                <w:color w:val="000000" w:themeColor="text1"/>
                <w:szCs w:val="24"/>
                <w:highlight w:val="none"/>
                <w14:textFill>
                  <w14:solidFill>
                    <w14:schemeClr w14:val="tx1"/>
                  </w14:solidFill>
                </w14:textFill>
              </w:rPr>
              <w:t>个</w:t>
            </w:r>
            <w:r>
              <w:rPr>
                <w:rFonts w:hint="eastAsia"/>
                <w:color w:val="000000" w:themeColor="text1"/>
                <w:szCs w:val="24"/>
                <w:highlight w:val="none"/>
                <w:lang w:val="en-US" w:eastAsia="zh-CN"/>
                <w14:textFill>
                  <w14:solidFill>
                    <w14:schemeClr w14:val="tx1"/>
                  </w14:solidFill>
                </w14:textFill>
              </w:rPr>
              <w:t>子阵，其中160个</w:t>
            </w:r>
            <w:r>
              <w:rPr>
                <w:color w:val="000000" w:themeColor="text1"/>
                <w:szCs w:val="24"/>
                <w:highlight w:val="none"/>
                <w14:textFill>
                  <w14:solidFill>
                    <w14:schemeClr w14:val="tx1"/>
                  </w14:solidFill>
                </w14:textFill>
              </w:rPr>
              <w:t>3.125MW</w:t>
            </w:r>
            <w:r>
              <w:rPr>
                <w:rFonts w:hint="eastAsia"/>
                <w:color w:val="000000" w:themeColor="text1"/>
                <w:szCs w:val="24"/>
                <w:highlight w:val="none"/>
                <w:lang w:val="en-US" w:eastAsia="zh-CN"/>
                <w14:textFill>
                  <w14:solidFill>
                    <w14:schemeClr w14:val="tx1"/>
                  </w14:solidFill>
                </w14:textFill>
              </w:rPr>
              <w:t>集中式</w:t>
            </w:r>
            <w:r>
              <w:rPr>
                <w:color w:val="000000" w:themeColor="text1"/>
                <w:szCs w:val="24"/>
                <w:highlight w:val="none"/>
                <w14:textFill>
                  <w14:solidFill>
                    <w14:schemeClr w14:val="tx1"/>
                  </w14:solidFill>
                </w14:textFill>
              </w:rPr>
              <w:t>光伏子发电单元和</w:t>
            </w:r>
            <w:r>
              <w:rPr>
                <w:rFonts w:hint="eastAsia"/>
                <w:color w:val="000000" w:themeColor="text1"/>
                <w:szCs w:val="24"/>
                <w:highlight w:val="none"/>
                <w:lang w:val="en-US" w:eastAsia="zh-CN"/>
                <w14:textFill>
                  <w14:solidFill>
                    <w14:schemeClr w14:val="tx1"/>
                  </w14:solidFill>
                </w14:textFill>
              </w:rPr>
              <w:t>143</w:t>
            </w:r>
            <w:r>
              <w:rPr>
                <w:color w:val="000000" w:themeColor="text1"/>
                <w:szCs w:val="24"/>
                <w:highlight w:val="none"/>
                <w14:textFill>
                  <w14:solidFill>
                    <w14:schemeClr w14:val="tx1"/>
                  </w14:solidFill>
                </w14:textFill>
              </w:rPr>
              <w:t>个</w:t>
            </w:r>
            <w:r>
              <w:rPr>
                <w:rFonts w:hint="eastAsia"/>
                <w:color w:val="000000" w:themeColor="text1"/>
                <w:szCs w:val="24"/>
                <w:highlight w:val="none"/>
                <w:lang w:val="en-US" w:eastAsia="zh-CN"/>
                <w14:textFill>
                  <w14:solidFill>
                    <w14:schemeClr w14:val="tx1"/>
                  </w14:solidFill>
                </w14:textFill>
              </w:rPr>
              <w:t>3.3</w:t>
            </w:r>
            <w:r>
              <w:rPr>
                <w:rFonts w:hint="default"/>
                <w:color w:val="000000" w:themeColor="text1"/>
                <w:szCs w:val="24"/>
                <w:highlight w:val="none"/>
                <w14:textFill>
                  <w14:solidFill>
                    <w14:schemeClr w14:val="tx1"/>
                  </w14:solidFill>
                </w14:textFill>
              </w:rPr>
              <w:t>MW</w:t>
            </w:r>
            <w:r>
              <w:rPr>
                <w:rFonts w:hint="eastAsia"/>
                <w:color w:val="000000" w:themeColor="text1"/>
                <w:szCs w:val="24"/>
                <w:highlight w:val="none"/>
                <w:lang w:val="en-US" w:eastAsia="zh-CN"/>
                <w14:textFill>
                  <w14:solidFill>
                    <w14:schemeClr w14:val="tx1"/>
                  </w14:solidFill>
                </w14:textFill>
              </w:rPr>
              <w:t>组串式</w:t>
            </w:r>
            <w:r>
              <w:rPr>
                <w:color w:val="000000" w:themeColor="text1"/>
                <w:szCs w:val="24"/>
                <w:highlight w:val="none"/>
                <w14:textFill>
                  <w14:solidFill>
                    <w14:schemeClr w14:val="tx1"/>
                  </w14:solidFill>
                </w14:textFill>
              </w:rPr>
              <w:t>光伏子发电单元</w:t>
            </w:r>
            <w:r>
              <w:rPr>
                <w:rFonts w:hint="eastAsia"/>
                <w:color w:val="000000" w:themeColor="text1"/>
                <w:szCs w:val="24"/>
                <w:highlight w:val="none"/>
                <w:lang w:val="en-US" w:eastAsia="zh-CN"/>
                <w14:textFill>
                  <w14:solidFill>
                    <w14:schemeClr w14:val="tx1"/>
                  </w14:solidFill>
                </w14:textFill>
              </w:rPr>
              <w:t>，均采用N型575组件。示范方阵为1个10MW固定支架方阵，1个5MW固定支架方阵，一个5MW固定可调方阵，1个10MW平单轴方阵，组件均采用N型695组件。</w:t>
            </w:r>
            <w:r>
              <w:rPr>
                <w:color w:val="000000" w:themeColor="text1"/>
                <w:highlight w:val="none"/>
                <w14:textFill>
                  <w14:solidFill>
                    <w14:schemeClr w14:val="tx1"/>
                  </w14:solidFill>
                </w14:textFill>
              </w:rPr>
              <w:t>本工程</w:t>
            </w:r>
            <w:r>
              <w:rPr>
                <w:rFonts w:hint="eastAsia"/>
                <w:color w:val="000000" w:themeColor="text1"/>
                <w:highlight w:val="none"/>
                <w:lang w:val="en-US" w:eastAsia="zh-CN"/>
                <w14:textFill>
                  <w14:solidFill>
                    <w14:schemeClr w14:val="tx1"/>
                  </w14:solidFill>
                </w14:textFill>
              </w:rPr>
              <w:t>常规方阵区</w:t>
            </w:r>
            <w:r>
              <w:rPr>
                <w:color w:val="000000" w:themeColor="text1"/>
                <w:highlight w:val="none"/>
                <w14:textFill>
                  <w14:solidFill>
                    <w14:schemeClr w14:val="tx1"/>
                  </w14:solidFill>
                </w14:textFill>
              </w:rPr>
              <w:t>电池组串单元由26个组件一串，组件排布方案为</w:t>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26</w:t>
            </w:r>
            <w:r>
              <w:rPr>
                <w:rFonts w:hint="eastAsia"/>
                <w:color w:val="000000" w:themeColor="text1"/>
                <w:highlight w:val="none"/>
                <w:lang w:val="en-US" w:eastAsia="zh-CN"/>
                <w14:textFill>
                  <w14:solidFill>
                    <w14:schemeClr w14:val="tx1"/>
                  </w14:solidFill>
                </w14:textFill>
              </w:rPr>
              <w:t>双</w:t>
            </w:r>
            <w:r>
              <w:rPr>
                <w:color w:val="000000" w:themeColor="text1"/>
                <w:highlight w:val="none"/>
                <w14:textFill>
                  <w14:solidFill>
                    <w14:schemeClr w14:val="tx1"/>
                  </w14:solidFill>
                </w14:textFill>
              </w:rPr>
              <w:t>排竖向固定支架形式，倾角</w:t>
            </w:r>
            <w:r>
              <w:rPr>
                <w:rFonts w:hint="eastAsia"/>
                <w:color w:val="000000" w:themeColor="text1"/>
                <w:highlight w:val="none"/>
                <w:lang w:val="en-US" w:eastAsia="zh-CN"/>
                <w14:textFill>
                  <w14:solidFill>
                    <w14:schemeClr w14:val="tx1"/>
                  </w14:solidFill>
                </w14:textFill>
              </w:rPr>
              <w:t>42</w:t>
            </w:r>
            <w:r>
              <w:rPr>
                <w:color w:val="000000" w:themeColor="text1"/>
                <w:highlight w:val="none"/>
                <w14:textFill>
                  <w14:solidFill>
                    <w14:schemeClr w14:val="tx1"/>
                  </w14:solidFill>
                </w14:textFill>
              </w:rPr>
              <w:t>度，前后排间距</w:t>
            </w:r>
            <w:r>
              <w:rPr>
                <w:rFonts w:hint="eastAsia"/>
                <w:color w:val="000000" w:themeColor="text1"/>
                <w:highlight w:val="none"/>
                <w:lang w:val="en-US" w:eastAsia="zh-CN"/>
                <w14:textFill>
                  <w14:solidFill>
                    <w14:schemeClr w14:val="tx1"/>
                  </w14:solidFill>
                </w14:textFill>
              </w:rPr>
              <w:t>16.5</w:t>
            </w:r>
            <w:r>
              <w:rPr>
                <w:rFonts w:hint="default"/>
                <w:color w:val="000000" w:themeColor="text1"/>
                <w:highlight w:val="none"/>
                <w14:textFill>
                  <w14:solidFill>
                    <w14:schemeClr w14:val="tx1"/>
                  </w14:solidFill>
                </w14:textFill>
              </w:rPr>
              <w:t>m</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示范方阵区电池组串单元由28个组件一串，固定支架以及固定可调组件排布方案为2×28双排竖向布置。</w:t>
            </w:r>
          </w:p>
          <w:p>
            <w:pPr>
              <w:pStyle w:val="116"/>
              <w:spacing w:line="360" w:lineRule="auto"/>
              <w:ind w:firstLineChars="0"/>
              <w:rPr>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项目组</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成详见</w:t>
            </w:r>
            <w:r>
              <w:rPr>
                <w:bCs/>
                <w:color w:val="000000" w:themeColor="text1"/>
                <w:sz w:val="24"/>
                <w:highlight w:val="none"/>
                <w14:textFill>
                  <w14:solidFill>
                    <w14:schemeClr w14:val="tx1"/>
                  </w14:solidFill>
                </w14:textFill>
              </w:rPr>
              <w:t>表2-1。</w:t>
            </w:r>
          </w:p>
          <w:p>
            <w:pPr>
              <w:pStyle w:val="45"/>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表2-1  项目工程组成一览表</w:t>
            </w:r>
          </w:p>
          <w:tbl>
            <w:tblPr>
              <w:tblStyle w:val="35"/>
              <w:tblW w:w="8259" w:type="dxa"/>
              <w:jc w:val="center"/>
              <w:tblInd w:w="0" w:type="dxa"/>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
            <w:tblGrid>
              <w:gridCol w:w="544"/>
              <w:gridCol w:w="518"/>
              <w:gridCol w:w="906"/>
              <w:gridCol w:w="6291"/>
            </w:tblGrid>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tcBorders>
                    <w:bottom w:val="single" w:color="000000" w:sz="8" w:space="0"/>
                  </w:tcBorders>
                  <w:vAlign w:val="center"/>
                </w:tcPr>
                <w:p>
                  <w:pPr>
                    <w:ind w:left="0" w:leftChars="0" w:firstLine="0" w:firstLineChars="0"/>
                    <w:jc w:val="both"/>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工程类别</w:t>
                  </w:r>
                </w:p>
              </w:tc>
              <w:tc>
                <w:tcPr>
                  <w:tcW w:w="1424" w:type="dxa"/>
                  <w:gridSpan w:val="2"/>
                  <w:tcBorders>
                    <w:bottom w:val="single" w:color="000000" w:sz="8" w:space="0"/>
                  </w:tcBorders>
                  <w:vAlign w:val="center"/>
                </w:tcPr>
                <w:p>
                  <w:pPr>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工程名称</w:t>
                  </w:r>
                </w:p>
              </w:tc>
              <w:tc>
                <w:tcPr>
                  <w:tcW w:w="6291" w:type="dxa"/>
                  <w:tcBorders>
                    <w:bottom w:val="single" w:color="000000" w:sz="8" w:space="0"/>
                  </w:tcBorders>
                  <w:vAlign w:val="center"/>
                </w:tcPr>
                <w:p>
                  <w:pPr>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t>工程规模与内容</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939" w:hRule="atLeast"/>
                <w:jc w:val="center"/>
              </w:trPr>
              <w:tc>
                <w:tcPr>
                  <w:tcW w:w="544" w:type="dxa"/>
                  <w:vMerge w:val="restart"/>
                  <w:tcBorders>
                    <w:top w:val="single" w:color="000000" w:sz="8" w:space="0"/>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主体工程</w:t>
                  </w:r>
                </w:p>
              </w:tc>
              <w:tc>
                <w:tcPr>
                  <w:tcW w:w="518" w:type="dxa"/>
                  <w:vMerge w:val="restart"/>
                  <w:tcBorders>
                    <w:top w:val="single" w:color="000000" w:sz="8" w:space="0"/>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光伏电站</w:t>
                  </w:r>
                </w:p>
              </w:tc>
              <w:tc>
                <w:tcPr>
                  <w:tcW w:w="906" w:type="dxa"/>
                  <w:tcBorders>
                    <w:top w:val="single" w:color="000000" w:sz="8" w:space="0"/>
                    <w:tl2br w:val="nil"/>
                    <w:tr2bl w:val="nil"/>
                  </w:tcBorders>
                  <w:vAlign w:val="center"/>
                </w:tcPr>
                <w:p>
                  <w:pPr>
                    <w:ind w:left="0" w:leftChars="0" w:firstLine="0" w:firstLineChars="0"/>
                    <w:jc w:val="both"/>
                    <w:rPr>
                      <w:rFonts w:hint="default" w:cs="Times New Roman"/>
                      <w:color w:val="000000" w:themeColor="text1"/>
                      <w:kern w:val="0"/>
                      <w:sz w:val="21"/>
                      <w:szCs w:val="21"/>
                      <w:highlight w:val="none"/>
                      <w:lang w:val="en-US" w:eastAsia="zh-CN"/>
                      <w14:textFill>
                        <w14:solidFill>
                          <w14:schemeClr w14:val="tx1"/>
                        </w14:solidFill>
                      </w14:textFill>
                    </w:rPr>
                  </w:pPr>
                  <w:r>
                    <w:rPr>
                      <w:rFonts w:hint="default" w:cs="Times New Roman"/>
                      <w:color w:val="000000" w:themeColor="text1"/>
                      <w:kern w:val="0"/>
                      <w:sz w:val="21"/>
                      <w:szCs w:val="21"/>
                      <w:highlight w:val="none"/>
                      <w:lang w:val="en-US" w:eastAsia="zh-CN"/>
                      <w14:textFill>
                        <w14:solidFill>
                          <w14:schemeClr w14:val="tx1"/>
                        </w14:solidFill>
                      </w14:textFill>
                    </w:rPr>
                    <w:t>光伏</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场区</w:t>
                  </w:r>
                </w:p>
              </w:tc>
              <w:tc>
                <w:tcPr>
                  <w:tcW w:w="6291" w:type="dxa"/>
                  <w:tcBorders>
                    <w:top w:val="single" w:color="000000" w:sz="8" w:space="0"/>
                    <w:tl2br w:val="nil"/>
                    <w:tr2bl w:val="nil"/>
                  </w:tcBorders>
                  <w:vAlign w:val="center"/>
                </w:tcPr>
                <w:p>
                  <w:pPr>
                    <w:ind w:firstLine="480"/>
                    <w:rPr>
                      <w:rFonts w:hint="default" w:cs="Times New Roman"/>
                      <w:bCs/>
                      <w:color w:val="000000" w:themeColor="text1"/>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本工程本项目规划总装机容量1000MW，</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常规</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光伏阵列分成</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303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个</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子阵，其中160个</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3.125MW</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集中式</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光伏子发电单元和</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143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个</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MW</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组串式</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光伏子发电单元</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，均采用N型575组件。示范方阵为1个10MW固定支架方阵，1个5MW固定支架方阵，一个5MW固定可调方阵，1个10MW平单轴方阵，组件均采用N型695组件。</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yellow"/>
                      <w14:textFill>
                        <w14:solidFill>
                          <w14:schemeClr w14:val="tx1"/>
                        </w14:solidFill>
                      </w14:textFill>
                    </w:rPr>
                  </w:pPr>
                </w:p>
              </w:tc>
              <w:tc>
                <w:tcPr>
                  <w:tcW w:w="518"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06" w:type="dxa"/>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箱逆变一体机</w:t>
                  </w:r>
                </w:p>
              </w:tc>
              <w:tc>
                <w:tcPr>
                  <w:tcW w:w="6291" w:type="dxa"/>
                  <w:tcBorders>
                    <w:tl2br w:val="nil"/>
                    <w:tr2bl w:val="nil"/>
                  </w:tcBorders>
                  <w:vAlign w:val="center"/>
                </w:tcPr>
                <w:p>
                  <w:pPr>
                    <w:ind w:firstLine="48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3125kW单元方阵：每个光伏子方阵含一台3125kVA箱逆变一体机（2台1563kW逆变器及1台35kV箱变）、12台24汇1防雷直流汇流箱，一共接入</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272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串，每个光伏组串由26块</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N型</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单晶双面</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575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Wp光伏组件串联组成。各光伏组件串按接线划分汇流区，每20至24串接入1台24汇1的直流汇流箱，12台汇流箱接入1台3125kVA箱逆变一体机。</w:t>
                  </w:r>
                </w:p>
                <w:p>
                  <w:pPr>
                    <w:ind w:firstLine="48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00kW单元方阵：每个光伏子方阵含一台</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00kVA</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箱变</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、10台</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330kW组串式逆变器</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，一共接入</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290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串，每个光伏组串由26块</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N型</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单晶双面5</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75</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Wp光伏组件串联组成。各光伏组件串按接线划分汇流区，每</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28-32</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串接入1台</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330kW组串式逆变器</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，10台</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组串式逆变器</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接入1台</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3300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kVA箱变。</w:t>
                  </w:r>
                </w:p>
                <w:p>
                  <w:pPr>
                    <w:jc w:val="both"/>
                    <w:rPr>
                      <w:rFonts w:hint="eastAsia" w:cs="Times New Roman"/>
                      <w:color w:val="000000" w:themeColor="text1"/>
                      <w:kern w:val="0"/>
                      <w:sz w:val="21"/>
                      <w:szCs w:val="21"/>
                      <w:highlight w:val="yellow"/>
                      <w:lang w:val="en-US" w:eastAsia="zh-CN"/>
                      <w14:textFill>
                        <w14:solidFill>
                          <w14:schemeClr w14:val="tx1"/>
                        </w14:solidFill>
                      </w14:textFill>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yellow"/>
                      <w14:textFill>
                        <w14:solidFill>
                          <w14:schemeClr w14:val="tx1"/>
                        </w14:solidFill>
                      </w14:textFill>
                    </w:rPr>
                  </w:pPr>
                </w:p>
              </w:tc>
              <w:tc>
                <w:tcPr>
                  <w:tcW w:w="518"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06" w:type="dxa"/>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储能部分</w:t>
                  </w:r>
                </w:p>
              </w:tc>
              <w:tc>
                <w:tcPr>
                  <w:tcW w:w="6291" w:type="dxa"/>
                  <w:tcBorders>
                    <w:tl2br w:val="nil"/>
                    <w:tr2bl w:val="nil"/>
                  </w:tcBorders>
                  <w:vAlign w:val="center"/>
                </w:tcPr>
                <w:p>
                  <w:pPr>
                    <w:ind w:left="0" w:leftChars="0" w:firstLine="0" w:firstLineChars="0"/>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10万kW/20万kWh 储能经35kV 集电线路汇集后接至晨星220千伏汇集站</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restart"/>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t>辅助工程</w:t>
                  </w: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集电线路</w:t>
                  </w:r>
                </w:p>
              </w:tc>
              <w:tc>
                <w:tcPr>
                  <w:tcW w:w="6291" w:type="dxa"/>
                  <w:tcBorders>
                    <w:tl2br w:val="nil"/>
                    <w:tr2bl w:val="nil"/>
                  </w:tcBorders>
                  <w:vAlign w:val="center"/>
                </w:tcPr>
                <w:p>
                  <w:pPr>
                    <w:jc w:val="both"/>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pacing w:val="-4"/>
                      <w:sz w:val="21"/>
                      <w:szCs w:val="21"/>
                      <w:highlight w:val="none"/>
                      <w14:textFill>
                        <w14:solidFill>
                          <w14:schemeClr w14:val="tx1"/>
                        </w14:solidFill>
                      </w14:textFill>
                    </w:rPr>
                    <w:t>本项目直流侧为1500V系统，组件出线选用4mm²光伏专用电缆，直流汇流箱出线选用ZC-YJLHY23-1.8/3kV-2×300</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/400</w:t>
                  </w:r>
                  <w:r>
                    <w:rPr>
                      <w:rFonts w:hint="eastAsia" w:ascii="宋体" w:hAnsi="宋体" w:eastAsia="宋体" w:cs="宋体"/>
                      <w:color w:val="000000" w:themeColor="text1"/>
                      <w:spacing w:val="-4"/>
                      <w:sz w:val="21"/>
                      <w:szCs w:val="21"/>
                      <w:highlight w:val="none"/>
                      <w14:textFill>
                        <w14:solidFill>
                          <w14:schemeClr w14:val="tx1"/>
                        </w14:solidFill>
                      </w14:textFill>
                    </w:rPr>
                    <w:t>mm²等，组串式逆变器出线选用ZC-YJLHY23-1.8/3kV-3×240mm</w:t>
                  </w:r>
                  <w:r>
                    <w:rPr>
                      <w:rFonts w:hint="eastAsia" w:ascii="宋体" w:hAnsi="宋体" w:eastAsia="宋体" w:cs="宋体"/>
                      <w:color w:val="000000" w:themeColor="text1"/>
                      <w:spacing w:val="-4"/>
                      <w:sz w:val="21"/>
                      <w:szCs w:val="21"/>
                      <w:highlight w:val="none"/>
                      <w:vertAlign w:val="superscript"/>
                      <w14:textFill>
                        <w14:solidFill>
                          <w14:schemeClr w14:val="tx1"/>
                        </w14:solidFill>
                      </w14:textFill>
                    </w:rPr>
                    <w:t>2</w:t>
                  </w:r>
                  <w:r>
                    <w:rPr>
                      <w:rFonts w:hint="eastAsia" w:ascii="宋体" w:hAnsi="宋体" w:eastAsia="宋体" w:cs="宋体"/>
                      <w:color w:val="000000" w:themeColor="text1"/>
                      <w:spacing w:val="-4"/>
                      <w:sz w:val="21"/>
                      <w:szCs w:val="21"/>
                      <w:highlight w:val="none"/>
                      <w14:textFill>
                        <w14:solidFill>
                          <w14:schemeClr w14:val="tx1"/>
                        </w14:solidFill>
                      </w14:textFill>
                    </w:rPr>
                    <w:t>/300mm</w:t>
                  </w:r>
                  <w:r>
                    <w:rPr>
                      <w:rFonts w:hint="eastAsia" w:ascii="宋体" w:hAnsi="宋体" w:eastAsia="宋体" w:cs="宋体"/>
                      <w:color w:val="000000" w:themeColor="text1"/>
                      <w:spacing w:val="-4"/>
                      <w:sz w:val="21"/>
                      <w:szCs w:val="21"/>
                      <w:highlight w:val="none"/>
                      <w:vertAlign w:val="superscript"/>
                      <w14:textFill>
                        <w14:solidFill>
                          <w14:schemeClr w14:val="tx1"/>
                        </w14:solidFill>
                      </w14:textFill>
                    </w:rPr>
                    <w:t>2</w:t>
                  </w:r>
                  <w:r>
                    <w:rPr>
                      <w:rFonts w:hint="eastAsia" w:ascii="宋体" w:hAnsi="宋体" w:eastAsia="宋体" w:cs="宋体"/>
                      <w:color w:val="000000" w:themeColor="text1"/>
                      <w:spacing w:val="-4"/>
                      <w:sz w:val="21"/>
                      <w:szCs w:val="21"/>
                      <w:highlight w:val="none"/>
                      <w14:textFill>
                        <w14:solidFill>
                          <w14:schemeClr w14:val="tx1"/>
                        </w14:solidFill>
                      </w14:textFill>
                    </w:rPr>
                    <w:t>电缆</w:t>
                  </w:r>
                  <w:r>
                    <w:rPr>
                      <w:rFonts w:hint="eastAsia" w:ascii="宋体" w:hAnsi="宋体" w:eastAsia="宋体" w:cs="宋体"/>
                      <w:color w:val="000000" w:themeColor="text1"/>
                      <w:spacing w:val="-4"/>
                      <w:sz w:val="21"/>
                      <w:szCs w:val="21"/>
                      <w:highlight w:val="none"/>
                      <w:lang w:eastAsia="zh-CN"/>
                      <w14:textFill>
                        <w14:solidFill>
                          <w14:schemeClr w14:val="tx1"/>
                        </w14:solidFill>
                      </w14:textFill>
                    </w:rPr>
                    <w:t>，</w:t>
                  </w:r>
                  <w:r>
                    <w:rPr>
                      <w:rFonts w:hint="eastAsia" w:ascii="宋体" w:hAnsi="宋体" w:eastAsia="宋体" w:cs="宋体"/>
                      <w:color w:val="000000" w:themeColor="text1"/>
                      <w:spacing w:val="-4"/>
                      <w:sz w:val="21"/>
                      <w:szCs w:val="21"/>
                      <w:highlight w:val="none"/>
                      <w14:textFill>
                        <w14:solidFill>
                          <w14:schemeClr w14:val="tx1"/>
                        </w14:solidFill>
                      </w14:textFill>
                    </w:rPr>
                    <w:t>箱逆变一体机</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及箱变</w:t>
                  </w:r>
                  <w:r>
                    <w:rPr>
                      <w:rFonts w:hint="eastAsia" w:ascii="宋体" w:hAnsi="宋体" w:eastAsia="宋体" w:cs="宋体"/>
                      <w:color w:val="000000" w:themeColor="text1"/>
                      <w:spacing w:val="-4"/>
                      <w:sz w:val="21"/>
                      <w:szCs w:val="21"/>
                      <w:highlight w:val="none"/>
                      <w14:textFill>
                        <w14:solidFill>
                          <w14:schemeClr w14:val="tx1"/>
                        </w14:solidFill>
                      </w14:textFill>
                    </w:rPr>
                    <w:t>出线采用ZR-YJLHY23-26/35-3×95mm²/185mm²/</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240</w:t>
                  </w:r>
                  <w:r>
                    <w:rPr>
                      <w:rFonts w:hint="eastAsia" w:ascii="宋体" w:hAnsi="宋体" w:eastAsia="宋体" w:cs="宋体"/>
                      <w:color w:val="000000" w:themeColor="text1"/>
                      <w:spacing w:val="-4"/>
                      <w:sz w:val="21"/>
                      <w:szCs w:val="21"/>
                      <w:highlight w:val="none"/>
                      <w14:textFill>
                        <w14:solidFill>
                          <w14:schemeClr w14:val="tx1"/>
                        </w14:solidFill>
                      </w14:textFill>
                    </w:rPr>
                    <w:t>mm²</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w:t>
                  </w:r>
                  <w:r>
                    <w:rPr>
                      <w:rFonts w:hint="eastAsia" w:ascii="宋体" w:hAnsi="宋体" w:eastAsia="宋体" w:cs="宋体"/>
                      <w:color w:val="000000" w:themeColor="text1"/>
                      <w:spacing w:val="-4"/>
                      <w:sz w:val="21"/>
                      <w:szCs w:val="21"/>
                      <w:highlight w:val="none"/>
                      <w14:textFill>
                        <w14:solidFill>
                          <w14:schemeClr w14:val="tx1"/>
                        </w14:solidFill>
                      </w14:textFill>
                    </w:rPr>
                    <w:t>300mm²/</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pacing w:val="-4"/>
                      <w:sz w:val="21"/>
                      <w:szCs w:val="21"/>
                      <w:highlight w:val="none"/>
                      <w14:textFill>
                        <w14:solidFill>
                          <w14:schemeClr w14:val="tx1"/>
                        </w14:solidFill>
                      </w14:textFill>
                    </w:rPr>
                    <w:t>00mm²</w:t>
                  </w:r>
                  <w:r>
                    <w:rPr>
                      <w:rFonts w:hint="eastAsia" w:ascii="宋体" w:hAnsi="宋体" w:eastAsia="宋体" w:cs="宋体"/>
                      <w:color w:val="000000" w:themeColor="text1"/>
                      <w:spacing w:val="-4"/>
                      <w:sz w:val="21"/>
                      <w:szCs w:val="21"/>
                      <w:highlight w:val="none"/>
                      <w:lang w:val="en-US" w:eastAsia="zh-CN"/>
                      <w14:textFill>
                        <w14:solidFill>
                          <w14:schemeClr w14:val="tx1"/>
                        </w14:solidFill>
                      </w14:textFill>
                    </w:rPr>
                    <w:t>/</w:t>
                  </w:r>
                  <w:r>
                    <w:rPr>
                      <w:rFonts w:hint="eastAsia" w:ascii="宋体" w:hAnsi="宋体" w:eastAsia="宋体" w:cs="宋体"/>
                      <w:color w:val="000000" w:themeColor="text1"/>
                      <w:spacing w:val="-4"/>
                      <w:sz w:val="21"/>
                      <w:szCs w:val="21"/>
                      <w:highlight w:val="none"/>
                      <w14:textFill>
                        <w14:solidFill>
                          <w14:schemeClr w14:val="tx1"/>
                        </w14:solidFill>
                      </w14:textFill>
                    </w:rPr>
                    <w:t>500mm²电缆。</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pPr>
                </w:p>
              </w:tc>
              <w:tc>
                <w:tcPr>
                  <w:tcW w:w="1424" w:type="dxa"/>
                  <w:gridSpan w:val="2"/>
                  <w:tcBorders>
                    <w:tl2br w:val="nil"/>
                    <w:tr2bl w:val="nil"/>
                  </w:tcBorders>
                  <w:vAlign w:val="center"/>
                </w:tcPr>
                <w:p>
                  <w:pPr>
                    <w:jc w:val="center"/>
                    <w:rPr>
                      <w:rFonts w:hint="default" w:cs="Times New Roman"/>
                      <w:color w:val="000000" w:themeColor="text1"/>
                      <w:kern w:val="0"/>
                      <w:sz w:val="21"/>
                      <w:szCs w:val="21"/>
                      <w:highlight w:val="none"/>
                      <w:lang w:val="en-US" w:eastAsia="zh-CN" w:bidi="ar-SA"/>
                      <w14:textFill>
                        <w14:solidFill>
                          <w14:schemeClr w14:val="tx1"/>
                        </w14:solidFill>
                      </w14:textFill>
                    </w:rPr>
                  </w:pPr>
                  <w:r>
                    <w:rPr>
                      <w:rFonts w:hint="default" w:cs="Times New Roman"/>
                      <w:color w:val="000000" w:themeColor="text1"/>
                      <w:kern w:val="0"/>
                      <w:sz w:val="21"/>
                      <w:szCs w:val="21"/>
                      <w:highlight w:val="none"/>
                      <w:lang w:val="en-US" w:eastAsia="zh-CN"/>
                      <w14:textFill>
                        <w14:solidFill>
                          <w14:schemeClr w14:val="tx1"/>
                        </w14:solidFill>
                      </w14:textFill>
                    </w:rPr>
                    <w:t>检修道路</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进</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场</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道路</w:t>
                  </w:r>
                  <w:r>
                    <w:rPr>
                      <w:rFonts w:hint="eastAsia" w:cs="Times New Roman"/>
                      <w:color w:val="000000" w:themeColor="text1"/>
                      <w:kern w:val="0"/>
                      <w:sz w:val="21"/>
                      <w:szCs w:val="21"/>
                      <w:highlight w:val="none"/>
                      <w:lang w:val="en-US" w:eastAsia="zh-CN"/>
                      <w14:textFill>
                        <w14:solidFill>
                          <w14:schemeClr w14:val="tx1"/>
                        </w14:solidFill>
                      </w14:textFill>
                    </w:rPr>
                    <w:t>约6km</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与场外道路相连，光伏场场内检修道路总长约</w:t>
                  </w:r>
                  <w:r>
                    <w:rPr>
                      <w:rFonts w:hint="eastAsia" w:cs="Times New Roman"/>
                      <w:color w:val="000000" w:themeColor="text1"/>
                      <w:kern w:val="0"/>
                      <w:sz w:val="21"/>
                      <w:szCs w:val="21"/>
                      <w:highlight w:val="none"/>
                      <w:lang w:val="en-US" w:eastAsia="zh-CN"/>
                      <w14:textFill>
                        <w14:solidFill>
                          <w14:schemeClr w14:val="tx1"/>
                        </w14:solidFill>
                      </w14:textFill>
                    </w:rPr>
                    <w:t>105.5</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km，路面宽度为4m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pPr>
                </w:p>
              </w:tc>
              <w:tc>
                <w:tcPr>
                  <w:tcW w:w="1424" w:type="dxa"/>
                  <w:gridSpan w:val="2"/>
                  <w:tcBorders>
                    <w:tl2br w:val="nil"/>
                    <w:tr2bl w:val="nil"/>
                  </w:tcBorders>
                  <w:vAlign w:val="center"/>
                </w:tcPr>
                <w:p>
                  <w:pPr>
                    <w:jc w:val="center"/>
                    <w:rPr>
                      <w:rFonts w:hint="default"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其他</w:t>
                  </w:r>
                  <w:r>
                    <w:rPr>
                      <w:rFonts w:hint="default" w:cs="Times New Roman"/>
                      <w:color w:val="000000" w:themeColor="text1"/>
                      <w:kern w:val="0"/>
                      <w:sz w:val="21"/>
                      <w:szCs w:val="21"/>
                      <w:highlight w:val="none"/>
                      <w:lang w:val="en-US" w:eastAsia="zh-CN"/>
                      <w14:textFill>
                        <w14:solidFill>
                          <w14:schemeClr w14:val="tx1"/>
                        </w14:solidFill>
                      </w14:textFill>
                    </w:rPr>
                    <w:t>系统</w:t>
                  </w:r>
                </w:p>
              </w:tc>
              <w:tc>
                <w:tcPr>
                  <w:tcW w:w="6291" w:type="dxa"/>
                  <w:tcBorders>
                    <w:tl2br w:val="nil"/>
                    <w:tr2bl w:val="nil"/>
                  </w:tcBorders>
                  <w:vAlign w:val="center"/>
                </w:tcPr>
                <w:p>
                  <w:pPr>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套有功功率调节</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无功功率电压控制系统、</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套快速调频响应系统、</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套光功率预测系统、</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套电能质量在线监测系统、</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套直流及</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UPS</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电源系统、</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套图像监视及安全警卫系统和其他相关的控制保护设备。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restart"/>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t>公用工程</w:t>
                  </w:r>
                </w:p>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供水工程</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本项目</w:t>
                  </w:r>
                  <w:r>
                    <w:rPr>
                      <w:rFonts w:hint="eastAsia" w:cs="Times New Roman"/>
                      <w:color w:val="000000" w:themeColor="text1"/>
                      <w:kern w:val="0"/>
                      <w:sz w:val="21"/>
                      <w:szCs w:val="21"/>
                      <w:highlight w:val="none"/>
                      <w:lang w:eastAsia="zh-CN"/>
                      <w14:textFill>
                        <w14:solidFill>
                          <w14:schemeClr w14:val="tx1"/>
                        </w14:solidFill>
                      </w14:textFill>
                    </w:rPr>
                    <w:t>用水包括</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生活用水，生产用水为组件擦拭用水</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排水</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工程</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生活污水经地埋式一体化污水处理设施处理后用于厂区绿化，</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项目太阳能电池板擦拭废水不含洗涤剂，沿板面直接落入光伏组件下放的绿地，用于植被浇灌，不外排</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供电工程</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本工程用电引自</w:t>
                  </w:r>
                  <w:r>
                    <w:rPr>
                      <w:rFonts w:hint="eastAsia" w:cs="Times New Roman"/>
                      <w:color w:val="000000" w:themeColor="text1"/>
                      <w:kern w:val="0"/>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5kV母线</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restart"/>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en-US"/>
                      <w14:textFill>
                        <w14:solidFill>
                          <w14:schemeClr w14:val="tx1"/>
                        </w14:solidFill>
                      </w14:textFill>
                    </w:rPr>
                    <w:t>环保工程</w:t>
                  </w:r>
                </w:p>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废气</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yellow"/>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废水</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项目运营期废水主要为</w:t>
                  </w:r>
                  <w:r>
                    <w:rPr>
                      <w:rFonts w:hint="eastAsia" w:cs="Times New Roman"/>
                      <w:color w:val="000000" w:themeColor="text1"/>
                      <w:kern w:val="0"/>
                      <w:sz w:val="21"/>
                      <w:szCs w:val="21"/>
                      <w:highlight w:val="none"/>
                      <w:lang w:val="en-US" w:eastAsia="zh-CN"/>
                      <w14:textFill>
                        <w14:solidFill>
                          <w14:schemeClr w14:val="tx1"/>
                        </w14:solidFill>
                      </w14:textFill>
                    </w:rPr>
                    <w:t>生活污水和</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光伏组件擦拭废水，</w:t>
                  </w:r>
                  <w:r>
                    <w:rPr>
                      <w:rFonts w:hint="eastAsia" w:cs="Times New Roman"/>
                      <w:color w:val="000000" w:themeColor="text1"/>
                      <w:kern w:val="0"/>
                      <w:sz w:val="21"/>
                      <w:szCs w:val="21"/>
                      <w:highlight w:val="none"/>
                      <w:lang w:val="en-US" w:eastAsia="zh-CN"/>
                      <w14:textFill>
                        <w14:solidFill>
                          <w14:schemeClr w14:val="tx1"/>
                        </w14:solidFill>
                      </w14:textFill>
                    </w:rPr>
                    <w:t>生</w:t>
                  </w:r>
                  <w:r>
                    <w:rPr>
                      <w:rFonts w:hint="eastAsia" w:cs="Times New Roman"/>
                      <w:color w:val="000000" w:themeColor="text1"/>
                      <w:kern w:val="0"/>
                      <w:sz w:val="21"/>
                      <w:szCs w:val="21"/>
                      <w:highlight w:val="none"/>
                      <w:lang w:eastAsia="zh-CN"/>
                      <w14:textFill>
                        <w14:solidFill>
                          <w14:schemeClr w14:val="tx1"/>
                        </w14:solidFill>
                      </w14:textFill>
                    </w:rPr>
                    <w:t>活污水经地埋式一体化污水处理设施处理后用于厂区绿化</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光伏组件每年进行定期擦拭，除少量蒸发损耗，其余擦拭废水沿板面直接落入光伏组件下方的绿地，用于植被浇灌</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噪声</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选用低噪声设备，加强进出入车辆运行管理，禁止长时间鸣笛</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24" w:type="dxa"/>
                  <w:gridSpan w:val="2"/>
                  <w:tcBorders>
                    <w:tl2br w:val="nil"/>
                    <w:tr2bl w:val="nil"/>
                  </w:tcBorders>
                  <w:vAlign w:val="center"/>
                </w:tcPr>
                <w:p>
                  <w:pPr>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固体废物</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运营期</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产生的固体废物主要为</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废旧太阳能电池组件</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和废变压油</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。废旧太阳能电池组件由厂家更换后回收处置，不在项目所在地储存</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；变压油年检过程中产生的废变压油统一收集后</w:t>
                  </w:r>
                  <w:r>
                    <w:rPr>
                      <w:rFonts w:hint="eastAsia" w:cs="Times New Roman"/>
                      <w:color w:val="000000" w:themeColor="text1"/>
                      <w:kern w:val="0"/>
                      <w:sz w:val="21"/>
                      <w:szCs w:val="21"/>
                      <w:highlight w:val="none"/>
                      <w:lang w:val="en-US" w:eastAsia="zh-CN" w:bidi="ar-SA"/>
                      <w14:textFill>
                        <w14:solidFill>
                          <w14:schemeClr w14:val="tx1"/>
                        </w14:solidFill>
                      </w14:textFill>
                    </w:rPr>
                    <w:t>暂存于项目区32㎡危废暂存间</w:t>
                  </w: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，委托有资质单位处置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18" w:type="dxa"/>
                  <w:vMerge w:val="restart"/>
                  <w:tcBorders>
                    <w:tl2br w:val="nil"/>
                    <w:tr2bl w:val="nil"/>
                  </w:tcBorders>
                  <w:vAlign w:val="center"/>
                </w:tcPr>
                <w:p>
                  <w:pPr>
                    <w:ind w:left="0" w:leftChars="0" w:firstLine="0" w:firstLineChars="0"/>
                    <w:jc w:val="both"/>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eastAsia" w:cs="Times New Roman"/>
                      <w:color w:val="000000" w:themeColor="text1"/>
                      <w:kern w:val="0"/>
                      <w:sz w:val="21"/>
                      <w:szCs w:val="21"/>
                      <w:highlight w:val="none"/>
                      <w:lang w:eastAsia="zh-CN"/>
                      <w14:textFill>
                        <w14:solidFill>
                          <w14:schemeClr w14:val="tx1"/>
                        </w14:solidFill>
                      </w14:textFill>
                    </w:rPr>
                    <w:t>生态</w:t>
                  </w:r>
                </w:p>
              </w:tc>
              <w:tc>
                <w:tcPr>
                  <w:tcW w:w="906" w:type="dxa"/>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生态保护</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限制施工作业范围，不超出项目占地范围，减少施工开挖面积和临时性占地，施工结束后恢复临时占地原有地貌</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18" w:type="dxa"/>
                  <w:vMerge w:val="continue"/>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06" w:type="dxa"/>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水土流失</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采取工程措施、植物措施和临时措施相结合控制水土流失量</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restart"/>
                  <w:tcBorders>
                    <w:tl2br w:val="nil"/>
                    <w:tr2bl w:val="nil"/>
                  </w:tcBorders>
                  <w:vAlign w:val="center"/>
                </w:tcPr>
                <w:p>
                  <w:pPr>
                    <w:ind w:left="0" w:leftChars="0" w:firstLine="0" w:firstLineChars="0"/>
                    <w:jc w:val="both"/>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临时工程</w:t>
                  </w:r>
                </w:p>
              </w:tc>
              <w:tc>
                <w:tcPr>
                  <w:tcW w:w="1424" w:type="dxa"/>
                  <w:gridSpan w:val="2"/>
                  <w:tcBorders>
                    <w:tl2br w:val="nil"/>
                    <w:tr2bl w:val="nil"/>
                  </w:tcBorders>
                  <w:vAlign w:val="center"/>
                </w:tcPr>
                <w:p>
                  <w:pPr>
                    <w:ind w:left="0" w:leftChars="0" w:firstLine="0" w:firstLineChars="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现场临时办公、生活区</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占地面积3200平方米，用于施工期人员办公生活，项目建成后拆除恢复原状</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ind w:left="0" w:leftChars="0" w:firstLine="0" w:firstLineChars="0"/>
                    <w:jc w:val="both"/>
                    <w:rPr>
                      <w:rFonts w:hint="eastAsia" w:cs="Times New Roman"/>
                      <w:color w:val="000000" w:themeColor="text1"/>
                      <w:sz w:val="21"/>
                      <w:szCs w:val="21"/>
                      <w:highlight w:val="none"/>
                      <w:lang w:eastAsia="zh-CN"/>
                      <w14:textFill>
                        <w14:solidFill>
                          <w14:schemeClr w14:val="tx1"/>
                        </w14:solidFill>
                      </w14:textFill>
                    </w:rPr>
                  </w:pPr>
                </w:p>
              </w:tc>
              <w:tc>
                <w:tcPr>
                  <w:tcW w:w="1424" w:type="dxa"/>
                  <w:gridSpan w:val="2"/>
                  <w:tcBorders>
                    <w:tl2br w:val="nil"/>
                    <w:tr2bl w:val="nil"/>
                  </w:tcBorders>
                  <w:vAlign w:val="center"/>
                </w:tcPr>
                <w:p>
                  <w:pPr>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综合加工厂</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占地面500平方米，用于项目钢筋等加工，项目建成后拆除恢复原状</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auto" w:sz="4" w:space="0"/>
                </w:tblBorders>
                <w:tblLayout w:type="fixed"/>
                <w:tblCellMar>
                  <w:top w:w="0" w:type="dxa"/>
                  <w:left w:w="0" w:type="dxa"/>
                  <w:bottom w:w="0" w:type="dxa"/>
                  <w:right w:w="0" w:type="dxa"/>
                </w:tblCellMar>
              </w:tblPrEx>
              <w:trPr>
                <w:trHeight w:val="283" w:hRule="atLeast"/>
                <w:jc w:val="center"/>
              </w:trPr>
              <w:tc>
                <w:tcPr>
                  <w:tcW w:w="544" w:type="dxa"/>
                  <w:vMerge w:val="continue"/>
                  <w:tcBorders>
                    <w:tl2br w:val="nil"/>
                    <w:tr2bl w:val="nil"/>
                  </w:tcBorders>
                  <w:vAlign w:val="center"/>
                </w:tcPr>
                <w:p>
                  <w:pPr>
                    <w:ind w:left="0" w:leftChars="0" w:firstLine="0" w:firstLineChars="0"/>
                    <w:jc w:val="both"/>
                    <w:rPr>
                      <w:rFonts w:hint="eastAsia" w:cs="Times New Roman"/>
                      <w:color w:val="000000" w:themeColor="text1"/>
                      <w:sz w:val="21"/>
                      <w:szCs w:val="21"/>
                      <w:highlight w:val="none"/>
                      <w:lang w:eastAsia="zh-CN"/>
                      <w14:textFill>
                        <w14:solidFill>
                          <w14:schemeClr w14:val="tx1"/>
                        </w14:solidFill>
                      </w14:textFill>
                    </w:rPr>
                  </w:pPr>
                </w:p>
              </w:tc>
              <w:tc>
                <w:tcPr>
                  <w:tcW w:w="1424" w:type="dxa"/>
                  <w:gridSpan w:val="2"/>
                  <w:tcBorders>
                    <w:tl2br w:val="nil"/>
                    <w:tr2bl w:val="nil"/>
                  </w:tcBorders>
                  <w:vAlign w:val="center"/>
                </w:tcPr>
                <w:p>
                  <w:pPr>
                    <w:jc w:val="center"/>
                    <w:rPr>
                      <w:rFonts w:hint="eastAsia"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仓库及设备堆存场</w:t>
                  </w:r>
                </w:p>
              </w:tc>
              <w:tc>
                <w:tcPr>
                  <w:tcW w:w="6291" w:type="dxa"/>
                  <w:tcBorders>
                    <w:tl2br w:val="nil"/>
                    <w:tr2bl w:val="nil"/>
                  </w:tcBorders>
                  <w:vAlign w:val="center"/>
                </w:tcPr>
                <w:p>
                  <w:pPr>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占地面1500平方米，用于项目材料设备仓库，项目建成后拆除恢复原状</w:t>
                  </w:r>
                </w:p>
              </w:tc>
            </w:tr>
          </w:tbl>
          <w:p>
            <w:pPr>
              <w:keepNext w:val="0"/>
              <w:keepLines w:val="0"/>
              <w:pageBreakBefore w:val="0"/>
              <w:widowControl w:val="0"/>
              <w:numPr>
                <w:ilvl w:val="0"/>
                <w:numId w:val="2"/>
              </w:numPr>
              <w:kinsoku/>
              <w:wordWrap/>
              <w:overflowPunct/>
              <w:topLinePunct w:val="0"/>
              <w:autoSpaceDN/>
              <w:bidi w:val="0"/>
              <w:adjustRightInd/>
              <w:snapToGrid w:val="0"/>
              <w:spacing w:line="440" w:lineRule="exact"/>
              <w:ind w:left="0" w:leftChars="0" w:firstLine="482" w:firstLineChars="200"/>
              <w:rPr>
                <w:rFonts w:hint="eastAsia" w:cs="Times New Roman"/>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z w:val="24"/>
                <w:szCs w:val="24"/>
                <w:highlight w:val="none"/>
                <w:lang w:val="en-US" w:eastAsia="zh-CN"/>
                <w14:textFill>
                  <w14:solidFill>
                    <w14:schemeClr w14:val="tx1"/>
                  </w14:solidFill>
                </w14:textFill>
              </w:rPr>
              <w:t>主要生产设备</w:t>
            </w:r>
          </w:p>
          <w:p>
            <w:pPr>
              <w:pStyle w:val="24"/>
              <w:widowControl w:val="0"/>
              <w:numPr>
                <w:ilvl w:val="0"/>
                <w:numId w:val="0"/>
              </w:numPr>
              <w:spacing w:line="360" w:lineRule="auto"/>
              <w:contextualSpacing/>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项目主要生产设备见下表</w:t>
            </w:r>
          </w:p>
          <w:p>
            <w:pPr>
              <w:pStyle w:val="45"/>
              <w:bidi w:val="0"/>
              <w:rPr>
                <w:rFonts w:hint="default"/>
                <w:lang w:val="en-US" w:eastAsia="zh-CN"/>
              </w:rPr>
            </w:pPr>
            <w:r>
              <w:rPr>
                <w:color w:val="000000" w:themeColor="text1"/>
                <w:highlight w:val="none"/>
                <w:lang w:val="en-US" w:eastAsia="zh-CN"/>
                <w14:textFill>
                  <w14:solidFill>
                    <w14:schemeClr w14:val="tx1"/>
                  </w14:solidFill>
                </w14:textFill>
              </w:rPr>
              <w:t>表2-</w:t>
            </w:r>
            <w:r>
              <w:rPr>
                <w:rFonts w:hint="eastAsia"/>
                <w:color w:val="000000" w:themeColor="text1"/>
                <w:highlight w:val="none"/>
                <w:lang w:val="en-US" w:eastAsia="zh-CN"/>
                <w14:textFill>
                  <w14:solidFill>
                    <w14:schemeClr w14:val="tx1"/>
                  </w14:solidFill>
                </w14:textFill>
              </w:rPr>
              <w:t>2</w:t>
            </w:r>
            <w:r>
              <w:rPr>
                <w:color w:val="000000" w:themeColor="text1"/>
                <w:highlight w:val="none"/>
                <w:lang w:val="en-US" w:eastAsia="zh-CN"/>
                <w14:textFill>
                  <w14:solidFill>
                    <w14:schemeClr w14:val="tx1"/>
                  </w14:solidFill>
                </w14:textFill>
              </w:rPr>
              <w:t xml:space="preserve">  项目</w:t>
            </w:r>
            <w:r>
              <w:rPr>
                <w:rFonts w:hint="eastAsia"/>
                <w:color w:val="000000" w:themeColor="text1"/>
                <w:highlight w:val="none"/>
                <w:lang w:val="en-US" w:eastAsia="zh-CN"/>
                <w14:textFill>
                  <w14:solidFill>
                    <w14:schemeClr w14:val="tx1"/>
                  </w14:solidFill>
                </w14:textFill>
              </w:rPr>
              <w:t>主要设备</w:t>
            </w:r>
            <w:r>
              <w:rPr>
                <w:color w:val="000000" w:themeColor="text1"/>
                <w:highlight w:val="none"/>
                <w:lang w:val="en-US" w:eastAsia="zh-CN"/>
                <w14:textFill>
                  <w14:solidFill>
                    <w14:schemeClr w14:val="tx1"/>
                  </w14:solidFill>
                </w14:textFill>
              </w:rPr>
              <w:t>一览表</w:t>
            </w:r>
          </w:p>
          <w:tbl>
            <w:tblPr>
              <w:tblStyle w:val="35"/>
              <w:tblW w:w="7945" w:type="dxa"/>
              <w:tblInd w:w="1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74"/>
              <w:gridCol w:w="1425"/>
              <w:gridCol w:w="2622"/>
              <w:gridCol w:w="1403"/>
              <w:gridCol w:w="873"/>
              <w:gridCol w:w="104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eastAsia" w:ascii="宋体" w:hAnsi="宋体" w:eastAsia="宋体" w:cs="宋体"/>
                      <w:b/>
                      <w:bCs/>
                      <w:color w:val="000000" w:themeColor="text1"/>
                      <w:kern w:val="0"/>
                      <w:sz w:val="21"/>
                      <w:szCs w:val="21"/>
                      <w:highlight w:val="none"/>
                      <w:lang w:val="en-US" w:eastAsia="zh-CN"/>
                      <w14:textFill>
                        <w14:solidFill>
                          <w14:schemeClr w14:val="tx1"/>
                        </w14:solidFill>
                      </w14:textFill>
                    </w:rPr>
                  </w:pPr>
                </w:p>
              </w:tc>
              <w:tc>
                <w:tcPr>
                  <w:tcW w:w="7371" w:type="dxa"/>
                  <w:gridSpan w:val="5"/>
                  <w:tcBorders>
                    <w:tl2br w:val="nil"/>
                    <w:tr2bl w:val="nil"/>
                  </w:tcBorders>
                  <w:noWrap w:val="0"/>
                  <w:vAlign w:val="center"/>
                </w:tcPr>
                <w:p>
                  <w:pPr>
                    <w:jc w:val="center"/>
                    <w:rPr>
                      <w:rFonts w:hint="eastAsia" w:ascii="宋体" w:hAnsi="宋体" w:eastAsia="宋体" w:cs="宋体"/>
                      <w:b/>
                      <w:bCs/>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b/>
                      <w:bCs/>
                      <w:color w:val="000000" w:themeColor="text1"/>
                      <w:sz w:val="21"/>
                      <w:szCs w:val="21"/>
                      <w14:textFill>
                        <w14:solidFill>
                          <w14:schemeClr w14:val="tx1"/>
                        </w14:solidFill>
                      </w14:textFill>
                    </w:rPr>
                    <w:t>光伏场区部分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c>
                <w:tcPr>
                  <w:tcW w:w="1425"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设备名称</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型号</w:t>
                  </w:r>
                </w:p>
              </w:tc>
              <w:tc>
                <w:tcPr>
                  <w:tcW w:w="1403"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单位</w:t>
                  </w:r>
                </w:p>
              </w:tc>
              <w:tc>
                <w:tcPr>
                  <w:tcW w:w="87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数量</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1</w:t>
                  </w:r>
                </w:p>
              </w:tc>
              <w:tc>
                <w:tcPr>
                  <w:tcW w:w="1425"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单晶双面组件</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5</w:t>
                  </w:r>
                  <w:r>
                    <w:rPr>
                      <w:rFonts w:hint="eastAsia" w:ascii="宋体" w:hAnsi="宋体" w:eastAsia="宋体" w:cs="宋体"/>
                      <w:color w:val="000000" w:themeColor="text1"/>
                      <w:sz w:val="21"/>
                      <w:szCs w:val="21"/>
                      <w:highlight w:val="none"/>
                      <w:lang w:val="en-US" w:eastAsia="zh-CN"/>
                      <w14:textFill>
                        <w14:solidFill>
                          <w14:schemeClr w14:val="tx1"/>
                        </w14:solidFill>
                      </w14:textFill>
                    </w:rPr>
                    <w:t>75</w:t>
                  </w:r>
                  <w:r>
                    <w:rPr>
                      <w:rFonts w:hint="eastAsia" w:ascii="宋体" w:hAnsi="宋体" w:eastAsia="宋体" w:cs="宋体"/>
                      <w:color w:val="000000" w:themeColor="text1"/>
                      <w:sz w:val="21"/>
                      <w:szCs w:val="21"/>
                      <w:highlight w:val="none"/>
                      <w14:textFill>
                        <w14:solidFill>
                          <w14:schemeClr w14:val="tx1"/>
                        </w14:solidFill>
                      </w14:textFill>
                    </w:rPr>
                    <w:t>Wp</w:t>
                  </w:r>
                  <w:r>
                    <w:rPr>
                      <w:rFonts w:hint="eastAsia" w:ascii="宋体" w:hAnsi="宋体" w:eastAsia="宋体" w:cs="宋体"/>
                      <w:color w:val="000000" w:themeColor="text1"/>
                      <w:sz w:val="21"/>
                      <w:szCs w:val="21"/>
                      <w:highlight w:val="none"/>
                      <w:lang w:val="en-US" w:eastAsia="zh-CN"/>
                      <w14:textFill>
                        <w14:solidFill>
                          <w14:schemeClr w14:val="tx1"/>
                        </w14:solidFill>
                      </w14:textFill>
                    </w:rPr>
                    <w:t>/695Wp</w:t>
                  </w:r>
                </w:p>
              </w:tc>
              <w:tc>
                <w:tcPr>
                  <w:tcW w:w="140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bidi="ar-SA"/>
                      <w14:textFill>
                        <w14:solidFill>
                          <w14:schemeClr w14:val="tx1"/>
                        </w14:solidFill>
                      </w14:textFill>
                    </w:rPr>
                    <w:t>块</w:t>
                  </w:r>
                </w:p>
              </w:tc>
              <w:tc>
                <w:tcPr>
                  <w:tcW w:w="873"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2209740/18740</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2</w:t>
                  </w:r>
                </w:p>
              </w:tc>
              <w:tc>
                <w:tcPr>
                  <w:tcW w:w="1425"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支架</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26</w:t>
                  </w:r>
                  <w:r>
                    <w:rPr>
                      <w:rFonts w:hint="eastAsia" w:ascii="宋体" w:hAnsi="宋体" w:eastAsia="宋体" w:cs="宋体"/>
                      <w:color w:val="000000" w:themeColor="text1"/>
                      <w:sz w:val="21"/>
                      <w:szCs w:val="21"/>
                      <w:highlight w:val="none"/>
                      <w:lang w:val="en-US" w:eastAsia="zh-CN"/>
                      <w14:textFill>
                        <w14:solidFill>
                          <w14:schemeClr w14:val="tx1"/>
                        </w14:solidFill>
                      </w14:textFill>
                    </w:rPr>
                    <w:t>双</w:t>
                  </w:r>
                  <w:r>
                    <w:rPr>
                      <w:rFonts w:hint="eastAsia" w:ascii="宋体" w:hAnsi="宋体" w:eastAsia="宋体" w:cs="宋体"/>
                      <w:color w:val="000000" w:themeColor="text1"/>
                      <w:sz w:val="21"/>
                      <w:szCs w:val="21"/>
                      <w:highlight w:val="none"/>
                      <w14:textFill>
                        <w14:solidFill>
                          <w14:schemeClr w14:val="tx1"/>
                        </w14:solidFill>
                      </w14:textFill>
                    </w:rPr>
                    <w:t>排竖向固定支架</w:t>
                  </w:r>
                </w:p>
              </w:tc>
              <w:tc>
                <w:tcPr>
                  <w:tcW w:w="140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套</w:t>
                  </w:r>
                </w:p>
              </w:tc>
              <w:tc>
                <w:tcPr>
                  <w:tcW w:w="873"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42495</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3</w:t>
                  </w:r>
                </w:p>
              </w:tc>
              <w:tc>
                <w:tcPr>
                  <w:tcW w:w="1425"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箱逆变一体机</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3125kVA</w:t>
                  </w:r>
                </w:p>
              </w:tc>
              <w:tc>
                <w:tcPr>
                  <w:tcW w:w="140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台</w:t>
                  </w:r>
                </w:p>
              </w:tc>
              <w:tc>
                <w:tcPr>
                  <w:tcW w:w="87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160</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default"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4</w:t>
                  </w:r>
                </w:p>
              </w:tc>
              <w:tc>
                <w:tcPr>
                  <w:tcW w:w="1425" w:type="dxa"/>
                  <w:tcBorders>
                    <w:tl2br w:val="nil"/>
                    <w:tr2bl w:val="nil"/>
                  </w:tcBorders>
                  <w:noWrap w:val="0"/>
                  <w:vAlign w:val="center"/>
                </w:tcPr>
                <w:p>
                  <w:pPr>
                    <w:ind w:left="0" w:leftChars="0" w:firstLine="0" w:firstLineChars="0"/>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箱逆变一体机</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33</w:t>
                  </w:r>
                  <w:r>
                    <w:rPr>
                      <w:rFonts w:hint="eastAsia" w:ascii="宋体" w:hAnsi="宋体" w:eastAsia="宋体" w:cs="宋体"/>
                      <w:color w:val="000000" w:themeColor="text1"/>
                      <w:sz w:val="21"/>
                      <w:szCs w:val="21"/>
                      <w:highlight w:val="none"/>
                      <w14:textFill>
                        <w14:solidFill>
                          <w14:schemeClr w14:val="tx1"/>
                        </w14:solidFill>
                      </w14:textFill>
                    </w:rPr>
                    <w:t>00kVA</w:t>
                  </w:r>
                </w:p>
              </w:tc>
              <w:tc>
                <w:tcPr>
                  <w:tcW w:w="140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台</w:t>
                  </w:r>
                </w:p>
              </w:tc>
              <w:tc>
                <w:tcPr>
                  <w:tcW w:w="87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143</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270" w:hRule="atLeast"/>
              </w:trPr>
              <w:tc>
                <w:tcPr>
                  <w:tcW w:w="574" w:type="dxa"/>
                  <w:tcBorders>
                    <w:tl2br w:val="nil"/>
                    <w:tr2bl w:val="nil"/>
                  </w:tcBorders>
                  <w:noWrap w:val="0"/>
                  <w:vAlign w:val="center"/>
                </w:tcPr>
                <w:p>
                  <w:pPr>
                    <w:jc w:val="center"/>
                    <w:rPr>
                      <w:rFonts w:hint="default"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5</w:t>
                  </w:r>
                </w:p>
              </w:tc>
              <w:tc>
                <w:tcPr>
                  <w:tcW w:w="1425"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就地升压变压器</w:t>
                  </w:r>
                </w:p>
              </w:tc>
              <w:tc>
                <w:tcPr>
                  <w:tcW w:w="2622"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美</w:t>
                  </w:r>
                  <w:r>
                    <w:rPr>
                      <w:rFonts w:hint="eastAsia" w:ascii="宋体" w:hAnsi="宋体" w:eastAsia="宋体" w:cs="宋体"/>
                      <w:color w:val="000000" w:themeColor="text1"/>
                      <w:sz w:val="21"/>
                      <w:szCs w:val="21"/>
                      <w:highlight w:val="none"/>
                      <w:lang w:val="en-US" w:eastAsia="zh-CN"/>
                      <w14:textFill>
                        <w14:solidFill>
                          <w14:schemeClr w14:val="tx1"/>
                        </w14:solidFill>
                      </w14:textFill>
                    </w:rPr>
                    <w:t>变/华变</w:t>
                  </w:r>
                </w:p>
              </w:tc>
              <w:tc>
                <w:tcPr>
                  <w:tcW w:w="140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t>台</w:t>
                  </w:r>
                </w:p>
              </w:tc>
              <w:tc>
                <w:tcPr>
                  <w:tcW w:w="873"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145</w:t>
                  </w:r>
                </w:p>
              </w:tc>
              <w:tc>
                <w:tcPr>
                  <w:tcW w:w="1048" w:type="dxa"/>
                  <w:tcBorders>
                    <w:tl2br w:val="nil"/>
                    <w:tr2bl w:val="nil"/>
                  </w:tcBorders>
                  <w:noWrap w:val="0"/>
                  <w:vAlign w:val="center"/>
                </w:tcPr>
                <w:p>
                  <w:pPr>
                    <w:jc w:val="center"/>
                    <w:rPr>
                      <w:rFonts w:hint="eastAsia" w:ascii="宋体" w:hAnsi="宋体" w:eastAsia="宋体" w:cs="宋体"/>
                      <w:color w:val="000000" w:themeColor="text1"/>
                      <w:kern w:val="0"/>
                      <w:sz w:val="21"/>
                      <w:szCs w:val="21"/>
                      <w:highlight w:val="none"/>
                      <w:lang w:val="zh-CN" w:eastAsia="zh-CN"/>
                      <w14:textFill>
                        <w14:solidFill>
                          <w14:schemeClr w14:val="tx1"/>
                        </w14:solidFill>
                      </w14:textFill>
                    </w:rPr>
                  </w:pPr>
                </w:p>
              </w:tc>
            </w:tr>
          </w:tbl>
          <w:p>
            <w:pPr>
              <w:numPr>
                <w:ilvl w:val="0"/>
                <w:numId w:val="0"/>
              </w:numPr>
              <w:adjustRightInd w:val="0"/>
              <w:snapToGrid w:val="0"/>
              <w:spacing w:line="360" w:lineRule="auto"/>
              <w:ind w:leftChars="0"/>
              <w:rPr>
                <w:b/>
                <w:bCs w:val="0"/>
                <w:color w:val="000000" w:themeColor="text1"/>
                <w:sz w:val="24"/>
                <w:highlight w:val="none"/>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3.</w:t>
            </w:r>
            <w:r>
              <w:rPr>
                <w:b/>
                <w:bCs w:val="0"/>
                <w:color w:val="000000" w:themeColor="text1"/>
                <w:sz w:val="24"/>
                <w:highlight w:val="none"/>
                <w14:textFill>
                  <w14:solidFill>
                    <w14:schemeClr w14:val="tx1"/>
                  </w14:solidFill>
                </w14:textFill>
              </w:rPr>
              <w:t>劳动定员及工作制度</w:t>
            </w:r>
          </w:p>
          <w:p>
            <w:pPr>
              <w:keepNext w:val="0"/>
              <w:keepLines w:val="0"/>
              <w:widowControl/>
              <w:suppressLineNumbers w:val="0"/>
              <w:spacing w:line="360" w:lineRule="auto"/>
              <w:ind w:firstLine="480" w:firstLineChars="200"/>
              <w:jc w:val="left"/>
              <w:rPr>
                <w:rFonts w:hint="eastAsia" w:ascii="宋体" w:hAnsi="宋体" w:cs="宋体"/>
                <w:color w:val="000000" w:themeColor="text1"/>
                <w:kern w:val="0"/>
                <w:szCs w:val="21"/>
                <w:lang w:eastAsia="zh-CN"/>
                <w14:textFill>
                  <w14:solidFill>
                    <w14:schemeClr w14:val="tx1"/>
                  </w14:solidFill>
                </w14:textFill>
              </w:rPr>
            </w:pPr>
            <w:r>
              <w:rPr>
                <w:rFonts w:hint="eastAsia"/>
                <w:bCs/>
                <w:color w:val="000000" w:themeColor="text1"/>
                <w:sz w:val="24"/>
                <w:highlight w:val="none"/>
                <w14:textFill>
                  <w14:solidFill>
                    <w14:schemeClr w14:val="tx1"/>
                  </w14:solidFill>
                </w14:textFill>
              </w:rPr>
              <w:t>光伏电站的自动化程度较高，</w:t>
            </w:r>
            <w:r>
              <w:rPr>
                <w:rFonts w:hint="eastAsia"/>
                <w:bCs/>
                <w:color w:val="000000" w:themeColor="text1"/>
                <w:sz w:val="24"/>
                <w:highlight w:val="none"/>
                <w:lang w:eastAsia="zh-CN"/>
                <w14:textFill>
                  <w14:solidFill>
                    <w14:schemeClr w14:val="tx1"/>
                  </w14:solidFill>
                </w14:textFill>
              </w:rPr>
              <w:t>拟定运营期管理人员</w:t>
            </w:r>
            <w:r>
              <w:rPr>
                <w:rFonts w:hint="eastAsia"/>
                <w:bCs/>
                <w:color w:val="000000" w:themeColor="text1"/>
                <w:sz w:val="24"/>
                <w:highlight w:val="none"/>
                <w:lang w:val="en-US" w:eastAsia="zh-CN"/>
                <w14:textFill>
                  <w14:solidFill>
                    <w14:schemeClr w14:val="tx1"/>
                  </w14:solidFill>
                </w14:textFill>
              </w:rPr>
              <w:t>20人</w:t>
            </w:r>
            <w:r>
              <w:rPr>
                <w:rFonts w:hint="eastAsia"/>
                <w:bCs/>
                <w:color w:val="000000" w:themeColor="text1"/>
                <w:sz w:val="24"/>
                <w:highlight w:val="none"/>
                <w14:textFill>
                  <w14:solidFill>
                    <w14:schemeClr w14:val="tx1"/>
                  </w14:solidFill>
                </w14:textFill>
              </w:rPr>
              <w:t>。本项目年工作时间365天。</w:t>
            </w:r>
          </w:p>
          <w:p>
            <w:pPr>
              <w:numPr>
                <w:ilvl w:val="0"/>
                <w:numId w:val="0"/>
              </w:numPr>
              <w:adjustRightInd w:val="0"/>
              <w:snapToGrid w:val="0"/>
              <w:spacing w:line="360" w:lineRule="auto"/>
              <w:ind w:leftChars="0"/>
              <w:rPr>
                <w:b/>
                <w:bCs w:val="0"/>
                <w:color w:val="000000" w:themeColor="text1"/>
                <w:sz w:val="24"/>
                <w:highlight w:val="none"/>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4.</w:t>
            </w:r>
            <w:r>
              <w:rPr>
                <w:b/>
                <w:bCs w:val="0"/>
                <w:color w:val="000000" w:themeColor="text1"/>
                <w:sz w:val="24"/>
                <w:highlight w:val="none"/>
                <w14:textFill>
                  <w14:solidFill>
                    <w14:schemeClr w14:val="tx1"/>
                  </w14:solidFill>
                </w14:textFill>
              </w:rPr>
              <w:t>公</w:t>
            </w:r>
            <w:r>
              <w:rPr>
                <w:rFonts w:hint="eastAsia"/>
                <w:b/>
                <w:bCs w:val="0"/>
                <w:color w:val="000000" w:themeColor="text1"/>
                <w:sz w:val="24"/>
                <w:highlight w:val="none"/>
                <w:lang w:val="en-US" w:eastAsia="zh-CN"/>
                <w14:textFill>
                  <w14:solidFill>
                    <w14:schemeClr w14:val="tx1"/>
                  </w14:solidFill>
                </w14:textFill>
              </w:rPr>
              <w:t>用</w:t>
            </w:r>
            <w:r>
              <w:rPr>
                <w:b/>
                <w:bCs w:val="0"/>
                <w:color w:val="000000" w:themeColor="text1"/>
                <w:sz w:val="24"/>
                <w:highlight w:val="none"/>
                <w14:textFill>
                  <w14:solidFill>
                    <w14:schemeClr w14:val="tx1"/>
                  </w14:solidFill>
                </w14:textFill>
              </w:rPr>
              <w:t>工程</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color w:val="000000" w:themeColor="text1"/>
                <w:sz w:val="24"/>
                <w:highlight w:val="none"/>
                <w14:textFill>
                  <w14:solidFill>
                    <w14:schemeClr w14:val="tx1"/>
                  </w14:solidFill>
                </w14:textFill>
              </w:rPr>
              <w:t>（1</w:t>
            </w:r>
            <w:r>
              <w:rPr>
                <w:rFonts w:hint="eastAsia" w:ascii="Times New Roman" w:hAnsi="Times New Roman" w:eastAsia="宋体" w:cs="Times New Roman"/>
                <w:bCs/>
                <w:color w:val="000000" w:themeColor="text1"/>
                <w:sz w:val="24"/>
                <w:highlight w:val="none"/>
                <w14:textFill>
                  <w14:solidFill>
                    <w14:schemeClr w14:val="tx1"/>
                  </w14:solidFill>
                </w14:textFill>
              </w:rPr>
              <w:t>）给</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排水</w:t>
            </w:r>
          </w:p>
          <w:p>
            <w:pPr>
              <w:keepNext w:val="0"/>
              <w:keepLines w:val="0"/>
              <w:widowControl/>
              <w:suppressLineNumbers w:val="0"/>
              <w:spacing w:line="360" w:lineRule="auto"/>
              <w:ind w:firstLine="480" w:firstLineChars="200"/>
              <w:jc w:val="left"/>
              <w:rPr>
                <w:rFonts w:hint="eastAsia" w:ascii="宋体" w:hAnsi="宋体" w:eastAsia="宋体" w:cs="宋体"/>
                <w:bCs/>
                <w:color w:val="0000FF"/>
                <w:sz w:val="24"/>
                <w:highlight w:val="none"/>
              </w:rPr>
            </w:pPr>
            <w:r>
              <w:rPr>
                <w:rFonts w:hint="eastAsia" w:ascii="宋体" w:hAnsi="宋体" w:eastAsia="宋体" w:cs="宋体"/>
                <w:bCs/>
                <w:color w:val="0000FF"/>
                <w:sz w:val="24"/>
                <w:highlight w:val="none"/>
              </w:rPr>
              <w:t>本项目用水主要为</w:t>
            </w:r>
            <w:r>
              <w:rPr>
                <w:rFonts w:hint="eastAsia" w:ascii="宋体" w:hAnsi="宋体" w:eastAsia="宋体" w:cs="宋体"/>
                <w:bCs/>
                <w:color w:val="0000FF"/>
                <w:sz w:val="24"/>
                <w:highlight w:val="none"/>
                <w:lang w:eastAsia="zh-CN"/>
              </w:rPr>
              <w:t>生活用水、</w:t>
            </w:r>
            <w:r>
              <w:rPr>
                <w:rFonts w:hint="eastAsia" w:ascii="宋体" w:hAnsi="宋体" w:eastAsia="宋体" w:cs="宋体"/>
                <w:bCs/>
                <w:color w:val="0000FF"/>
                <w:sz w:val="24"/>
                <w:highlight w:val="none"/>
              </w:rPr>
              <w:t>太阳能板</w:t>
            </w:r>
            <w:r>
              <w:rPr>
                <w:rFonts w:hint="eastAsia" w:ascii="宋体" w:hAnsi="宋体" w:eastAsia="宋体" w:cs="宋体"/>
                <w:bCs/>
                <w:color w:val="0000FF"/>
                <w:sz w:val="24"/>
                <w:highlight w:val="none"/>
                <w:lang w:eastAsia="zh-CN"/>
              </w:rPr>
              <w:t>清洗</w:t>
            </w:r>
            <w:r>
              <w:rPr>
                <w:rFonts w:hint="eastAsia" w:ascii="宋体" w:hAnsi="宋体" w:eastAsia="宋体" w:cs="宋体"/>
                <w:bCs/>
                <w:color w:val="0000FF"/>
                <w:sz w:val="24"/>
                <w:highlight w:val="none"/>
              </w:rPr>
              <w:t>用水。</w:t>
            </w:r>
            <w:r>
              <w:rPr>
                <w:rFonts w:hint="eastAsia" w:ascii="宋体" w:hAnsi="宋体" w:eastAsia="宋体" w:cs="宋体"/>
                <w:bCs/>
                <w:color w:val="0000FF"/>
                <w:sz w:val="24"/>
                <w:highlight w:val="none"/>
                <w:lang w:eastAsia="zh-CN"/>
              </w:rPr>
              <w:t>生活用水以</w:t>
            </w:r>
            <w:r>
              <w:rPr>
                <w:rFonts w:hint="eastAsia" w:ascii="宋体" w:hAnsi="宋体" w:eastAsia="宋体" w:cs="宋体"/>
                <w:bCs/>
                <w:color w:val="0000FF"/>
                <w:sz w:val="24"/>
                <w:highlight w:val="none"/>
                <w:lang w:val="en-US" w:eastAsia="zh-CN"/>
              </w:rPr>
              <w:t>80L/d.人，生活用水用水量584</w:t>
            </w:r>
            <w:r>
              <w:rPr>
                <w:rFonts w:hint="eastAsia" w:ascii="宋体" w:hAnsi="宋体" w:eastAsia="宋体" w:cs="宋体"/>
                <w:bCs/>
                <w:color w:val="0000FF"/>
                <w:sz w:val="24"/>
                <w:highlight w:val="none"/>
              </w:rPr>
              <w:t>m³/</w:t>
            </w:r>
            <w:r>
              <w:rPr>
                <w:rFonts w:hint="eastAsia" w:ascii="宋体" w:hAnsi="宋体" w:eastAsia="宋体" w:cs="宋体"/>
                <w:bCs/>
                <w:color w:val="0000FF"/>
                <w:sz w:val="24"/>
                <w:highlight w:val="none"/>
                <w:lang w:val="en-US" w:eastAsia="zh-CN"/>
              </w:rPr>
              <w:t>a，排水量467.2</w:t>
            </w:r>
            <w:r>
              <w:rPr>
                <w:rFonts w:hint="eastAsia" w:ascii="宋体" w:hAnsi="宋体" w:eastAsia="宋体" w:cs="宋体"/>
                <w:bCs/>
                <w:color w:val="0000FF"/>
                <w:sz w:val="24"/>
                <w:highlight w:val="none"/>
              </w:rPr>
              <w:t>m³/</w:t>
            </w:r>
            <w:r>
              <w:rPr>
                <w:rFonts w:hint="eastAsia" w:ascii="宋体" w:hAnsi="宋体" w:eastAsia="宋体" w:cs="宋体"/>
                <w:bCs/>
                <w:color w:val="0000FF"/>
                <w:sz w:val="24"/>
                <w:highlight w:val="none"/>
                <w:lang w:val="en-US" w:eastAsia="zh-CN"/>
              </w:rPr>
              <w:t>a，通过地埋式一体化污水处理设施处理后冬储夏灌，用于周边绿化。</w:t>
            </w:r>
            <w:r>
              <w:rPr>
                <w:rFonts w:hint="eastAsia" w:ascii="宋体" w:hAnsi="宋体" w:eastAsia="宋体" w:cs="宋体"/>
                <w:bCs/>
                <w:color w:val="0000FF"/>
                <w:sz w:val="24"/>
                <w:highlight w:val="none"/>
              </w:rPr>
              <w:t>根据建设方提供资料，电池组件擦拭按</w:t>
            </w:r>
            <w:r>
              <w:rPr>
                <w:rFonts w:hint="eastAsia" w:ascii="宋体" w:hAnsi="宋体" w:eastAsia="宋体" w:cs="宋体"/>
                <w:bCs/>
                <w:color w:val="0000FF"/>
                <w:sz w:val="24"/>
                <w:highlight w:val="none"/>
                <w:lang w:val="en-US" w:eastAsia="zh-CN"/>
              </w:rPr>
              <w:t>2</w:t>
            </w:r>
            <w:r>
              <w:rPr>
                <w:rFonts w:hint="eastAsia" w:ascii="宋体" w:hAnsi="宋体" w:eastAsia="宋体" w:cs="宋体"/>
                <w:bCs/>
                <w:color w:val="0000FF"/>
                <w:sz w:val="24"/>
                <w:highlight w:val="none"/>
              </w:rPr>
              <w:t>次/年，最大擦拭组件用水为</w:t>
            </w:r>
            <w:r>
              <w:rPr>
                <w:rFonts w:hint="eastAsia" w:ascii="宋体" w:hAnsi="宋体" w:eastAsia="宋体" w:cs="宋体"/>
                <w:bCs/>
                <w:color w:val="0000FF"/>
                <w:sz w:val="24"/>
                <w:highlight w:val="none"/>
                <w:lang w:val="en-US" w:eastAsia="zh-CN"/>
              </w:rPr>
              <w:t>1000</w:t>
            </w:r>
            <w:r>
              <w:rPr>
                <w:rFonts w:hint="eastAsia" w:ascii="宋体" w:hAnsi="宋体" w:eastAsia="宋体" w:cs="宋体"/>
                <w:bCs/>
                <w:color w:val="0000FF"/>
                <w:sz w:val="24"/>
                <w:highlight w:val="none"/>
              </w:rPr>
              <w:t>m³/次，则用水量约为</w:t>
            </w:r>
            <w:r>
              <w:rPr>
                <w:rFonts w:hint="eastAsia" w:ascii="宋体" w:hAnsi="宋体" w:eastAsia="宋体" w:cs="宋体"/>
                <w:bCs/>
                <w:color w:val="0000FF"/>
                <w:sz w:val="24"/>
                <w:highlight w:val="none"/>
                <w:lang w:val="en-US" w:eastAsia="zh-CN"/>
              </w:rPr>
              <w:t>2</w:t>
            </w:r>
            <w:r>
              <w:rPr>
                <w:rFonts w:hint="eastAsia" w:ascii="宋体" w:hAnsi="宋体" w:eastAsia="宋体" w:cs="宋体"/>
                <w:bCs/>
                <w:color w:val="0000FF"/>
                <w:sz w:val="24"/>
                <w:highlight w:val="none"/>
              </w:rPr>
              <w:t>00</w:t>
            </w:r>
            <w:r>
              <w:rPr>
                <w:rFonts w:hint="eastAsia" w:ascii="宋体" w:hAnsi="宋体" w:eastAsia="宋体" w:cs="宋体"/>
                <w:bCs/>
                <w:color w:val="0000FF"/>
                <w:sz w:val="24"/>
                <w:highlight w:val="none"/>
                <w:lang w:val="en-US" w:eastAsia="zh-CN"/>
              </w:rPr>
              <w:t>0</w:t>
            </w:r>
            <w:r>
              <w:rPr>
                <w:rFonts w:hint="eastAsia" w:ascii="宋体" w:hAnsi="宋体" w:eastAsia="宋体" w:cs="宋体"/>
                <w:bCs/>
                <w:color w:val="0000FF"/>
                <w:sz w:val="24"/>
                <w:highlight w:val="none"/>
              </w:rPr>
              <w:t>m³/a；</w:t>
            </w:r>
            <w:r>
              <w:rPr>
                <w:rFonts w:hint="eastAsia" w:ascii="宋体" w:hAnsi="宋体" w:eastAsia="宋体" w:cs="宋体"/>
                <w:color w:val="0000FF"/>
                <w:sz w:val="24"/>
                <w:highlight w:val="none"/>
                <w:lang w:val="en-US" w:eastAsia="zh-CN"/>
              </w:rPr>
              <w:t>根据同类行业，</w:t>
            </w:r>
            <w:r>
              <w:rPr>
                <w:rFonts w:hint="eastAsia" w:ascii="宋体" w:hAnsi="宋体" w:eastAsia="宋体" w:cs="宋体"/>
                <w:bCs/>
                <w:color w:val="0000FF"/>
                <w:sz w:val="24"/>
                <w:highlight w:val="none"/>
              </w:rPr>
              <w:t>太阳能板擦拭后废水基本全部蒸发损耗，少量废水下渗浇灌地表植被，光伏组件擦拭废水不含清洁剂，主要污染物为SS，擦拭废水沿板面直接落入光伏组件下方的绿地，用于植被浇灌。</w:t>
            </w:r>
          </w:p>
          <w:p>
            <w:pPr>
              <w:keepNext w:val="0"/>
              <w:keepLines w:val="0"/>
              <w:widowControl/>
              <w:suppressLineNumbers w:val="0"/>
              <w:spacing w:line="360" w:lineRule="auto"/>
              <w:ind w:firstLine="480" w:firstLineChars="200"/>
              <w:jc w:val="left"/>
              <w:rPr>
                <w:rFonts w:hint="eastAsia" w:ascii="宋体" w:hAnsi="宋体" w:eastAsia="宋体" w:cs="宋体"/>
                <w:b w:val="0"/>
                <w:bCs/>
                <w:color w:val="000000" w:themeColor="text1"/>
                <w:sz w:val="24"/>
                <w:highlight w:val="none"/>
                <w:lang w:eastAsia="zh-CN"/>
                <w14:textFill>
                  <w14:solidFill>
                    <w14:schemeClr w14:val="tx1"/>
                  </w14:solidFill>
                </w14:textFill>
              </w:rPr>
            </w:pPr>
            <w:r>
              <w:rPr>
                <w:rFonts w:hint="eastAsia" w:ascii="宋体" w:hAnsi="宋体" w:eastAsia="宋体" w:cs="宋体"/>
                <w:b w:val="0"/>
                <w:bCs/>
                <w:color w:val="000000" w:themeColor="text1"/>
                <w:sz w:val="24"/>
                <w:highlight w:val="none"/>
                <w14:textFill>
                  <w14:solidFill>
                    <w14:schemeClr w14:val="tx1"/>
                  </w14:solidFill>
                </w14:textFill>
              </w:rPr>
              <w:t>（</w:t>
            </w:r>
            <w:r>
              <w:rPr>
                <w:rFonts w:hint="eastAsia" w:ascii="宋体" w:hAnsi="宋体" w:eastAsia="宋体" w:cs="宋体"/>
                <w:b w:val="0"/>
                <w:bCs/>
                <w:color w:val="000000" w:themeColor="text1"/>
                <w:sz w:val="24"/>
                <w:highlight w:val="none"/>
                <w:lang w:val="en-US" w:eastAsia="zh-CN"/>
                <w14:textFill>
                  <w14:solidFill>
                    <w14:schemeClr w14:val="tx1"/>
                  </w14:solidFill>
                </w14:textFill>
              </w:rPr>
              <w:t>2</w:t>
            </w:r>
            <w:r>
              <w:rPr>
                <w:rFonts w:hint="eastAsia" w:ascii="宋体" w:hAnsi="宋体" w:eastAsia="宋体" w:cs="宋体"/>
                <w:b w:val="0"/>
                <w:bCs/>
                <w:color w:val="000000" w:themeColor="text1"/>
                <w:sz w:val="24"/>
                <w:highlight w:val="none"/>
                <w14:textFill>
                  <w14:solidFill>
                    <w14:schemeClr w14:val="tx1"/>
                  </w14:solidFill>
                </w14:textFill>
              </w:rPr>
              <w:t>）供</w:t>
            </w:r>
            <w:r>
              <w:rPr>
                <w:rFonts w:hint="eastAsia" w:ascii="宋体" w:hAnsi="宋体" w:eastAsia="宋体" w:cs="宋体"/>
                <w:b w:val="0"/>
                <w:bCs/>
                <w:color w:val="000000" w:themeColor="text1"/>
                <w:sz w:val="24"/>
                <w:highlight w:val="none"/>
                <w:lang w:eastAsia="zh-CN"/>
                <w14:textFill>
                  <w14:solidFill>
                    <w14:schemeClr w14:val="tx1"/>
                  </w14:solidFill>
                </w14:textFill>
              </w:rPr>
              <w:t>热</w:t>
            </w:r>
          </w:p>
          <w:p>
            <w:pPr>
              <w:keepNext w:val="0"/>
              <w:keepLines w:val="0"/>
              <w:widowControl/>
              <w:suppressLineNumbers w:val="0"/>
              <w:spacing w:line="360" w:lineRule="auto"/>
              <w:ind w:firstLine="480" w:firstLineChars="200"/>
              <w:jc w:val="left"/>
              <w:rPr>
                <w:rFonts w:hint="eastAsia" w:ascii="宋体" w:hAnsi="宋体" w:eastAsia="宋体" w:cs="宋体"/>
                <w:b w:val="0"/>
                <w:bCs/>
                <w:color w:val="000000" w:themeColor="text1"/>
                <w:sz w:val="24"/>
                <w:highlight w:val="none"/>
                <w:lang w:val="en-US" w:eastAsia="zh-CN"/>
                <w14:textFill>
                  <w14:solidFill>
                    <w14:schemeClr w14:val="tx1"/>
                  </w14:solidFill>
                </w14:textFill>
              </w:rPr>
            </w:pPr>
            <w:r>
              <w:rPr>
                <w:rFonts w:hint="eastAsia" w:ascii="宋体" w:hAnsi="宋体" w:eastAsia="宋体" w:cs="宋体"/>
                <w:b w:val="0"/>
                <w:bCs/>
                <w:color w:val="000000" w:themeColor="text1"/>
                <w:sz w:val="24"/>
                <w:highlight w:val="none"/>
                <w:lang w:val="en-US" w:eastAsia="zh-CN"/>
                <w14:textFill>
                  <w14:solidFill>
                    <w14:schemeClr w14:val="tx1"/>
                  </w14:solidFill>
                </w14:textFill>
              </w:rPr>
              <w:t>本项目冬季办公区采用电采暖</w:t>
            </w:r>
          </w:p>
          <w:p>
            <w:pPr>
              <w:keepNext w:val="0"/>
              <w:keepLines w:val="0"/>
              <w:widowControl/>
              <w:suppressLineNumbers w:val="0"/>
              <w:spacing w:line="360" w:lineRule="auto"/>
              <w:ind w:firstLine="480" w:firstLineChars="200"/>
              <w:jc w:val="left"/>
              <w:rPr>
                <w:rFonts w:hint="eastAsia" w:ascii="宋体" w:hAnsi="宋体" w:eastAsia="宋体" w:cs="宋体"/>
                <w:b w:val="0"/>
                <w:bCs/>
                <w:color w:val="000000" w:themeColor="text1"/>
                <w:sz w:val="24"/>
                <w:highlight w:val="none"/>
                <w:lang w:val="en-US" w:eastAsia="zh-CN"/>
                <w14:textFill>
                  <w14:solidFill>
                    <w14:schemeClr w14:val="tx1"/>
                  </w14:solidFill>
                </w14:textFill>
              </w:rPr>
            </w:pPr>
            <w:r>
              <w:rPr>
                <w:rFonts w:hint="eastAsia" w:ascii="宋体" w:hAnsi="宋体" w:eastAsia="宋体" w:cs="宋体"/>
                <w:b w:val="0"/>
                <w:bCs/>
                <w:color w:val="000000" w:themeColor="text1"/>
                <w:sz w:val="24"/>
                <w:highlight w:val="none"/>
                <w14:textFill>
                  <w14:solidFill>
                    <w14:schemeClr w14:val="tx1"/>
                  </w14:solidFill>
                </w14:textFill>
              </w:rPr>
              <w:t>（</w:t>
            </w:r>
            <w:r>
              <w:rPr>
                <w:rFonts w:hint="eastAsia" w:ascii="宋体" w:hAnsi="宋体" w:eastAsia="宋体" w:cs="宋体"/>
                <w:b w:val="0"/>
                <w:bCs/>
                <w:color w:val="000000" w:themeColor="text1"/>
                <w:sz w:val="24"/>
                <w:highlight w:val="none"/>
                <w:lang w:val="en-US" w:eastAsia="zh-CN"/>
                <w14:textFill>
                  <w14:solidFill>
                    <w14:schemeClr w14:val="tx1"/>
                  </w14:solidFill>
                </w14:textFill>
              </w:rPr>
              <w:t>3</w:t>
            </w:r>
            <w:r>
              <w:rPr>
                <w:rFonts w:hint="eastAsia" w:ascii="宋体" w:hAnsi="宋体" w:eastAsia="宋体" w:cs="宋体"/>
                <w:b w:val="0"/>
                <w:bCs/>
                <w:color w:val="000000" w:themeColor="text1"/>
                <w:sz w:val="24"/>
                <w:highlight w:val="none"/>
                <w14:textFill>
                  <w14:solidFill>
                    <w14:schemeClr w14:val="tx1"/>
                  </w14:solidFill>
                </w14:textFill>
              </w:rPr>
              <w:t>）道路工</w:t>
            </w:r>
            <w:r>
              <w:rPr>
                <w:rFonts w:hint="eastAsia" w:ascii="宋体" w:hAnsi="宋体" w:eastAsia="宋体" w:cs="宋体"/>
                <w:b w:val="0"/>
                <w:bCs/>
                <w:color w:val="000000" w:themeColor="text1"/>
                <w:sz w:val="24"/>
                <w:highlight w:val="none"/>
                <w:lang w:val="en-US" w:eastAsia="zh-CN"/>
                <w14:textFill>
                  <w14:solidFill>
                    <w14:schemeClr w14:val="tx1"/>
                  </w14:solidFill>
                </w14:textFill>
              </w:rPr>
              <w:t>程</w:t>
            </w:r>
          </w:p>
          <w:p>
            <w:pPr>
              <w:pStyle w:val="25"/>
              <w:ind w:firstLine="240" w:firstLineChars="100"/>
              <w:rPr>
                <w:rFonts w:hint="default" w:ascii="Times New Roman" w:hAnsi="Times New Roman" w:eastAsia="宋体" w:cs="Times New Roman"/>
                <w:color w:val="000000" w:themeColor="text1"/>
                <w:kern w:val="0"/>
                <w:sz w:val="8"/>
                <w:szCs w:val="2"/>
                <w:lang w:val="en-US" w:eastAsia="zh-CN" w:bidi="ar-SA"/>
                <w14:textFill>
                  <w14:solidFill>
                    <w14:schemeClr w14:val="tx1"/>
                  </w14:solidFill>
                </w14:textFill>
              </w:rPr>
            </w:pPr>
            <w:r>
              <w:rPr>
                <w:rFonts w:hint="eastAsia" w:ascii="宋体" w:hAnsi="宋体" w:eastAsia="宋体" w:cs="宋体"/>
                <w:b w:val="0"/>
                <w:bCs/>
                <w:color w:val="000000" w:themeColor="text1"/>
                <w:sz w:val="24"/>
                <w:highlight w:val="none"/>
                <w:lang w:val="en-US" w:eastAsia="zh-CN"/>
                <w14:textFill>
                  <w14:solidFill>
                    <w14:schemeClr w14:val="tx1"/>
                  </w14:solidFill>
                </w14:textFill>
              </w:rPr>
              <w:t>根据场址地形和现有道路，光伏场场内检修道路总长约105.5km，路面宽度为4m，进站道路6km与场外已有道路相连，直接进入管理站区内。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07" w:hRule="atLeast"/>
          <w:jc w:val="center"/>
        </w:trPr>
        <w:tc>
          <w:tcPr>
            <w:tcW w:w="704" w:type="dxa"/>
            <w:vAlign w:val="center"/>
          </w:tcPr>
          <w:p>
            <w:pPr>
              <w:pStyle w:val="31"/>
              <w:adjustRightInd w:val="0"/>
              <w:snapToGrid w:val="0"/>
              <w:spacing w:before="0" w:beforeAutospacing="0" w:after="0" w:afterAutospacing="0" w:line="240" w:lineRule="auto"/>
              <w:ind w:firstLine="0" w:firstLineChars="0"/>
              <w:jc w:val="center"/>
              <w:outlineLvl w:val="9"/>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总平面图及现场布置</w:t>
            </w:r>
          </w:p>
        </w:tc>
        <w:tc>
          <w:tcPr>
            <w:tcW w:w="8571" w:type="dxa"/>
            <w:vAlign w:val="center"/>
          </w:tcPr>
          <w:p>
            <w:pPr>
              <w:keepNext w:val="0"/>
              <w:keepLines w:val="0"/>
              <w:widowControl/>
              <w:numPr>
                <w:ilvl w:val="0"/>
                <w:numId w:val="3"/>
              </w:numPr>
              <w:suppressLineNumbers w:val="0"/>
              <w:ind w:left="0" w:leftChars="0" w:firstLine="480" w:firstLineChars="200"/>
              <w:jc w:val="both"/>
              <w:rPr>
                <w:rFonts w:hint="eastAsia"/>
                <w:lang w:val="en-US" w:eastAsia="zh-CN"/>
              </w:rPr>
            </w:pPr>
            <w:r>
              <w:rPr>
                <w:rFonts w:hint="eastAsia"/>
                <w:lang w:val="en-US" w:eastAsia="zh-CN"/>
              </w:rPr>
              <w:t>工程平面布置</w:t>
            </w:r>
          </w:p>
          <w:p>
            <w:pPr>
              <w:ind w:firstLine="480"/>
              <w:rPr>
                <w:rFonts w:hint="eastAsia"/>
                <w:lang w:val="en-US" w:eastAsia="zh-CN"/>
              </w:rPr>
            </w:pPr>
            <w:r>
              <w:t>本工程属于平地光伏，采用“分块发电，集中并网”的总体设计方案，终期建设光伏电站</w:t>
            </w:r>
            <w:r>
              <w:rPr>
                <w:rFonts w:hint="eastAsia"/>
                <w:lang w:val="en-US" w:eastAsia="zh-CN"/>
              </w:rPr>
              <w:t>1000MW</w:t>
            </w:r>
            <w:r>
              <w:t>。</w:t>
            </w:r>
            <w:r>
              <w:rPr>
                <w:rFonts w:hint="eastAsia"/>
                <w:lang w:val="en-US" w:eastAsia="zh-CN"/>
              </w:rPr>
              <w:t>常规</w:t>
            </w:r>
            <w:r>
              <w:t>光伏阵列分成</w:t>
            </w:r>
            <w:r>
              <w:rPr>
                <w:rFonts w:hint="eastAsia"/>
                <w:lang w:val="en-US" w:eastAsia="zh-CN"/>
              </w:rPr>
              <w:t>303</w:t>
            </w:r>
            <w:r>
              <w:t>个</w:t>
            </w:r>
            <w:r>
              <w:rPr>
                <w:rFonts w:hint="eastAsia"/>
                <w:lang w:val="en-US" w:eastAsia="zh-CN"/>
              </w:rPr>
              <w:t>子阵，其中160个</w:t>
            </w:r>
            <w:r>
              <w:t>3.125MW</w:t>
            </w:r>
            <w:r>
              <w:rPr>
                <w:rFonts w:hint="eastAsia"/>
                <w:lang w:val="en-US" w:eastAsia="zh-CN"/>
              </w:rPr>
              <w:t>集中式</w:t>
            </w:r>
            <w:r>
              <w:t>光伏子发电单元和</w:t>
            </w:r>
            <w:r>
              <w:rPr>
                <w:rFonts w:hint="eastAsia"/>
                <w:lang w:val="en-US" w:eastAsia="zh-CN"/>
              </w:rPr>
              <w:t>143</w:t>
            </w:r>
            <w:r>
              <w:t>个</w:t>
            </w:r>
            <w:r>
              <w:rPr>
                <w:rFonts w:hint="eastAsia"/>
                <w:lang w:val="en-US" w:eastAsia="zh-CN"/>
              </w:rPr>
              <w:t>3.3</w:t>
            </w:r>
            <w:r>
              <w:rPr>
                <w:rFonts w:hint="default"/>
              </w:rPr>
              <w:t>MW</w:t>
            </w:r>
            <w:r>
              <w:rPr>
                <w:rFonts w:hint="eastAsia"/>
                <w:lang w:val="en-US" w:eastAsia="zh-CN"/>
              </w:rPr>
              <w:t>组串式</w:t>
            </w:r>
            <w:r>
              <w:t>光伏子发电单元</w:t>
            </w:r>
            <w:r>
              <w:rPr>
                <w:rFonts w:hint="eastAsia"/>
                <w:lang w:val="en-US" w:eastAsia="zh-CN"/>
              </w:rPr>
              <w:t>，均采用N型575组件。示范方阵为1个10MW固定支架方阵，1个5MW固定支架方阵，一个5MW固定可调方阵，1个10MW平单轴方阵，组件均采用N型695组件。</w:t>
            </w:r>
            <w:r>
              <w:t>本工程</w:t>
            </w:r>
            <w:r>
              <w:rPr>
                <w:rFonts w:hint="eastAsia"/>
                <w:lang w:val="en-US" w:eastAsia="zh-CN"/>
              </w:rPr>
              <w:t>常规方阵区</w:t>
            </w:r>
            <w:r>
              <w:t>电池组串单元由26个组件一串，组件排布方案为</w:t>
            </w:r>
            <w:r>
              <w:rPr>
                <w:rFonts w:hint="eastAsia"/>
                <w:lang w:val="en-US" w:eastAsia="zh-CN"/>
              </w:rPr>
              <w:t>2×</w:t>
            </w:r>
            <w:r>
              <w:t>26</w:t>
            </w:r>
            <w:r>
              <w:rPr>
                <w:rFonts w:hint="eastAsia"/>
                <w:lang w:val="en-US" w:eastAsia="zh-CN"/>
              </w:rPr>
              <w:t>双</w:t>
            </w:r>
            <w:r>
              <w:t>排竖向固定支架形式，倾角</w:t>
            </w:r>
            <w:r>
              <w:rPr>
                <w:rFonts w:hint="eastAsia"/>
                <w:lang w:val="en-US" w:eastAsia="zh-CN"/>
              </w:rPr>
              <w:t>42</w:t>
            </w:r>
            <w:r>
              <w:t>度，前后排间距</w:t>
            </w:r>
            <w:r>
              <w:rPr>
                <w:rFonts w:hint="eastAsia"/>
                <w:lang w:val="en-US" w:eastAsia="zh-CN"/>
              </w:rPr>
              <w:t>16.5</w:t>
            </w:r>
            <w:r>
              <w:rPr>
                <w:rFonts w:hint="default"/>
              </w:rPr>
              <w:t>m</w:t>
            </w:r>
            <w:r>
              <w:t>。</w:t>
            </w:r>
            <w:r>
              <w:rPr>
                <w:rFonts w:hint="eastAsia"/>
                <w:lang w:val="en-US" w:eastAsia="zh-CN"/>
              </w:rPr>
              <w:t>示范方阵区电池组串单元由28个组件一串，固定支架以及固定可调组件排布方案为2×28双排竖向布置。</w:t>
            </w:r>
          </w:p>
          <w:p>
            <w:pPr>
              <w:keepNext w:val="0"/>
              <w:keepLines w:val="0"/>
              <w:widowControl/>
              <w:suppressLineNumbers w:val="0"/>
              <w:spacing w:line="360" w:lineRule="auto"/>
              <w:jc w:val="left"/>
            </w:pPr>
            <w:r>
              <w:rPr>
                <w:rFonts w:hint="eastAsia"/>
                <w:lang w:val="en-US" w:eastAsia="zh-CN"/>
              </w:rPr>
              <w:t>2.施工期平面布置</w:t>
            </w:r>
            <w:r>
              <w:rPr>
                <w:lang w:val="en-US" w:eastAsia="zh-CN"/>
              </w:rPr>
              <w:t xml:space="preserve"> </w:t>
            </w:r>
          </w:p>
          <w:p>
            <w:pPr>
              <w:keepNext w:val="0"/>
              <w:keepLines w:val="0"/>
              <w:widowControl/>
              <w:suppressLineNumbers w:val="0"/>
              <w:spacing w:line="360" w:lineRule="auto"/>
              <w:jc w:val="left"/>
              <w:rPr>
                <w:rFonts w:hint="eastAsia"/>
                <w:lang w:val="en-US" w:eastAsia="zh-CN"/>
              </w:rPr>
            </w:pPr>
            <w:r>
              <w:rPr>
                <w:rFonts w:hint="eastAsia"/>
                <w:lang w:val="en-US" w:eastAsia="zh-CN"/>
              </w:rPr>
              <w:t>2.1施工条件</w:t>
            </w:r>
          </w:p>
          <w:p>
            <w:pPr>
              <w:ind w:firstLine="480"/>
              <w:rPr>
                <w:rFonts w:hint="eastAsia"/>
              </w:rPr>
            </w:pPr>
            <w:r>
              <w:rPr>
                <w:rFonts w:hint="eastAsia"/>
              </w:rPr>
              <w:t>拟建站址根据现场踏勘、调查了解，拟建场址地貌单元较单一，场址区域内地貌单元为冲洪积扇中上部，地貌单元较为单一，多呈戈壁荒滩景观。场地地形较为开阔、起伏不大，地势大致由</w:t>
            </w:r>
            <w:r>
              <w:rPr>
                <w:rFonts w:hint="eastAsia"/>
                <w:lang w:val="en-US" w:eastAsia="zh-CN"/>
              </w:rPr>
              <w:t>北侧</w:t>
            </w:r>
            <w:r>
              <w:rPr>
                <w:rFonts w:hint="eastAsia"/>
              </w:rPr>
              <w:t>向</w:t>
            </w:r>
            <w:r>
              <w:rPr>
                <w:rFonts w:hint="eastAsia"/>
                <w:lang w:val="en-US" w:eastAsia="zh-CN"/>
              </w:rPr>
              <w:t>南</w:t>
            </w:r>
            <w:r>
              <w:rPr>
                <w:rFonts w:hint="eastAsia"/>
              </w:rPr>
              <w:t>倾斜</w:t>
            </w:r>
            <w:r>
              <w:rPr>
                <w:rFonts w:hint="eastAsia"/>
                <w:lang w:eastAsia="zh-CN"/>
              </w:rPr>
              <w:t>，</w:t>
            </w:r>
            <w:r>
              <w:rPr>
                <w:rFonts w:hint="eastAsia"/>
                <w:lang w:val="en-US" w:eastAsia="zh-CN"/>
              </w:rPr>
              <w:t>坡度约为1‰~2‰</w:t>
            </w:r>
            <w:r>
              <w:rPr>
                <w:rFonts w:hint="eastAsia"/>
              </w:rPr>
              <w:t>。</w:t>
            </w:r>
          </w:p>
          <w:p>
            <w:pPr>
              <w:keepNext w:val="0"/>
              <w:keepLines w:val="0"/>
              <w:widowControl/>
              <w:suppressLineNumbers w:val="0"/>
              <w:spacing w:line="360" w:lineRule="auto"/>
              <w:ind w:firstLine="480" w:firstLineChars="200"/>
              <w:jc w:val="left"/>
              <w:rPr>
                <w:rFonts w:hint="eastAsia"/>
                <w:lang w:val="en-US" w:eastAsia="zh-CN"/>
              </w:rPr>
            </w:pPr>
            <w:r>
              <w:rPr>
                <w:rFonts w:hint="eastAsia"/>
                <w:lang w:val="en-US" w:eastAsia="zh-CN"/>
              </w:rPr>
              <w:t>主要建筑物材料来源充足，项目所需钢材可从奇台县城购买，通过公路运至施工现场，生活及小型生产物资，其它建筑材料(木材、油料)等可在周边乡镇购买。</w:t>
            </w:r>
          </w:p>
          <w:p>
            <w:pPr>
              <w:keepNext w:val="0"/>
              <w:keepLines w:val="0"/>
              <w:widowControl/>
              <w:suppressLineNumbers w:val="0"/>
              <w:spacing w:line="360" w:lineRule="auto"/>
              <w:jc w:val="left"/>
              <w:rPr>
                <w:rFonts w:hint="eastAsia"/>
                <w:lang w:val="en-US" w:eastAsia="zh-CN"/>
              </w:rPr>
            </w:pPr>
            <w:r>
              <w:rPr>
                <w:rFonts w:hint="eastAsia"/>
                <w:lang w:val="en-US" w:eastAsia="zh-CN"/>
              </w:rPr>
              <w:t>2.2施工布置</w:t>
            </w:r>
          </w:p>
          <w:p>
            <w:pPr>
              <w:ind w:firstLine="480"/>
            </w:pPr>
            <w:r>
              <w:t>施工总布置遵循因地制宜，利于生产、生活，方便管理，安全可靠、经济适用的原则；充分考虑太阳能光伏电站的建设特点；根据工程区域地质条件、气象条件及施工条件，统筹规划，尽量节约用地，合理布置施工临时设施，尽可能实现永临结合；结合当地的条件，合理布置施工供水与施工供电；施工期间施工布置必须符合环保要求，尽量避免环境污染。</w:t>
            </w:r>
            <w:r>
              <w:rPr>
                <w:rFonts w:hint="eastAsia"/>
                <w:lang w:eastAsia="zh-CN"/>
              </w:rPr>
              <w:t>满足</w:t>
            </w:r>
            <w:r>
              <w:t>建设工程施工现场消防安全技术规范》相关防火要求。</w:t>
            </w:r>
          </w:p>
          <w:p>
            <w:pPr>
              <w:spacing w:beforeLines="0" w:afterLines="0"/>
              <w:ind w:firstLine="480"/>
              <w:rPr>
                <w:rFonts w:hint="eastAsia"/>
              </w:rPr>
            </w:pPr>
            <w:bookmarkStart w:id="35" w:name="_Toc307311710"/>
            <w:r>
              <w:rPr>
                <w:rFonts w:hint="eastAsia"/>
              </w:rPr>
              <w:t>根据主体工程布置、地形及施工的特点，</w:t>
            </w:r>
            <w:bookmarkEnd w:id="35"/>
            <w:r>
              <w:rPr>
                <w:rFonts w:hint="eastAsia"/>
              </w:rPr>
              <w:t>初步拟定在场址相对平缓的区域分区布置施工临时设施场地，包括生活区、综合仓库、综合加工厂、施工机械停放场等设施。</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0000FF"/>
                <w:sz w:val="24"/>
                <w:szCs w:val="24"/>
                <w:highlight w:val="none"/>
                <w:lang w:val="en-US" w:eastAsia="zh-CN"/>
              </w:rPr>
            </w:pPr>
            <w:r>
              <w:rPr>
                <w:rFonts w:hint="eastAsia" w:cs="Times New Roman"/>
                <w:bCs/>
                <w:color w:val="0000FF"/>
                <w:sz w:val="24"/>
                <w:szCs w:val="24"/>
                <w:highlight w:val="none"/>
                <w:lang w:val="en-US" w:eastAsia="zh-CN"/>
              </w:rPr>
              <w:t>2.3</w:t>
            </w:r>
            <w:r>
              <w:rPr>
                <w:rFonts w:hint="eastAsia" w:ascii="Times New Roman" w:hAnsi="Times New Roman" w:eastAsia="宋体" w:cs="Times New Roman"/>
                <w:bCs/>
                <w:color w:val="0000FF"/>
                <w:sz w:val="24"/>
                <w:szCs w:val="24"/>
                <w:highlight w:val="none"/>
                <w:lang w:val="en-US" w:eastAsia="zh-CN"/>
              </w:rPr>
              <w:t>施工土石方</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0000FF"/>
                <w:sz w:val="24"/>
                <w:szCs w:val="24"/>
                <w:highlight w:val="none"/>
                <w:lang w:val="en-US" w:eastAsia="zh-CN"/>
              </w:rPr>
            </w:pPr>
            <w:r>
              <w:rPr>
                <w:rFonts w:hint="eastAsia" w:ascii="Times New Roman" w:hAnsi="Times New Roman" w:eastAsia="宋体" w:cs="Times New Roman"/>
                <w:bCs/>
                <w:color w:val="0000FF"/>
                <w:sz w:val="24"/>
                <w:szCs w:val="24"/>
                <w:highlight w:val="none"/>
                <w:lang w:val="en-US" w:eastAsia="zh-CN"/>
              </w:rPr>
              <w:t>施工期土石方开挖量约</w:t>
            </w:r>
            <w:r>
              <w:rPr>
                <w:rFonts w:hint="eastAsia" w:cs="Times New Roman"/>
                <w:bCs/>
                <w:color w:val="0000FF"/>
                <w:sz w:val="24"/>
                <w:szCs w:val="24"/>
                <w:highlight w:val="none"/>
                <w:lang w:val="en-US" w:eastAsia="zh-CN"/>
              </w:rPr>
              <w:t>10.23</w:t>
            </w:r>
            <w:r>
              <w:rPr>
                <w:rFonts w:hint="eastAsia" w:ascii="Times New Roman" w:hAnsi="Times New Roman" w:eastAsia="宋体" w:cs="Times New Roman"/>
                <w:bCs/>
                <w:color w:val="0000FF"/>
                <w:sz w:val="24"/>
                <w:szCs w:val="24"/>
                <w:highlight w:val="none"/>
                <w:lang w:val="en-US" w:eastAsia="zh-CN"/>
              </w:rPr>
              <w:t>万m</w:t>
            </w:r>
            <w:r>
              <w:rPr>
                <w:rFonts w:hint="eastAsia" w:ascii="Times New Roman" w:hAnsi="Times New Roman" w:eastAsia="宋体" w:cs="Times New Roman"/>
                <w:bCs/>
                <w:color w:val="0000FF"/>
                <w:sz w:val="24"/>
                <w:szCs w:val="24"/>
                <w:highlight w:val="none"/>
                <w:vertAlign w:val="superscript"/>
                <w:lang w:val="en-US" w:eastAsia="zh-CN"/>
              </w:rPr>
              <w:t>3</w:t>
            </w:r>
            <w:r>
              <w:rPr>
                <w:rFonts w:hint="eastAsia" w:ascii="Times New Roman" w:hAnsi="Times New Roman" w:eastAsia="宋体" w:cs="Times New Roman"/>
                <w:bCs/>
                <w:color w:val="0000FF"/>
                <w:sz w:val="24"/>
                <w:szCs w:val="24"/>
                <w:highlight w:val="none"/>
                <w:lang w:val="en-US" w:eastAsia="zh-CN"/>
              </w:rPr>
              <w:t>，土石方回填量约</w:t>
            </w:r>
            <w:r>
              <w:rPr>
                <w:rFonts w:hint="eastAsia" w:cs="Times New Roman"/>
                <w:bCs/>
                <w:color w:val="0000FF"/>
                <w:sz w:val="24"/>
                <w:szCs w:val="24"/>
                <w:highlight w:val="none"/>
                <w:lang w:val="en-US" w:eastAsia="zh-CN"/>
              </w:rPr>
              <w:t>8.54</w:t>
            </w:r>
            <w:r>
              <w:rPr>
                <w:rFonts w:hint="eastAsia" w:ascii="Times New Roman" w:hAnsi="Times New Roman" w:eastAsia="宋体" w:cs="Times New Roman"/>
                <w:bCs/>
                <w:color w:val="0000FF"/>
                <w:sz w:val="24"/>
                <w:szCs w:val="24"/>
                <w:highlight w:val="none"/>
                <w:lang w:val="en-US" w:eastAsia="zh-CN"/>
              </w:rPr>
              <w:t>万m</w:t>
            </w:r>
            <w:r>
              <w:rPr>
                <w:rFonts w:hint="eastAsia" w:ascii="Times New Roman" w:hAnsi="Times New Roman" w:eastAsia="宋体" w:cs="Times New Roman"/>
                <w:bCs/>
                <w:color w:val="0000FF"/>
                <w:sz w:val="24"/>
                <w:szCs w:val="24"/>
                <w:highlight w:val="none"/>
                <w:vertAlign w:val="superscript"/>
                <w:lang w:val="en-US" w:eastAsia="zh-CN"/>
              </w:rPr>
              <w:t>3</w:t>
            </w:r>
            <w:r>
              <w:rPr>
                <w:rFonts w:hint="eastAsia" w:ascii="Times New Roman" w:hAnsi="Times New Roman" w:eastAsia="宋体" w:cs="Times New Roman"/>
                <w:bCs/>
                <w:color w:val="0000FF"/>
                <w:sz w:val="24"/>
                <w:szCs w:val="24"/>
                <w:highlight w:val="none"/>
                <w:lang w:val="en-US" w:eastAsia="zh-CN"/>
              </w:rPr>
              <w:t>，余方1</w:t>
            </w:r>
            <w:r>
              <w:rPr>
                <w:rFonts w:hint="eastAsia" w:cs="Times New Roman"/>
                <w:bCs/>
                <w:color w:val="0000FF"/>
                <w:sz w:val="24"/>
                <w:szCs w:val="24"/>
                <w:highlight w:val="none"/>
                <w:lang w:val="en-US" w:eastAsia="zh-CN"/>
              </w:rPr>
              <w:t>.69</w:t>
            </w:r>
            <w:r>
              <w:rPr>
                <w:rFonts w:hint="eastAsia" w:ascii="Times New Roman" w:hAnsi="Times New Roman" w:eastAsia="宋体" w:cs="Times New Roman"/>
                <w:bCs/>
                <w:color w:val="0000FF"/>
                <w:sz w:val="24"/>
                <w:szCs w:val="24"/>
                <w:highlight w:val="none"/>
                <w:lang w:val="en-US" w:eastAsia="zh-CN"/>
              </w:rPr>
              <w:t>万m</w:t>
            </w:r>
            <w:r>
              <w:rPr>
                <w:rFonts w:hint="eastAsia" w:ascii="Times New Roman" w:hAnsi="Times New Roman" w:eastAsia="宋体" w:cs="Times New Roman"/>
                <w:bCs/>
                <w:color w:val="0000FF"/>
                <w:sz w:val="24"/>
                <w:szCs w:val="24"/>
                <w:highlight w:val="none"/>
                <w:vertAlign w:val="superscript"/>
                <w:lang w:val="en-US" w:eastAsia="zh-CN"/>
              </w:rPr>
              <w:t>3</w:t>
            </w:r>
            <w:r>
              <w:rPr>
                <w:rFonts w:hint="eastAsia" w:ascii="Times New Roman" w:hAnsi="Times New Roman" w:eastAsia="宋体" w:cs="Times New Roman"/>
                <w:bCs/>
                <w:color w:val="0000FF"/>
                <w:sz w:val="24"/>
                <w:szCs w:val="24"/>
                <w:highlight w:val="none"/>
                <w:lang w:val="en-US" w:eastAsia="zh-CN"/>
              </w:rPr>
              <w:t>，剩余土石方作为道路和场区附近低洼地段的填土，无弃方。</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lang w:val="en-US" w:eastAsia="zh-CN"/>
              </w:rPr>
            </w:pPr>
            <w:r>
              <w:rPr>
                <w:rFonts w:hint="eastAsia" w:ascii="Times New Roman" w:hAnsi="Times New Roman" w:eastAsia="宋体" w:cs="Times New Roman"/>
                <w:color w:val="0000FF"/>
                <w:kern w:val="0"/>
                <w:sz w:val="24"/>
                <w:szCs w:val="24"/>
                <w:lang w:val="en-US" w:eastAsia="zh-CN" w:bidi="ar"/>
              </w:rPr>
              <w:t>本项目土石方开挖量主要来源为场区道路开挖、机组基础等开挖。</w:t>
            </w:r>
            <w:r>
              <w:rPr>
                <w:rFonts w:hint="default" w:ascii="Times New Roman" w:hAnsi="Times New Roman" w:eastAsia="宋体" w:cs="Times New Roman"/>
                <w:color w:val="0000FF"/>
                <w:kern w:val="0"/>
                <w:sz w:val="24"/>
                <w:szCs w:val="24"/>
                <w:lang w:val="en-US" w:eastAsia="zh-CN" w:bidi="ar"/>
              </w:rPr>
              <w:t>在厂区内道路运输时，应挖高填低，减少土石方的开挖量；并将沿路各类施工弃土充分利用，以减少施工结束时场地平整的土方量，避免修路大量挖土；施工较多剩余土方未利用，需就地</w:t>
            </w:r>
            <w:r>
              <w:rPr>
                <w:rFonts w:hint="eastAsia" w:ascii="Times New Roman" w:hAnsi="Times New Roman" w:eastAsia="宋体" w:cs="Times New Roman"/>
                <w:color w:val="0000FF"/>
                <w:kern w:val="0"/>
                <w:sz w:val="24"/>
                <w:szCs w:val="24"/>
                <w:lang w:val="en-US" w:eastAsia="zh-CN" w:bidi="ar"/>
              </w:rPr>
              <w:t>平整对局部地貌的覆盖，堆渣形成后必须及时采取平整，并将临时堆放的弃土表面拍实。从而减少因施工对局部原生地貌的破坏。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29" w:hRule="atLeast"/>
          <w:jc w:val="center"/>
        </w:trPr>
        <w:tc>
          <w:tcPr>
            <w:tcW w:w="704" w:type="dxa"/>
            <w:vAlign w:val="center"/>
          </w:tcPr>
          <w:p>
            <w:pPr>
              <w:pStyle w:val="31"/>
              <w:adjustRightInd w:val="0"/>
              <w:snapToGrid w:val="0"/>
              <w:spacing w:before="0" w:beforeAutospacing="0" w:after="0" w:afterAutospacing="0" w:line="240" w:lineRule="auto"/>
              <w:ind w:firstLine="0" w:firstLineChars="0"/>
              <w:jc w:val="center"/>
              <w:outlineLvl w:val="9"/>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施工方案</w:t>
            </w:r>
          </w:p>
        </w:tc>
        <w:tc>
          <w:tcPr>
            <w:tcW w:w="8571" w:type="dxa"/>
            <w:vAlign w:val="center"/>
          </w:tcPr>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1、光伏区施工流程：施工准备→支架基础施工→支架安装→组件安装→电气仪表设备安装→电缆敷设→系统运行调试。</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（1）施工准备</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确保区内进场道路通畅，安装支架及组件运至相应的阵列基础位置。施工单位应派专人监护，采取必要的保护措施，防止光伏组件损坏。</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（2）支架基础施工</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支架基础为成品预应力管桩，采用静压式施工。在施工前，严格按照设计对管桩布置位置进行桩位控制，采用木桩定出桩位，保证桩位准确。在管桩采取压入式施工时，要随时检查管桩在压入施工时的垂直度和稳定性，保证施工质量。</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（3）支架安装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支架全部采用厂家定型产品，人工现场拼装，汽车吊辅助。支架的安装方式采用檩条横向布置、支撑斜梁纵向布置方案，可调支架立柱与预应力管桩基础顶面采用焊接连接。</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（4）组件安装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组件安装工艺要注意在安装过程中对组件进行必要的保护措施，避免在搬运、固定过程中对组件造成隐性损伤。安装时，需细心打开组件包装，认真检查光伏组件的规格和型号，仔细检查光伏组件外观是否完好。禁止单片组件叠摞，轻拿轻放防止表面划伤，用螺栓紧固至支架上后调整水平，拧紧螺栓。组件接线时应注意勿将正负极接反，保证接线正确。每串电池组件连接完毕后，应检查电池组件串开路电压是否正确，连接无误后断开一块电池组件的接线，保证后续工序的安全操作。为了防止太阳能电池组件串触电事故的发生，应采取以下措施：施工作业时，在太阳能电池组件表面铺遮光板，遮住太阳光；带好低压绝缘手套；使用已有绝缘处理的工具。</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（5）电气仪表设备安装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①集中逆变升压一体机安装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集中逆变升压一体机安装应按照安装装配图、安装使用说明书中的有关规定进行安装。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②防雷接地安装</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为了使集中逆变升压一体机、太阳能电池阵列支架等设施在受到直击雷和感应雷的雷击时能有可靠的保护，需将集中逆变升压一体机金属外壳与光伏发电站接地网相连，支架也应与接地网贯通。</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（6）电缆敷设</w:t>
            </w:r>
          </w:p>
          <w:p>
            <w:pPr>
              <w:keepNext w:val="0"/>
              <w:keepLines w:val="0"/>
              <w:widowControl/>
              <w:suppressLineNumbers w:val="0"/>
              <w:spacing w:line="360" w:lineRule="auto"/>
              <w:ind w:firstLine="480" w:firstLineChars="200"/>
              <w:jc w:val="lef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本工程场内电缆均为直埋敷设，敷设于冻土层以下，上覆砂土或软土，并设置电缆保护盖板及黄色警示带后，用回填土夯实恢复至原地面。电缆最小弯曲半径应≥15~20倍的电缆外径。</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（7）系统运行调试</w:t>
            </w:r>
          </w:p>
          <w:p>
            <w:pPr>
              <w:keepNext w:val="0"/>
              <w:keepLines w:val="0"/>
              <w:widowControl/>
              <w:suppressLineNumbers w:val="0"/>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系统运行前调试主要包括：接地电阻值的检测、线路绝缘电阻的检测、逆变器的性能测试、箱式变压器的检测、方阵输出电压的检测等。</w:t>
            </w: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项目施工流程及主要</w:t>
            </w:r>
            <w:r>
              <w:rPr>
                <w:rFonts w:hint="eastAsia"/>
                <w:color w:val="000000" w:themeColor="text1"/>
                <w:lang w:val="en-US" w:eastAsia="zh-CN"/>
                <w14:textFill>
                  <w14:solidFill>
                    <w14:schemeClr w14:val="tx1"/>
                  </w14:solidFill>
                </w14:textFill>
              </w:rPr>
              <w:t>产污环节</w:t>
            </w:r>
            <w:r>
              <w:rPr>
                <w:rFonts w:hint="default"/>
                <w:color w:val="000000" w:themeColor="text1"/>
                <w:lang w:val="en-US" w:eastAsia="zh-CN"/>
                <w14:textFill>
                  <w14:solidFill>
                    <w14:schemeClr w14:val="tx1"/>
                  </w14:solidFill>
                </w14:textFill>
              </w:rPr>
              <w:t>产生见下图 。</w:t>
            </w: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fldChar w:fldCharType="begin"/>
            </w:r>
            <w:r>
              <w:rPr>
                <w:rFonts w:hint="default"/>
                <w:color w:val="000000" w:themeColor="text1"/>
                <w14:textFill>
                  <w14:solidFill>
                    <w14:schemeClr w14:val="tx1"/>
                  </w14:solidFill>
                </w14:textFill>
              </w:rPr>
              <w:instrText xml:space="preserve"> INCLUDEPICTURE "D:\\用户目录\\我的文档\\tencent files\\ADMINI~1\\AppData\\Local\\Temp\\ksohtml\\wps7802.tmp.png" \* MERGEFORMAT </w:instrText>
            </w:r>
            <w:r>
              <w:rPr>
                <w:rFonts w:hint="default"/>
                <w:color w:val="000000" w:themeColor="text1"/>
                <w14:textFill>
                  <w14:solidFill>
                    <w14:schemeClr w14:val="tx1"/>
                  </w14:solidFill>
                </w14:textFill>
              </w:rPr>
              <w:fldChar w:fldCharType="separate"/>
            </w:r>
            <w:r>
              <w:rPr>
                <w:rFonts w:hint="default"/>
                <w:color w:val="000000" w:themeColor="text1"/>
                <w14:textFill>
                  <w14:solidFill>
                    <w14:schemeClr w14:val="tx1"/>
                  </w14:solidFill>
                </w14:textFill>
              </w:rPr>
              <w:drawing>
                <wp:inline distT="0" distB="0" distL="114300" distR="114300">
                  <wp:extent cx="4955540" cy="1708150"/>
                  <wp:effectExtent l="0" t="0" r="12700" b="13970"/>
                  <wp:docPr id="13" name="图片 2" descr="wps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wps7802"/>
                          <pic:cNvPicPr>
                            <a:picLocks noChangeAspect="1"/>
                          </pic:cNvPicPr>
                        </pic:nvPicPr>
                        <pic:blipFill>
                          <a:blip r:embed="rId19"/>
                          <a:stretch>
                            <a:fillRect/>
                          </a:stretch>
                        </pic:blipFill>
                        <pic:spPr>
                          <a:xfrm>
                            <a:off x="0" y="0"/>
                            <a:ext cx="4955540" cy="1708150"/>
                          </a:xfrm>
                          <a:prstGeom prst="rect">
                            <a:avLst/>
                          </a:prstGeom>
                          <a:noFill/>
                          <a:ln w="9525">
                            <a:noFill/>
                          </a:ln>
                        </pic:spPr>
                      </pic:pic>
                    </a:graphicData>
                  </a:graphic>
                </wp:inline>
              </w:drawing>
            </w:r>
            <w:r>
              <w:rPr>
                <w:rFonts w:hint="default"/>
                <w:color w:val="000000" w:themeColor="text1"/>
                <w14:textFill>
                  <w14:solidFill>
                    <w14:schemeClr w14:val="tx1"/>
                  </w14:solidFill>
                </w14:textFill>
              </w:rPr>
              <w:fldChar w:fldCharType="end"/>
            </w: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p>
          <w:p>
            <w:pPr>
              <w:pStyle w:val="113"/>
              <w:numPr>
                <w:ilvl w:val="0"/>
                <w:numId w:val="0"/>
              </w:numPr>
              <w:bidi w:val="0"/>
              <w:ind w:leftChars="0" w:right="0" w:rightChars="0" w:firstLine="420" w:firstLineChars="200"/>
              <w:rPr>
                <w:rFonts w:hint="default"/>
                <w:color w:val="000000" w:themeColor="text1"/>
                <w:lang w:val="en-US" w:eastAsia="zh-CN"/>
                <w14:textFill>
                  <w14:solidFill>
                    <w14:schemeClr w14:val="tx1"/>
                  </w14:solidFill>
                </w14:textFill>
              </w:rPr>
            </w:pPr>
          </w:p>
          <w:p>
            <w:pPr>
              <w:ind w:left="0" w:leftChars="0" w:firstLine="0" w:firstLineChars="0"/>
              <w:rPr>
                <w:rFonts w:hint="default"/>
                <w:color w:val="000000" w:themeColor="text1"/>
                <w:lang w:val="en-US" w:eastAsia="zh-CN"/>
                <w14:textFill>
                  <w14:solidFill>
                    <w14:schemeClr w14:val="tx1"/>
                  </w14:solidFill>
                </w14:textFill>
              </w:rPr>
            </w:pPr>
          </w:p>
          <w:p>
            <w:pPr>
              <w:pStyle w:val="24"/>
              <w:rPr>
                <w:rFonts w:hint="default"/>
                <w:color w:val="000000" w:themeColor="text1"/>
                <w:lang w:val="en-US" w:eastAsia="zh-CN"/>
                <w14:textFill>
                  <w14:solidFill>
                    <w14:schemeClr w14:val="tx1"/>
                  </w14:solidFill>
                </w14:textFill>
              </w:rPr>
            </w:pPr>
          </w:p>
          <w:p>
            <w:pPr>
              <w:ind w:left="0" w:leftChars="0" w:firstLine="0" w:firstLineChars="0"/>
              <w:rPr>
                <w:rFonts w:hint="default"/>
                <w:color w:val="000000" w:themeColor="text1"/>
                <w:lang w:val="en-US" w:eastAsia="zh-CN"/>
                <w14:textFill>
                  <w14:solidFill>
                    <w14:schemeClr w14:val="tx1"/>
                  </w14:solidFill>
                </w14:textFill>
              </w:rPr>
            </w:pPr>
          </w:p>
          <w:p>
            <w:pPr>
              <w:pStyle w:val="24"/>
              <w:rPr>
                <w:rFonts w:hint="default"/>
                <w:color w:val="000000" w:themeColor="text1"/>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83" w:hRule="atLeast"/>
          <w:jc w:val="center"/>
        </w:trPr>
        <w:tc>
          <w:tcPr>
            <w:tcW w:w="704" w:type="dxa"/>
            <w:vAlign w:val="center"/>
          </w:tcPr>
          <w:p>
            <w:pPr>
              <w:pStyle w:val="31"/>
              <w:adjustRightInd w:val="0"/>
              <w:snapToGrid w:val="0"/>
              <w:spacing w:before="0" w:beforeAutospacing="0" w:after="0" w:afterAutospacing="0" w:line="240" w:lineRule="auto"/>
              <w:ind w:firstLine="0" w:firstLineChars="0"/>
              <w:jc w:val="center"/>
              <w:outlineLvl w:val="9"/>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其他</w:t>
            </w:r>
          </w:p>
        </w:tc>
        <w:tc>
          <w:tcPr>
            <w:tcW w:w="8571" w:type="dxa"/>
            <w:vAlign w:val="center"/>
          </w:tcPr>
          <w:p>
            <w:pPr>
              <w:keepNext w:val="0"/>
              <w:keepLines w:val="0"/>
              <w:pageBreakBefore w:val="0"/>
              <w:widowControl/>
              <w:suppressLineNumbers w:val="0"/>
              <w:kinsoku/>
              <w:wordWrap/>
              <w:overflowPunct/>
              <w:topLinePunct w:val="0"/>
              <w:autoSpaceDE/>
              <w:autoSpaceDN/>
              <w:bidi w:val="0"/>
              <w:adjustRightInd/>
              <w:snapToGrid/>
              <w:spacing w:before="157" w:beforeLines="50"/>
              <w:ind w:left="0" w:leftChars="0" w:firstLine="0" w:firstLineChars="0"/>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无</w:t>
            </w:r>
          </w:p>
        </w:tc>
      </w:tr>
    </w:tbl>
    <w:p>
      <w:pPr>
        <w:pStyle w:val="31"/>
        <w:ind w:firstLine="720"/>
        <w:jc w:val="center"/>
        <w:rPr>
          <w:rFonts w:hint="default" w:ascii="Times New Roman" w:hAnsi="Times New Roman" w:eastAsia="宋体" w:cs="Times New Roman"/>
          <w:snapToGrid w:val="0"/>
          <w:color w:val="000000" w:themeColor="text1"/>
          <w:sz w:val="36"/>
          <w:szCs w:val="36"/>
          <w:highlight w:val="yellow"/>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1"/>
        <w:adjustRightInd w:val="0"/>
        <w:snapToGrid w:val="0"/>
        <w:spacing w:before="0" w:beforeAutospacing="0" w:after="0" w:afterAutospacing="0" w:line="14" w:lineRule="auto"/>
        <w:ind w:firstLine="600"/>
        <w:jc w:val="center"/>
        <w:rPr>
          <w:rFonts w:hint="default" w:ascii="Times New Roman" w:hAnsi="Times New Roman" w:eastAsia="宋体" w:cs="Times New Roman"/>
          <w:snapToGrid w:val="0"/>
          <w:color w:val="000000" w:themeColor="text1"/>
          <w:sz w:val="30"/>
          <w:szCs w:val="30"/>
          <w:highlight w:val="yellow"/>
          <w14:textFill>
            <w14:solidFill>
              <w14:schemeClr w14:val="tx1"/>
            </w14:solidFill>
          </w14:textFill>
        </w:rPr>
      </w:pPr>
    </w:p>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eastAsia" w:ascii="黑体" w:hAnsi="黑体" w:eastAsia="黑体" w:cs="黑体"/>
          <w:b w:val="0"/>
          <w:bCs w:val="0"/>
          <w:snapToGrid w:val="0"/>
          <w:color w:val="000000" w:themeColor="text1"/>
          <w:sz w:val="30"/>
          <w:szCs w:val="30"/>
          <w:highlight w:val="none"/>
          <w14:textFill>
            <w14:solidFill>
              <w14:schemeClr w14:val="tx1"/>
            </w14:solidFill>
          </w14:textFill>
        </w:rPr>
      </w:pPr>
      <w:bookmarkStart w:id="36" w:name="_Toc2605"/>
      <w:bookmarkStart w:id="37" w:name="_Toc24861"/>
      <w:bookmarkStart w:id="38" w:name="_Toc10847"/>
      <w:bookmarkStart w:id="39" w:name="_Toc14406"/>
      <w:bookmarkStart w:id="40" w:name="_Toc3685"/>
      <w:bookmarkStart w:id="41" w:name="_Toc10812"/>
      <w:bookmarkStart w:id="42" w:name="_Toc14066"/>
      <w:bookmarkStart w:id="43" w:name="_Toc2475"/>
      <w:r>
        <w:rPr>
          <w:rFonts w:hint="eastAsia" w:ascii="黑体" w:hAnsi="黑体" w:eastAsia="黑体" w:cs="黑体"/>
          <w:b w:val="0"/>
          <w:bCs w:val="0"/>
          <w:snapToGrid w:val="0"/>
          <w:color w:val="000000" w:themeColor="text1"/>
          <w:sz w:val="30"/>
          <w:szCs w:val="30"/>
          <w:highlight w:val="none"/>
          <w14:textFill>
            <w14:solidFill>
              <w14:schemeClr w14:val="tx1"/>
            </w14:solidFill>
          </w14:textFill>
        </w:rPr>
        <w:t>三、生态环境现状、保护目标及评价标准</w:t>
      </w:r>
      <w:bookmarkEnd w:id="36"/>
      <w:bookmarkEnd w:id="37"/>
      <w:bookmarkEnd w:id="38"/>
      <w:bookmarkEnd w:id="39"/>
      <w:bookmarkEnd w:id="40"/>
      <w:bookmarkEnd w:id="41"/>
      <w:bookmarkEnd w:id="42"/>
      <w:bookmarkEnd w:id="43"/>
    </w:p>
    <w:tbl>
      <w:tblPr>
        <w:tblStyle w:val="35"/>
        <w:tblW w:w="9217"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0"/>
        <w:gridCol w:w="84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066" w:hRule="atLeast"/>
          <w:jc w:val="center"/>
        </w:trPr>
        <w:tc>
          <w:tcPr>
            <w:tcW w:w="750" w:type="dxa"/>
            <w:vAlign w:val="center"/>
          </w:tcPr>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生态环境现状</w:t>
            </w:r>
          </w:p>
        </w:tc>
        <w:tc>
          <w:tcPr>
            <w:tcW w:w="8467" w:type="dxa"/>
            <w:vAlign w:val="center"/>
          </w:tcPr>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firstLine="0" w:firstLineChars="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1、生态环境现状</w:t>
            </w:r>
          </w:p>
          <w:p>
            <w:pPr>
              <w:adjustRightInd w:val="0"/>
              <w:snapToGrid w:val="0"/>
              <w:ind w:firstLine="482" w:firstLineChars="200"/>
              <w:rPr>
                <w:rFonts w:hint="default" w:ascii="Times New Roman" w:hAnsi="Times New Roman" w:eastAsia="宋体" w:cs="Times New Roman"/>
                <w:b/>
                <w:bCs/>
                <w:color w:val="000000" w:themeColor="text1"/>
                <w:kern w:val="0"/>
                <w14:textFill>
                  <w14:solidFill>
                    <w14:schemeClr w14:val="tx1"/>
                  </w14:solidFill>
                </w14:textFill>
              </w:rPr>
            </w:pPr>
            <w:r>
              <w:rPr>
                <w:rFonts w:hint="default" w:ascii="Times New Roman" w:hAnsi="Times New Roman" w:eastAsia="宋体" w:cs="Times New Roman"/>
                <w:b/>
                <w:bCs/>
                <w:color w:val="000000" w:themeColor="text1"/>
                <w:kern w:val="0"/>
                <w14:textFill>
                  <w14:solidFill>
                    <w14:schemeClr w14:val="tx1"/>
                  </w14:solidFill>
                </w14:textFill>
              </w:rPr>
              <w:t>1</w:t>
            </w:r>
            <w:r>
              <w:rPr>
                <w:rFonts w:hint="default" w:ascii="Times New Roman" w:hAnsi="Times New Roman" w:eastAsia="宋体" w:cs="Times New Roman"/>
                <w:b/>
                <w:bCs/>
                <w:color w:val="000000" w:themeColor="text1"/>
                <w:kern w:val="0"/>
                <w:lang w:val="en-US" w:eastAsia="zh-CN"/>
                <w14:textFill>
                  <w14:solidFill>
                    <w14:schemeClr w14:val="tx1"/>
                  </w14:solidFill>
                </w14:textFill>
              </w:rPr>
              <w:t xml:space="preserve">.1 </w:t>
            </w:r>
            <w:r>
              <w:rPr>
                <w:rFonts w:hint="default" w:ascii="Times New Roman" w:hAnsi="Times New Roman" w:eastAsia="宋体" w:cs="Times New Roman"/>
                <w:b/>
                <w:bCs/>
                <w:color w:val="000000" w:themeColor="text1"/>
                <w:kern w:val="0"/>
                <w14:textFill>
                  <w14:solidFill>
                    <w14:schemeClr w14:val="tx1"/>
                  </w14:solidFill>
                </w14:textFill>
              </w:rPr>
              <w:t>新疆维吾尔自治区主体功能区规划情况</w:t>
            </w:r>
          </w:p>
          <w:p>
            <w:pPr>
              <w:adjustRightInd w:val="0"/>
              <w:snapToGrid w:val="0"/>
              <w:ind w:firstLine="480" w:firstLineChars="200"/>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根据《新疆维吾尔自治区主体功能区规划》，主体功能区按开发方式，分为优化开发区域、重点开发区域、限制开发区域和禁止开发区域四类；按开发内容，分为城市化地区、农产品主产区和重点生态功能区三类；按层级，分为国家和省级两个层面。</w:t>
            </w:r>
          </w:p>
          <w:p>
            <w:pPr>
              <w:adjustRightInd w:val="0"/>
              <w:snapToGrid w:val="0"/>
              <w:ind w:firstLine="480" w:firstLineChars="200"/>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14:textFill>
                  <w14:solidFill>
                    <w14:schemeClr w14:val="tx1"/>
                  </w14:solidFill>
                </w14:textFill>
              </w:rPr>
              <w:t>本</w:t>
            </w:r>
            <w:r>
              <w:rPr>
                <w:rFonts w:hint="default" w:ascii="Times New Roman" w:hAnsi="Times New Roman" w:cs="Times New Roman"/>
                <w:color w:val="000000" w:themeColor="text1"/>
                <w:kern w:val="0"/>
                <w:lang w:val="en-US" w:eastAsia="zh-CN"/>
                <w14:textFill>
                  <w14:solidFill>
                    <w14:schemeClr w14:val="tx1"/>
                  </w14:solidFill>
                </w14:textFill>
              </w:rPr>
              <w:t>工程行政区划隶属于</w:t>
            </w:r>
            <w:r>
              <w:rPr>
                <w:rFonts w:hint="eastAsia" w:cs="Times New Roman"/>
                <w:color w:val="000000" w:themeColor="text1"/>
                <w:kern w:val="0"/>
                <w:lang w:val="en-US" w:eastAsia="zh-CN"/>
                <w14:textFill>
                  <w14:solidFill>
                    <w14:schemeClr w14:val="tx1"/>
                  </w14:solidFill>
                </w14:textFill>
              </w:rPr>
              <w:t>奇台县</w:t>
            </w:r>
            <w:r>
              <w:rPr>
                <w:rFonts w:hint="default" w:ascii="Times New Roman" w:hAnsi="Times New Roman" w:eastAsia="宋体" w:cs="Times New Roman"/>
                <w:color w:val="000000" w:themeColor="text1"/>
                <w:kern w:val="0"/>
                <w14:textFill>
                  <w14:solidFill>
                    <w14:schemeClr w14:val="tx1"/>
                  </w14:solidFill>
                </w14:textFill>
              </w:rPr>
              <w:t>，属于</w:t>
            </w:r>
            <w:r>
              <w:rPr>
                <w:rFonts w:hint="default" w:ascii="Times New Roman" w:hAnsi="Times New Roman" w:cs="Times New Roman"/>
                <w:color w:val="000000" w:themeColor="text1"/>
                <w:kern w:val="0"/>
                <w:lang w:val="en-US" w:eastAsia="zh-CN"/>
                <w14:textFill>
                  <w14:solidFill>
                    <w14:schemeClr w14:val="tx1"/>
                  </w14:solidFill>
                </w14:textFill>
              </w:rPr>
              <w:t>新疆</w:t>
            </w:r>
            <w:r>
              <w:rPr>
                <w:rFonts w:hint="default" w:ascii="Times New Roman" w:hAnsi="Times New Roman" w:eastAsia="宋体" w:cs="Times New Roman"/>
                <w:color w:val="000000" w:themeColor="text1"/>
                <w:kern w:val="0"/>
                <w14:textFill>
                  <w14:solidFill>
                    <w14:schemeClr w14:val="tx1"/>
                  </w14:solidFill>
                </w14:textFill>
              </w:rPr>
              <w:t>主体功能区划中确定的重点开发区域。重点开发区域功能定位为：支撑新疆经济增长的重要增长极，落实区域发展总体战略、促进区域协调发展的重要支撑点，新疆重要的人口和经济密集区。重点开发区域开发原则：统筹规划有限的绿洲空间；健全城市规模结构；加强基础设施建设，统筹规划建设水利、交通、能源、通信、环保、气象、防灾等基础设施，构建完善、高效、区域一体、城乡统筹的基础设施网络；加快建立现代产业体系；保护生态环境</w:t>
            </w:r>
            <w:r>
              <w:rPr>
                <w:rFonts w:hint="default"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高效利用水资源，保护水环境，提高水质量；把握开发时序。</w:t>
            </w:r>
          </w:p>
          <w:p>
            <w:pPr>
              <w:adjustRightInd w:val="0"/>
              <w:snapToGrid w:val="0"/>
              <w:ind w:firstLine="480" w:firstLineChars="200"/>
              <w:rPr>
                <w:rFonts w:hint="default" w:ascii="Times New Roman" w:hAnsi="Times New Roman" w:eastAsia="宋体" w:cs="Times New Roman"/>
                <w:color w:val="000000" w:themeColor="text1"/>
                <w:kern w:val="0"/>
                <w14:textFill>
                  <w14:solidFill>
                    <w14:schemeClr w14:val="tx1"/>
                  </w14:solidFill>
                </w14:textFill>
              </w:rPr>
            </w:pPr>
            <w:r>
              <w:rPr>
                <w:rFonts w:hint="default" w:ascii="Times New Roman" w:hAnsi="Times New Roman" w:eastAsia="宋体" w:cs="Times New Roman"/>
                <w:color w:val="000000" w:themeColor="text1"/>
                <w:kern w:val="0"/>
                <w:lang w:val="en-US" w:eastAsia="zh-CN"/>
                <w14:textFill>
                  <w14:solidFill>
                    <w14:schemeClr w14:val="tx1"/>
                  </w14:solidFill>
                </w14:textFill>
              </w:rPr>
              <w:t>本</w:t>
            </w:r>
            <w:r>
              <w:rPr>
                <w:rFonts w:hint="default" w:ascii="Times New Roman" w:hAnsi="Times New Roman" w:cs="Times New Roman"/>
                <w:color w:val="000000" w:themeColor="text1"/>
                <w:kern w:val="0"/>
                <w:lang w:val="en-US" w:eastAsia="zh-CN"/>
                <w14:textFill>
                  <w14:solidFill>
                    <w14:schemeClr w14:val="tx1"/>
                  </w14:solidFill>
                </w14:textFill>
              </w:rPr>
              <w:t>工程</w:t>
            </w:r>
            <w:r>
              <w:rPr>
                <w:rFonts w:hint="default" w:ascii="Times New Roman" w:hAnsi="Times New Roman" w:eastAsia="宋体" w:cs="Times New Roman"/>
                <w:color w:val="000000" w:themeColor="text1"/>
                <w:kern w:val="0"/>
                <w14:textFill>
                  <w14:solidFill>
                    <w14:schemeClr w14:val="tx1"/>
                  </w14:solidFill>
                </w14:textFill>
              </w:rPr>
              <w:t>所在区域不在生态红线区内，符合重点开发区域开发原则</w:t>
            </w:r>
            <w:r>
              <w:rPr>
                <w:rFonts w:hint="eastAsia"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加强基础设施建设，统筹规划建设水利、交通、能源、通信、环保、气象、防灾等基础设施</w:t>
            </w:r>
            <w:r>
              <w:rPr>
                <w:rFonts w:hint="eastAsia"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的开发原则，项目</w:t>
            </w:r>
            <w:r>
              <w:rPr>
                <w:rFonts w:hint="default" w:ascii="Times New Roman" w:hAnsi="Times New Roman" w:cs="Times New Roman"/>
                <w:color w:val="000000" w:themeColor="text1"/>
                <w:kern w:val="0"/>
                <w:lang w:eastAsia="zh-CN"/>
                <w14:textFill>
                  <w14:solidFill>
                    <w14:schemeClr w14:val="tx1"/>
                  </w14:solidFill>
                </w14:textFill>
              </w:rPr>
              <w:t>的</w:t>
            </w:r>
            <w:r>
              <w:rPr>
                <w:rFonts w:hint="default" w:ascii="Times New Roman" w:hAnsi="Times New Roman" w:eastAsia="宋体" w:cs="Times New Roman"/>
                <w:color w:val="000000" w:themeColor="text1"/>
                <w:kern w:val="0"/>
                <w14:textFill>
                  <w14:solidFill>
                    <w14:schemeClr w14:val="tx1"/>
                  </w14:solidFill>
                </w14:textFill>
              </w:rPr>
              <w:t>建设符合《新疆维吾尔自治区主体功能区规划》对于工程区块的主体功能规划。</w:t>
            </w:r>
          </w:p>
          <w:p>
            <w:pPr>
              <w:adjustRightInd w:val="0"/>
              <w:snapToGrid w:val="0"/>
              <w:ind w:firstLine="482" w:firstLineChars="200"/>
              <w:rPr>
                <w:rFonts w:hint="default" w:ascii="Times New Roman" w:hAnsi="Times New Roman" w:eastAsia="宋体" w:cs="Times New Roman"/>
                <w:b/>
                <w:bCs/>
                <w:color w:val="000000" w:themeColor="text1"/>
                <w:kern w:val="0"/>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 xml:space="preserve">1.2 </w:t>
            </w:r>
            <w:r>
              <w:rPr>
                <w:rFonts w:hint="default" w:ascii="Times New Roman" w:hAnsi="Times New Roman" w:eastAsia="宋体" w:cs="Times New Roman"/>
                <w:b/>
                <w:bCs/>
                <w:color w:val="000000" w:themeColor="text1"/>
                <w:kern w:val="0"/>
                <w14:textFill>
                  <w14:solidFill>
                    <w14:schemeClr w14:val="tx1"/>
                  </w14:solidFill>
                </w14:textFill>
              </w:rPr>
              <w:t>新疆维吾尔自治区生态功能区划情况</w:t>
            </w:r>
          </w:p>
          <w:p>
            <w:pPr>
              <w:pStyle w:val="45"/>
              <w:bidi w:val="0"/>
              <w:ind w:left="0" w:leftChars="0" w:firstLine="0" w:firstLineChars="0"/>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表3-1          本项目所属生态功能区主要特征</w:t>
            </w:r>
          </w:p>
          <w:tbl>
            <w:tblPr>
              <w:tblStyle w:val="35"/>
              <w:tblW w:w="812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545"/>
              <w:gridCol w:w="55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2545" w:type="dxa"/>
                  <w:tcBorders>
                    <w:top w:val="single" w:color="auto" w:sz="12" w:space="0"/>
                    <w:bottom w:val="single" w:color="auto" w:sz="12" w:space="0"/>
                  </w:tcBorders>
                  <w:noWrap w:val="0"/>
                  <w:vAlign w:val="center"/>
                </w:tcPr>
                <w:p>
                  <w:pPr>
                    <w:adjustRightInd w:val="0"/>
                    <w:snapToGrid w:val="0"/>
                    <w:jc w:val="center"/>
                    <w:rPr>
                      <w:rFonts w:ascii="宋体" w:hAnsi="宋体"/>
                      <w:b/>
                      <w:snapToGrid w:val="0"/>
                      <w:color w:val="000000" w:themeColor="text1"/>
                      <w:kern w:val="0"/>
                      <w:sz w:val="21"/>
                      <w:szCs w:val="21"/>
                      <w14:textFill>
                        <w14:solidFill>
                          <w14:schemeClr w14:val="tx1"/>
                        </w14:solidFill>
                      </w14:textFill>
                    </w:rPr>
                  </w:pPr>
                  <w:r>
                    <w:rPr>
                      <w:rFonts w:hint="eastAsia" w:ascii="宋体" w:hAnsi="宋体"/>
                      <w:b/>
                      <w:snapToGrid w:val="0"/>
                      <w:color w:val="000000" w:themeColor="text1"/>
                      <w:kern w:val="0"/>
                      <w:sz w:val="21"/>
                      <w:szCs w:val="21"/>
                      <w14:textFill>
                        <w14:solidFill>
                          <w14:schemeClr w14:val="tx1"/>
                        </w14:solidFill>
                      </w14:textFill>
                    </w:rPr>
                    <w:t>功能区</w:t>
                  </w:r>
                </w:p>
              </w:tc>
              <w:tc>
                <w:tcPr>
                  <w:tcW w:w="5581" w:type="dxa"/>
                  <w:tcBorders>
                    <w:top w:val="single" w:color="auto" w:sz="12" w:space="0"/>
                    <w:bottom w:val="single" w:color="auto" w:sz="12" w:space="0"/>
                    <w:right w:val="nil"/>
                  </w:tcBorders>
                  <w:noWrap w:val="0"/>
                  <w:vAlign w:val="center"/>
                </w:tcPr>
                <w:p>
                  <w:pPr>
                    <w:adjustRightInd w:val="0"/>
                    <w:snapToGrid w:val="0"/>
                    <w:jc w:val="center"/>
                    <w:rPr>
                      <w:rFonts w:ascii="宋体" w:hAnsi="宋体"/>
                      <w:b/>
                      <w:snapToGrid w:val="0"/>
                      <w:color w:val="000000" w:themeColor="text1"/>
                      <w:kern w:val="0"/>
                      <w:sz w:val="21"/>
                      <w:szCs w:val="21"/>
                      <w14:textFill>
                        <w14:solidFill>
                          <w14:schemeClr w14:val="tx1"/>
                        </w14:solidFill>
                      </w14:textFill>
                    </w:rPr>
                  </w:pPr>
                  <w:r>
                    <w:rPr>
                      <w:rFonts w:hint="eastAsia" w:ascii="宋体" w:hAnsi="宋体"/>
                      <w:b/>
                      <w:bCs/>
                      <w:color w:val="000000" w:themeColor="text1"/>
                      <w:sz w:val="21"/>
                      <w:szCs w:val="21"/>
                      <w14:textFill>
                        <w14:solidFill>
                          <w14:schemeClr w14:val="tx1"/>
                        </w14:solidFill>
                      </w14:textFill>
                    </w:rPr>
                    <w:t>阜康</w:t>
                  </w:r>
                  <w:r>
                    <w:rPr>
                      <w:rFonts w:hint="eastAsia" w:ascii="宋体" w:hAnsi="宋体"/>
                      <w:b/>
                      <w:bCs/>
                      <w:color w:val="000000" w:themeColor="text1"/>
                      <w:sz w:val="21"/>
                      <w:szCs w:val="21"/>
                      <w:lang w:eastAsia="zh-CN"/>
                      <w14:textFill>
                        <w14:solidFill>
                          <w14:schemeClr w14:val="tx1"/>
                        </w14:solidFill>
                      </w14:textFill>
                    </w:rPr>
                    <w:t>－</w:t>
                  </w:r>
                  <w:r>
                    <w:rPr>
                      <w:rFonts w:hint="eastAsia" w:ascii="宋体" w:hAnsi="宋体"/>
                      <w:b/>
                      <w:bCs/>
                      <w:color w:val="000000" w:themeColor="text1"/>
                      <w:sz w:val="21"/>
                      <w:szCs w:val="21"/>
                      <w14:textFill>
                        <w14:solidFill>
                          <w14:schemeClr w14:val="tx1"/>
                        </w14:solidFill>
                      </w14:textFill>
                    </w:rPr>
                    <w:t>木垒绿洲农业、荒漠草地保护生态功能区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2545" w:type="dxa"/>
                  <w:tcBorders>
                    <w:top w:val="single" w:color="auto" w:sz="12" w:space="0"/>
                    <w:left w:val="nil"/>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主要生态服务功能</w:t>
                  </w:r>
                </w:p>
              </w:tc>
              <w:tc>
                <w:tcPr>
                  <w:tcW w:w="5581" w:type="dxa"/>
                  <w:tcBorders>
                    <w:top w:val="single" w:color="auto" w:sz="12" w:space="0"/>
                    <w:right w:val="nil"/>
                  </w:tcBorders>
                  <w:noWrap w:val="0"/>
                  <w:vAlign w:val="center"/>
                </w:tcPr>
                <w:p>
                  <w:pPr>
                    <w:jc w:val="center"/>
                    <w:rPr>
                      <w:rFonts w:hint="eastAsia" w:ascii="宋体" w:hAnsi="宋体" w:eastAsia="宋体"/>
                      <w:snapToGrid w:val="0"/>
                      <w:color w:val="000000" w:themeColor="text1"/>
                      <w:kern w:val="0"/>
                      <w:sz w:val="21"/>
                      <w:szCs w:val="21"/>
                      <w:lang w:eastAsia="zh-CN"/>
                      <w14:textFill>
                        <w14:solidFill>
                          <w14:schemeClr w14:val="tx1"/>
                        </w14:solidFill>
                      </w14:textFill>
                    </w:rPr>
                  </w:pPr>
                  <w:r>
                    <w:rPr>
                      <w:rFonts w:hint="eastAsia" w:ascii="宋体" w:hAnsi="宋体"/>
                      <w:color w:val="000000" w:themeColor="text1"/>
                      <w:sz w:val="21"/>
                      <w:szCs w:val="21"/>
                      <w:lang w:val="en-US" w:eastAsia="zh-CN"/>
                      <w14:textFill>
                        <w14:solidFill>
                          <w14:schemeClr w14:val="tx1"/>
                        </w14:solidFill>
                      </w14:textFill>
                    </w:rPr>
                    <w:t>农牧业产品生产、人居环境、荒漠化控制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2545" w:type="dxa"/>
                  <w:tcBorders>
                    <w:left w:val="nil"/>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主要生态环境问题</w:t>
                  </w:r>
                </w:p>
              </w:tc>
              <w:tc>
                <w:tcPr>
                  <w:tcW w:w="5581" w:type="dxa"/>
                  <w:tcBorders>
                    <w:right w:val="nil"/>
                  </w:tcBorders>
                  <w:noWrap w:val="0"/>
                  <w:vAlign w:val="center"/>
                </w:tcPr>
                <w:p>
                  <w:pPr>
                    <w:jc w:val="center"/>
                    <w:rPr>
                      <w:rFonts w:hint="eastAsia" w:ascii="宋体" w:hAnsi="宋体" w:eastAsia="宋体"/>
                      <w:snapToGrid w:val="0"/>
                      <w:color w:val="000000" w:themeColor="text1"/>
                      <w:kern w:val="0"/>
                      <w:sz w:val="21"/>
                      <w:szCs w:val="21"/>
                      <w:lang w:eastAsia="zh-CN"/>
                      <w14:textFill>
                        <w14:solidFill>
                          <w14:schemeClr w14:val="tx1"/>
                        </w14:solidFill>
                      </w14:textFill>
                    </w:rPr>
                  </w:pPr>
                  <w:r>
                    <w:rPr>
                      <w:rFonts w:hint="eastAsia" w:ascii="宋体" w:hAnsi="宋体"/>
                      <w:color w:val="000000" w:themeColor="text1"/>
                      <w:sz w:val="21"/>
                      <w:szCs w:val="21"/>
                      <w:lang w:val="en-US" w:eastAsia="zh-CN"/>
                      <w14:textFill>
                        <w14:solidFill>
                          <w14:schemeClr w14:val="tx1"/>
                        </w14:solidFill>
                      </w14:textFill>
                    </w:rPr>
                    <w:t>地下水超采、荒漠植被退化、沙漠化威胁、局部土壤盐渍化、河流萎缩、滥开荒地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45" w:type="dxa"/>
                  <w:tcBorders>
                    <w:left w:val="nil"/>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主要生态敏感因子、敏感程度</w:t>
                  </w:r>
                </w:p>
              </w:tc>
              <w:tc>
                <w:tcPr>
                  <w:tcW w:w="5581" w:type="dxa"/>
                  <w:tcBorders>
                    <w:right w:val="nil"/>
                  </w:tcBorders>
                  <w:noWrap w:val="0"/>
                  <w:vAlign w:val="center"/>
                </w:tcPr>
                <w:p>
                  <w:pPr>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生物多样性及其生境</w:t>
                  </w:r>
                  <w:r>
                    <w:rPr>
                      <w:rFonts w:hint="eastAsia" w:ascii="宋体" w:hAnsi="宋体"/>
                      <w:color w:val="000000" w:themeColor="text1"/>
                      <w:sz w:val="21"/>
                      <w:szCs w:val="21"/>
                      <w:lang w:val="en-US" w:eastAsia="zh-CN"/>
                      <w14:textFill>
                        <w14:solidFill>
                          <w14:schemeClr w14:val="tx1"/>
                        </w14:solidFill>
                      </w14:textFill>
                    </w:rPr>
                    <w:t>中</w:t>
                  </w:r>
                  <w:r>
                    <w:rPr>
                      <w:rFonts w:hint="eastAsia" w:ascii="宋体" w:hAnsi="宋体"/>
                      <w:color w:val="000000" w:themeColor="text1"/>
                      <w:sz w:val="21"/>
                      <w:szCs w:val="21"/>
                      <w14:textFill>
                        <w14:solidFill>
                          <w14:schemeClr w14:val="tx1"/>
                        </w14:solidFill>
                      </w14:textFill>
                    </w:rPr>
                    <w:t>度敏感，土壤侵蚀</w:t>
                  </w:r>
                  <w:r>
                    <w:rPr>
                      <w:rFonts w:hint="eastAsia" w:ascii="宋体" w:hAnsi="宋体"/>
                      <w:color w:val="000000" w:themeColor="text1"/>
                      <w:sz w:val="21"/>
                      <w:szCs w:val="21"/>
                      <w:lang w:val="en-US" w:eastAsia="zh-CN"/>
                      <w14:textFill>
                        <w14:solidFill>
                          <w14:schemeClr w14:val="tx1"/>
                        </w14:solidFill>
                      </w14:textFill>
                    </w:rPr>
                    <w:t>轻</w:t>
                  </w:r>
                  <w:r>
                    <w:rPr>
                      <w:rFonts w:hint="eastAsia" w:ascii="宋体" w:hAnsi="宋体"/>
                      <w:color w:val="000000" w:themeColor="text1"/>
                      <w:sz w:val="21"/>
                      <w:szCs w:val="21"/>
                      <w14:textFill>
                        <w14:solidFill>
                          <w14:schemeClr w14:val="tx1"/>
                        </w14:solidFill>
                      </w14:textFill>
                    </w:rPr>
                    <w:t>度敏感、土地沙漠化</w:t>
                  </w:r>
                  <w:r>
                    <w:rPr>
                      <w:rFonts w:hint="eastAsia" w:ascii="宋体" w:hAnsi="宋体"/>
                      <w:color w:val="000000" w:themeColor="text1"/>
                      <w:sz w:val="21"/>
                      <w:szCs w:val="21"/>
                      <w:lang w:val="en-US" w:eastAsia="zh-CN"/>
                      <w14:textFill>
                        <w14:solidFill>
                          <w14:schemeClr w14:val="tx1"/>
                        </w14:solidFill>
                      </w14:textFill>
                    </w:rPr>
                    <w:t>中</w:t>
                  </w:r>
                  <w:r>
                    <w:rPr>
                      <w:rFonts w:hint="eastAsia" w:ascii="宋体" w:hAnsi="宋体"/>
                      <w:color w:val="000000" w:themeColor="text1"/>
                      <w:sz w:val="21"/>
                      <w:szCs w:val="21"/>
                      <w14:textFill>
                        <w14:solidFill>
                          <w14:schemeClr w14:val="tx1"/>
                        </w14:solidFill>
                      </w14:textFill>
                    </w:rPr>
                    <w:t>度敏感，土壤盐渍化轻度敏感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2545" w:type="dxa"/>
                  <w:tcBorders>
                    <w:left w:val="nil"/>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主要保护目标</w:t>
                  </w:r>
                </w:p>
              </w:tc>
              <w:tc>
                <w:tcPr>
                  <w:tcW w:w="5581" w:type="dxa"/>
                  <w:tcBorders>
                    <w:right w:val="nil"/>
                  </w:tcBorders>
                  <w:noWrap w:val="0"/>
                  <w:vAlign w:val="center"/>
                </w:tcPr>
                <w:p>
                  <w:pPr>
                    <w:jc w:val="center"/>
                    <w:rPr>
                      <w:rFonts w:hint="eastAsia" w:ascii="宋体" w:hAnsi="宋体" w:eastAsia="宋体"/>
                      <w:snapToGrid w:val="0"/>
                      <w:color w:val="000000" w:themeColor="text1"/>
                      <w:kern w:val="0"/>
                      <w:sz w:val="21"/>
                      <w:szCs w:val="21"/>
                      <w:lang w:val="en-US" w:eastAsia="zh-CN"/>
                      <w14:textFill>
                        <w14:solidFill>
                          <w14:schemeClr w14:val="tx1"/>
                        </w14:solidFill>
                      </w14:textFill>
                    </w:rPr>
                  </w:pPr>
                  <w:r>
                    <w:rPr>
                      <w:rFonts w:hint="eastAsia" w:ascii="宋体" w:hAnsi="宋体"/>
                      <w:snapToGrid w:val="0"/>
                      <w:color w:val="000000" w:themeColor="text1"/>
                      <w:kern w:val="0"/>
                      <w:sz w:val="21"/>
                      <w:szCs w:val="21"/>
                      <w:lang w:val="en-US" w:eastAsia="zh-CN"/>
                      <w14:textFill>
                        <w14:solidFill>
                          <w14:schemeClr w14:val="tx1"/>
                        </w14:solidFill>
                      </w14:textFill>
                    </w:rPr>
                    <w:t>保护基本农田、保护荒漠植被、保护土壤环境质量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2545" w:type="dxa"/>
                  <w:tcBorders>
                    <w:left w:val="nil"/>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主要保护措施</w:t>
                  </w:r>
                </w:p>
              </w:tc>
              <w:tc>
                <w:tcPr>
                  <w:tcW w:w="5581" w:type="dxa"/>
                  <w:tcBorders>
                    <w:right w:val="nil"/>
                  </w:tcBorders>
                  <w:noWrap w:val="0"/>
                  <w:vAlign w:val="center"/>
                </w:tcPr>
                <w:p>
                  <w:pPr>
                    <w:adjustRightInd w:val="0"/>
                    <w:snapToGrid w:val="0"/>
                    <w:jc w:val="center"/>
                    <w:rPr>
                      <w:rFonts w:hint="eastAsia" w:ascii="宋体" w:hAnsi="宋体" w:eastAsia="宋体"/>
                      <w:snapToGrid w:val="0"/>
                      <w:color w:val="000000" w:themeColor="text1"/>
                      <w:kern w:val="0"/>
                      <w:sz w:val="21"/>
                      <w:szCs w:val="21"/>
                      <w:lang w:eastAsia="zh-CN"/>
                      <w14:textFill>
                        <w14:solidFill>
                          <w14:schemeClr w14:val="tx1"/>
                        </w14:solidFill>
                      </w14:textFill>
                    </w:rPr>
                  </w:pPr>
                  <w:r>
                    <w:rPr>
                      <w:rFonts w:hint="eastAsia" w:ascii="宋体" w:hAnsi="宋体"/>
                      <w:snapToGrid w:val="0"/>
                      <w:color w:val="000000" w:themeColor="text1"/>
                      <w:kern w:val="0"/>
                      <w:sz w:val="21"/>
                      <w:szCs w:val="21"/>
                      <w:lang w:val="en-US" w:eastAsia="zh-CN"/>
                      <w14:textFill>
                        <w14:solidFill>
                          <w14:schemeClr w14:val="tx1"/>
                        </w14:solidFill>
                      </w14:textFill>
                    </w:rPr>
                    <w:t>节水灌溉、草场休牧、对坡耕地和沙化土地实施退耕还林（草），在水源无保障、植被稀少、生态脆弱地带禁止开荒、加强农田投入品的使用管理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545" w:type="dxa"/>
                  <w:tcBorders>
                    <w:left w:val="nil"/>
                    <w:bottom w:val="single" w:color="auto" w:sz="12" w:space="0"/>
                  </w:tcBorders>
                  <w:noWrap w:val="0"/>
                  <w:vAlign w:val="center"/>
                </w:tcPr>
                <w:p>
                  <w:pPr>
                    <w:adjustRightInd w:val="0"/>
                    <w:snapToGrid w:val="0"/>
                    <w:jc w:val="center"/>
                    <w:rPr>
                      <w:rFonts w:ascii="宋体" w:hAnsi="宋体"/>
                      <w:snapToGrid w:val="0"/>
                      <w:color w:val="000000" w:themeColor="text1"/>
                      <w:kern w:val="0"/>
                      <w:sz w:val="21"/>
                      <w:szCs w:val="21"/>
                      <w14:textFill>
                        <w14:solidFill>
                          <w14:schemeClr w14:val="tx1"/>
                        </w14:solidFill>
                      </w14:textFill>
                    </w:rPr>
                  </w:pPr>
                  <w:r>
                    <w:rPr>
                      <w:rFonts w:hint="eastAsia" w:ascii="宋体" w:hAnsi="宋体"/>
                      <w:snapToGrid w:val="0"/>
                      <w:color w:val="000000" w:themeColor="text1"/>
                      <w:kern w:val="0"/>
                      <w:sz w:val="21"/>
                      <w:szCs w:val="21"/>
                      <w14:textFill>
                        <w14:solidFill>
                          <w14:schemeClr w14:val="tx1"/>
                        </w14:solidFill>
                      </w14:textFill>
                    </w:rPr>
                    <w:t>适宜发展方向</w:t>
                  </w:r>
                </w:p>
              </w:tc>
              <w:tc>
                <w:tcPr>
                  <w:tcW w:w="5581" w:type="dxa"/>
                  <w:tcBorders>
                    <w:bottom w:val="single" w:color="auto" w:sz="12" w:space="0"/>
                    <w:right w:val="nil"/>
                  </w:tcBorders>
                  <w:noWrap w:val="0"/>
                  <w:vAlign w:val="center"/>
                </w:tcPr>
                <w:p>
                  <w:pPr>
                    <w:adjustRightInd w:val="0"/>
                    <w:snapToGrid w:val="0"/>
                    <w:jc w:val="center"/>
                    <w:rPr>
                      <w:rFonts w:hint="eastAsia" w:ascii="宋体" w:hAnsi="宋体" w:eastAsia="宋体"/>
                      <w:snapToGrid w:val="0"/>
                      <w:color w:val="000000" w:themeColor="text1"/>
                      <w:kern w:val="0"/>
                      <w:sz w:val="21"/>
                      <w:szCs w:val="21"/>
                      <w:lang w:eastAsia="zh-CN"/>
                      <w14:textFill>
                        <w14:solidFill>
                          <w14:schemeClr w14:val="tx1"/>
                        </w14:solidFill>
                      </w14:textFill>
                    </w:rPr>
                  </w:pPr>
                  <w:r>
                    <w:rPr>
                      <w:rFonts w:hint="eastAsia" w:ascii="宋体" w:hAnsi="宋体"/>
                      <w:snapToGrid w:val="0"/>
                      <w:color w:val="000000" w:themeColor="text1"/>
                      <w:kern w:val="0"/>
                      <w:sz w:val="21"/>
                      <w:szCs w:val="21"/>
                      <w:lang w:val="en-US" w:eastAsia="zh-CN"/>
                      <w14:textFill>
                        <w14:solidFill>
                          <w14:schemeClr w14:val="tx1"/>
                        </w14:solidFill>
                      </w14:textFill>
                    </w:rPr>
                    <w:t>农牧结合，发展优质、高效特色农业和畜牧业</w:t>
                  </w:r>
                </w:p>
              </w:tc>
            </w:tr>
          </w:tbl>
          <w:p>
            <w:pPr>
              <w:pStyle w:val="7"/>
              <w:keepNext/>
              <w:keepLines/>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1.3 </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项目区</w:t>
            </w: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生态环境现状</w:t>
            </w:r>
          </w:p>
          <w:p>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（1）生态系统类型</w:t>
            </w:r>
          </w:p>
          <w:p>
            <w:pPr>
              <w:adjustRightInd w:val="0"/>
              <w:snapToGrid w:val="0"/>
              <w:spacing w:line="360" w:lineRule="auto"/>
              <w:ind w:firstLine="480" w:firstLineChars="200"/>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项目所在区域生态系统类型为荒漠生态系统。气候干燥、降水量少、蒸发量大、土壤瘠</w:t>
            </w:r>
            <w:r>
              <w:rPr>
                <w:rFonts w:hint="default" w:ascii="Times New Roman" w:hAnsi="Times New Roman" w:cs="Times New Roman"/>
                <w:color w:val="000000" w:themeColor="text1"/>
                <w:sz w:val="24"/>
                <w:lang w:val="en-US" w:eastAsia="zh-CN"/>
                <w14:textFill>
                  <w14:solidFill>
                    <w14:schemeClr w14:val="tx1"/>
                  </w14:solidFill>
                </w14:textFill>
              </w:rPr>
              <w:t>薄，使得目前整个区域生态环境比较脆弱。</w:t>
            </w:r>
          </w:p>
          <w:p>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（2）土地利用类型</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项目区土地利用类型较单一，主要为裸岩石砾地。</w:t>
            </w:r>
          </w:p>
          <w:p>
            <w:pPr>
              <w:numPr>
                <w:ilvl w:val="0"/>
                <w:numId w:val="0"/>
              </w:numPr>
              <w:adjustRightInd w:val="0"/>
              <w:snapToGrid w:val="0"/>
              <w:spacing w:line="360" w:lineRule="auto"/>
              <w:ind w:leftChars="200"/>
              <w:jc w:val="both"/>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植被</w:t>
            </w:r>
            <w:r>
              <w:rPr>
                <w:rFonts w:hint="eastAsia" w:cs="Times New Roman"/>
                <w:color w:val="000000" w:themeColor="text1"/>
                <w:sz w:val="24"/>
                <w:lang w:val="en-US" w:eastAsia="zh-CN"/>
                <w14:textFill>
                  <w14:solidFill>
                    <w14:schemeClr w14:val="tx1"/>
                  </w14:solidFill>
                </w14:textFill>
              </w:rPr>
              <w:t>调查与评价</w:t>
            </w:r>
          </w:p>
          <w:p>
            <w:pPr>
              <w:keepNext w:val="0"/>
              <w:keepLines w:val="0"/>
              <w:widowControl/>
              <w:suppressLineNumbers w:val="0"/>
              <w:jc w:val="both"/>
              <w:rPr>
                <w:color w:val="000000" w:themeColor="text1"/>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 xml:space="preserve">① </w:t>
            </w:r>
            <w:r>
              <w:rPr>
                <w:rFonts w:hint="eastAsia" w:ascii="宋体" w:hAnsi="宋体" w:eastAsia="宋体" w:cs="宋体"/>
                <w:color w:val="000000" w:themeColor="text1"/>
                <w:kern w:val="0"/>
                <w:sz w:val="24"/>
                <w:szCs w:val="24"/>
                <w:lang w:val="en-US" w:eastAsia="zh-CN" w:bidi="ar"/>
                <w14:textFill>
                  <w14:solidFill>
                    <w14:schemeClr w14:val="tx1"/>
                  </w14:solidFill>
                </w14:textFill>
              </w:rPr>
              <w:t>区域植被概况调查</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本项目地处天山山脉东段北麓，准噶尔盆地东南。植被类型属东疆</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南疆荒漠亚区－东疆荒漠省－东准噶尔荒漠亚省－将军戈壁州。主要生长荒漠植物，区域内植物组成简单，类型单调，分布稀疏。建群植物是由超旱生、旱生的半灌木、小半灌木以及旱生的一年生草本，多年生草本和中生的短命植物等荒漠植物组成。优势种类依次是蓼科（</w:t>
            </w:r>
            <w:r>
              <w:rPr>
                <w:rFonts w:hint="default" w:ascii="Times New Roman" w:hAnsi="Times New Roman" w:eastAsia="宋体" w:cs="Times New Roman"/>
                <w:color w:val="000000" w:themeColor="text1"/>
                <w:sz w:val="24"/>
                <w:lang w:val="en-US" w:eastAsia="zh-CN"/>
                <w14:textFill>
                  <w14:solidFill>
                    <w14:schemeClr w14:val="tx1"/>
                  </w14:solidFill>
                </w14:textFill>
              </w:rPr>
              <w:t>Polygonaceae</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、藜科（</w:t>
            </w:r>
            <w:r>
              <w:rPr>
                <w:rFonts w:hint="default" w:ascii="Times New Roman" w:hAnsi="Times New Roman" w:eastAsia="宋体" w:cs="Times New Roman"/>
                <w:color w:val="000000" w:themeColor="text1"/>
                <w:sz w:val="24"/>
                <w:lang w:val="en-US" w:eastAsia="zh-CN"/>
                <w14:textFill>
                  <w14:solidFill>
                    <w14:schemeClr w14:val="tx1"/>
                  </w14:solidFill>
                </w14:textFill>
              </w:rPr>
              <w:t>Ehenopodium</w:t>
            </w:r>
            <w:r>
              <w:rPr>
                <w:rFonts w:hint="eastAsia" w:ascii="Times New Roman" w:hAnsi="Times New Roman" w:eastAsia="宋体" w:cs="Times New Roman"/>
                <w:color w:val="000000" w:themeColor="text1"/>
                <w:sz w:val="24"/>
                <w:lang w:val="en-US" w:eastAsia="zh-CN"/>
                <w14:textFill>
                  <w14:solidFill>
                    <w14:schemeClr w14:val="tx1"/>
                  </w14:solidFill>
                </w14:textFill>
              </w:rPr>
              <w:t>）、豆科（</w:t>
            </w:r>
            <w:r>
              <w:rPr>
                <w:rFonts w:hint="default" w:ascii="Times New Roman" w:hAnsi="Times New Roman" w:eastAsia="宋体" w:cs="Times New Roman"/>
                <w:color w:val="000000" w:themeColor="text1"/>
                <w:sz w:val="24"/>
                <w:lang w:val="en-US" w:eastAsia="zh-CN"/>
                <w14:textFill>
                  <w14:solidFill>
                    <w14:schemeClr w14:val="tx1"/>
                  </w14:solidFill>
                </w14:textFill>
              </w:rPr>
              <w:t>Legunohoseu</w:t>
            </w:r>
            <w:r>
              <w:rPr>
                <w:rFonts w:hint="eastAsia" w:ascii="Times New Roman" w:hAnsi="Times New Roman" w:eastAsia="宋体" w:cs="Times New Roman"/>
                <w:color w:val="000000" w:themeColor="text1"/>
                <w:sz w:val="24"/>
                <w:lang w:val="en-US" w:eastAsia="zh-CN"/>
                <w14:textFill>
                  <w14:solidFill>
                    <w14:schemeClr w14:val="tx1"/>
                  </w14:solidFill>
                </w14:textFill>
              </w:rPr>
              <w:t>）、蒺藜科（</w:t>
            </w:r>
            <w:r>
              <w:rPr>
                <w:rFonts w:hint="default" w:ascii="Times New Roman" w:hAnsi="Times New Roman" w:eastAsia="宋体" w:cs="Times New Roman"/>
                <w:color w:val="000000" w:themeColor="text1"/>
                <w:sz w:val="24"/>
                <w:lang w:val="en-US" w:eastAsia="zh-CN"/>
                <w14:textFill>
                  <w14:solidFill>
                    <w14:schemeClr w14:val="tx1"/>
                  </w14:solidFill>
                </w14:textFill>
              </w:rPr>
              <w:t>Zygophyllaceae</w:t>
            </w:r>
            <w:r>
              <w:rPr>
                <w:rFonts w:hint="eastAsia" w:ascii="Times New Roman" w:hAnsi="Times New Roman" w:eastAsia="宋体" w:cs="Times New Roman"/>
                <w:color w:val="000000" w:themeColor="text1"/>
                <w:sz w:val="24"/>
                <w:lang w:val="en-US" w:eastAsia="zh-CN"/>
                <w14:textFill>
                  <w14:solidFill>
                    <w14:schemeClr w14:val="tx1"/>
                  </w14:solidFill>
                </w14:textFill>
              </w:rPr>
              <w:t>）等。同时，区域内植物群落表现出层片结构较复杂。其中超旱生的小半灌木与灌木种类最为普遍，构成了多样的荒漠植物群落。据现场调查、样地记录以及有关资料分析，区域内植物资源共计</w:t>
            </w:r>
            <w:r>
              <w:rPr>
                <w:rFonts w:hint="eastAsia" w:cs="Times New Roman"/>
                <w:color w:val="000000" w:themeColor="text1"/>
                <w:sz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lang w:val="en-US" w:eastAsia="zh-CN"/>
                <w14:textFill>
                  <w14:solidFill>
                    <w14:schemeClr w14:val="tx1"/>
                  </w14:solidFill>
                </w14:textFill>
              </w:rPr>
              <w:t>科、</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eastAsia" w:cs="Times New Roman"/>
                <w:color w:val="000000" w:themeColor="text1"/>
                <w:sz w:val="24"/>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属、</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eastAsia" w:cs="Times New Roman"/>
                <w:color w:val="000000" w:themeColor="text1"/>
                <w:sz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种，详见表</w:t>
            </w:r>
            <w:r>
              <w:rPr>
                <w:rFonts w:hint="eastAsia" w:cs="Times New Roman"/>
                <w:color w:val="000000" w:themeColor="text1"/>
                <w:sz w:val="24"/>
                <w:highlight w:val="none"/>
                <w:lang w:val="en-US" w:eastAsia="zh-CN"/>
                <w14:textFill>
                  <w14:solidFill>
                    <w14:schemeClr w14:val="tx1"/>
                  </w14:solidFill>
                </w14:textFill>
              </w:rPr>
              <w:t>3-2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firstLine="0" w:firstLineChars="0"/>
              <w:jc w:val="center"/>
              <w:textAlignment w:val="auto"/>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3-2</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区域</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主要植物名录表</w:t>
            </w:r>
          </w:p>
          <w:tbl>
            <w:tblPr>
              <w:tblStyle w:val="107"/>
              <w:tblW w:w="822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2650"/>
              <w:gridCol w:w="2651"/>
              <w:gridCol w:w="18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序号</w:t>
                  </w:r>
                </w:p>
              </w:tc>
              <w:tc>
                <w:tcPr>
                  <w:tcW w:w="530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种类</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保护级别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6345"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被子植物 Angiospermae</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一</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蓼科</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Polygonaceae</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2"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（一）</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木蓼属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Atraphaxis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木蓼</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Atraphaxispungcns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刺木蓼</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AtraphaxiSpungcns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（二）</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沙拐枣属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Calligonum</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沙拐枣</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Calligonummongoticum</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（三）</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地肤属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Koohiaroth</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木地肤</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Koohiaprostrata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地肤</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Kochiaprostrata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四</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藜科</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Chenopodiaceac</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（四）</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角果藜属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Ceratocarpus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角果藜</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Ceratocarpusarenarius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（五）</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刺果藜属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Echinopsilon</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刺果藜</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Echinopsilondiuarica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（六）</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沙蓬属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Agriophyllum</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沙蓬</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Agriophylllumavenarium</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（七）</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盐爪爪属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Kalidium</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盐爪爪</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Kalidiumfoliatumpall</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（八）</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盐角草属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Salicornia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0</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盐角草</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Salicorniaeuropaea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（九）</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盐蓬属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Halimocnlmis</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1</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节节盐木</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Halimocnlmisvillosa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碱蓬属</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i/>
                      <w:iCs/>
                      <w:color w:val="000000" w:themeColor="text1"/>
                      <w:sz w:val="21"/>
                      <w:szCs w:val="21"/>
                      <w14:textFill>
                        <w14:solidFill>
                          <w14:schemeClr w14:val="tx1"/>
                        </w14:solidFill>
                      </w14:textFill>
                    </w:rPr>
                  </w:pPr>
                  <w:r>
                    <w:rPr>
                      <w:rFonts w:hint="default" w:ascii="Times New Roman" w:hAnsi="Times New Roman" w:cs="Times New Roman"/>
                      <w:i/>
                      <w:iCs/>
                      <w:color w:val="000000" w:themeColor="text1"/>
                      <w:sz w:val="21"/>
                      <w:szCs w:val="21"/>
                      <w14:textFill>
                        <w14:solidFill>
                          <w14:schemeClr w14:val="tx1"/>
                        </w14:solidFill>
                      </w14:textFill>
                    </w:rPr>
                    <w:t>Suaeda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2</w:t>
                  </w:r>
                </w:p>
              </w:tc>
              <w:tc>
                <w:tcPr>
                  <w:tcW w:w="2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碱蓬</w:t>
                  </w:r>
                </w:p>
              </w:tc>
              <w:tc>
                <w:tcPr>
                  <w:tcW w:w="2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Suaedaglauca</w:t>
                  </w:r>
                </w:p>
              </w:tc>
              <w:tc>
                <w:tcPr>
                  <w:tcW w:w="18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06"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3</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角果碱蓬</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Suaedacorniculala</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一）</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假木贼属</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Anabasis</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4</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盐生假木贼</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Anabasissalsa</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无叶假木贼</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Anabasisaphyiia</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四</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豆科</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Leguminose</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二）</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骆驼刺属</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Alhagi</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骆驼刺</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Alhagipseudalhagi</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17</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疏花骆驼刺</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Alhagisparsifoliashap</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三）</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盐豆木属</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Halimodendron</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铃铛刺</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Halimodendronholodendron</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四）</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白刺属</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Nilraria</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19</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白刺</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Nilrariasibirica</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大叶白刺</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Nilrariaroporoskii</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十</w:t>
                  </w:r>
                  <w:r>
                    <w:rPr>
                      <w:rFonts w:hint="eastAsia" w:cs="Times New Roman"/>
                      <w:color w:val="000000" w:themeColor="text1"/>
                      <w:sz w:val="21"/>
                      <w:szCs w:val="21"/>
                      <w:lang w:eastAsia="zh-CN"/>
                      <w14:textFill>
                        <w14:solidFill>
                          <w14:schemeClr w14:val="tx1"/>
                        </w14:solidFill>
                      </w14:textFill>
                    </w:rPr>
                    <w:t>五）</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骆驼蓬属</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Peganum</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w:t>
                  </w:r>
                </w:p>
              </w:tc>
              <w:tc>
                <w:tcPr>
                  <w:tcW w:w="2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骆驼蓬</w:t>
                  </w:r>
                </w:p>
              </w:tc>
              <w:tc>
                <w:tcPr>
                  <w:tcW w:w="265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Peganumharmalu</w:t>
                  </w:r>
                </w:p>
              </w:tc>
              <w:tc>
                <w:tcPr>
                  <w:tcW w:w="187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bl>
          <w:p>
            <w:pPr>
              <w:keepNext w:val="0"/>
              <w:keepLines w:val="0"/>
              <w:widowControl/>
              <w:suppressLineNumbers w:val="0"/>
              <w:ind w:left="0" w:leftChars="0" w:firstLine="480" w:firstLineChars="200"/>
              <w:jc w:val="both"/>
              <w:rPr>
                <w:rStyle w:val="119"/>
                <w:rFonts w:hint="eastAsia" w:ascii="Times New Roman" w:hAnsi="Times New Roman" w:eastAsia="宋体" w:cs="Times New Roman"/>
                <w:color w:val="auto"/>
                <w:sz w:val="24"/>
                <w:highlight w:val="none"/>
                <w:lang w:val="en-US" w:eastAsia="zh-CN"/>
              </w:rPr>
            </w:pPr>
            <w:r>
              <w:rPr>
                <w:rStyle w:val="119"/>
                <w:rFonts w:hint="eastAsia" w:ascii="Times New Roman" w:hAnsi="Times New Roman" w:eastAsia="宋体" w:cs="Times New Roman"/>
                <w:color w:val="auto"/>
                <w:sz w:val="24"/>
                <w:highlight w:val="none"/>
                <w:lang w:val="en-US" w:eastAsia="zh-CN"/>
              </w:rPr>
              <w:t>根据现状调查和有关资料显示，项目区不涉及国家级和</w:t>
            </w:r>
            <w:r>
              <w:rPr>
                <w:rStyle w:val="119"/>
                <w:rFonts w:hint="eastAsia" w:eastAsia="宋体" w:cs="Times New Roman"/>
                <w:color w:val="auto"/>
                <w:sz w:val="24"/>
                <w:highlight w:val="none"/>
                <w:lang w:val="en-US" w:eastAsia="zh-CN"/>
              </w:rPr>
              <w:t>自治区级</w:t>
            </w:r>
            <w:r>
              <w:rPr>
                <w:rStyle w:val="119"/>
                <w:rFonts w:hint="eastAsia" w:ascii="Times New Roman" w:hAnsi="Times New Roman" w:eastAsia="宋体" w:cs="Times New Roman"/>
                <w:color w:val="auto"/>
                <w:sz w:val="24"/>
                <w:highlight w:val="none"/>
                <w:lang w:val="en-US" w:eastAsia="zh-CN"/>
              </w:rPr>
              <w:t>保护植物。</w:t>
            </w:r>
          </w:p>
          <w:p>
            <w:pPr>
              <w:keepNext w:val="0"/>
              <w:keepLines w:val="0"/>
              <w:widowControl/>
              <w:suppressLineNumbers w:val="0"/>
              <w:ind w:left="0" w:leftChars="0" w:firstLine="480" w:firstLineChars="200"/>
              <w:jc w:val="both"/>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②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评价区植被类型</w:t>
            </w:r>
          </w:p>
          <w:p>
            <w:pPr>
              <w:keepNext w:val="0"/>
              <w:keepLines w:val="0"/>
              <w:widowControl/>
              <w:suppressLineNumbers w:val="0"/>
              <w:jc w:val="both"/>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评价区的显域植被以小半灌木荒漠与小半乔木荒漠占优势，主要分布在砾 石戈壁区。主要组成植物有盐生假木贼、驼绒藜等。评价区范围内植物群落较为单一，植被覆盖度在</w:t>
            </w:r>
            <w:r>
              <w:rPr>
                <w:rFonts w:hint="eastAsia" w:cs="Times New Roman"/>
                <w:color w:val="000000" w:themeColor="text1"/>
                <w:kern w:val="0"/>
                <w:sz w:val="24"/>
                <w:szCs w:val="24"/>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%左右。</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项目</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周围未发现需重点保护的珍稀、濒危植物。</w:t>
            </w:r>
          </w:p>
          <w:p>
            <w:pPr>
              <w:keepNext w:val="0"/>
              <w:keepLines w:val="0"/>
              <w:widowControl/>
              <w:suppressLineNumbers w:val="0"/>
              <w:jc w:val="both"/>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野生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动物</w:t>
            </w:r>
            <w:r>
              <w:rPr>
                <w:rFonts w:hint="eastAsia" w:cs="Times New Roman"/>
                <w:color w:val="000000" w:themeColor="text1"/>
                <w:kern w:val="0"/>
                <w:sz w:val="24"/>
                <w:szCs w:val="24"/>
                <w:lang w:val="en-US" w:eastAsia="zh-CN" w:bidi="ar"/>
                <w14:textFill>
                  <w14:solidFill>
                    <w14:schemeClr w14:val="tx1"/>
                  </w14:solidFill>
                </w14:textFill>
              </w:rPr>
              <w:t>调查与评价</w:t>
            </w:r>
          </w:p>
          <w:p>
            <w:pPr>
              <w:adjustRightInd w:val="0"/>
              <w:snapToGrid w:val="0"/>
              <w:spacing w:line="360" w:lineRule="auto"/>
              <w:ind w:firstLine="480" w:firstLineChars="200"/>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评价区地处温带，在动物地理区划上属古北界-中亚亚界-蒙新区-准噶尔亚区-准噶尔盆地省。评价区环境恶劣，气候干旱，植被稀疏，水资源匮乏，有耐旱荒漠种的一些小型野生动物（指脊椎动物中的兽类、鸟类、爬行类和两栖类）约20多种，以耐早荒漠种为主，诸如快步麻蜥、二斑</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百灵</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、小沙百灵、子午沙鼠、五趾跳鼠等典型中亚型种，充分体现了本区动物区系的特征是以中亚型荒漠成分为主。</w:t>
            </w:r>
            <w:r>
              <w:rPr>
                <w:rStyle w:val="119"/>
                <w:rFonts w:hint="default" w:ascii="Times New Roman" w:hAnsi="Times New Roman" w:cs="Times New Roman"/>
                <w:color w:val="000000" w:themeColor="text1"/>
                <w:sz w:val="24"/>
                <w:highlight w:val="none"/>
                <w14:textFill>
                  <w14:solidFill>
                    <w14:schemeClr w14:val="tx1"/>
                  </w14:solidFill>
                </w14:textFill>
              </w:rPr>
              <w:t>本项目所在区域主要为</w:t>
            </w:r>
            <w:r>
              <w:rPr>
                <w:rFonts w:hint="eastAsia" w:ascii="Times New Roman" w:hAnsi="Times New Roman" w:cs="Times New Roman"/>
                <w:snapToGrid w:val="0"/>
                <w:color w:val="000000" w:themeColor="text1"/>
                <w:sz w:val="24"/>
                <w:highlight w:val="none"/>
                <w:lang w:val="en-US" w:eastAsia="zh-CN"/>
                <w14:textFill>
                  <w14:solidFill>
                    <w14:schemeClr w14:val="tx1"/>
                  </w14:solidFill>
                </w14:textFill>
              </w:rPr>
              <w:t>未利用</w:t>
            </w:r>
            <w:r>
              <w:rPr>
                <w:rFonts w:hint="default" w:ascii="Times New Roman" w:hAnsi="Times New Roman" w:cs="Times New Roman"/>
                <w:snapToGrid w:val="0"/>
                <w:color w:val="000000" w:themeColor="text1"/>
                <w:sz w:val="24"/>
                <w:highlight w:val="none"/>
                <w14:textFill>
                  <w14:solidFill>
                    <w14:schemeClr w14:val="tx1"/>
                  </w14:solidFill>
                </w14:textFill>
              </w:rPr>
              <w:t>地，</w:t>
            </w:r>
            <w:r>
              <w:rPr>
                <w:rStyle w:val="119"/>
                <w:rFonts w:hint="default" w:ascii="Times New Roman" w:hAnsi="Times New Roman" w:eastAsia="宋体" w:cs="Times New Roman"/>
                <w:color w:val="000000" w:themeColor="text1"/>
                <w:sz w:val="24"/>
                <w:highlight w:val="none"/>
                <w14:textFill>
                  <w14:solidFill>
                    <w14:schemeClr w14:val="tx1"/>
                  </w14:solidFill>
                </w14:textFill>
              </w:rPr>
              <w:t>由于评价区环境恶劣，气候干旱，在此区域分布的野生动物相对数量就少，再加上保护对象自身的因素即生态系统和物种种群的脆弱性、人类活动的威胁和干扰，使得此区域的野生动物数量越来越少。</w:t>
            </w:r>
            <w:r>
              <w:rPr>
                <w:rStyle w:val="119"/>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根据现状调查和有关资料显示，项目区野生动物主要有跳鼠、沙蜥等，大、中型哺乳动物分布非常稀少，项目区不涉及珍稀濒危及国家级和</w:t>
            </w:r>
            <w:r>
              <w:rPr>
                <w:rStyle w:val="119"/>
                <w:rFonts w:hint="eastAsia" w:cs="Times New Roman"/>
                <w:color w:val="000000" w:themeColor="text1"/>
                <w:sz w:val="24"/>
                <w:highlight w:val="none"/>
                <w:lang w:val="en-US" w:eastAsia="zh-CN"/>
                <w14:textFill>
                  <w14:solidFill>
                    <w14:schemeClr w14:val="tx1"/>
                  </w14:solidFill>
                </w14:textFill>
              </w:rPr>
              <w:t>自治区级</w:t>
            </w:r>
            <w:r>
              <w:rPr>
                <w:rStyle w:val="119"/>
                <w:rFonts w:hint="eastAsia" w:ascii="Times New Roman" w:hAnsi="Times New Roman" w:eastAsia="宋体" w:cs="Times New Roman"/>
                <w:color w:val="000000" w:themeColor="text1"/>
                <w:sz w:val="24"/>
                <w:highlight w:val="none"/>
                <w:lang w:val="en-US" w:eastAsia="zh-CN"/>
                <w14:textFill>
                  <w14:solidFill>
                    <w14:schemeClr w14:val="tx1"/>
                  </w14:solidFill>
                </w14:textFill>
              </w:rPr>
              <w:t>保护动物</w:t>
            </w:r>
            <w:bookmarkStart w:id="44" w:name="_Toc16289"/>
            <w:bookmarkStart w:id="45" w:name="_Toc722"/>
            <w:r>
              <w:rPr>
                <w:rStyle w:val="119"/>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bookmarkEnd w:id="44"/>
            <w:bookmarkEnd w:id="45"/>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评价区野生动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物名录见表</w:t>
            </w:r>
            <w:r>
              <w:rPr>
                <w:rFonts w:hint="eastAsia" w:cs="Times New Roman"/>
                <w:color w:val="000000" w:themeColor="text1"/>
                <w:kern w:val="0"/>
                <w:sz w:val="24"/>
                <w:szCs w:val="24"/>
                <w:highlight w:val="none"/>
                <w:lang w:val="en-US" w:eastAsia="zh-CN" w:bidi="ar"/>
                <w14:textFill>
                  <w14:solidFill>
                    <w14:schemeClr w14:val="tx1"/>
                  </w14:solidFill>
                </w14:textFill>
              </w:rPr>
              <w:t>3-3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firstLine="0" w:firstLineChars="0"/>
              <w:jc w:val="center"/>
              <w:textAlignment w:val="auto"/>
              <w:rPr>
                <w:color w:val="000000" w:themeColor="text1"/>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eastAsia" w:cs="Times New Roman"/>
                <w:b/>
                <w:bCs/>
                <w:color w:val="000000" w:themeColor="text1"/>
                <w:sz w:val="24"/>
                <w:szCs w:val="24"/>
                <w:highlight w:val="none"/>
                <w:lang w:val="en-US" w:eastAsia="zh-CN"/>
                <w14:textFill>
                  <w14:solidFill>
                    <w14:schemeClr w14:val="tx1"/>
                  </w14:solidFill>
                </w14:textFill>
              </w:rPr>
              <w:t>3-3</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评价区主要动物名录</w:t>
            </w:r>
          </w:p>
          <w:tbl>
            <w:tblPr>
              <w:tblStyle w:val="107"/>
              <w:tblW w:w="825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71"/>
              <w:gridCol w:w="1628"/>
              <w:gridCol w:w="2946"/>
              <w:gridCol w:w="1148"/>
              <w:gridCol w:w="13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种类</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学 名</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频度</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保护级别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087"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爬行类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荒漠麻蜥</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Eremias przewalskii</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东疆麻蜥</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Phryn</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o</w:t>
                  </w:r>
                  <w:r>
                    <w:rPr>
                      <w:rFonts w:hint="default" w:ascii="Times New Roman" w:hAnsi="Times New Roman" w:eastAsia="宋体" w:cs="Times New Roman"/>
                      <w:i/>
                      <w:iCs/>
                      <w:color w:val="000000" w:themeColor="text1"/>
                      <w:sz w:val="21"/>
                      <w:szCs w:val="21"/>
                      <w14:textFill>
                        <w14:solidFill>
                          <w14:schemeClr w14:val="tx1"/>
                        </w14:solidFill>
                      </w14:textFill>
                    </w:rPr>
                    <w:t>cephalus gru</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m</w:t>
                  </w:r>
                  <w:r>
                    <w:rPr>
                      <w:rFonts w:hint="default" w:ascii="Times New Roman" w:hAnsi="Times New Roman" w:eastAsia="宋体" w:cs="Times New Roman"/>
                      <w:i/>
                      <w:iCs/>
                      <w:color w:val="000000" w:themeColor="text1"/>
                      <w:sz w:val="21"/>
                      <w:szCs w:val="21"/>
                      <w14:textFill>
                        <w14:solidFill>
                          <w14:schemeClr w14:val="tx1"/>
                        </w14:solidFill>
                      </w14:textFill>
                    </w:rPr>
                    <w:t>gri</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z</w:t>
                  </w:r>
                  <w:r>
                    <w:rPr>
                      <w:rFonts w:hint="default" w:ascii="Times New Roman" w:hAnsi="Times New Roman" w:eastAsia="宋体" w:cs="Times New Roman"/>
                      <w:i/>
                      <w:iCs/>
                      <w:color w:val="000000" w:themeColor="text1"/>
                      <w:sz w:val="21"/>
                      <w:szCs w:val="21"/>
                      <w14:textFill>
                        <w14:solidFill>
                          <w14:schemeClr w14:val="tx1"/>
                        </w14:solidFill>
                      </w14:textFill>
                    </w:rPr>
                    <w:t>imaloi</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快步麻蜥</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Eremias velox</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奇台沙蜥</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Phryn</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o</w:t>
                  </w:r>
                  <w:r>
                    <w:rPr>
                      <w:rFonts w:hint="default" w:ascii="Times New Roman" w:hAnsi="Times New Roman" w:eastAsia="宋体" w:cs="Times New Roman"/>
                      <w:i/>
                      <w:iCs/>
                      <w:color w:val="000000" w:themeColor="text1"/>
                      <w:sz w:val="21"/>
                      <w:szCs w:val="21"/>
                      <w14:textFill>
                        <w14:solidFill>
                          <w14:schemeClr w14:val="tx1"/>
                        </w14:solidFill>
                      </w14:textFill>
                    </w:rPr>
                    <w:t>cephalus grumgr</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iz</w:t>
                  </w:r>
                  <w:r>
                    <w:rPr>
                      <w:rFonts w:hint="default" w:ascii="Times New Roman" w:hAnsi="Times New Roman" w:eastAsia="宋体" w:cs="Times New Roman"/>
                      <w:i/>
                      <w:iCs/>
                      <w:color w:val="000000" w:themeColor="text1"/>
                      <w:sz w:val="21"/>
                      <w:szCs w:val="21"/>
                      <w14:textFill>
                        <w14:solidFill>
                          <w14:schemeClr w14:val="tx1"/>
                        </w14:solidFill>
                      </w14:textFill>
                    </w:rPr>
                    <w:t>imailoi</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c>
                <w:tcPr>
                  <w:tcW w:w="7087"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兽类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小五趾跳鼠</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Allac</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t</w:t>
                  </w:r>
                  <w:r>
                    <w:rPr>
                      <w:rFonts w:hint="default" w:ascii="Times New Roman" w:hAnsi="Times New Roman" w:eastAsia="宋体" w:cs="Times New Roman"/>
                      <w:i/>
                      <w:iCs/>
                      <w:color w:val="000000" w:themeColor="text1"/>
                      <w:sz w:val="21"/>
                      <w:szCs w:val="21"/>
                      <w14:textFill>
                        <w14:solidFill>
                          <w14:schemeClr w14:val="tx1"/>
                        </w14:solidFill>
                      </w14:textFill>
                    </w:rPr>
                    <w:t>agesib</w:t>
                  </w:r>
                  <w:r>
                    <w:rPr>
                      <w:rFonts w:hint="eastAsia" w:ascii="Times New Roman" w:hAnsi="Times New Roman" w:eastAsia="宋体" w:cs="Times New Roman"/>
                      <w:i/>
                      <w:iCs/>
                      <w:color w:val="000000" w:themeColor="text1"/>
                      <w:sz w:val="21"/>
                      <w:szCs w:val="21"/>
                      <w:lang w:val="en-US" w:eastAsia="zh-CN"/>
                      <w14:textFill>
                        <w14:solidFill>
                          <w14:schemeClr w14:val="tx1"/>
                        </w14:solidFill>
                      </w14:textFill>
                    </w:rPr>
                    <w:t>i</w:t>
                  </w:r>
                  <w:r>
                    <w:rPr>
                      <w:rFonts w:hint="default" w:ascii="Times New Roman" w:hAnsi="Times New Roman" w:eastAsia="宋体" w:cs="Times New Roman"/>
                      <w:i/>
                      <w:iCs/>
                      <w:color w:val="000000" w:themeColor="text1"/>
                      <w:sz w:val="21"/>
                      <w:szCs w:val="21"/>
                      <w14:textFill>
                        <w14:solidFill>
                          <w14:schemeClr w14:val="tx1"/>
                        </w14:solidFill>
                      </w14:textFill>
                    </w:rPr>
                    <w:t>rca</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子午沙鼠</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Merionesmeridiamas</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红尾沙鼠</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Merioneserythrourus</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柽柳沙鼠</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Merionestamariscinus</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c>
                <w:tcPr>
                  <w:tcW w:w="7087"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鸟类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凤头百灵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 xml:space="preserve"> </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新疆亚种</w:t>
                  </w:r>
                  <w:r>
                    <w:rPr>
                      <w:rFonts w:hint="eastAsia" w:cs="Times New Roman"/>
                      <w:color w:val="000000" w:themeColor="text1"/>
                      <w:sz w:val="21"/>
                      <w:szCs w:val="21"/>
                      <w:lang w:eastAsia="zh-CN"/>
                      <w14:textFill>
                        <w14:solidFill>
                          <w14:schemeClr w14:val="tx1"/>
                        </w14:solidFill>
                      </w14:textFill>
                    </w:rPr>
                    <w:t>）</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Galeruiacriatata</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117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6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小沙百灵</w:t>
                  </w:r>
                </w:p>
              </w:tc>
              <w:tc>
                <w:tcPr>
                  <w:tcW w:w="294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iCs/>
                      <w:color w:val="000000" w:themeColor="text1"/>
                      <w:sz w:val="21"/>
                      <w:szCs w:val="21"/>
                      <w14:textFill>
                        <w14:solidFill>
                          <w14:schemeClr w14:val="tx1"/>
                        </w14:solidFill>
                      </w14:textFill>
                    </w:rPr>
                  </w:pPr>
                  <w:r>
                    <w:rPr>
                      <w:rFonts w:hint="default" w:ascii="Times New Roman" w:hAnsi="Times New Roman" w:eastAsia="宋体" w:cs="Times New Roman"/>
                      <w:i/>
                      <w:iCs/>
                      <w:color w:val="000000" w:themeColor="text1"/>
                      <w:sz w:val="21"/>
                      <w:szCs w:val="21"/>
                      <w14:textFill>
                        <w14:solidFill>
                          <w14:schemeClr w14:val="tx1"/>
                        </w14:solidFill>
                      </w14:textFill>
                    </w:rPr>
                    <w:t>Calandrellarufescens</w:t>
                  </w:r>
                </w:p>
              </w:tc>
              <w:tc>
                <w:tcPr>
                  <w:tcW w:w="114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keepNext w:val="0"/>
              <w:keepLines w:val="0"/>
              <w:pageBreakBefore w:val="0"/>
              <w:widowControl/>
              <w:suppressLineNumbers w:val="0"/>
              <w:kinsoku/>
              <w:wordWrap/>
              <w:overflowPunct/>
              <w:topLinePunct w:val="0"/>
              <w:autoSpaceDE/>
              <w:autoSpaceDN/>
              <w:bidi w:val="0"/>
              <w:adjustRightInd/>
              <w:snapToGrid/>
              <w:spacing w:before="157" w:beforeLines="5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5</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）土地沙化现状</w:t>
            </w:r>
          </w:p>
          <w:p>
            <w:pPr>
              <w:adjustRightInd w:val="0"/>
              <w:snapToGrid w:val="0"/>
              <w:spacing w:line="360" w:lineRule="auto"/>
              <w:ind w:firstLine="480" w:firstLineChars="200"/>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奇台县</w:t>
            </w:r>
            <w:r>
              <w:rPr>
                <w:rFonts w:hint="default" w:ascii="Times New Roman" w:hAnsi="Times New Roman" w:cs="Times New Roman"/>
                <w:color w:val="000000" w:themeColor="text1"/>
                <w:sz w:val="24"/>
                <w:highlight w:val="none"/>
                <w14:textFill>
                  <w14:solidFill>
                    <w14:schemeClr w14:val="tx1"/>
                  </w14:solidFill>
                </w14:textFill>
              </w:rPr>
              <w:t>沙化土地总面积为459237.25hm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，占</w:t>
            </w:r>
            <w:r>
              <w:rPr>
                <w:rFonts w:hint="eastAsia" w:ascii="Times New Roman" w:hAnsi="Times New Roman" w:cs="Times New Roman"/>
                <w:color w:val="000000" w:themeColor="text1"/>
                <w:sz w:val="24"/>
                <w:highlight w:val="none"/>
                <w:lang w:eastAsia="zh-CN"/>
                <w14:textFill>
                  <w14:solidFill>
                    <w14:schemeClr w14:val="tx1"/>
                  </w14:solidFill>
                </w14:textFill>
              </w:rPr>
              <w:t>奇台县</w:t>
            </w:r>
            <w:r>
              <w:rPr>
                <w:rFonts w:hint="default" w:ascii="Times New Roman" w:hAnsi="Times New Roman" w:cs="Times New Roman"/>
                <w:color w:val="000000" w:themeColor="text1"/>
                <w:sz w:val="24"/>
                <w:highlight w:val="none"/>
                <w14:textFill>
                  <w14:solidFill>
                    <w14:schemeClr w14:val="tx1"/>
                  </w14:solidFill>
                </w14:textFill>
              </w:rPr>
              <w:t>国土总面积的34.52%。其中：流动沙地34406.37hm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，占7.49%；半固定沙地25477hm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，占5.55%；固定沙地66374.09hm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，占14.45%；戈壁332979.36hm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，占72.51%。</w:t>
            </w:r>
            <w:r>
              <w:rPr>
                <w:rFonts w:hint="default" w:ascii="Times New Roman" w:hAnsi="Times New Roman" w:cs="Times New Roman"/>
                <w:color w:val="000000" w:themeColor="text1"/>
                <w:sz w:val="24"/>
                <w:highlight w:val="none"/>
                <w:lang w:val="en-US" w:eastAsia="zh-CN"/>
                <w14:textFill>
                  <w14:solidFill>
                    <w14:schemeClr w14:val="tx1"/>
                  </w14:solidFill>
                </w14:textFill>
              </w:rPr>
              <w:t>本项目占地为戈壁。</w:t>
            </w:r>
            <w:r>
              <w:rPr>
                <w:rFonts w:hint="eastAsia" w:ascii="宋体" w:hAnsi="宋体" w:eastAsia="宋体" w:cs="宋体"/>
                <w:color w:val="000000" w:themeColor="text1"/>
                <w:kern w:val="0"/>
                <w:sz w:val="24"/>
                <w:szCs w:val="24"/>
                <w:lang w:val="en-US" w:eastAsia="zh-CN" w:bidi="ar"/>
                <w14:textFill>
                  <w14:solidFill>
                    <w14:schemeClr w14:val="tx1"/>
                  </w14:solidFill>
                </w14:textFill>
              </w:rPr>
              <w:t>拟建场区位于新疆维吾尔自治区奇台县境内，交通条件一般。</w:t>
            </w:r>
          </w:p>
          <w:p>
            <w:pPr>
              <w:numPr>
                <w:ilvl w:val="0"/>
                <w:numId w:val="0"/>
              </w:numPr>
              <w:rPr>
                <w:rFonts w:hint="eastAsia"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2、大气环境质量现状</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（1）项目所在区域达标判定</w:t>
            </w:r>
          </w:p>
          <w:p>
            <w:pPr>
              <w:adjustRightInd w:val="0"/>
              <w:snapToGrid w:val="0"/>
              <w:spacing w:line="360" w:lineRule="auto"/>
              <w:ind w:firstLine="480" w:firstLineChars="200"/>
              <w:jc w:val="left"/>
              <w:rPr>
                <w:rFonts w:hint="eastAsia"/>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本项目位于</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奇台县</w:t>
            </w:r>
            <w:r>
              <w:rPr>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参照</w:t>
            </w:r>
            <w:r>
              <w:rPr>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环境空气质量功能区划分原则与技术方法</w:t>
            </w:r>
            <w:r>
              <w:rPr>
                <w:bCs/>
                <w:color w:val="000000" w:themeColor="text1"/>
                <w:sz w:val="24"/>
                <w:highlight w:val="none"/>
                <w14:textFill>
                  <w14:solidFill>
                    <w14:schemeClr w14:val="tx1"/>
                  </w14:solidFill>
                </w14:textFill>
              </w:rPr>
              <w:t>》（HJ</w:t>
            </w:r>
            <w:r>
              <w:rPr>
                <w:rFonts w:hint="eastAsia"/>
                <w:bCs/>
                <w:color w:val="000000" w:themeColor="text1"/>
                <w:sz w:val="24"/>
                <w:highlight w:val="none"/>
                <w14:textFill>
                  <w14:solidFill>
                    <w14:schemeClr w14:val="tx1"/>
                  </w14:solidFill>
                </w14:textFill>
              </w:rPr>
              <w:t>14-1996</w:t>
            </w:r>
            <w:r>
              <w:rPr>
                <w:bCs/>
                <w:color w:val="000000" w:themeColor="text1"/>
                <w:sz w:val="24"/>
                <w:highlight w:val="none"/>
                <w14:textFill>
                  <w14:solidFill>
                    <w14:schemeClr w14:val="tx1"/>
                  </w14:solidFill>
                </w14:textFill>
              </w:rPr>
              <w:t>）</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项目所在地环境空气质量功能区属二类区</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执行《环境空气质量标准》（GB3095-2012</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二级标准。</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（2）数据来源</w:t>
            </w:r>
          </w:p>
          <w:p>
            <w:pPr>
              <w:adjustRightInd w:val="0"/>
              <w:snapToGrid w:val="0"/>
              <w:spacing w:line="360" w:lineRule="auto"/>
              <w:ind w:firstLine="480" w:firstLineChars="200"/>
              <w:jc w:val="left"/>
              <w:rPr>
                <w:color w:val="000000" w:themeColor="text1"/>
                <w:sz w:val="24"/>
                <w:highlight w:val="yellow"/>
                <w14:textFill>
                  <w14:solidFill>
                    <w14:schemeClr w14:val="tx1"/>
                  </w14:solidFill>
                </w14:textFill>
              </w:rPr>
            </w:pPr>
            <w:r>
              <w:rPr>
                <w:color w:val="000000" w:themeColor="text1"/>
                <w:sz w:val="24"/>
                <w:highlight w:val="none"/>
                <w14:textFill>
                  <w14:solidFill>
                    <w14:schemeClr w14:val="tx1"/>
                  </w14:solidFill>
                </w14:textFill>
              </w:rPr>
              <w:t>根据《环境影响评价技术导则 大气环境》（HJ2.2-2018）要求，</w:t>
            </w:r>
            <w:r>
              <w:rPr>
                <w:rFonts w:hint="default" w:ascii="Times New Roman" w:hAnsi="Times New Roman" w:eastAsia="宋体" w:cs="Times New Roman"/>
                <w:color w:val="000000" w:themeColor="text1"/>
                <w:sz w:val="24"/>
                <w:highlight w:val="none"/>
                <w14:textFill>
                  <w14:solidFill>
                    <w14:schemeClr w14:val="tx1"/>
                  </w14:solidFill>
                </w14:textFill>
              </w:rPr>
              <w:t>基本污染物按照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奇台县</w:t>
            </w:r>
            <w:r>
              <w:rPr>
                <w:rFonts w:hint="eastAsia"/>
                <w:color w:val="000000" w:themeColor="text1"/>
                <w:sz w:val="24"/>
                <w:highlight w:val="none"/>
                <w:lang w:val="en-US" w:eastAsia="zh-CN"/>
                <w14:textFill>
                  <w14:solidFill>
                    <w14:schemeClr w14:val="tx1"/>
                  </w14:solidFill>
                </w14:textFill>
              </w:rPr>
              <w:t>监测站2022年基准年连续1年的监测数据</w:t>
            </w:r>
            <w:r>
              <w:rPr>
                <w:rFonts w:hint="default" w:ascii="Times New Roman" w:hAnsi="Times New Roman" w:eastAsia="宋体" w:cs="Times New Roman"/>
                <w:color w:val="000000" w:themeColor="text1"/>
                <w:sz w:val="24"/>
                <w:highlight w:val="none"/>
                <w14:textFill>
                  <w14:solidFill>
                    <w14:schemeClr w14:val="tx1"/>
                  </w14:solidFill>
                </w14:textFill>
              </w:rPr>
              <w:t>进行判定</w:t>
            </w:r>
            <w:r>
              <w:rPr>
                <w:rFonts w:hint="eastAsia"/>
                <w:color w:val="000000" w:themeColor="text1"/>
                <w:sz w:val="24"/>
                <w:highlight w:val="none"/>
                <w:lang w:val="en-US" w:eastAsia="zh-CN"/>
                <w14:textFill>
                  <w14:solidFill>
                    <w14:schemeClr w14:val="tx1"/>
                  </w14:solidFill>
                </w14:textFill>
              </w:rPr>
              <w:t>，</w:t>
            </w:r>
            <w:r>
              <w:rPr>
                <w:color w:val="000000" w:themeColor="text1"/>
                <w:sz w:val="24"/>
                <w:highlight w:val="none"/>
                <w14:textFill>
                  <w14:solidFill>
                    <w14:schemeClr w14:val="tx1"/>
                  </w14:solidFill>
                </w14:textFill>
              </w:rPr>
              <w:t>基本污染物包括SO</w:t>
            </w:r>
            <w:r>
              <w:rPr>
                <w:bCs/>
                <w:color w:val="000000" w:themeColor="text1"/>
                <w:sz w:val="24"/>
                <w:highlight w:val="none"/>
                <w:vertAlign w:val="subscript"/>
                <w14:textFill>
                  <w14:solidFill>
                    <w14:schemeClr w14:val="tx1"/>
                  </w14:solidFill>
                </w14:textFill>
              </w:rPr>
              <w:t>2</w:t>
            </w:r>
            <w:r>
              <w:rPr>
                <w:color w:val="000000" w:themeColor="text1"/>
                <w:sz w:val="24"/>
                <w:highlight w:val="none"/>
                <w14:textFill>
                  <w14:solidFill>
                    <w14:schemeClr w14:val="tx1"/>
                  </w14:solidFill>
                </w14:textFill>
              </w:rPr>
              <w:t>、NO</w:t>
            </w:r>
            <w:r>
              <w:rPr>
                <w:bCs/>
                <w:color w:val="000000" w:themeColor="text1"/>
                <w:sz w:val="24"/>
                <w:highlight w:val="none"/>
                <w:vertAlign w:val="subscript"/>
                <w14:textFill>
                  <w14:solidFill>
                    <w14:schemeClr w14:val="tx1"/>
                  </w14:solidFill>
                </w14:textFill>
              </w:rPr>
              <w:t>2</w:t>
            </w:r>
            <w:r>
              <w:rPr>
                <w:color w:val="000000" w:themeColor="text1"/>
                <w:sz w:val="24"/>
                <w:highlight w:val="none"/>
                <w14:textFill>
                  <w14:solidFill>
                    <w14:schemeClr w14:val="tx1"/>
                  </w14:solidFill>
                </w14:textFill>
              </w:rPr>
              <w:t>、PM</w:t>
            </w:r>
            <w:r>
              <w:rPr>
                <w:bCs/>
                <w:color w:val="000000" w:themeColor="text1"/>
                <w:sz w:val="24"/>
                <w:highlight w:val="none"/>
                <w:vertAlign w:val="subscript"/>
                <w14:textFill>
                  <w14:solidFill>
                    <w14:schemeClr w14:val="tx1"/>
                  </w14:solidFill>
                </w14:textFill>
              </w:rPr>
              <w:t>10</w:t>
            </w:r>
            <w:r>
              <w:rPr>
                <w:color w:val="000000" w:themeColor="text1"/>
                <w:sz w:val="24"/>
                <w:highlight w:val="none"/>
                <w14:textFill>
                  <w14:solidFill>
                    <w14:schemeClr w14:val="tx1"/>
                  </w14:solidFill>
                </w14:textFill>
              </w:rPr>
              <w:t>、PM</w:t>
            </w:r>
            <w:r>
              <w:rPr>
                <w:bCs/>
                <w:color w:val="000000" w:themeColor="text1"/>
                <w:sz w:val="24"/>
                <w:highlight w:val="none"/>
                <w:vertAlign w:val="subscript"/>
                <w14:textFill>
                  <w14:solidFill>
                    <w14:schemeClr w14:val="tx1"/>
                  </w14:solidFill>
                </w14:textFill>
              </w:rPr>
              <w:t>2.5</w:t>
            </w:r>
            <w:r>
              <w:rPr>
                <w:color w:val="000000" w:themeColor="text1"/>
                <w:sz w:val="24"/>
                <w:highlight w:val="none"/>
                <w14:textFill>
                  <w14:solidFill>
                    <w14:schemeClr w14:val="tx1"/>
                  </w14:solidFill>
                </w14:textFill>
              </w:rPr>
              <w:t>、CO和O</w:t>
            </w:r>
            <w:r>
              <w:rPr>
                <w:bCs/>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，进行项目所在区域环境空气达标判定和区域各污染物的环境质量现状评价。</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（3）评价标准</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根据本项目所在区域的环境功能区划，基本污染物及特征污染物执行《环境空气质量标准》（GB3095</w:t>
            </w:r>
            <w:r>
              <w:rPr>
                <w:rFonts w:hint="eastAsia"/>
                <w:color w:val="000000" w:themeColor="text1"/>
                <w:sz w:val="24"/>
                <w:highlight w:val="none"/>
                <w:lang w:val="en-US" w:eastAsia="zh-CN"/>
                <w14:textFill>
                  <w14:solidFill>
                    <w14:schemeClr w14:val="tx1"/>
                  </w14:solidFill>
                </w14:textFill>
              </w:rPr>
              <w:t>-</w:t>
            </w:r>
            <w:r>
              <w:rPr>
                <w:color w:val="000000" w:themeColor="text1"/>
                <w:sz w:val="24"/>
                <w:highlight w:val="none"/>
                <w14:textFill>
                  <w14:solidFill>
                    <w14:schemeClr w14:val="tx1"/>
                  </w14:solidFill>
                </w14:textFill>
              </w:rPr>
              <w:t>2012）中的二级标准</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详</w:t>
            </w:r>
            <w:r>
              <w:rPr>
                <w:rFonts w:hint="eastAsia"/>
                <w:color w:val="000000" w:themeColor="text1"/>
                <w:sz w:val="24"/>
                <w:highlight w:val="none"/>
                <w14:textFill>
                  <w14:solidFill>
                    <w14:schemeClr w14:val="tx1"/>
                  </w14:solidFill>
                </w14:textFill>
              </w:rPr>
              <w:t>见表</w:t>
            </w:r>
            <w:r>
              <w:rPr>
                <w:rFonts w:hint="eastAsia"/>
                <w:color w:val="000000" w:themeColor="text1"/>
                <w:sz w:val="24"/>
                <w:highlight w:val="none"/>
                <w:lang w:val="en-US" w:eastAsia="zh-CN"/>
                <w14:textFill>
                  <w14:solidFill>
                    <w14:schemeClr w14:val="tx1"/>
                  </w14:solidFill>
                </w14:textFill>
              </w:rPr>
              <w:t>3-4</w:t>
            </w:r>
            <w:r>
              <w:rPr>
                <w:rFonts w:hint="eastAsia"/>
                <w:color w:val="000000" w:themeColor="text1"/>
                <w:sz w:val="24"/>
                <w:highlight w:val="none"/>
                <w14:textFill>
                  <w14:solidFill>
                    <w14:schemeClr w14:val="tx1"/>
                  </w14:solidFill>
                </w14:textFill>
              </w:rPr>
              <w:t>。</w:t>
            </w:r>
          </w:p>
          <w:p>
            <w:pPr>
              <w:pStyle w:val="45"/>
              <w:bidi w:val="0"/>
              <w:ind w:firstLine="2310" w:firstLineChars="1100"/>
              <w:rPr>
                <w:b w:val="0"/>
                <w:bCs/>
                <w:color w:val="000000" w:themeColor="text1"/>
                <w:highlight w:val="none"/>
                <w:lang w:val="en-US" w:eastAsia="zh-CN"/>
                <w14:textFill>
                  <w14:solidFill>
                    <w14:schemeClr w14:val="tx1"/>
                  </w14:solidFill>
                </w14:textFill>
              </w:rPr>
            </w:pPr>
            <w:r>
              <w:rPr>
                <w:rFonts w:hint="eastAsia"/>
                <w:b w:val="0"/>
                <w:bCs/>
                <w:color w:val="000000" w:themeColor="text1"/>
                <w:highlight w:val="none"/>
                <w:lang w:val="en-US" w:eastAsia="zh-CN"/>
                <w14:textFill>
                  <w14:solidFill>
                    <w14:schemeClr w14:val="tx1"/>
                  </w14:solidFill>
                </w14:textFill>
              </w:rPr>
              <w:t>表3-4环境空气质量标准</w:t>
            </w:r>
          </w:p>
          <w:tbl>
            <w:tblPr>
              <w:tblStyle w:val="35"/>
              <w:tblW w:w="7917" w:type="dxa"/>
              <w:jc w:val="center"/>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458"/>
              <w:gridCol w:w="2519"/>
              <w:gridCol w:w="2193"/>
              <w:gridCol w:w="1073"/>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tcBorders>
                    <w:bottom w:val="single" w:color="000000" w:sz="12" w:space="0"/>
                  </w:tcBorders>
                  <w:noWrap w:val="0"/>
                  <w:vAlign w:val="center"/>
                </w:tcPr>
                <w:p>
                  <w:pPr>
                    <w:pStyle w:val="21"/>
                    <w:adjustRightInd w:val="0"/>
                    <w:snapToGrid w:val="0"/>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序号</w:t>
                  </w:r>
                </w:p>
              </w:tc>
              <w:tc>
                <w:tcPr>
                  <w:tcW w:w="1458" w:type="dxa"/>
                  <w:tcBorders>
                    <w:bottom w:val="single" w:color="000000" w:sz="12" w:space="0"/>
                  </w:tcBorders>
                  <w:noWrap w:val="0"/>
                  <w:vAlign w:val="center"/>
                </w:tcPr>
                <w:p>
                  <w:pPr>
                    <w:pStyle w:val="21"/>
                    <w:adjustRightInd w:val="0"/>
                    <w:snapToGrid w:val="0"/>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污染物项目</w:t>
                  </w:r>
                </w:p>
              </w:tc>
              <w:tc>
                <w:tcPr>
                  <w:tcW w:w="2519" w:type="dxa"/>
                  <w:tcBorders>
                    <w:bottom w:val="single" w:color="000000" w:sz="12" w:space="0"/>
                  </w:tcBorders>
                  <w:noWrap w:val="0"/>
                  <w:vAlign w:val="center"/>
                </w:tcPr>
                <w:p>
                  <w:pPr>
                    <w:pStyle w:val="21"/>
                    <w:adjustRightInd w:val="0"/>
                    <w:snapToGrid w:val="0"/>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平均时间</w:t>
                  </w:r>
                </w:p>
              </w:tc>
              <w:tc>
                <w:tcPr>
                  <w:tcW w:w="2193" w:type="dxa"/>
                  <w:tcBorders>
                    <w:bottom w:val="single" w:color="000000" w:sz="12" w:space="0"/>
                  </w:tcBorders>
                  <w:noWrap w:val="0"/>
                  <w:vAlign w:val="center"/>
                </w:tcPr>
                <w:p>
                  <w:pPr>
                    <w:pStyle w:val="21"/>
                    <w:adjustRightInd w:val="0"/>
                    <w:snapToGrid w:val="0"/>
                    <w:spacing w:line="240" w:lineRule="auto"/>
                    <w:ind w:firstLine="0" w:firstLineChars="0"/>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浓度限值</w:t>
                  </w:r>
                </w:p>
              </w:tc>
              <w:tc>
                <w:tcPr>
                  <w:tcW w:w="1073" w:type="dxa"/>
                  <w:tcBorders>
                    <w:bottom w:val="single" w:color="000000" w:sz="12" w:space="0"/>
                  </w:tcBorders>
                  <w:noWrap w:val="0"/>
                  <w:vAlign w:val="center"/>
                </w:tcPr>
                <w:p>
                  <w:pPr>
                    <w:pStyle w:val="21"/>
                    <w:adjustRightInd w:val="0"/>
                    <w:snapToGrid w:val="0"/>
                    <w:spacing w:line="240" w:lineRule="auto"/>
                    <w:ind w:firstLine="0" w:firstLineChars="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单位</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PrEx>
              <w:trPr>
                <w:trHeight w:val="283" w:hRule="atLeast"/>
                <w:jc w:val="center"/>
              </w:trPr>
              <w:tc>
                <w:tcPr>
                  <w:tcW w:w="674" w:type="dxa"/>
                  <w:vMerge w:val="restart"/>
                  <w:tcBorders>
                    <w:top w:val="single" w:color="000000" w:sz="12" w:space="0"/>
                  </w:tcBorders>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w:t>
                  </w:r>
                </w:p>
              </w:tc>
              <w:tc>
                <w:tcPr>
                  <w:tcW w:w="1458" w:type="dxa"/>
                  <w:vMerge w:val="restart"/>
                  <w:tcBorders>
                    <w:top w:val="single" w:color="000000" w:sz="12" w:space="0"/>
                  </w:tcBorders>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SO</w:t>
                  </w:r>
                  <w:r>
                    <w:rPr>
                      <w:bCs/>
                      <w:color w:val="000000" w:themeColor="text1"/>
                      <w:sz w:val="21"/>
                      <w:szCs w:val="21"/>
                      <w:highlight w:val="none"/>
                      <w:vertAlign w:val="subscript"/>
                      <w14:textFill>
                        <w14:solidFill>
                          <w14:schemeClr w14:val="tx1"/>
                        </w14:solidFill>
                      </w14:textFill>
                    </w:rPr>
                    <w:t>2</w:t>
                  </w:r>
                </w:p>
              </w:tc>
              <w:tc>
                <w:tcPr>
                  <w:tcW w:w="2519" w:type="dxa"/>
                  <w:tcBorders>
                    <w:top w:val="single" w:color="000000" w:sz="12" w:space="0"/>
                  </w:tcBorders>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年平均</w:t>
                  </w:r>
                </w:p>
              </w:tc>
              <w:tc>
                <w:tcPr>
                  <w:tcW w:w="2193" w:type="dxa"/>
                  <w:tcBorders>
                    <w:top w:val="single" w:color="000000" w:sz="12" w:space="0"/>
                  </w:tcBorders>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60</w:t>
                  </w:r>
                </w:p>
              </w:tc>
              <w:tc>
                <w:tcPr>
                  <w:tcW w:w="1073" w:type="dxa"/>
                  <w:vMerge w:val="restart"/>
                  <w:tcBorders>
                    <w:top w:val="single" w:color="000000" w:sz="12" w:space="0"/>
                  </w:tcBorders>
                  <w:noWrap w:val="0"/>
                  <w:vAlign w:val="center"/>
                </w:tcPr>
                <w:p>
                  <w:pPr>
                    <w:pStyle w:val="21"/>
                    <w:adjustRightInd w:val="0"/>
                    <w:snapToGrid w:val="0"/>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μg/m</w:t>
                  </w:r>
                  <w:r>
                    <w:rPr>
                      <w:color w:val="000000" w:themeColor="text1"/>
                      <w:sz w:val="21"/>
                      <w:szCs w:val="21"/>
                      <w:highlight w:val="none"/>
                      <w:vertAlign w:val="superscript"/>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24小时</w:t>
                  </w:r>
                  <w:r>
                    <w:rPr>
                      <w:rFonts w:hint="eastAsia"/>
                      <w:bCs/>
                      <w:color w:val="000000" w:themeColor="text1"/>
                      <w:sz w:val="21"/>
                      <w:szCs w:val="21"/>
                      <w:highlight w:val="none"/>
                      <w14:textFill>
                        <w14:solidFill>
                          <w14:schemeClr w14:val="tx1"/>
                        </w14:solidFill>
                      </w14:textFill>
                    </w:rPr>
                    <w:t>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150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500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w:t>
                  </w:r>
                </w:p>
              </w:tc>
              <w:tc>
                <w:tcPr>
                  <w:tcW w:w="1458"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NO</w:t>
                  </w:r>
                  <w:r>
                    <w:rPr>
                      <w:bCs/>
                      <w:color w:val="000000" w:themeColor="text1"/>
                      <w:sz w:val="21"/>
                      <w:szCs w:val="21"/>
                      <w:highlight w:val="none"/>
                      <w:vertAlign w:val="subscript"/>
                      <w14:textFill>
                        <w14:solidFill>
                          <w14:schemeClr w14:val="tx1"/>
                        </w14:solidFill>
                      </w14:textFill>
                    </w:rPr>
                    <w:t>2</w:t>
                  </w: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年平均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40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24小时平均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80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200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3</w:t>
                  </w:r>
                </w:p>
              </w:tc>
              <w:tc>
                <w:tcPr>
                  <w:tcW w:w="1458"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CO</w:t>
                  </w: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24小时平均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4</w:t>
                  </w:r>
                </w:p>
              </w:tc>
              <w:tc>
                <w:tcPr>
                  <w:tcW w:w="1073" w:type="dxa"/>
                  <w:vMerge w:val="restart"/>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mg</w:t>
                  </w:r>
                  <w:r>
                    <w:rPr>
                      <w:color w:val="000000" w:themeColor="text1"/>
                      <w:sz w:val="21"/>
                      <w:szCs w:val="21"/>
                      <w:highlight w:val="none"/>
                      <w14:textFill>
                        <w14:solidFill>
                          <w14:schemeClr w14:val="tx1"/>
                        </w14:solidFill>
                      </w14:textFill>
                    </w:rPr>
                    <w:t>/m</w:t>
                  </w:r>
                  <w:r>
                    <w:rPr>
                      <w:color w:val="000000" w:themeColor="text1"/>
                      <w:sz w:val="21"/>
                      <w:szCs w:val="21"/>
                      <w:highlight w:val="none"/>
                      <w:vertAlign w:val="superscript"/>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10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4</w:t>
                  </w:r>
                </w:p>
              </w:tc>
              <w:tc>
                <w:tcPr>
                  <w:tcW w:w="1458"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O</w:t>
                  </w:r>
                  <w:r>
                    <w:rPr>
                      <w:bCs/>
                      <w:color w:val="000000" w:themeColor="text1"/>
                      <w:sz w:val="21"/>
                      <w:szCs w:val="21"/>
                      <w:highlight w:val="none"/>
                      <w:vertAlign w:val="subscript"/>
                      <w14:textFill>
                        <w14:solidFill>
                          <w14:schemeClr w14:val="tx1"/>
                        </w14:solidFill>
                      </w14:textFill>
                    </w:rPr>
                    <w:t>3</w:t>
                  </w: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日</w:t>
                  </w:r>
                  <w:r>
                    <w:rPr>
                      <w:rFonts w:hint="eastAsia"/>
                      <w:bCs/>
                      <w:color w:val="000000" w:themeColor="text1"/>
                      <w:sz w:val="21"/>
                      <w:szCs w:val="21"/>
                      <w:highlight w:val="none"/>
                      <w14:textFill>
                        <w14:solidFill>
                          <w14:schemeClr w14:val="tx1"/>
                        </w14:solidFill>
                      </w14:textFill>
                    </w:rPr>
                    <w:t>最</w:t>
                  </w:r>
                  <w:r>
                    <w:rPr>
                      <w:bCs/>
                      <w:color w:val="000000" w:themeColor="text1"/>
                      <w:sz w:val="21"/>
                      <w:szCs w:val="21"/>
                      <w:highlight w:val="none"/>
                      <w14:textFill>
                        <w14:solidFill>
                          <w14:schemeClr w14:val="tx1"/>
                        </w14:solidFill>
                      </w14:textFill>
                    </w:rPr>
                    <w:t>大8小时平均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160</w:t>
                  </w:r>
                </w:p>
              </w:tc>
              <w:tc>
                <w:tcPr>
                  <w:tcW w:w="1073" w:type="dxa"/>
                  <w:vMerge w:val="restart"/>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μg/m</w:t>
                  </w:r>
                  <w:r>
                    <w:rPr>
                      <w:color w:val="000000" w:themeColor="text1"/>
                      <w:sz w:val="21"/>
                      <w:szCs w:val="21"/>
                      <w:highlight w:val="none"/>
                      <w:vertAlign w:val="superscript"/>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1小时平均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200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5</w:t>
                  </w:r>
                </w:p>
              </w:tc>
              <w:tc>
                <w:tcPr>
                  <w:tcW w:w="1458"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PM</w:t>
                  </w:r>
                  <w:r>
                    <w:rPr>
                      <w:bCs/>
                      <w:color w:val="000000" w:themeColor="text1"/>
                      <w:sz w:val="21"/>
                      <w:szCs w:val="21"/>
                      <w:highlight w:val="none"/>
                      <w:vertAlign w:val="subscript"/>
                      <w14:textFill>
                        <w14:solidFill>
                          <w14:schemeClr w14:val="tx1"/>
                        </w14:solidFill>
                      </w14:textFill>
                    </w:rPr>
                    <w:t>10</w:t>
                  </w: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年平均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70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yellow"/>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24小时平均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150</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yellow"/>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6</w:t>
                  </w:r>
                </w:p>
              </w:tc>
              <w:tc>
                <w:tcPr>
                  <w:tcW w:w="1458" w:type="dxa"/>
                  <w:vMerge w:val="restart"/>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PM</w:t>
                  </w:r>
                  <w:r>
                    <w:rPr>
                      <w:bCs/>
                      <w:color w:val="000000" w:themeColor="text1"/>
                      <w:sz w:val="21"/>
                      <w:szCs w:val="21"/>
                      <w:highlight w:val="none"/>
                      <w:vertAlign w:val="subscript"/>
                      <w14:textFill>
                        <w14:solidFill>
                          <w14:schemeClr w14:val="tx1"/>
                        </w14:solidFill>
                      </w14:textFill>
                    </w:rPr>
                    <w:t>2.5</w:t>
                  </w: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年平均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35</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yellow"/>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4"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1458" w:type="dxa"/>
                  <w:vMerge w:val="continue"/>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p>
              </w:tc>
              <w:tc>
                <w:tcPr>
                  <w:tcW w:w="2519"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24小时平均</w:t>
                  </w:r>
                </w:p>
              </w:tc>
              <w:tc>
                <w:tcPr>
                  <w:tcW w:w="2193" w:type="dxa"/>
                  <w:noWrap w:val="0"/>
                  <w:vAlign w:val="center"/>
                </w:tcPr>
                <w:p>
                  <w:pPr>
                    <w:pStyle w:val="21"/>
                    <w:adjustRightInd w:val="0"/>
                    <w:snapToGrid w:val="0"/>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75</w:t>
                  </w:r>
                </w:p>
              </w:tc>
              <w:tc>
                <w:tcPr>
                  <w:tcW w:w="1073" w:type="dxa"/>
                  <w:vMerge w:val="continue"/>
                  <w:noWrap w:val="0"/>
                  <w:vAlign w:val="center"/>
                </w:tcPr>
                <w:p>
                  <w:pPr>
                    <w:pStyle w:val="21"/>
                    <w:adjustRightInd w:val="0"/>
                    <w:snapToGrid w:val="0"/>
                    <w:spacing w:line="240" w:lineRule="auto"/>
                    <w:ind w:firstLine="0" w:firstLineChars="0"/>
                    <w:jc w:val="center"/>
                    <w:rPr>
                      <w:b/>
                      <w:color w:val="000000" w:themeColor="text1"/>
                      <w:sz w:val="21"/>
                      <w:szCs w:val="21"/>
                      <w:highlight w:val="yellow"/>
                      <w14:textFill>
                        <w14:solidFill>
                          <w14:schemeClr w14:val="tx1"/>
                        </w14:solidFill>
                      </w14:textFill>
                    </w:rPr>
                  </w:pPr>
                </w:p>
              </w:tc>
            </w:tr>
          </w:tbl>
          <w:p>
            <w:pPr>
              <w:adjustRightInd w:val="0"/>
              <w:snapToGrid w:val="0"/>
              <w:spacing w:line="360" w:lineRule="auto"/>
              <w:ind w:firstLine="480" w:firstLineChars="200"/>
              <w:jc w:val="left"/>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（4）评价方法</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基本污染物按照《环境空气质量评价技术规范（试行）》（HJ 663-2013）中各评价项目的年评价指标进行判定。年评价指标中的年均浓度和相应百分位数24h平均或8h平均质量浓度满足GB3095中浓度限值要求的即为达标。对于超标的污染物，计算其超标倍数和超标率。</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空气环境质量现状采用单项污染指数法、计算公式为：</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超标率=超标数据个数/总监测数据个数×100%</w:t>
            </w:r>
          </w:p>
          <w:p>
            <w:pPr>
              <w:adjustRightInd w:val="0"/>
              <w:snapToGrid w:val="0"/>
              <w:ind w:firstLine="480"/>
              <w:jc w:val="center"/>
              <w:rPr>
                <w:rFonts w:cs="宋体"/>
                <w:color w:val="000000" w:themeColor="text1"/>
                <w:kern w:val="0"/>
                <w:szCs w:val="21"/>
                <w:highlight w:val="none"/>
                <w14:textFill>
                  <w14:solidFill>
                    <w14:schemeClr w14:val="tx1"/>
                  </w14:solidFill>
                </w14:textFill>
              </w:rPr>
            </w:pPr>
            <w:r>
              <w:rPr>
                <w:rFonts w:cs="宋体"/>
                <w:color w:val="000000" w:themeColor="text1"/>
                <w:kern w:val="0"/>
                <w:szCs w:val="21"/>
                <w:highlight w:val="none"/>
                <w14:textFill>
                  <w14:solidFill>
                    <w14:schemeClr w14:val="tx1"/>
                  </w14:solidFill>
                </w14:textFill>
              </w:rPr>
              <w:object>
                <v:shape id="_x0000_i1025" o:spt="75" type="#_x0000_t75" style="height:37.1pt;width:99.45pt;" o:ole="t" filled="f" o:preferrelative="t" stroked="f" coordsize="21600,21600">
                  <v:path/>
                  <v:fill on="f" focussize="0,0"/>
                  <v:stroke on="f"/>
                  <v:imagedata r:id="rId21" o:title=""/>
                  <o:lock v:ext="edit" aspectratio="t"/>
                  <w10:wrap type="none"/>
                  <w10:anchorlock/>
                </v:shape>
                <o:OLEObject Type="Embed" ProgID="Equation.AxMath" ShapeID="_x0000_i1025" DrawAspect="Content" ObjectID="_1468075725" r:id="rId20">
                  <o:LockedField>false</o:LockedField>
                </o:OLEObject>
              </w:objec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式中：P</w:t>
            </w:r>
            <w:r>
              <w:rPr>
                <w:color w:val="000000" w:themeColor="text1"/>
                <w:sz w:val="24"/>
                <w:highlight w:val="none"/>
                <w:vertAlign w:val="subscript"/>
                <w14:textFill>
                  <w14:solidFill>
                    <w14:schemeClr w14:val="tx1"/>
                  </w14:solidFill>
                </w14:textFill>
              </w:rPr>
              <w:t>i</w:t>
            </w:r>
            <w:r>
              <w:rPr>
                <w:color w:val="000000" w:themeColor="text1"/>
                <w:sz w:val="24"/>
                <w:highlight w:val="none"/>
                <w14:textFill>
                  <w14:solidFill>
                    <w14:schemeClr w14:val="tx1"/>
                  </w14:solidFill>
                </w14:textFill>
              </w:rPr>
              <w:t>—第i个污染物的最大浓度占标率（无量纲）；</w:t>
            </w:r>
          </w:p>
          <w:p>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      C</w:t>
            </w:r>
            <w:r>
              <w:rPr>
                <w:rFonts w:ascii="Times New Roman" w:hAnsi="Times New Roman" w:eastAsia="宋体" w:cs="Times New Roman"/>
                <w:color w:val="000000" w:themeColor="text1"/>
                <w:sz w:val="24"/>
                <w:highlight w:val="none"/>
                <w:vertAlign w:val="subscript"/>
                <w14:textFill>
                  <w14:solidFill>
                    <w14:schemeClr w14:val="tx1"/>
                  </w14:solidFill>
                </w14:textFill>
              </w:rPr>
              <w:t>i</w:t>
            </w:r>
            <w:r>
              <w:rPr>
                <w:color w:val="000000" w:themeColor="text1"/>
                <w:sz w:val="24"/>
                <w:highlight w:val="none"/>
                <w14:textFill>
                  <w14:solidFill>
                    <w14:schemeClr w14:val="tx1"/>
                  </w14:solidFill>
                </w14:textFill>
              </w:rPr>
              <w:t>—第i个污染物的最大浓度（μg/m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p>
          <w:p>
            <w:pPr>
              <w:spacing w:line="360" w:lineRule="auto"/>
              <w:ind w:firstLine="1200" w:firstLineChars="5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C</w:t>
            </w:r>
            <w:r>
              <w:rPr>
                <w:rFonts w:ascii="Times New Roman" w:hAnsi="Times New Roman" w:eastAsia="宋体" w:cs="Times New Roman"/>
                <w:color w:val="000000" w:themeColor="text1"/>
                <w:sz w:val="24"/>
                <w:highlight w:val="none"/>
                <w:vertAlign w:val="subscript"/>
                <w14:textFill>
                  <w14:solidFill>
                    <w14:schemeClr w14:val="tx1"/>
                  </w14:solidFill>
                </w14:textFill>
              </w:rPr>
              <w:t>oi</w:t>
            </w:r>
            <w:r>
              <w:rPr>
                <w:color w:val="000000" w:themeColor="text1"/>
                <w:sz w:val="24"/>
                <w:highlight w:val="none"/>
                <w14:textFill>
                  <w14:solidFill>
                    <w14:schemeClr w14:val="tx1"/>
                  </w14:solidFill>
                </w14:textFill>
              </w:rPr>
              <w:t>—第i个污染物的环境空气质量浓度标准（μg/m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p>
          <w:p>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当P</w:t>
            </w:r>
            <w:r>
              <w:rPr>
                <w:rFonts w:ascii="Times New Roman" w:hAnsi="Times New Roman" w:eastAsia="宋体" w:cs="Times New Roman"/>
                <w:color w:val="000000" w:themeColor="text1"/>
                <w:sz w:val="24"/>
                <w:highlight w:val="none"/>
                <w:vertAlign w:val="subscript"/>
                <w14:textFill>
                  <w14:solidFill>
                    <w14:schemeClr w14:val="tx1"/>
                  </w14:solidFill>
                </w14:textFill>
              </w:rPr>
              <w:t>i</w:t>
            </w:r>
            <w:r>
              <w:rPr>
                <w:color w:val="000000" w:themeColor="text1"/>
                <w:sz w:val="24"/>
                <w:highlight w:val="none"/>
                <w14:textFill>
                  <w14:solidFill>
                    <w14:schemeClr w14:val="tx1"/>
                  </w14:solidFill>
                </w14:textFill>
              </w:rPr>
              <w:t>＞1时，说明环境中i污染物含量超过标准值，当P</w:t>
            </w:r>
            <w:r>
              <w:rPr>
                <w:rFonts w:ascii="Times New Roman" w:hAnsi="Times New Roman" w:eastAsia="宋体" w:cs="Times New Roman"/>
                <w:color w:val="000000" w:themeColor="text1"/>
                <w:sz w:val="24"/>
                <w:highlight w:val="none"/>
                <w:vertAlign w:val="subscript"/>
                <w14:textFill>
                  <w14:solidFill>
                    <w14:schemeClr w14:val="tx1"/>
                  </w14:solidFill>
                </w14:textFill>
              </w:rPr>
              <w:t>i</w:t>
            </w:r>
            <w:r>
              <w:rPr>
                <w:color w:val="000000" w:themeColor="text1"/>
                <w:sz w:val="24"/>
                <w:highlight w:val="none"/>
                <w14:textFill>
                  <w14:solidFill>
                    <w14:schemeClr w14:val="tx1"/>
                  </w14:solidFill>
                </w14:textFill>
              </w:rPr>
              <w:t>≤1时，则说明i污染物符合标准。某污染物的P</w:t>
            </w:r>
            <w:r>
              <w:rPr>
                <w:rFonts w:ascii="Times New Roman" w:hAnsi="Times New Roman" w:eastAsia="宋体" w:cs="Times New Roman"/>
                <w:color w:val="000000" w:themeColor="text1"/>
                <w:sz w:val="24"/>
                <w:highlight w:val="none"/>
                <w:vertAlign w:val="subscript"/>
                <w14:textFill>
                  <w14:solidFill>
                    <w14:schemeClr w14:val="tx1"/>
                  </w14:solidFill>
                </w14:textFill>
              </w:rPr>
              <w:t>i</w:t>
            </w:r>
            <w:r>
              <w:rPr>
                <w:color w:val="000000" w:themeColor="text1"/>
                <w:sz w:val="24"/>
                <w:highlight w:val="none"/>
                <w14:textFill>
                  <w14:solidFill>
                    <w14:schemeClr w14:val="tx1"/>
                  </w14:solidFill>
                </w14:textFill>
              </w:rPr>
              <w:t>值越大，则污染相对越严重。</w:t>
            </w:r>
          </w:p>
          <w:p>
            <w:pPr>
              <w:adjustRightInd w:val="0"/>
              <w:snapToGrid w:val="0"/>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（5）基本污染物监测及评价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根据202</w:t>
            </w:r>
            <w:r>
              <w:rPr>
                <w:rFonts w:hint="eastAsia" w:hAnsi="宋体" w:cs="宋体"/>
                <w:b w:val="0"/>
                <w:bCs/>
                <w:color w:val="000000" w:themeColor="text1"/>
                <w:kern w:val="2"/>
                <w:sz w:val="24"/>
                <w:szCs w:val="24"/>
                <w:highlight w:val="none"/>
                <w:lang w:val="en-US" w:eastAsia="zh-CN" w:bidi="ar-SA"/>
                <w14:textFill>
                  <w14:solidFill>
                    <w14:schemeClr w14:val="tx1"/>
                  </w14:solidFill>
                </w14:textFill>
              </w:rPr>
              <w:t>2</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年奇台县监测站点空气质量逐日统计结果，SO</w:t>
            </w:r>
            <w:r>
              <w:rPr>
                <w:rFonts w:hint="eastAsia" w:ascii="宋体" w:hAnsi="宋体" w:eastAsia="宋体" w:cs="宋体"/>
                <w:b w:val="0"/>
                <w:bCs/>
                <w:color w:val="000000" w:themeColor="text1"/>
                <w:kern w:val="2"/>
                <w:sz w:val="24"/>
                <w:szCs w:val="24"/>
                <w:highlight w:val="none"/>
                <w:vertAlign w:val="subscript"/>
                <w:lang w:val="en-US" w:eastAsia="zh-CN" w:bidi="ar-SA"/>
                <w14:textFill>
                  <w14:solidFill>
                    <w14:schemeClr w14:val="tx1"/>
                  </w14:solidFill>
                </w14:textFill>
              </w:rPr>
              <w:t>2</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、NO</w:t>
            </w:r>
            <w:r>
              <w:rPr>
                <w:rFonts w:hint="eastAsia" w:ascii="宋体" w:hAnsi="宋体" w:eastAsia="宋体" w:cs="宋体"/>
                <w:b w:val="0"/>
                <w:bCs/>
                <w:color w:val="000000" w:themeColor="text1"/>
                <w:kern w:val="2"/>
                <w:sz w:val="24"/>
                <w:szCs w:val="24"/>
                <w:highlight w:val="none"/>
                <w:vertAlign w:val="subscript"/>
                <w:lang w:val="en-US" w:eastAsia="zh-CN" w:bidi="ar-SA"/>
                <w14:textFill>
                  <w14:solidFill>
                    <w14:schemeClr w14:val="tx1"/>
                  </w14:solidFill>
                </w14:textFill>
              </w:rPr>
              <w:t>2</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w:t>
            </w:r>
            <w:r>
              <w:rPr>
                <w:rFonts w:hint="eastAsia" w:hAnsi="宋体" w:cs="宋体"/>
                <w:b w:val="0"/>
                <w:bCs/>
                <w:color w:val="000000" w:themeColor="text1"/>
                <w:kern w:val="2"/>
                <w:sz w:val="24"/>
                <w:szCs w:val="24"/>
                <w:highlight w:val="none"/>
                <w:lang w:val="en-US" w:eastAsia="zh-CN" w:bidi="ar-SA"/>
                <w14:textFill>
                  <w14:solidFill>
                    <w14:schemeClr w14:val="tx1"/>
                  </w14:solidFill>
                </w14:textFill>
              </w:rPr>
              <w:t>PM</w:t>
            </w:r>
            <w:r>
              <w:rPr>
                <w:rFonts w:hint="eastAsia" w:hAnsi="宋体" w:cs="宋体"/>
                <w:b w:val="0"/>
                <w:bCs/>
                <w:color w:val="000000" w:themeColor="text1"/>
                <w:kern w:val="2"/>
                <w:sz w:val="24"/>
                <w:szCs w:val="24"/>
                <w:highlight w:val="none"/>
                <w:vertAlign w:val="subscript"/>
                <w:lang w:val="en-US" w:eastAsia="zh-CN" w:bidi="ar-SA"/>
                <w14:textFill>
                  <w14:solidFill>
                    <w14:schemeClr w14:val="tx1"/>
                  </w14:solidFill>
                </w14:textFill>
              </w:rPr>
              <w:t>10</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、P</w:t>
            </w:r>
            <w:r>
              <w:rPr>
                <w:rFonts w:hint="eastAsia" w:hAnsi="宋体" w:cs="宋体"/>
                <w:b w:val="0"/>
                <w:bCs/>
                <w:color w:val="000000" w:themeColor="text1"/>
                <w:kern w:val="2"/>
                <w:sz w:val="24"/>
                <w:szCs w:val="24"/>
                <w:highlight w:val="none"/>
                <w:lang w:val="en-US" w:eastAsia="zh-CN" w:bidi="ar-SA"/>
                <w14:textFill>
                  <w14:solidFill>
                    <w14:schemeClr w14:val="tx1"/>
                  </w14:solidFill>
                </w14:textFill>
              </w:rPr>
              <w:t>M</w:t>
            </w:r>
            <w:r>
              <w:rPr>
                <w:rFonts w:hint="eastAsia" w:ascii="宋体" w:hAnsi="宋体" w:eastAsia="宋体" w:cs="宋体"/>
                <w:b w:val="0"/>
                <w:bCs/>
                <w:color w:val="000000" w:themeColor="text1"/>
                <w:kern w:val="2"/>
                <w:sz w:val="24"/>
                <w:szCs w:val="24"/>
                <w:highlight w:val="none"/>
                <w:vertAlign w:val="subscript"/>
                <w:lang w:val="en-US" w:eastAsia="zh-CN" w:bidi="ar-SA"/>
                <w14:textFill>
                  <w14:solidFill>
                    <w14:schemeClr w14:val="tx1"/>
                  </w14:solidFill>
                </w14:textFill>
              </w:rPr>
              <w:t>2.5</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、CO和</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O</w:t>
            </w:r>
            <w:r>
              <w:rPr>
                <w:rFonts w:hint="eastAsia" w:ascii="宋体" w:hAnsi="宋体" w:eastAsia="宋体" w:cs="宋体"/>
                <w:b w:val="0"/>
                <w:bCs/>
                <w:color w:val="000000" w:themeColor="text1"/>
                <w:kern w:val="2"/>
                <w:sz w:val="24"/>
                <w:szCs w:val="24"/>
                <w:highlight w:val="none"/>
                <w:vertAlign w:val="subscript"/>
                <w:lang w:val="en-US" w:eastAsia="zh-CN" w:bidi="ar-SA"/>
                <w14:textFill>
                  <w14:solidFill>
                    <w14:schemeClr w14:val="tx1"/>
                  </w14:solidFill>
                </w14:textFill>
              </w:rPr>
              <w:t>3</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连续一年的基本污染物监测数据，基本污染物环境空气质量现状评价表见表3-</w:t>
            </w:r>
            <w:r>
              <w:rPr>
                <w:rFonts w:hint="eastAsia" w:ascii="宋体" w:hAnsi="宋体" w:cs="宋体"/>
                <w:b w:val="0"/>
                <w:bCs/>
                <w:color w:val="000000" w:themeColor="text1"/>
                <w:kern w:val="2"/>
                <w:sz w:val="24"/>
                <w:szCs w:val="24"/>
                <w:highlight w:val="none"/>
                <w:lang w:val="en-US" w:eastAsia="zh-CN" w:bidi="ar-SA"/>
                <w14:textFill>
                  <w14:solidFill>
                    <w14:schemeClr w14:val="tx1"/>
                  </w14:solidFill>
                </w14:textFill>
              </w:rPr>
              <w:t>5</w:t>
            </w:r>
            <w:r>
              <w:rPr>
                <w:rFonts w:hint="eastAsia" w:ascii="宋体" w:hAnsi="宋体" w:eastAsia="宋体" w:cs="宋体"/>
                <w:b w:val="0"/>
                <w:bCs/>
                <w:color w:val="000000" w:themeColor="text1"/>
                <w:kern w:val="2"/>
                <w:sz w:val="24"/>
                <w:szCs w:val="24"/>
                <w:highlight w:val="none"/>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default"/>
                <w:b/>
                <w:bCs w:val="0"/>
                <w:color w:val="000000" w:themeColor="text1"/>
                <w:kern w:val="2"/>
                <w:sz w:val="21"/>
                <w:szCs w:val="21"/>
                <w:highlight w:val="none"/>
                <w:lang w:val="en-US" w:eastAsia="zh-CN" w:bidi="ar-SA"/>
                <w14:textFill>
                  <w14:solidFill>
                    <w14:schemeClr w14:val="tx1"/>
                  </w14:solidFill>
                </w14:textFill>
              </w:rPr>
            </w:pPr>
            <w:r>
              <w:rPr>
                <w:rFonts w:hint="default"/>
                <w:b/>
                <w:bCs w:val="0"/>
                <w:color w:val="000000" w:themeColor="text1"/>
                <w:kern w:val="2"/>
                <w:sz w:val="21"/>
                <w:szCs w:val="21"/>
                <w:highlight w:val="none"/>
                <w:lang w:val="en-US" w:eastAsia="zh-CN" w:bidi="ar-SA"/>
                <w14:textFill>
                  <w14:solidFill>
                    <w14:schemeClr w14:val="tx1"/>
                  </w14:solidFill>
                </w14:textFill>
              </w:rPr>
              <w:t>表3</w:t>
            </w:r>
            <w:r>
              <w:rPr>
                <w:rFonts w:hint="eastAsia"/>
                <w:b/>
                <w:bCs w:val="0"/>
                <w:color w:val="000000" w:themeColor="text1"/>
                <w:kern w:val="2"/>
                <w:sz w:val="21"/>
                <w:szCs w:val="21"/>
                <w:highlight w:val="none"/>
                <w:lang w:val="en-US" w:eastAsia="zh-CN" w:bidi="ar-SA"/>
                <w14:textFill>
                  <w14:solidFill>
                    <w14:schemeClr w14:val="tx1"/>
                  </w14:solidFill>
                </w14:textFill>
              </w:rPr>
              <w:t>-5</w:t>
            </w:r>
            <w:r>
              <w:rPr>
                <w:rFonts w:hint="default"/>
                <w:b/>
                <w:bCs w:val="0"/>
                <w:color w:val="000000" w:themeColor="text1"/>
                <w:kern w:val="2"/>
                <w:sz w:val="21"/>
                <w:szCs w:val="21"/>
                <w:highlight w:val="none"/>
                <w:lang w:val="en-US" w:eastAsia="zh-CN" w:bidi="ar-SA"/>
                <w14:textFill>
                  <w14:solidFill>
                    <w14:schemeClr w14:val="tx1"/>
                  </w14:solidFill>
                </w14:textFill>
              </w:rPr>
              <w:t xml:space="preserve">  大气环境质量标准  </w:t>
            </w:r>
          </w:p>
          <w:tbl>
            <w:tblPr>
              <w:tblStyle w:val="35"/>
              <w:tblW w:w="8011"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17"/>
              <w:gridCol w:w="1525"/>
              <w:gridCol w:w="894"/>
              <w:gridCol w:w="1081"/>
              <w:gridCol w:w="1299"/>
              <w:gridCol w:w="1298"/>
              <w:gridCol w:w="12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780" w:hRule="exact"/>
              </w:trPr>
              <w:tc>
                <w:tcPr>
                  <w:tcW w:w="617"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评价因子</w:t>
                  </w:r>
                </w:p>
              </w:tc>
              <w:tc>
                <w:tcPr>
                  <w:tcW w:w="1525"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平均时段</w:t>
                  </w:r>
                </w:p>
              </w:tc>
              <w:tc>
                <w:tcPr>
                  <w:tcW w:w="894"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百分位</w:t>
                  </w:r>
                </w:p>
              </w:tc>
              <w:tc>
                <w:tcPr>
                  <w:tcW w:w="1081" w:type="dxa"/>
                  <w:tcBorders>
                    <w:top w:val="single" w:color="auto" w:sz="12" w:space="0"/>
                    <w:bottom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现状浓度</w:t>
                  </w:r>
                </w:p>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µ</w:t>
                  </w: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g/m</w:t>
                  </w:r>
                  <w:r>
                    <w:rPr>
                      <w:rFonts w:hint="eastAsia" w:ascii="Times New Roman" w:hAnsi="Times New Roman" w:eastAsia="宋体" w:cs="Times New Roman"/>
                      <w:b/>
                      <w:bCs w:val="0"/>
                      <w:color w:val="000000" w:themeColor="text1"/>
                      <w:sz w:val="21"/>
                      <w:szCs w:val="21"/>
                      <w:highlight w:val="none"/>
                      <w:vertAlign w:val="superscript"/>
                      <w14:textFill>
                        <w14:solidFill>
                          <w14:schemeClr w14:val="tx1"/>
                        </w14:solidFill>
                      </w14:textFill>
                    </w:rPr>
                    <w:t>3</w:t>
                  </w:r>
                </w:p>
              </w:tc>
              <w:tc>
                <w:tcPr>
                  <w:tcW w:w="1299" w:type="dxa"/>
                  <w:tcBorders>
                    <w:top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标准限值</w:t>
                  </w:r>
                </w:p>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µ</w:t>
                  </w: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g/m</w:t>
                  </w:r>
                  <w:r>
                    <w:rPr>
                      <w:rFonts w:hint="eastAsia" w:ascii="Times New Roman" w:hAnsi="Times New Roman" w:eastAsia="宋体" w:cs="Times New Roman"/>
                      <w:b/>
                      <w:bCs w:val="0"/>
                      <w:color w:val="000000" w:themeColor="text1"/>
                      <w:sz w:val="21"/>
                      <w:szCs w:val="21"/>
                      <w:highlight w:val="none"/>
                      <w:vertAlign w:val="superscript"/>
                      <w14:textFill>
                        <w14:solidFill>
                          <w14:schemeClr w14:val="tx1"/>
                        </w14:solidFill>
                      </w14:textFill>
                    </w:rPr>
                    <w:t>3</w:t>
                  </w:r>
                </w:p>
              </w:tc>
              <w:tc>
                <w:tcPr>
                  <w:tcW w:w="1298" w:type="dxa"/>
                  <w:tcBorders>
                    <w:top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占标率%</w:t>
                  </w:r>
                </w:p>
              </w:tc>
              <w:tc>
                <w:tcPr>
                  <w:tcW w:w="1297" w:type="dxa"/>
                  <w:tcBorders>
                    <w:top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val="0"/>
                      <w:color w:val="000000" w:themeColor="text1"/>
                      <w:sz w:val="21"/>
                      <w:szCs w:val="21"/>
                      <w:highlight w:val="none"/>
                      <w14:textFill>
                        <w14:solidFill>
                          <w14:schemeClr w14:val="tx1"/>
                        </w14:solidFill>
                      </w14:textFill>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02" w:hRule="exact"/>
              </w:trPr>
              <w:tc>
                <w:tcPr>
                  <w:tcW w:w="617" w:type="dxa"/>
                  <w:tcBorders>
                    <w:top w:val="single" w:color="auto" w:sz="12" w:space="0"/>
                    <w:lef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SO</w:t>
                  </w:r>
                  <w:r>
                    <w:rPr>
                      <w:rFonts w:hint="eastAsia" w:ascii="Times New Roman" w:hAnsi="Times New Roman" w:eastAsia="宋体" w:cs="Times New Roman"/>
                      <w:bCs/>
                      <w:color w:val="000000" w:themeColor="text1"/>
                      <w:sz w:val="21"/>
                      <w:szCs w:val="21"/>
                      <w:highlight w:val="none"/>
                      <w:vertAlign w:val="subscript"/>
                      <w14:textFill>
                        <w14:solidFill>
                          <w14:schemeClr w14:val="tx1"/>
                        </w14:solidFill>
                      </w14:textFill>
                    </w:rPr>
                    <w:t>2</w:t>
                  </w:r>
                </w:p>
              </w:tc>
              <w:tc>
                <w:tcPr>
                  <w:tcW w:w="1525"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年平均浓度</w:t>
                  </w:r>
                </w:p>
              </w:tc>
              <w:tc>
                <w:tcPr>
                  <w:tcW w:w="894"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w:t>
                  </w:r>
                </w:p>
              </w:tc>
              <w:tc>
                <w:tcPr>
                  <w:tcW w:w="1081"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9</w:t>
                  </w:r>
                </w:p>
              </w:tc>
              <w:tc>
                <w:tcPr>
                  <w:tcW w:w="1299" w:type="dxa"/>
                  <w:tcBorders>
                    <w:top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60</w:t>
                  </w:r>
                </w:p>
              </w:tc>
              <w:tc>
                <w:tcPr>
                  <w:tcW w:w="1298" w:type="dxa"/>
                  <w:tcBorders>
                    <w:top w:val="single" w:color="auto" w:sz="12" w:space="0"/>
                  </w:tcBorders>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15</w:t>
                  </w:r>
                </w:p>
              </w:tc>
              <w:tc>
                <w:tcPr>
                  <w:tcW w:w="1297" w:type="dxa"/>
                  <w:tcBorders>
                    <w:top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287" w:hRule="exact"/>
              </w:trPr>
              <w:tc>
                <w:tcPr>
                  <w:tcW w:w="617" w:type="dxa"/>
                  <w:tcBorders>
                    <w:lef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NO</w:t>
                  </w:r>
                  <w:r>
                    <w:rPr>
                      <w:rFonts w:hint="eastAsia" w:ascii="Times New Roman" w:hAnsi="Times New Roman" w:eastAsia="宋体" w:cs="Times New Roman"/>
                      <w:bCs/>
                      <w:color w:val="000000" w:themeColor="text1"/>
                      <w:sz w:val="21"/>
                      <w:szCs w:val="21"/>
                      <w:highlight w:val="none"/>
                      <w:vertAlign w:val="subscript"/>
                      <w14:textFill>
                        <w14:solidFill>
                          <w14:schemeClr w14:val="tx1"/>
                        </w14:solidFill>
                      </w14:textFill>
                    </w:rPr>
                    <w:t>2</w:t>
                  </w:r>
                </w:p>
              </w:tc>
              <w:tc>
                <w:tcPr>
                  <w:tcW w:w="1525"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年平均浓度</w:t>
                  </w:r>
                </w:p>
              </w:tc>
              <w:tc>
                <w:tcPr>
                  <w:tcW w:w="894"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w:t>
                  </w:r>
                </w:p>
              </w:tc>
              <w:tc>
                <w:tcPr>
                  <w:tcW w:w="1081"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21</w:t>
                  </w:r>
                </w:p>
              </w:tc>
              <w:tc>
                <w:tcPr>
                  <w:tcW w:w="1299"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40</w:t>
                  </w:r>
                </w:p>
              </w:tc>
              <w:tc>
                <w:tcPr>
                  <w:tcW w:w="1298"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52.5</w:t>
                  </w:r>
                </w:p>
              </w:tc>
              <w:tc>
                <w:tcPr>
                  <w:tcW w:w="1297" w:type="dxa"/>
                  <w:tcBorders>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17" w:hRule="exact"/>
              </w:trPr>
              <w:tc>
                <w:tcPr>
                  <w:tcW w:w="617" w:type="dxa"/>
                  <w:tcBorders>
                    <w:lef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PM</w:t>
                  </w:r>
                  <w:r>
                    <w:rPr>
                      <w:rFonts w:hint="eastAsia" w:ascii="Times New Roman" w:hAnsi="Times New Roman" w:eastAsia="宋体" w:cs="Times New Roman"/>
                      <w:bCs/>
                      <w:color w:val="000000" w:themeColor="text1"/>
                      <w:sz w:val="21"/>
                      <w:szCs w:val="21"/>
                      <w:highlight w:val="none"/>
                      <w:vertAlign w:val="subscript"/>
                      <w14:textFill>
                        <w14:solidFill>
                          <w14:schemeClr w14:val="tx1"/>
                        </w14:solidFill>
                      </w14:textFill>
                    </w:rPr>
                    <w:t>2.5</w:t>
                  </w:r>
                </w:p>
              </w:tc>
              <w:tc>
                <w:tcPr>
                  <w:tcW w:w="1525"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年平均浓度</w:t>
                  </w:r>
                </w:p>
              </w:tc>
              <w:tc>
                <w:tcPr>
                  <w:tcW w:w="894"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w:t>
                  </w:r>
                </w:p>
              </w:tc>
              <w:tc>
                <w:tcPr>
                  <w:tcW w:w="1081"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29</w:t>
                  </w:r>
                </w:p>
              </w:tc>
              <w:tc>
                <w:tcPr>
                  <w:tcW w:w="1299"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35</w:t>
                  </w:r>
                </w:p>
              </w:tc>
              <w:tc>
                <w:tcPr>
                  <w:tcW w:w="1298"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82.86</w:t>
                  </w:r>
                </w:p>
              </w:tc>
              <w:tc>
                <w:tcPr>
                  <w:tcW w:w="1297" w:type="dxa"/>
                  <w:tcBorders>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397" w:hRule="exact"/>
              </w:trPr>
              <w:tc>
                <w:tcPr>
                  <w:tcW w:w="617" w:type="dxa"/>
                  <w:tcBorders>
                    <w:lef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PM</w:t>
                  </w:r>
                  <w:r>
                    <w:rPr>
                      <w:rFonts w:hint="eastAsia" w:ascii="Times New Roman" w:hAnsi="Times New Roman" w:eastAsia="宋体" w:cs="Times New Roman"/>
                      <w:bCs/>
                      <w:color w:val="000000" w:themeColor="text1"/>
                      <w:sz w:val="21"/>
                      <w:szCs w:val="21"/>
                      <w:highlight w:val="none"/>
                      <w:vertAlign w:val="subscript"/>
                      <w14:textFill>
                        <w14:solidFill>
                          <w14:schemeClr w14:val="tx1"/>
                        </w14:solidFill>
                      </w14:textFill>
                    </w:rPr>
                    <w:t>10</w:t>
                  </w:r>
                </w:p>
              </w:tc>
              <w:tc>
                <w:tcPr>
                  <w:tcW w:w="1525"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年平均浓度</w:t>
                  </w:r>
                </w:p>
              </w:tc>
              <w:tc>
                <w:tcPr>
                  <w:tcW w:w="894"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w:t>
                  </w:r>
                </w:p>
              </w:tc>
              <w:tc>
                <w:tcPr>
                  <w:tcW w:w="1081"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60</w:t>
                  </w:r>
                </w:p>
              </w:tc>
              <w:tc>
                <w:tcPr>
                  <w:tcW w:w="1299"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70</w:t>
                  </w:r>
                </w:p>
              </w:tc>
              <w:tc>
                <w:tcPr>
                  <w:tcW w:w="1298"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85.7</w:t>
                  </w:r>
                </w:p>
              </w:tc>
              <w:tc>
                <w:tcPr>
                  <w:tcW w:w="1297" w:type="dxa"/>
                  <w:tcBorders>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c>
                <w:tcPr>
                  <w:tcW w:w="617" w:type="dxa"/>
                  <w:tcBorders>
                    <w:lef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CO</w:t>
                  </w:r>
                </w:p>
              </w:tc>
              <w:tc>
                <w:tcPr>
                  <w:tcW w:w="1525" w:type="dxa"/>
                  <w:noWrap w:val="0"/>
                  <w:vAlign w:val="center"/>
                </w:tcPr>
                <w:p>
                  <w:pPr>
                    <w:pStyle w:val="21"/>
                    <w:adjustRightInd w:val="0"/>
                    <w:snapToGrid w:val="0"/>
                    <w:spacing w:line="24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百分位上日平均质量浓度</w:t>
                  </w:r>
                </w:p>
              </w:tc>
              <w:tc>
                <w:tcPr>
                  <w:tcW w:w="894"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95%</w:t>
                  </w:r>
                </w:p>
              </w:tc>
              <w:tc>
                <w:tcPr>
                  <w:tcW w:w="1081"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700</w:t>
                  </w:r>
                </w:p>
              </w:tc>
              <w:tc>
                <w:tcPr>
                  <w:tcW w:w="1299" w:type="dxa"/>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4000</w:t>
                  </w:r>
                </w:p>
              </w:tc>
              <w:tc>
                <w:tcPr>
                  <w:tcW w:w="1298" w:type="dxa"/>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17.5</w:t>
                  </w:r>
                </w:p>
              </w:tc>
              <w:tc>
                <w:tcPr>
                  <w:tcW w:w="1297" w:type="dxa"/>
                  <w:tcBorders>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556" w:hRule="atLeast"/>
              </w:trPr>
              <w:tc>
                <w:tcPr>
                  <w:tcW w:w="617" w:type="dxa"/>
                  <w:tcBorders>
                    <w:left w:val="nil"/>
                    <w:bottom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O</w:t>
                  </w:r>
                  <w:r>
                    <w:rPr>
                      <w:rFonts w:hint="eastAsia" w:ascii="Times New Roman" w:hAnsi="Times New Roman" w:eastAsia="宋体" w:cs="Times New Roman"/>
                      <w:bCs/>
                      <w:color w:val="000000" w:themeColor="text1"/>
                      <w:sz w:val="21"/>
                      <w:szCs w:val="21"/>
                      <w:highlight w:val="none"/>
                      <w:vertAlign w:val="subscript"/>
                      <w14:textFill>
                        <w14:solidFill>
                          <w14:schemeClr w14:val="tx1"/>
                        </w14:solidFill>
                      </w14:textFill>
                    </w:rPr>
                    <w:t>3</w:t>
                  </w:r>
                </w:p>
              </w:tc>
              <w:tc>
                <w:tcPr>
                  <w:tcW w:w="1525" w:type="dxa"/>
                  <w:tcBorders>
                    <w:bottom w:val="single" w:color="auto" w:sz="12" w:space="0"/>
                  </w:tcBorders>
                  <w:noWrap w:val="0"/>
                  <w:vAlign w:val="center"/>
                </w:tcPr>
                <w:p>
                  <w:pPr>
                    <w:pStyle w:val="21"/>
                    <w:adjustRightInd w:val="0"/>
                    <w:snapToGrid w:val="0"/>
                    <w:spacing w:line="24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百分位上8h平均质量浓度</w:t>
                  </w:r>
                </w:p>
              </w:tc>
              <w:tc>
                <w:tcPr>
                  <w:tcW w:w="894" w:type="dxa"/>
                  <w:tcBorders>
                    <w:bottom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90%</w:t>
                  </w:r>
                </w:p>
              </w:tc>
              <w:tc>
                <w:tcPr>
                  <w:tcW w:w="1081" w:type="dxa"/>
                  <w:tcBorders>
                    <w:bottom w:val="single" w:color="auto" w:sz="12" w:space="0"/>
                  </w:tcBorders>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90</w:t>
                  </w:r>
                </w:p>
              </w:tc>
              <w:tc>
                <w:tcPr>
                  <w:tcW w:w="1299" w:type="dxa"/>
                  <w:tcBorders>
                    <w:bottom w:val="single" w:color="auto" w:sz="12" w:space="0"/>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160</w:t>
                  </w:r>
                </w:p>
              </w:tc>
              <w:tc>
                <w:tcPr>
                  <w:tcW w:w="1298" w:type="dxa"/>
                  <w:tcBorders>
                    <w:bottom w:val="single" w:color="auto" w:sz="12" w:space="0"/>
                  </w:tcBorders>
                  <w:noWrap w:val="0"/>
                  <w:vAlign w:val="center"/>
                </w:tcPr>
                <w:p>
                  <w:pPr>
                    <w:pStyle w:val="21"/>
                    <w:adjustRightInd w:val="0"/>
                    <w:snapToGrid w:val="0"/>
                    <w:spacing w:line="36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56.25</w:t>
                  </w:r>
                </w:p>
              </w:tc>
              <w:tc>
                <w:tcPr>
                  <w:tcW w:w="1297" w:type="dxa"/>
                  <w:tcBorders>
                    <w:bottom w:val="single" w:color="auto" w:sz="12" w:space="0"/>
                    <w:right w:val="nil"/>
                  </w:tcBorders>
                  <w:noWrap w:val="0"/>
                  <w:vAlign w:val="center"/>
                </w:tcPr>
                <w:p>
                  <w:pPr>
                    <w:pStyle w:val="21"/>
                    <w:adjustRightInd w:val="0"/>
                    <w:snapToGrid w:val="0"/>
                    <w:spacing w:line="360" w:lineRule="auto"/>
                    <w:ind w:firstLine="0" w:firstLineChars="0"/>
                    <w:jc w:val="center"/>
                    <w:rPr>
                      <w:rFonts w:hint="eastAsia" w:ascii="Times New Roman" w:hAnsi="Times New Roman" w:eastAsia="宋体" w:cs="Times New Roman"/>
                      <w:bCs/>
                      <w:color w:val="000000" w:themeColor="text1"/>
                      <w:sz w:val="21"/>
                      <w:szCs w:val="21"/>
                      <w:highlight w:val="none"/>
                      <w14:textFill>
                        <w14:solidFill>
                          <w14:schemeClr w14:val="tx1"/>
                        </w14:solidFill>
                      </w14:textFill>
                    </w:rPr>
                  </w:pPr>
                  <w:r>
                    <w:rPr>
                      <w:rFonts w:hint="eastAsia" w:ascii="Times New Roman" w:hAnsi="Times New Roman" w:eastAsia="宋体" w:cs="Times New Roman"/>
                      <w:bCs/>
                      <w:color w:val="000000" w:themeColor="text1"/>
                      <w:sz w:val="21"/>
                      <w:szCs w:val="21"/>
                      <w:highlight w:val="none"/>
                      <w14:textFill>
                        <w14:solidFill>
                          <w14:schemeClr w14:val="tx1"/>
                        </w14:solidFill>
                      </w14:textFill>
                    </w:rPr>
                    <w:t>达标</w:t>
                  </w:r>
                </w:p>
              </w:tc>
            </w:tr>
          </w:tbl>
          <w:p>
            <w:pPr>
              <w:keepNext w:val="0"/>
              <w:keepLines w:val="0"/>
              <w:widowControl/>
              <w:suppressLineNumbers w:val="0"/>
              <w:spacing w:line="360" w:lineRule="auto"/>
              <w:ind w:firstLine="480" w:firstLineChars="200"/>
              <w:jc w:val="left"/>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项目所在区域</w:t>
            </w:r>
            <w:r>
              <w:rPr>
                <w:rFonts w:hint="eastAsia" w:ascii="宋体" w:hAnsi="宋体" w:eastAsia="宋体" w:cs="宋体"/>
                <w:color w:val="000000" w:themeColor="text1"/>
                <w:sz w:val="24"/>
                <w:highlight w:val="none"/>
                <w:lang w:eastAsia="zh-CN"/>
                <w14:textFill>
                  <w14:solidFill>
                    <w14:schemeClr w14:val="tx1"/>
                  </w14:solidFill>
                </w14:textFill>
              </w:rPr>
              <w:t>奇台县</w:t>
            </w:r>
            <w:r>
              <w:rPr>
                <w:rFonts w:hint="eastAsia" w:ascii="宋体" w:hAnsi="宋体" w:eastAsia="宋体" w:cs="宋体"/>
                <w:color w:val="000000" w:themeColor="text1"/>
                <w:sz w:val="24"/>
                <w:highlight w:val="none"/>
                <w14:textFill>
                  <w14:solidFill>
                    <w14:schemeClr w14:val="tx1"/>
                  </w14:solidFill>
                </w14:textFill>
              </w:rPr>
              <w:t>20</w:t>
            </w:r>
            <w:r>
              <w:rPr>
                <w:rFonts w:hint="eastAsia" w:ascii="宋体" w:hAnsi="宋体" w:eastAsia="宋体" w:cs="宋体"/>
                <w:color w:val="000000" w:themeColor="text1"/>
                <w:sz w:val="24"/>
                <w:highlight w:val="none"/>
                <w:lang w:val="en-US" w:eastAsia="zh-CN"/>
                <w14:textFill>
                  <w14:solidFill>
                    <w14:schemeClr w14:val="tx1"/>
                  </w14:solidFill>
                </w14:textFill>
              </w:rPr>
              <w:t>22</w:t>
            </w:r>
            <w:r>
              <w:rPr>
                <w:rFonts w:hint="eastAsia" w:ascii="宋体" w:hAnsi="宋体" w:eastAsia="宋体" w:cs="宋体"/>
                <w:color w:val="000000" w:themeColor="text1"/>
                <w:sz w:val="24"/>
                <w:highlight w:val="none"/>
                <w14:textFill>
                  <w14:solidFill>
                    <w14:schemeClr w14:val="tx1"/>
                  </w14:solidFill>
                </w14:textFill>
              </w:rPr>
              <w:t>年SO</w:t>
            </w:r>
            <w:r>
              <w:rPr>
                <w:rFonts w:hint="eastAsia" w:ascii="宋体" w:hAnsi="宋体" w:eastAsia="宋体" w:cs="宋体"/>
                <w:color w:val="000000" w:themeColor="text1"/>
                <w:sz w:val="24"/>
                <w:highlight w:val="none"/>
                <w:vertAlign w:val="subscript"/>
                <w14:textFill>
                  <w14:solidFill>
                    <w14:schemeClr w14:val="tx1"/>
                  </w14:solidFill>
                </w14:textFill>
              </w:rPr>
              <w:t>2</w:t>
            </w:r>
            <w:r>
              <w:rPr>
                <w:rFonts w:hint="eastAsia" w:ascii="宋体" w:hAnsi="宋体" w:eastAsia="宋体" w:cs="宋体"/>
                <w:color w:val="000000" w:themeColor="text1"/>
                <w:sz w:val="24"/>
                <w:highlight w:val="none"/>
                <w14:textFill>
                  <w14:solidFill>
                    <w14:schemeClr w14:val="tx1"/>
                  </w14:solidFill>
                </w14:textFill>
              </w:rPr>
              <w:t>、NO</w:t>
            </w:r>
            <w:r>
              <w:rPr>
                <w:rFonts w:hint="eastAsia" w:ascii="宋体" w:hAnsi="宋体" w:eastAsia="宋体" w:cs="宋体"/>
                <w:color w:val="000000" w:themeColor="text1"/>
                <w:sz w:val="24"/>
                <w:highlight w:val="none"/>
                <w:vertAlign w:val="subscript"/>
                <w14:textFill>
                  <w14:solidFill>
                    <w14:schemeClr w14:val="tx1"/>
                  </w14:solidFill>
                </w14:textFill>
              </w:rPr>
              <w:t>2</w:t>
            </w:r>
            <w:r>
              <w:rPr>
                <w:rFonts w:hint="eastAsia" w:ascii="宋体" w:hAnsi="宋体" w:eastAsia="宋体" w:cs="宋体"/>
                <w:color w:val="000000" w:themeColor="text1"/>
                <w:sz w:val="24"/>
                <w:highlight w:val="none"/>
                <w14:textFill>
                  <w14:solidFill>
                    <w14:schemeClr w14:val="tx1"/>
                  </w14:solidFill>
                </w14:textFill>
              </w:rPr>
              <w:t>、PM</w:t>
            </w:r>
            <w:r>
              <w:rPr>
                <w:rFonts w:hint="eastAsia" w:ascii="宋体" w:hAnsi="宋体" w:eastAsia="宋体" w:cs="宋体"/>
                <w:color w:val="000000" w:themeColor="text1"/>
                <w:sz w:val="24"/>
                <w:highlight w:val="none"/>
                <w:vertAlign w:val="subscript"/>
                <w14:textFill>
                  <w14:solidFill>
                    <w14:schemeClr w14:val="tx1"/>
                  </w14:solidFill>
                </w14:textFill>
              </w:rPr>
              <w:t>2.5</w:t>
            </w:r>
            <w:r>
              <w:rPr>
                <w:rFonts w:hint="eastAsia" w:ascii="宋体" w:hAnsi="宋体" w:eastAsia="宋体" w:cs="宋体"/>
                <w:color w:val="000000" w:themeColor="text1"/>
                <w:sz w:val="24"/>
                <w:highlight w:val="none"/>
                <w14:textFill>
                  <w14:solidFill>
                    <w14:schemeClr w14:val="tx1"/>
                  </w14:solidFill>
                </w14:textFill>
              </w:rPr>
              <w:t>、PM</w:t>
            </w:r>
            <w:r>
              <w:rPr>
                <w:rFonts w:hint="eastAsia" w:ascii="宋体" w:hAnsi="宋体" w:eastAsia="宋体" w:cs="宋体"/>
                <w:color w:val="000000" w:themeColor="text1"/>
                <w:sz w:val="24"/>
                <w:highlight w:val="none"/>
                <w:vertAlign w:val="subscript"/>
                <w14:textFill>
                  <w14:solidFill>
                    <w14:schemeClr w14:val="tx1"/>
                  </w14:solidFill>
                </w14:textFill>
              </w:rPr>
              <w:t>10</w:t>
            </w:r>
            <w:r>
              <w:rPr>
                <w:rFonts w:hint="eastAsia" w:ascii="宋体" w:hAnsi="宋体" w:eastAsia="宋体" w:cs="宋体"/>
                <w:color w:val="000000" w:themeColor="text1"/>
                <w:sz w:val="24"/>
                <w:highlight w:val="none"/>
                <w14:textFill>
                  <w14:solidFill>
                    <w14:schemeClr w14:val="tx1"/>
                  </w14:solidFill>
                </w14:textFill>
              </w:rPr>
              <w:t>年均浓度分别为</w:t>
            </w:r>
            <w:r>
              <w:rPr>
                <w:rFonts w:hint="eastAsia" w:ascii="宋体" w:hAnsi="宋体" w:eastAsia="宋体" w:cs="宋体"/>
                <w:color w:val="000000" w:themeColor="text1"/>
                <w:sz w:val="24"/>
                <w:highlight w:val="none"/>
                <w:lang w:val="en-US" w:eastAsia="zh-CN"/>
                <w14:textFill>
                  <w14:solidFill>
                    <w14:schemeClr w14:val="tx1"/>
                  </w14:solidFill>
                </w14:textFill>
              </w:rPr>
              <w:t>9</w:t>
            </w:r>
            <w:r>
              <w:rPr>
                <w:rFonts w:hint="eastAsia" w:ascii="宋体" w:hAnsi="宋体" w:eastAsia="宋体" w:cs="宋体"/>
                <w:color w:val="000000" w:themeColor="text1"/>
                <w:sz w:val="24"/>
                <w:highlight w:val="none"/>
                <w14:textFill>
                  <w14:solidFill>
                    <w14:schemeClr w14:val="tx1"/>
                  </w14:solidFill>
                </w14:textFill>
              </w:rPr>
              <w:t>µg/m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21</w:t>
            </w:r>
            <w:r>
              <w:rPr>
                <w:rFonts w:hint="eastAsia" w:ascii="宋体" w:hAnsi="宋体" w:eastAsia="宋体" w:cs="宋体"/>
                <w:color w:val="000000" w:themeColor="text1"/>
                <w:sz w:val="24"/>
                <w:highlight w:val="none"/>
                <w14:textFill>
                  <w14:solidFill>
                    <w14:schemeClr w14:val="tx1"/>
                  </w14:solidFill>
                </w14:textFill>
              </w:rPr>
              <w:t>µg/m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29</w:t>
            </w:r>
            <w:r>
              <w:rPr>
                <w:rFonts w:hint="eastAsia" w:ascii="宋体" w:hAnsi="宋体" w:eastAsia="宋体" w:cs="宋体"/>
                <w:color w:val="000000" w:themeColor="text1"/>
                <w:sz w:val="24"/>
                <w:highlight w:val="none"/>
                <w14:textFill>
                  <w14:solidFill>
                    <w14:schemeClr w14:val="tx1"/>
                  </w14:solidFill>
                </w14:textFill>
              </w:rPr>
              <w:t>µg/m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60</w:t>
            </w:r>
            <w:r>
              <w:rPr>
                <w:rFonts w:hint="eastAsia" w:ascii="宋体" w:hAnsi="宋体" w:eastAsia="宋体" w:cs="宋体"/>
                <w:color w:val="000000" w:themeColor="text1"/>
                <w:sz w:val="24"/>
                <w:highlight w:val="none"/>
                <w14:textFill>
                  <w14:solidFill>
                    <w14:schemeClr w14:val="tx1"/>
                  </w14:solidFill>
                </w14:textFill>
              </w:rPr>
              <w:t>µg/m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；CO24小时平均第95百分位数为</w:t>
            </w:r>
            <w:r>
              <w:rPr>
                <w:rFonts w:hint="eastAsia" w:ascii="宋体" w:hAnsi="宋体" w:eastAsia="宋体" w:cs="宋体"/>
                <w:color w:val="000000" w:themeColor="text1"/>
                <w:sz w:val="24"/>
                <w:highlight w:val="none"/>
                <w:lang w:val="en-US" w:eastAsia="zh-CN"/>
                <w14:textFill>
                  <w14:solidFill>
                    <w14:schemeClr w14:val="tx1"/>
                  </w14:solidFill>
                </w14:textFill>
              </w:rPr>
              <w:t>0.7</w:t>
            </w:r>
            <w:r>
              <w:rPr>
                <w:rFonts w:hint="eastAsia" w:ascii="宋体" w:hAnsi="宋体" w:eastAsia="宋体" w:cs="宋体"/>
                <w:color w:val="000000" w:themeColor="text1"/>
                <w:sz w:val="24"/>
                <w:highlight w:val="none"/>
                <w14:textFill>
                  <w14:solidFill>
                    <w14:schemeClr w14:val="tx1"/>
                  </w14:solidFill>
                </w14:textFill>
              </w:rPr>
              <w:t>mg/m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，O</w:t>
            </w:r>
            <w:r>
              <w:rPr>
                <w:rFonts w:hint="eastAsia" w:ascii="宋体" w:hAnsi="宋体" w:eastAsia="宋体" w:cs="宋体"/>
                <w:color w:val="000000" w:themeColor="text1"/>
                <w:sz w:val="24"/>
                <w:highlight w:val="none"/>
                <w:vertAlign w:val="sub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日最大8小时平均第90百分位数为</w:t>
            </w:r>
            <w:r>
              <w:rPr>
                <w:rFonts w:hint="eastAsia" w:ascii="宋体" w:hAnsi="宋体" w:eastAsia="宋体" w:cs="宋体"/>
                <w:color w:val="000000" w:themeColor="text1"/>
                <w:sz w:val="24"/>
                <w:highlight w:val="none"/>
                <w:lang w:val="en-US" w:eastAsia="zh-CN"/>
                <w14:textFill>
                  <w14:solidFill>
                    <w14:schemeClr w14:val="tx1"/>
                  </w14:solidFill>
                </w14:textFill>
              </w:rPr>
              <w:t>90</w:t>
            </w:r>
            <w:r>
              <w:rPr>
                <w:rFonts w:hint="eastAsia" w:ascii="宋体" w:hAnsi="宋体" w:eastAsia="宋体" w:cs="宋体"/>
                <w:color w:val="000000" w:themeColor="text1"/>
                <w:sz w:val="24"/>
                <w:highlight w:val="none"/>
                <w14:textFill>
                  <w14:solidFill>
                    <w14:schemeClr w14:val="tx1"/>
                  </w14:solidFill>
                </w14:textFill>
              </w:rPr>
              <w:t>µg/m</w:t>
            </w:r>
            <w:r>
              <w:rPr>
                <w:rFonts w:hint="eastAsia" w:ascii="宋体" w:hAnsi="宋体" w:eastAsia="宋体" w:cs="宋体"/>
                <w:color w:val="000000" w:themeColor="text1"/>
                <w:sz w:val="24"/>
                <w:highlight w:val="none"/>
                <w:vertAlign w:val="superscript"/>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，各污染物平均浓度均满足《环境空气质量标准》(GB3095-2012)及修改单中的二级标准。综上，本项目所在区域为达标区，区域环境空气质量良好。</w:t>
            </w:r>
          </w:p>
          <w:p>
            <w:pPr>
              <w:ind w:left="0" w:leftChars="0" w:firstLine="0" w:firstLineChars="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lang w:val="en-US" w:eastAsia="zh-CN"/>
                <w14:textFill>
                  <w14:solidFill>
                    <w14:schemeClr w14:val="tx1"/>
                  </w14:solidFill>
                </w14:textFill>
              </w:rPr>
              <w:t>、声环境现状评价</w:t>
            </w:r>
          </w:p>
          <w:p>
            <w:pPr>
              <w:spacing w:line="360" w:lineRule="auto"/>
              <w:ind w:firstLine="480"/>
              <w:rPr>
                <w:rFonts w:hint="eastAsia" w:ascii="Times New Roman" w:hAnsi="Times New Roman" w:eastAsia="宋体" w:cs="Times New Roman"/>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color w:val="000000" w:themeColor="text1"/>
                <w:sz w:val="24"/>
                <w:szCs w:val="32"/>
                <w:highlight w:val="none"/>
                <w:lang w:val="en-US" w:eastAsia="zh-CN"/>
                <w14:textFill>
                  <w14:solidFill>
                    <w14:schemeClr w14:val="tx1"/>
                  </w14:solidFill>
                </w14:textFill>
              </w:rPr>
              <w:t>本项目</w:t>
            </w:r>
            <w:r>
              <w:rPr>
                <w:rFonts w:hint="eastAsia"/>
                <w:bCs/>
                <w:color w:val="000000" w:themeColor="text1"/>
                <w:sz w:val="24"/>
                <w:highlight w:val="none"/>
                <w14:textFill>
                  <w14:solidFill>
                    <w14:schemeClr w14:val="tx1"/>
                  </w14:solidFill>
                </w14:textFill>
              </w:rPr>
              <w:t>厂界周边50米范围内</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不存在环境保护目标。</w:t>
            </w:r>
          </w:p>
          <w:p>
            <w:pPr>
              <w:numPr>
                <w:ilvl w:val="0"/>
                <w:numId w:val="0"/>
              </w:numPr>
              <w:adjustRightInd w:val="0"/>
              <w:snapToGrid w:val="0"/>
              <w:spacing w:line="360" w:lineRule="auto"/>
              <w:jc w:val="left"/>
              <w:rPr>
                <w:rFonts w:hint="eastAsia" w:ascii="宋体" w:hAnsi="宋体" w:eastAsia="宋体" w:cs="宋体"/>
                <w:b/>
                <w:bCs w:val="0"/>
                <w:color w:val="000000" w:themeColor="text1"/>
                <w:sz w:val="24"/>
                <w:highlight w:val="none"/>
                <w14:textFill>
                  <w14:solidFill>
                    <w14:schemeClr w14:val="tx1"/>
                  </w14:solidFill>
                </w14:textFill>
              </w:rPr>
            </w:pPr>
            <w:r>
              <w:rPr>
                <w:rFonts w:hint="eastAsia" w:ascii="宋体" w:hAnsi="宋体" w:cs="宋体"/>
                <w:b/>
                <w:bCs w:val="0"/>
                <w:color w:val="000000" w:themeColor="text1"/>
                <w:sz w:val="24"/>
                <w:highlight w:val="none"/>
                <w:lang w:val="en-US" w:eastAsia="zh-CN"/>
                <w14:textFill>
                  <w14:solidFill>
                    <w14:schemeClr w14:val="tx1"/>
                  </w14:solidFill>
                </w14:textFill>
              </w:rPr>
              <w:t>4</w:t>
            </w:r>
            <w:r>
              <w:rPr>
                <w:rFonts w:hint="eastAsia" w:ascii="宋体" w:hAnsi="宋体" w:eastAsia="宋体" w:cs="宋体"/>
                <w:b/>
                <w:bCs w:val="0"/>
                <w:color w:val="000000" w:themeColor="text1"/>
                <w:sz w:val="24"/>
                <w:highlight w:val="none"/>
                <w:lang w:val="en-US" w:eastAsia="zh-CN"/>
                <w14:textFill>
                  <w14:solidFill>
                    <w14:schemeClr w14:val="tx1"/>
                  </w14:solidFill>
                </w14:textFill>
              </w:rPr>
              <w:t>、</w:t>
            </w:r>
            <w:r>
              <w:rPr>
                <w:rFonts w:hint="eastAsia" w:ascii="宋体" w:hAnsi="宋体" w:eastAsia="宋体" w:cs="宋体"/>
                <w:b/>
                <w:bCs w:val="0"/>
                <w:color w:val="000000" w:themeColor="text1"/>
                <w:sz w:val="24"/>
                <w:highlight w:val="none"/>
                <w14:textFill>
                  <w14:solidFill>
                    <w14:schemeClr w14:val="tx1"/>
                  </w14:solidFill>
                </w14:textFill>
              </w:rPr>
              <w:t>地表水环境</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根据《环境影响评价技术导则</w:t>
            </w:r>
            <w:r>
              <w:rPr>
                <w:rFonts w:hint="eastAsia"/>
                <w:color w:val="000000" w:themeColor="text1"/>
                <w:sz w:val="24"/>
                <w:highlight w:val="none"/>
                <w:lang w:val="en-US" w:eastAsia="zh-CN"/>
                <w14:textFill>
                  <w14:solidFill>
                    <w14:schemeClr w14:val="tx1"/>
                  </w14:solidFill>
                </w14:textFill>
              </w:rPr>
              <w:t xml:space="preserve"> </w:t>
            </w:r>
            <w:r>
              <w:rPr>
                <w:color w:val="000000" w:themeColor="text1"/>
                <w:sz w:val="24"/>
                <w:highlight w:val="none"/>
                <w14:textFill>
                  <w14:solidFill>
                    <w14:schemeClr w14:val="tx1"/>
                  </w14:solidFill>
                </w14:textFill>
              </w:rPr>
              <w:t>地表水环境》（HJ2.3-2018），结合本项目工程特点，</w:t>
            </w:r>
            <w:r>
              <w:rPr>
                <w:rFonts w:hint="eastAsia"/>
                <w:color w:val="000000" w:themeColor="text1"/>
                <w:sz w:val="24"/>
                <w:highlight w:val="none"/>
                <w:lang w:eastAsia="zh-CN"/>
                <w14:textFill>
                  <w14:solidFill>
                    <w14:schemeClr w14:val="tx1"/>
                  </w14:solidFill>
                </w14:textFill>
              </w:rPr>
              <w:t>项目评价范围内无地表水体，本工程与地表水体无水利联系，</w:t>
            </w:r>
            <w:r>
              <w:rPr>
                <w:color w:val="000000" w:themeColor="text1"/>
                <w:sz w:val="24"/>
                <w:highlight w:val="none"/>
                <w14:textFill>
                  <w14:solidFill>
                    <w14:schemeClr w14:val="tx1"/>
                  </w14:solidFill>
                </w14:textFill>
              </w:rPr>
              <w:t>因此不对本项目地表水进行现状评价。</w:t>
            </w:r>
          </w:p>
          <w:p>
            <w:pPr>
              <w:numPr>
                <w:ilvl w:val="0"/>
                <w:numId w:val="0"/>
              </w:numPr>
              <w:adjustRightInd w:val="0"/>
              <w:snapToGrid w:val="0"/>
              <w:spacing w:line="360" w:lineRule="auto"/>
              <w:jc w:val="left"/>
              <w:rPr>
                <w:rFonts w:hint="eastAsia" w:ascii="宋体" w:hAnsi="宋体" w:eastAsia="宋体" w:cs="宋体"/>
                <w:b/>
                <w:bCs w:val="0"/>
                <w:color w:val="000000" w:themeColor="text1"/>
                <w:sz w:val="24"/>
                <w:highlight w:val="none"/>
                <w14:textFill>
                  <w14:solidFill>
                    <w14:schemeClr w14:val="tx1"/>
                  </w14:solidFill>
                </w14:textFill>
              </w:rPr>
            </w:pPr>
            <w:r>
              <w:rPr>
                <w:rFonts w:hint="eastAsia" w:ascii="宋体" w:hAnsi="宋体" w:cs="宋体"/>
                <w:b/>
                <w:bCs w:val="0"/>
                <w:color w:val="000000" w:themeColor="text1"/>
                <w:sz w:val="24"/>
                <w:highlight w:val="none"/>
                <w:lang w:val="en-US" w:eastAsia="zh-CN"/>
                <w14:textFill>
                  <w14:solidFill>
                    <w14:schemeClr w14:val="tx1"/>
                  </w14:solidFill>
                </w14:textFill>
              </w:rPr>
              <w:t>5</w:t>
            </w:r>
            <w:r>
              <w:rPr>
                <w:rFonts w:hint="eastAsia" w:ascii="宋体" w:hAnsi="宋体" w:eastAsia="宋体" w:cs="宋体"/>
                <w:b/>
                <w:bCs w:val="0"/>
                <w:color w:val="000000" w:themeColor="text1"/>
                <w:sz w:val="24"/>
                <w:highlight w:val="none"/>
                <w:lang w:val="en-US" w:eastAsia="zh-CN"/>
                <w14:textFill>
                  <w14:solidFill>
                    <w14:schemeClr w14:val="tx1"/>
                  </w14:solidFill>
                </w14:textFill>
              </w:rPr>
              <w:t>、</w:t>
            </w:r>
            <w:r>
              <w:rPr>
                <w:rFonts w:hint="eastAsia" w:ascii="宋体" w:hAnsi="宋体" w:eastAsia="宋体" w:cs="宋体"/>
                <w:b/>
                <w:bCs w:val="0"/>
                <w:color w:val="000000" w:themeColor="text1"/>
                <w:sz w:val="24"/>
                <w:highlight w:val="none"/>
                <w14:textFill>
                  <w14:solidFill>
                    <w14:schemeClr w14:val="tx1"/>
                  </w14:solidFill>
                </w14:textFill>
              </w:rPr>
              <w:t>地下水环境</w:t>
            </w:r>
          </w:p>
          <w:p>
            <w:pPr>
              <w:spacing w:line="360" w:lineRule="auto"/>
              <w:ind w:firstLine="480"/>
              <w:rPr>
                <w:rFonts w:hint="eastAsia" w:ascii="Times New Roman" w:hAnsi="Times New Roman"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根据《环境影响评价技术导则</w:t>
            </w:r>
            <w:r>
              <w:rPr>
                <w:rFonts w:hint="eastAsia" w:ascii="Times New Roman" w:hAnsi="Times New Roman" w:cs="Times New Roman"/>
                <w:bCs/>
                <w:color w:val="000000" w:themeColor="text1"/>
                <w:sz w:val="24"/>
                <w:highlight w:val="none"/>
                <w:lang w:val="en-US" w:eastAsia="zh-CN"/>
                <w14:textFill>
                  <w14:solidFill>
                    <w14:schemeClr w14:val="tx1"/>
                  </w14:solidFill>
                </w14:textFill>
              </w:rPr>
              <w:t xml:space="preserve"> </w:t>
            </w:r>
            <w:r>
              <w:rPr>
                <w:rFonts w:hint="default" w:ascii="Times New Roman" w:hAnsi="Times New Roman" w:cs="Times New Roman"/>
                <w:bCs/>
                <w:color w:val="000000" w:themeColor="text1"/>
                <w:sz w:val="24"/>
                <w:highlight w:val="none"/>
                <w14:textFill>
                  <w14:solidFill>
                    <w14:schemeClr w14:val="tx1"/>
                  </w14:solidFill>
                </w14:textFill>
              </w:rPr>
              <w:t>地下水环境》（HJ</w:t>
            </w:r>
            <w:r>
              <w:rPr>
                <w:rFonts w:hint="eastAsia" w:ascii="Times New Roman" w:hAnsi="Times New Roman" w:cs="Times New Roman"/>
                <w:bCs/>
                <w:color w:val="000000" w:themeColor="text1"/>
                <w:sz w:val="24"/>
                <w:highlight w:val="none"/>
                <w:lang w:val="en-US" w:eastAsia="zh-CN"/>
                <w14:textFill>
                  <w14:solidFill>
                    <w14:schemeClr w14:val="tx1"/>
                  </w14:solidFill>
                </w14:textFill>
              </w:rPr>
              <w:t>6</w:t>
            </w:r>
            <w:r>
              <w:rPr>
                <w:rFonts w:hint="default" w:ascii="Times New Roman" w:hAnsi="Times New Roman" w:cs="Times New Roman"/>
                <w:bCs/>
                <w:color w:val="000000" w:themeColor="text1"/>
                <w:sz w:val="24"/>
                <w:highlight w:val="none"/>
                <w14:textFill>
                  <w14:solidFill>
                    <w14:schemeClr w14:val="tx1"/>
                  </w14:solidFill>
                </w14:textFill>
              </w:rPr>
              <w:t>10-2016）中附录 A 地下水环境影响评价行业分类表，本项目</w:t>
            </w:r>
            <w:r>
              <w:rPr>
                <w:rFonts w:hint="eastAsia" w:cs="Times New Roman"/>
                <w:bCs/>
                <w:color w:val="000000" w:themeColor="text1"/>
                <w:sz w:val="24"/>
                <w:highlight w:val="none"/>
                <w:lang w:eastAsia="zh-CN"/>
                <w14:textFill>
                  <w14:solidFill>
                    <w14:schemeClr w14:val="tx1"/>
                  </w14:solidFill>
                </w14:textFill>
              </w:rPr>
              <w:t>其他能源发电属于</w:t>
            </w:r>
            <w:r>
              <w:rPr>
                <w:rFonts w:hint="default" w:ascii="Times New Roman" w:hAnsi="Times New Roman" w:cs="Times New Roman"/>
                <w:bCs/>
                <w:color w:val="000000" w:themeColor="text1"/>
                <w:sz w:val="24"/>
                <w:highlight w:val="none"/>
                <w14:textFill>
                  <w14:solidFill>
                    <w14:schemeClr w14:val="tx1"/>
                  </w14:solidFill>
                </w14:textFill>
              </w:rPr>
              <w:t>IV类项目，本项目不开展地下水环境影响评价</w:t>
            </w:r>
            <w:r>
              <w:rPr>
                <w:rFonts w:hint="eastAsia" w:ascii="Times New Roman" w:hAnsi="Times New Roman" w:cs="Times New Roman"/>
                <w:bCs/>
                <w:color w:val="000000" w:themeColor="text1"/>
                <w:sz w:val="24"/>
                <w:highlight w:val="none"/>
                <w:lang w:eastAsia="zh-CN"/>
                <w14:textFill>
                  <w14:solidFill>
                    <w14:schemeClr w14:val="tx1"/>
                  </w14:solidFill>
                </w14:textFill>
              </w:rPr>
              <w:t>。</w:t>
            </w:r>
          </w:p>
          <w:p>
            <w:pPr>
              <w:numPr>
                <w:ilvl w:val="0"/>
                <w:numId w:val="0"/>
              </w:numPr>
              <w:adjustRightInd w:val="0"/>
              <w:snapToGrid w:val="0"/>
              <w:spacing w:line="360" w:lineRule="auto"/>
              <w:jc w:val="left"/>
              <w:rPr>
                <w:rFonts w:hint="eastAsia" w:ascii="宋体" w:hAnsi="宋体" w:eastAsia="宋体" w:cs="宋体"/>
                <w:b/>
                <w:bCs w:val="0"/>
                <w:color w:val="000000" w:themeColor="text1"/>
                <w:sz w:val="24"/>
                <w:highlight w:val="none"/>
                <w:lang w:eastAsia="zh-CN"/>
                <w14:textFill>
                  <w14:solidFill>
                    <w14:schemeClr w14:val="tx1"/>
                  </w14:solidFill>
                </w14:textFill>
              </w:rPr>
            </w:pPr>
            <w:r>
              <w:rPr>
                <w:rFonts w:hint="eastAsia" w:ascii="宋体" w:hAnsi="宋体" w:cs="宋体"/>
                <w:b/>
                <w:bCs w:val="0"/>
                <w:color w:val="000000" w:themeColor="text1"/>
                <w:sz w:val="24"/>
                <w:highlight w:val="none"/>
                <w:lang w:val="en-US" w:eastAsia="zh-CN"/>
                <w14:textFill>
                  <w14:solidFill>
                    <w14:schemeClr w14:val="tx1"/>
                  </w14:solidFill>
                </w14:textFill>
              </w:rPr>
              <w:t>6</w:t>
            </w:r>
            <w:r>
              <w:rPr>
                <w:rFonts w:hint="eastAsia" w:ascii="宋体" w:hAnsi="宋体" w:eastAsia="宋体" w:cs="宋体"/>
                <w:b/>
                <w:bCs w:val="0"/>
                <w:color w:val="000000" w:themeColor="text1"/>
                <w:sz w:val="24"/>
                <w:highlight w:val="none"/>
                <w:lang w:val="en-US" w:eastAsia="zh-CN"/>
                <w14:textFill>
                  <w14:solidFill>
                    <w14:schemeClr w14:val="tx1"/>
                  </w14:solidFill>
                </w14:textFill>
              </w:rPr>
              <w:t>、</w:t>
            </w:r>
            <w:r>
              <w:rPr>
                <w:rFonts w:hint="eastAsia" w:ascii="宋体" w:hAnsi="宋体" w:eastAsia="宋体" w:cs="宋体"/>
                <w:b/>
                <w:bCs w:val="0"/>
                <w:color w:val="000000" w:themeColor="text1"/>
                <w:sz w:val="24"/>
                <w:highlight w:val="none"/>
                <w:lang w:eastAsia="zh-CN"/>
                <w14:textFill>
                  <w14:solidFill>
                    <w14:schemeClr w14:val="tx1"/>
                  </w14:solidFill>
                </w14:textFill>
              </w:rPr>
              <w:t>土壤环境</w:t>
            </w:r>
          </w:p>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根据《环境影响评价技术导则 土壤环境》（HJ 964-2018）</w:t>
            </w:r>
            <w:r>
              <w:rPr>
                <w:rFonts w:hint="eastAsia" w:eastAsia="宋体" w:cs="Times New Roman"/>
                <w:bCs/>
                <w:color w:val="000000" w:themeColor="text1"/>
                <w:sz w:val="24"/>
                <w:highlight w:val="none"/>
                <w:lang w:eastAsia="zh-CN"/>
                <w14:textFill>
                  <w14:solidFill>
                    <w14:schemeClr w14:val="tx1"/>
                  </w14:solidFill>
                </w14:textFill>
              </w:rPr>
              <w:t>附录</w:t>
            </w:r>
            <w:r>
              <w:rPr>
                <w:rFonts w:hint="eastAsia" w:eastAsia="宋体" w:cs="Times New Roman"/>
                <w:bCs/>
                <w:color w:val="000000" w:themeColor="text1"/>
                <w:sz w:val="24"/>
                <w:highlight w:val="none"/>
                <w:lang w:val="en-US" w:eastAsia="zh-CN"/>
                <w14:textFill>
                  <w14:solidFill>
                    <w14:schemeClr w14:val="tx1"/>
                  </w14:solidFill>
                </w14:textFill>
              </w:rPr>
              <w:t>A土壤环境影响评价</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本项目属于其他行业，全部为Ⅳ类项目，根据导则要求可以不开展土壤环境影响评价。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840" w:hRule="atLeast"/>
          <w:jc w:val="center"/>
        </w:trPr>
        <w:tc>
          <w:tcPr>
            <w:tcW w:w="750" w:type="dxa"/>
            <w:vAlign w:val="center"/>
          </w:tcPr>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与项</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目有</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关的</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原有</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环境</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污染</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和生</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态破</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坏问</w:t>
            </w:r>
          </w:p>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题</w:t>
            </w:r>
          </w:p>
        </w:tc>
        <w:tc>
          <w:tcPr>
            <w:tcW w:w="8467" w:type="dxa"/>
            <w:vAlign w:val="center"/>
          </w:tcPr>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本项目为新建项目，不存在</w:t>
            </w:r>
            <w:r>
              <w:rPr>
                <w:rFonts w:hint="eastAsia" w:cs="Times New Roman"/>
                <w:color w:val="000000" w:themeColor="text1"/>
                <w:lang w:val="en-US" w:eastAsia="zh-CN"/>
                <w14:textFill>
                  <w14:solidFill>
                    <w14:schemeClr w14:val="tx1"/>
                  </w14:solidFill>
                </w14:textFill>
              </w:rPr>
              <w:t>与本项目有关的</w:t>
            </w:r>
            <w:r>
              <w:rPr>
                <w:rFonts w:hint="default" w:ascii="Times New Roman" w:hAnsi="Times New Roman" w:eastAsia="宋体" w:cs="Times New Roman"/>
                <w:color w:val="000000" w:themeColor="text1"/>
                <w:lang w:val="en-US" w:eastAsia="zh-CN"/>
                <w14:textFill>
                  <w14:solidFill>
                    <w14:schemeClr w14:val="tx1"/>
                  </w14:solidFill>
                </w14:textFill>
              </w:rPr>
              <w:t>原有</w:t>
            </w:r>
            <w:r>
              <w:rPr>
                <w:rFonts w:hint="eastAsia" w:cs="Times New Roman"/>
                <w:color w:val="000000" w:themeColor="text1"/>
                <w:lang w:val="en-US" w:eastAsia="zh-CN"/>
                <w14:textFill>
                  <w14:solidFill>
                    <w14:schemeClr w14:val="tx1"/>
                  </w14:solidFill>
                </w14:textFill>
              </w:rPr>
              <w:t>环境污染和生态破坏</w:t>
            </w:r>
            <w:r>
              <w:rPr>
                <w:rFonts w:hint="default" w:ascii="Times New Roman" w:hAnsi="Times New Roman" w:eastAsia="宋体" w:cs="Times New Roman"/>
                <w:color w:val="000000" w:themeColor="text1"/>
                <w:lang w:val="en-US" w:eastAsia="zh-CN"/>
                <w14:textFill>
                  <w14:solidFill>
                    <w14:schemeClr w14:val="tx1"/>
                  </w14:solidFill>
                </w14:textFill>
              </w:rPr>
              <w:t>问题。</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750" w:type="dxa"/>
            <w:vAlign w:val="center"/>
          </w:tcPr>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生态环境保护目标</w:t>
            </w:r>
          </w:p>
        </w:tc>
        <w:tc>
          <w:tcPr>
            <w:tcW w:w="8467" w:type="dxa"/>
            <w:vAlign w:val="center"/>
          </w:tcPr>
          <w:p>
            <w:pPr>
              <w:keepNext w:val="0"/>
              <w:keepLines w:val="0"/>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1、生态环境</w:t>
            </w:r>
            <w:r>
              <w:rPr>
                <w:rFonts w:hint="eastAsia" w:cs="Times New Roman"/>
                <w:b/>
                <w:bCs/>
                <w:color w:val="000000" w:themeColor="text1"/>
                <w:lang w:val="en-US" w:eastAsia="zh-CN"/>
                <w14:textFill>
                  <w14:solidFill>
                    <w14:schemeClr w14:val="tx1"/>
                  </w14:solidFill>
                </w14:textFill>
              </w:rPr>
              <w:t>保护</w:t>
            </w:r>
            <w:r>
              <w:rPr>
                <w:rFonts w:hint="default" w:ascii="Times New Roman" w:hAnsi="Times New Roman" w:eastAsia="宋体" w:cs="Times New Roman"/>
                <w:b/>
                <w:bCs/>
                <w:color w:val="000000" w:themeColor="text1"/>
                <w:lang w:val="en-US" w:eastAsia="zh-CN"/>
                <w14:textFill>
                  <w14:solidFill>
                    <w14:schemeClr w14:val="tx1"/>
                  </w14:solidFill>
                </w14:textFill>
              </w:rPr>
              <w:t>目标</w:t>
            </w:r>
          </w:p>
          <w:p>
            <w:pPr>
              <w:rPr>
                <w:rFonts w:hint="default" w:ascii="Times New Roman" w:hAnsi="Times New Roman" w:eastAsia="宋体" w:cs="Times New Roman"/>
                <w:color w:val="000000" w:themeColor="text1"/>
                <w:kern w:val="0"/>
                <w:sz w:val="24"/>
                <w:szCs w:val="24"/>
                <w:highlight w:val="yellow"/>
                <w:lang w:val="en-US" w:eastAsia="zh-CN" w:bidi="ar"/>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w:t>
            </w:r>
            <w:r>
              <w:rPr>
                <w:rFonts w:hint="default" w:ascii="Times New Roman" w:hAnsi="Times New Roman"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lang w:val="en-US" w:eastAsia="zh-CN"/>
                <w14:textFill>
                  <w14:solidFill>
                    <w14:schemeClr w14:val="tx1"/>
                  </w14:solidFill>
                </w14:textFill>
              </w:rPr>
              <w:t>评价范围内不涉及《建设项目环境影响评价分类管理名录（2021年版）》中的国家公园、自然保护区、风景名胜区、世界文化和自然遗产地、饮用水水源保护区等环</w:t>
            </w:r>
            <w:r>
              <w:rPr>
                <w:rFonts w:hint="default"/>
                <w:lang w:val="en-US" w:eastAsia="zh-CN"/>
              </w:rPr>
              <w:t>境敏感区，不涉及《环境影响评价技术导则 生态影响》（HJ</w:t>
            </w:r>
            <w:r>
              <w:rPr>
                <w:rFonts w:hint="eastAsia"/>
                <w:lang w:val="en-US" w:eastAsia="zh-CN"/>
              </w:rPr>
              <w:t xml:space="preserve"> </w:t>
            </w:r>
            <w:r>
              <w:rPr>
                <w:rFonts w:hint="default"/>
                <w:lang w:val="en-US" w:eastAsia="zh-CN"/>
              </w:rPr>
              <w:t>19-2022）中定义的特殊生态敏感区和重要生态敏感区</w:t>
            </w:r>
            <w:r>
              <w:rPr>
                <w:rFonts w:hint="eastAsia"/>
                <w:lang w:val="en-US" w:eastAsia="zh-CN"/>
              </w:rPr>
              <w:t>，项目</w:t>
            </w:r>
            <w:r>
              <w:rPr>
                <w:rFonts w:hint="default"/>
                <w:lang w:val="en-US" w:eastAsia="zh-CN"/>
              </w:rPr>
              <w:t>周围未发现需重点保护的珍稀、濒危植物。</w:t>
            </w:r>
          </w:p>
          <w:p>
            <w:pP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根据</w:t>
            </w:r>
            <w:r>
              <w:rPr>
                <w:rFonts w:hint="default" w:ascii="Times New Roman" w:hAnsi="Times New Roman" w:eastAsia="宋体" w:cs="Times New Roman"/>
                <w:color w:val="000000" w:themeColor="text1"/>
                <w:lang w:val="en-US" w:eastAsia="zh-CN"/>
                <w14:textFill>
                  <w14:solidFill>
                    <w14:schemeClr w14:val="tx1"/>
                  </w14:solidFill>
                </w14:textFill>
              </w:rPr>
              <w:t>《环境影响评价技术导则 生态影响》（HJ</w:t>
            </w:r>
            <w:r>
              <w:rPr>
                <w:rFonts w:hint="eastAsia"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lang w:val="en-US" w:eastAsia="zh-CN"/>
                <w14:textFill>
                  <w14:solidFill>
                    <w14:schemeClr w14:val="tx1"/>
                  </w14:solidFill>
                </w14:textFill>
              </w:rPr>
              <w:t>19-20</w:t>
            </w:r>
            <w:r>
              <w:rPr>
                <w:rFonts w:hint="default"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本工程主要生态环境保护目标为项目</w:t>
            </w:r>
            <w:r>
              <w:rPr>
                <w:rFonts w:hint="eastAsia" w:cs="Times New Roman"/>
                <w:color w:val="000000" w:themeColor="text1"/>
                <w:kern w:val="0"/>
                <w:sz w:val="24"/>
                <w:szCs w:val="24"/>
                <w:lang w:val="en-US" w:eastAsia="zh-CN" w:bidi="ar"/>
                <w14:textFill>
                  <w14:solidFill>
                    <w14:schemeClr w14:val="tx1"/>
                  </w14:solidFill>
                </w14:textFill>
              </w:rPr>
              <w:t>线路沿线及临时占地范围内的野生植被</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主要</w:t>
            </w:r>
            <w:r>
              <w:rPr>
                <w:rFonts w:hint="eastAsia" w:cs="Times New Roman"/>
                <w:color w:val="000000" w:themeColor="text1"/>
                <w:kern w:val="0"/>
                <w:sz w:val="24"/>
                <w:szCs w:val="24"/>
                <w:lang w:val="en-US" w:eastAsia="zh-CN" w:bidi="ar"/>
                <w14:textFill>
                  <w14:solidFill>
                    <w14:schemeClr w14:val="tx1"/>
                  </w14:solidFill>
                </w14:textFill>
              </w:rPr>
              <w:t>有</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假木贼</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驼绒藜</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等。项目施工期施工场地及施工便道的设置应避开植被集中分布区域，减少植被扰动面积。</w:t>
            </w: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2</w:t>
            </w:r>
            <w:r>
              <w:rPr>
                <w:rFonts w:hint="default" w:ascii="Times New Roman" w:hAnsi="Times New Roman" w:eastAsia="宋体" w:cs="Times New Roman"/>
                <w:b/>
                <w:bCs/>
                <w:color w:val="000000" w:themeColor="text1"/>
                <w:lang w:val="en-US" w:eastAsia="zh-CN"/>
                <w14:textFill>
                  <w14:solidFill>
                    <w14:schemeClr w14:val="tx1"/>
                  </w14:solidFill>
                </w14:textFill>
              </w:rPr>
              <w:t>、声环境</w:t>
            </w:r>
            <w:r>
              <w:rPr>
                <w:rFonts w:hint="eastAsia" w:cs="Times New Roman"/>
                <w:b/>
                <w:bCs/>
                <w:color w:val="000000" w:themeColor="text1"/>
                <w:lang w:val="en-US" w:eastAsia="zh-CN"/>
                <w14:textFill>
                  <w14:solidFill>
                    <w14:schemeClr w14:val="tx1"/>
                  </w14:solidFill>
                </w14:textFill>
              </w:rPr>
              <w:t>保护</w:t>
            </w:r>
            <w:r>
              <w:rPr>
                <w:rFonts w:hint="default" w:ascii="Times New Roman" w:hAnsi="Times New Roman" w:eastAsia="宋体" w:cs="Times New Roman"/>
                <w:b/>
                <w:bCs/>
                <w:color w:val="000000" w:themeColor="text1"/>
                <w:lang w:val="en-US" w:eastAsia="zh-CN"/>
                <w14:textFill>
                  <w14:solidFill>
                    <w14:schemeClr w14:val="tx1"/>
                  </w14:solidFill>
                </w14:textFill>
              </w:rPr>
              <w:t>目标</w:t>
            </w:r>
          </w:p>
          <w:p>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根据《环境影响评价技术导则 声环境》（HJ</w:t>
            </w:r>
            <w:r>
              <w:rPr>
                <w:rFonts w:hint="eastAsia"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lang w:val="en-US" w:eastAsia="zh-CN"/>
                <w14:textFill>
                  <w14:solidFill>
                    <w14:schemeClr w14:val="tx1"/>
                  </w14:solidFill>
                </w14:textFill>
              </w:rPr>
              <w:t>2.4-2021），声环境敏感目标指医院、学校、机关、科研单位、住宅、自然保护区等对噪声敏感的建筑物或区域。根据现场勘查，本</w:t>
            </w:r>
            <w:r>
              <w:rPr>
                <w:rFonts w:hint="default" w:ascii="Times New Roman" w:hAnsi="Times New Roman"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lang w:val="en-US" w:eastAsia="zh-CN"/>
                <w14:textFill>
                  <w14:solidFill>
                    <w14:schemeClr w14:val="tx1"/>
                  </w14:solidFill>
                </w14:textFill>
              </w:rPr>
              <w:t>评价范围内不存在声环境</w:t>
            </w:r>
            <w:r>
              <w:rPr>
                <w:rFonts w:hint="eastAsia" w:cs="Times New Roman"/>
                <w:color w:val="000000" w:themeColor="text1"/>
                <w:lang w:val="en-US" w:eastAsia="zh-CN"/>
                <w14:textFill>
                  <w14:solidFill>
                    <w14:schemeClr w14:val="tx1"/>
                  </w14:solidFill>
                </w14:textFill>
              </w:rPr>
              <w:t>保护</w:t>
            </w:r>
            <w:r>
              <w:rPr>
                <w:rFonts w:hint="default" w:ascii="Times New Roman" w:hAnsi="Times New Roman" w:eastAsia="宋体" w:cs="Times New Roman"/>
                <w:color w:val="000000" w:themeColor="text1"/>
                <w:lang w:val="en-US" w:eastAsia="zh-CN"/>
                <w14:textFill>
                  <w14:solidFill>
                    <w14:schemeClr w14:val="tx1"/>
                  </w14:solidFill>
                </w14:textFill>
              </w:rPr>
              <w:t>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jc w:val="center"/>
        </w:trPr>
        <w:tc>
          <w:tcPr>
            <w:tcW w:w="750" w:type="dxa"/>
            <w:vAlign w:val="center"/>
          </w:tcPr>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评价标准</w:t>
            </w:r>
          </w:p>
        </w:tc>
        <w:tc>
          <w:tcPr>
            <w:tcW w:w="8467" w:type="dxa"/>
            <w:vAlign w:val="center"/>
          </w:tcPr>
          <w:p>
            <w:pPr>
              <w:keepNext w:val="0"/>
              <w:keepLines w:val="0"/>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1、环境质量标准</w:t>
            </w:r>
          </w:p>
          <w:p>
            <w:pPr>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（1）声环境</w:t>
            </w:r>
          </w:p>
          <w:p>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声环境质量标准》（GB</w:t>
            </w: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t>3096-2008）中</w:t>
            </w: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类标准，昼间</w:t>
            </w:r>
            <w:r>
              <w:rPr>
                <w:rFonts w:hint="eastAsia"/>
                <w:color w:val="000000" w:themeColor="text1"/>
                <w:lang w:val="en-US" w:eastAsia="zh-CN"/>
                <w14:textFill>
                  <w14:solidFill>
                    <w14:schemeClr w14:val="tx1"/>
                  </w14:solidFill>
                </w14:textFill>
              </w:rPr>
              <w:t>60</w:t>
            </w:r>
            <w:r>
              <w:rPr>
                <w:rFonts w:hint="default"/>
                <w:color w:val="000000" w:themeColor="text1"/>
                <w:lang w:val="en-US" w:eastAsia="zh-CN"/>
                <w14:textFill>
                  <w14:solidFill>
                    <w14:schemeClr w14:val="tx1"/>
                  </w14:solidFill>
                </w14:textFill>
              </w:rPr>
              <w:t>dB（A），夜间5</w:t>
            </w:r>
            <w:r>
              <w:rPr>
                <w:rFonts w:hint="eastAsia"/>
                <w:color w:val="000000" w:themeColor="text1"/>
                <w:lang w:val="en-US" w:eastAsia="zh-CN"/>
                <w14:textFill>
                  <w14:solidFill>
                    <w14:schemeClr w14:val="tx1"/>
                  </w14:solidFill>
                </w14:textFill>
              </w:rPr>
              <w:t>0</w:t>
            </w:r>
            <w:r>
              <w:rPr>
                <w:rFonts w:hint="default"/>
                <w:color w:val="000000" w:themeColor="text1"/>
                <w:lang w:val="en-US" w:eastAsia="zh-CN"/>
                <w14:textFill>
                  <w14:solidFill>
                    <w14:schemeClr w14:val="tx1"/>
                  </w14:solidFill>
                </w14:textFill>
              </w:rPr>
              <w:t>dB（A）。</w:t>
            </w:r>
          </w:p>
          <w:p>
            <w:pPr>
              <w:pStyle w:val="2"/>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环境空气质量执行《环境空气质量标准》（GB3095-2012）及其修改 单二级标准</w:t>
            </w:r>
          </w:p>
          <w:p>
            <w:pPr>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2、污染物排放标准</w:t>
            </w:r>
          </w:p>
          <w:p>
            <w:pPr>
              <w:rPr>
                <w:rFonts w:hint="eastAsia" w:ascii="宋体" w:hAnsi="宋体" w:eastAsia="宋体" w:cs="宋体"/>
                <w:color w:val="000000" w:themeColor="text1"/>
                <w:sz w:val="24"/>
                <w:szCs w:val="24"/>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1）噪声</w:t>
            </w:r>
          </w:p>
          <w:p>
            <w:pP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施工期施工场界噪声执行《建筑施工场界环境噪声排放标准》（GB 12523-</w:t>
            </w:r>
          </w:p>
          <w:p>
            <w:pPr>
              <w:ind w:left="0" w:leftChars="0" w:firstLine="0" w:firstLineChars="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2011），昼间70dB（A），夜间55dB（A）。</w:t>
            </w:r>
          </w:p>
          <w:p>
            <w:pP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运营期项目厂界执行《工业企业厂界环境噪声排放标准》（GB12348-2008）2类标准。昼间60dB（A），夜间50dB（A）。</w:t>
            </w:r>
          </w:p>
          <w:p>
            <w:pP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）运营期一般固体废物执行《一般工业固体废物贮存和填埋污染控制标准》（GB 18599-2020）；危险废物执行《危险废物贮存污染控制标准》（GB18597-2023）。</w:t>
            </w:r>
          </w:p>
          <w:p>
            <w:pP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）施工扬尘排放执行</w:t>
            </w:r>
            <w:r>
              <w:rPr>
                <w:rFonts w:hint="eastAsia" w:ascii="宋体" w:hAnsi="宋体" w:eastAsia="宋体" w:cs="宋体"/>
                <w:color w:val="000000" w:themeColor="text1"/>
                <w:sz w:val="24"/>
                <w:szCs w:val="24"/>
                <w:lang w:val="zh-CN" w:eastAsia="zh-CN"/>
                <w14:textFill>
                  <w14:solidFill>
                    <w14:schemeClr w14:val="tx1"/>
                  </w14:solidFill>
                </w14:textFill>
              </w:rPr>
              <w:t>《大气污染物综合排放标准》（GB16297-1996）无组织排放浓度监控限值</w:t>
            </w:r>
            <w:r>
              <w:rPr>
                <w:rFonts w:hint="eastAsia" w:ascii="宋体" w:hAnsi="宋体" w:eastAsia="宋体" w:cs="宋体"/>
                <w:color w:val="000000" w:themeColor="text1"/>
                <w:sz w:val="24"/>
                <w:szCs w:val="24"/>
                <w:lang w:val="en-US" w:eastAsia="zh-CN"/>
                <w14:textFill>
                  <w14:solidFill>
                    <w14:schemeClr w14:val="tx1"/>
                  </w14:solidFill>
                </w14:textFill>
              </w:rPr>
              <w:t>；运营期无废气产生。</w:t>
            </w:r>
          </w:p>
          <w:p>
            <w:pPr>
              <w:pStyle w:val="2"/>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val="en-US" w:eastAsia="zh-CN"/>
                <w14:textFill>
                  <w14:solidFill>
                    <w14:schemeClr w14:val="tx1"/>
                  </w14:solidFill>
                </w14:textFill>
              </w:rPr>
              <w:t>）运营期废水执行《农村生活污水处理排放标准》（DB65 4275-2019）表2中C级标准。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14" w:hRule="atLeast"/>
          <w:jc w:val="center"/>
        </w:trPr>
        <w:tc>
          <w:tcPr>
            <w:tcW w:w="750" w:type="dxa"/>
            <w:vAlign w:val="center"/>
          </w:tcPr>
          <w:p>
            <w:pPr>
              <w:adjustRightInd w:val="0"/>
              <w:snapToGrid w:val="0"/>
              <w:spacing w:line="240" w:lineRule="auto"/>
              <w:ind w:firstLine="0" w:firstLineChars="0"/>
              <w:jc w:val="center"/>
              <w:outlineLvl w:val="9"/>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其他</w:t>
            </w:r>
          </w:p>
        </w:tc>
        <w:tc>
          <w:tcPr>
            <w:tcW w:w="8467" w:type="dxa"/>
            <w:vAlign w:val="center"/>
          </w:tcPr>
          <w:p>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zh-CN"/>
                <w14:textFill>
                  <w14:solidFill>
                    <w14:schemeClr w14:val="tx1"/>
                  </w14:solidFill>
                </w14:textFill>
              </w:rPr>
              <w:t>根据</w:t>
            </w:r>
            <w:r>
              <w:rPr>
                <w:rFonts w:hint="eastAsia" w:eastAsia="宋体" w:cs="Times New Roman"/>
                <w:color w:val="000000" w:themeColor="text1"/>
                <w:kern w:val="2"/>
                <w:sz w:val="24"/>
                <w:szCs w:val="24"/>
                <w:lang w:val="en-US" w:eastAsia="zh-CN" w:bidi="zh-CN"/>
                <w14:textFill>
                  <w14:solidFill>
                    <w14:schemeClr w14:val="tx1"/>
                  </w14:solidFill>
                </w14:textFill>
              </w:rPr>
              <w:t>国家总量控制指标结合</w:t>
            </w:r>
            <w:r>
              <w:rPr>
                <w:rFonts w:hint="eastAsia" w:ascii="Times New Roman" w:hAnsi="Times New Roman" w:eastAsia="宋体" w:cs="Times New Roman"/>
                <w:color w:val="000000" w:themeColor="text1"/>
                <w:kern w:val="2"/>
                <w:sz w:val="24"/>
                <w:szCs w:val="24"/>
                <w:lang w:val="en-US" w:eastAsia="zh-CN" w:bidi="zh-CN"/>
                <w14:textFill>
                  <w14:solidFill>
                    <w14:schemeClr w14:val="tx1"/>
                  </w14:solidFill>
                </w14:textFill>
              </w:rPr>
              <w:t>本项目特点</w:t>
            </w:r>
            <w:r>
              <w:rPr>
                <w:rFonts w:hint="eastAsia" w:eastAsia="宋体" w:cs="Times New Roman"/>
                <w:color w:val="000000" w:themeColor="text1"/>
                <w:kern w:val="2"/>
                <w:sz w:val="24"/>
                <w:szCs w:val="24"/>
                <w:lang w:val="en-US" w:eastAsia="zh-CN" w:bidi="zh-CN"/>
                <w14:textFill>
                  <w14:solidFill>
                    <w14:schemeClr w14:val="tx1"/>
                  </w14:solidFill>
                </w14:textFill>
              </w:rPr>
              <w:t>和排污情况</w:t>
            </w:r>
            <w:r>
              <w:rPr>
                <w:rFonts w:hint="eastAsia" w:ascii="Times New Roman" w:hAnsi="Times New Roman" w:eastAsia="宋体" w:cs="Times New Roman"/>
                <w:color w:val="000000" w:themeColor="text1"/>
                <w:kern w:val="2"/>
                <w:sz w:val="24"/>
                <w:szCs w:val="24"/>
                <w:lang w:val="en-US" w:eastAsia="zh-CN" w:bidi="zh-CN"/>
                <w14:textFill>
                  <w14:solidFill>
                    <w14:schemeClr w14:val="tx1"/>
                  </w14:solidFill>
                </w14:textFill>
              </w:rPr>
              <w:t>，</w:t>
            </w:r>
            <w:r>
              <w:rPr>
                <w:rFonts w:hint="eastAsia" w:eastAsia="宋体" w:cs="Times New Roman"/>
                <w:color w:val="000000" w:themeColor="text1"/>
                <w:kern w:val="2"/>
                <w:sz w:val="24"/>
                <w:szCs w:val="24"/>
                <w:lang w:val="en-US" w:eastAsia="zh-CN" w:bidi="zh-CN"/>
                <w14:textFill>
                  <w14:solidFill>
                    <w14:schemeClr w14:val="tx1"/>
                  </w14:solidFill>
                </w14:textFill>
              </w:rPr>
              <w:t>本项目不设置总量控制指标。</w:t>
            </w:r>
          </w:p>
        </w:tc>
      </w:tr>
    </w:tbl>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default" w:ascii="Times New Roman" w:hAnsi="Times New Roman" w:eastAsia="宋体" w:cs="Times New Roman"/>
          <w:b/>
          <w:bCs/>
          <w:snapToGrid w:val="0"/>
          <w:color w:val="000000" w:themeColor="text1"/>
          <w:sz w:val="30"/>
          <w:szCs w:val="30"/>
          <w:highlight w:val="none"/>
          <w14:textFill>
            <w14:solidFill>
              <w14:schemeClr w14:val="tx1"/>
            </w14:solidFill>
          </w14:textFill>
        </w:rPr>
      </w:pPr>
      <w:r>
        <w:rPr>
          <w:rFonts w:hint="default" w:ascii="Times New Roman" w:hAnsi="Times New Roman" w:eastAsia="宋体" w:cs="Times New Roman"/>
          <w:snapToGrid w:val="0"/>
          <w:color w:val="000000" w:themeColor="text1"/>
          <w:sz w:val="36"/>
          <w:szCs w:val="36"/>
          <w:highlight w:val="yellow"/>
          <w14:textFill>
            <w14:solidFill>
              <w14:schemeClr w14:val="tx1"/>
            </w14:solidFill>
          </w14:textFill>
        </w:rPr>
        <w:br w:type="page"/>
      </w:r>
      <w:bookmarkStart w:id="46" w:name="_Toc15742"/>
      <w:bookmarkStart w:id="47" w:name="_Toc25191"/>
      <w:bookmarkStart w:id="48" w:name="_Toc19120"/>
      <w:bookmarkStart w:id="49" w:name="_Toc5362"/>
      <w:bookmarkStart w:id="50" w:name="_Toc17574"/>
      <w:bookmarkStart w:id="51" w:name="_Toc22916"/>
      <w:bookmarkStart w:id="52" w:name="_Toc21583"/>
      <w:bookmarkStart w:id="53" w:name="_Toc13251"/>
      <w:r>
        <w:rPr>
          <w:rFonts w:hint="eastAsia" w:ascii="黑体" w:hAnsi="黑体" w:eastAsia="黑体" w:cs="黑体"/>
          <w:b w:val="0"/>
          <w:bCs w:val="0"/>
          <w:snapToGrid w:val="0"/>
          <w:color w:val="000000" w:themeColor="text1"/>
          <w:sz w:val="30"/>
          <w:szCs w:val="30"/>
          <w:highlight w:val="none"/>
          <w14:textFill>
            <w14:solidFill>
              <w14:schemeClr w14:val="tx1"/>
            </w14:solidFill>
          </w14:textFill>
        </w:rPr>
        <w:t>四、</w:t>
      </w:r>
      <w:r>
        <w:rPr>
          <w:rFonts w:hint="eastAsia" w:ascii="黑体" w:hAnsi="黑体" w:eastAsia="黑体" w:cs="黑体"/>
          <w:b w:val="0"/>
          <w:bCs w:val="0"/>
          <w:snapToGrid w:val="0"/>
          <w:color w:val="000000" w:themeColor="text1"/>
          <w:sz w:val="30"/>
          <w:szCs w:val="30"/>
          <w:highlight w:val="none"/>
          <w:lang w:val="en-US" w:eastAsia="zh-CN"/>
          <w14:textFill>
            <w14:solidFill>
              <w14:schemeClr w14:val="tx1"/>
            </w14:solidFill>
          </w14:textFill>
        </w:rPr>
        <w:t>生态环境影响分析</w:t>
      </w:r>
      <w:bookmarkEnd w:id="46"/>
      <w:bookmarkEnd w:id="47"/>
      <w:bookmarkEnd w:id="48"/>
      <w:bookmarkEnd w:id="49"/>
      <w:bookmarkEnd w:id="50"/>
      <w:bookmarkEnd w:id="51"/>
      <w:bookmarkEnd w:id="52"/>
      <w:bookmarkEnd w:id="53"/>
    </w:p>
    <w:tbl>
      <w:tblPr>
        <w:tblStyle w:val="35"/>
        <w:tblW w:w="923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9"/>
        <w:gridCol w:w="84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50"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bCs/>
                <w:color w:val="000000" w:themeColor="text1"/>
                <w:kern w:val="2"/>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施工期生态环境影响分析</w:t>
            </w:r>
          </w:p>
        </w:tc>
        <w:tc>
          <w:tcPr>
            <w:tcW w:w="8496" w:type="dxa"/>
            <w:vAlign w:val="center"/>
          </w:tcPr>
          <w:p>
            <w:pPr>
              <w:keepNext w:val="0"/>
              <w:keepLines w:val="0"/>
              <w:pageBreakBefore w:val="0"/>
              <w:widowControl/>
              <w:suppressLineNumbers w:val="0"/>
              <w:kinsoku/>
              <w:wordWrap/>
              <w:overflowPunct/>
              <w:topLinePunct w:val="0"/>
              <w:autoSpaceDE/>
              <w:autoSpaceDN/>
              <w:bidi w:val="0"/>
              <w:adjustRightInd/>
              <w:snapToGrid/>
              <w:spacing w:before="157" w:beforeLines="50"/>
              <w:ind w:left="0" w:leftChars="0" w:firstLine="0" w:firstLineChars="0"/>
              <w:jc w:val="left"/>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1、施工期生态环境影响分析</w:t>
            </w:r>
          </w:p>
          <w:p>
            <w:pPr>
              <w:keepNext w:val="0"/>
              <w:keepLines w:val="0"/>
              <w:widowControl/>
              <w:suppressLineNumbers w:val="0"/>
              <w:jc w:val="both"/>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项目</w:t>
            </w:r>
            <w:r>
              <w:rPr>
                <w:rFonts w:hint="eastAsia" w:cs="Times New Roman"/>
                <w:color w:val="000000" w:themeColor="text1"/>
                <w:kern w:val="0"/>
                <w:sz w:val="24"/>
                <w:szCs w:val="24"/>
                <w:lang w:val="en-US" w:eastAsia="zh-CN" w:bidi="ar"/>
                <w14:textFill>
                  <w14:solidFill>
                    <w14:schemeClr w14:val="tx1"/>
                  </w14:solidFill>
                </w14:textFill>
              </w:rPr>
              <w:t>施工</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建设产生的生态影响主要包括对动植物的影响、对土地利用的影响、水土流失的影响。</w:t>
            </w:r>
          </w:p>
          <w:p>
            <w:pPr>
              <w:adjustRightInd w:val="0"/>
              <w:snapToGrid w:val="0"/>
              <w:spacing w:line="360" w:lineRule="auto"/>
              <w:ind w:firstLine="480" w:firstLineChars="200"/>
              <w:jc w:val="left"/>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kern w:val="0"/>
                <w:sz w:val="24"/>
                <w:szCs w:val="24"/>
                <w14:textFill>
                  <w14:solidFill>
                    <w14:schemeClr w14:val="tx1"/>
                  </w14:solidFill>
                </w14:textFill>
              </w:rPr>
              <w:t>本</w:t>
            </w:r>
            <w:r>
              <w:rPr>
                <w:rFonts w:hint="default" w:ascii="Times New Roman" w:hAnsi="Times New Roman" w:eastAsia="宋体" w:cs="Times New Roman"/>
                <w:bCs/>
                <w:color w:val="000000" w:themeColor="text1"/>
                <w:kern w:val="0"/>
                <w:sz w:val="24"/>
                <w:szCs w:val="24"/>
                <w:lang w:val="en-US" w:eastAsia="zh-CN"/>
                <w14:textFill>
                  <w14:solidFill>
                    <w14:schemeClr w14:val="tx1"/>
                  </w14:solidFill>
                </w14:textFill>
              </w:rPr>
              <w:t>项目</w:t>
            </w:r>
            <w:r>
              <w:rPr>
                <w:rFonts w:hint="default" w:ascii="Times New Roman" w:hAnsi="Times New Roman" w:eastAsia="宋体" w:cs="Times New Roman"/>
                <w:bCs/>
                <w:color w:val="000000" w:themeColor="text1"/>
                <w:kern w:val="0"/>
                <w:sz w:val="24"/>
                <w:szCs w:val="24"/>
                <w14:textFill>
                  <w14:solidFill>
                    <w14:schemeClr w14:val="tx1"/>
                  </w14:solidFill>
                </w14:textFill>
              </w:rPr>
              <w:t>施工过程将进行土石方的挖</w:t>
            </w:r>
            <w:r>
              <w:rPr>
                <w:rFonts w:hint="default" w:ascii="Times New Roman" w:hAnsi="Times New Roman" w:eastAsia="宋体" w:cs="Times New Roman"/>
                <w:bCs/>
                <w:color w:val="000000" w:themeColor="text1"/>
                <w:sz w:val="24"/>
                <w:szCs w:val="24"/>
                <w14:textFill>
                  <w14:solidFill>
                    <w14:schemeClr w14:val="tx1"/>
                  </w14:solidFill>
                </w14:textFill>
              </w:rPr>
              <w:t>填，包括设施基础施工以及电缆敷设等，一方面要挖除现有地表植被，进行基础混凝土浇筑；另一方面，施工机械和人员的活动也会对地表植被造成破坏，引起土壤侵蚀及水土流失。光伏项目建设在一定程度上将改变原有动物栖息环境，惊扰动物正常活动。</w:t>
            </w:r>
          </w:p>
          <w:p>
            <w:pPr>
              <w:adjustRightInd w:val="0"/>
              <w:snapToGrid w:val="0"/>
              <w:spacing w:line="360" w:lineRule="auto"/>
              <w:jc w:val="left"/>
              <w:rPr>
                <w:rFonts w:hint="default" w:ascii="Times New Roman" w:hAnsi="Times New Roman" w:eastAsia="宋体" w:cs="Times New Roman"/>
                <w:b/>
                <w:bCs w:val="0"/>
                <w:color w:val="0000FF"/>
                <w:sz w:val="24"/>
                <w:szCs w:val="24"/>
              </w:rPr>
            </w:pPr>
            <w:r>
              <w:rPr>
                <w:rFonts w:hint="eastAsia" w:eastAsia="宋体" w:cs="Times New Roman"/>
                <w:b/>
                <w:bCs w:val="0"/>
                <w:color w:val="0000FF"/>
                <w:sz w:val="24"/>
                <w:szCs w:val="24"/>
                <w:lang w:val="en-US" w:eastAsia="zh-CN"/>
              </w:rPr>
              <w:t>1</w:t>
            </w:r>
            <w:r>
              <w:rPr>
                <w:rFonts w:hint="eastAsia" w:ascii="Times New Roman" w:hAnsi="Times New Roman" w:eastAsia="宋体" w:cs="Times New Roman"/>
                <w:b/>
                <w:bCs w:val="0"/>
                <w:color w:val="0000FF"/>
                <w:sz w:val="24"/>
                <w:szCs w:val="24"/>
                <w:lang w:val="en-US" w:eastAsia="zh-CN"/>
              </w:rPr>
              <w:t>.1</w:t>
            </w:r>
            <w:r>
              <w:rPr>
                <w:rFonts w:hint="default" w:ascii="Times New Roman" w:hAnsi="Times New Roman" w:eastAsia="宋体" w:cs="Times New Roman"/>
                <w:b/>
                <w:bCs w:val="0"/>
                <w:color w:val="0000FF"/>
                <w:sz w:val="24"/>
                <w:szCs w:val="24"/>
              </w:rPr>
              <w:t>工程占地影响分析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kern w:val="0"/>
                <w:sz w:val="24"/>
                <w:szCs w:val="24"/>
                <w:lang w:val="en-US" w:eastAsia="zh-CN" w:bidi="ar"/>
              </w:rPr>
              <w:t>工程建设将征占当地一定数量的土地，同时工程施工过程中将进行土石方填挖，包括各基础施工等工程，不仅动用土石方，而且有施工机械及人员活动。工程对当地生态环境的影响主要表现为：土壤扰动后，地表植被破坏，可能造成土壤侵蚀及水土流失；工程建成后对原有土地类型的改变等。</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临时占地主要影响是设备及建筑材料的运输、安装、堆放时，施工机械、车辆的碾压和人员的踩踏。临时占地使土地原本的利用形式发生临时性改变，压占、破坏了场地内原有土地类型，暂时影响这些土地的原有功能，施工结束后可通过水土流失治理措施恢复其原有功能，加强场地绿化等措施进行生态恢复。</w:t>
            </w:r>
          </w:p>
          <w:p>
            <w:pPr>
              <w:adjustRightInd w:val="0"/>
              <w:snapToGrid w:val="0"/>
              <w:spacing w:line="360" w:lineRule="auto"/>
              <w:ind w:firstLine="480" w:firstLineChars="200"/>
              <w:jc w:val="left"/>
              <w:rPr>
                <w:rFonts w:hint="default" w:ascii="Times New Roman" w:hAnsi="Times New Roman" w:eastAsia="宋体" w:cs="Times New Roman"/>
                <w:bCs/>
                <w:color w:val="0000FF"/>
                <w:sz w:val="24"/>
                <w:szCs w:val="24"/>
              </w:rPr>
            </w:pPr>
            <w:r>
              <w:rPr>
                <w:rFonts w:hint="default" w:ascii="Times New Roman" w:hAnsi="Times New Roman" w:eastAsia="宋体" w:cs="Times New Roman"/>
                <w:bCs/>
                <w:color w:val="0000FF"/>
                <w:sz w:val="24"/>
                <w:szCs w:val="24"/>
                <w:highlight w:val="none"/>
              </w:rPr>
              <w:t>在施工期结束后，及时恢复，及时对施工运输机械碾压过的土地进行恢复。通过上述措施可在施工期最大限度避免临时占地所带来的生态环境影响。</w:t>
            </w:r>
            <w:r>
              <w:rPr>
                <w:rFonts w:hint="default" w:ascii="Times New Roman" w:hAnsi="Times New Roman" w:eastAsia="宋体" w:cs="Times New Roman"/>
                <w:color w:val="0000FF"/>
                <w:kern w:val="0"/>
                <w:sz w:val="24"/>
                <w:szCs w:val="24"/>
                <w:lang w:val="en-US" w:eastAsia="zh-CN" w:bidi="ar"/>
              </w:rPr>
              <w:t>因此施工临时占地对土地利用仅为短期影响，不会根本上改变土地利用类型。</w:t>
            </w:r>
          </w:p>
          <w:p>
            <w:pPr>
              <w:adjustRightInd w:val="0"/>
              <w:snapToGrid w:val="0"/>
              <w:spacing w:line="360" w:lineRule="auto"/>
              <w:ind w:firstLine="480" w:firstLineChars="200"/>
              <w:jc w:val="left"/>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FF"/>
                <w:sz w:val="24"/>
                <w:szCs w:val="24"/>
              </w:rPr>
              <w:t>通过上述措施可在施工期最大限度避免临时占地所带来的生态环境影响</w:t>
            </w:r>
            <w:r>
              <w:rPr>
                <w:rFonts w:hint="default" w:ascii="Times New Roman" w:hAnsi="Times New Roman" w:eastAsia="宋体" w:cs="Times New Roman"/>
                <w:bCs/>
                <w:color w:val="000000" w:themeColor="text1"/>
                <w:sz w:val="24"/>
                <w:szCs w:val="24"/>
                <w14:textFill>
                  <w14:solidFill>
                    <w14:schemeClr w14:val="tx1"/>
                  </w14:solidFill>
                </w14:textFill>
              </w:rPr>
              <w:t>。</w:t>
            </w:r>
          </w:p>
          <w:p>
            <w:pPr>
              <w:pStyle w:val="2"/>
              <w:kinsoku w:val="0"/>
              <w:overflowPunct w:val="0"/>
              <w:adjustRightInd w:val="0"/>
              <w:spacing w:before="0" w:after="0" w:line="360" w:lineRule="auto"/>
              <w:ind w:right="0"/>
              <w:jc w:val="left"/>
              <w:rPr>
                <w:rFonts w:hint="default" w:ascii="Times New Roman" w:hAnsi="Times New Roman" w:eastAsia="宋体" w:cs="Times New Roman"/>
                <w:b/>
                <w:bCs w:val="0"/>
                <w:color w:val="000000" w:themeColor="text1"/>
                <w:sz w:val="24"/>
                <w:szCs w:val="24"/>
                <w14:textFill>
                  <w14:solidFill>
                    <w14:schemeClr w14:val="tx1"/>
                  </w14:solidFill>
                </w14:textFill>
              </w:rPr>
            </w:pPr>
            <w:r>
              <w:rPr>
                <w:rFonts w:hint="eastAsia" w:eastAsia="宋体" w:cs="Times New Roman"/>
                <w:b/>
                <w:bCs w:val="0"/>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bCs w:val="0"/>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4"/>
                <w14:textFill>
                  <w14:solidFill>
                    <w14:schemeClr w14:val="tx1"/>
                  </w14:solidFill>
                </w14:textFill>
              </w:rPr>
              <w:t>对植被的影响分析</w:t>
            </w:r>
          </w:p>
          <w:p>
            <w:pPr>
              <w:pStyle w:val="2"/>
              <w:kinsoku w:val="0"/>
              <w:overflowPunct w:val="0"/>
              <w:adjustRightInd w:val="0"/>
              <w:spacing w:before="0" w:after="0" w:line="360" w:lineRule="auto"/>
              <w:ind w:right="0" w:firstLine="480" w:firstLineChars="200"/>
              <w:jc w:val="left"/>
              <w:rPr>
                <w:rFonts w:hint="eastAsia" w:ascii="宋体" w:hAnsi="宋体" w:eastAsia="宋体" w:cs="宋体"/>
                <w:bCs/>
                <w:color w:val="0000FF"/>
                <w:sz w:val="24"/>
                <w:szCs w:val="24"/>
              </w:rPr>
            </w:pPr>
            <w:r>
              <w:rPr>
                <w:rFonts w:hint="eastAsia" w:ascii="宋体" w:hAnsi="宋体" w:eastAsia="宋体" w:cs="宋体"/>
                <w:bCs/>
                <w:color w:val="0000FF"/>
                <w:sz w:val="24"/>
                <w:szCs w:val="24"/>
              </w:rPr>
              <w:t>经现场勘查与调查，调查期间评价范围内没有列入国家重点保护</w:t>
            </w:r>
            <w:r>
              <w:rPr>
                <w:rFonts w:hint="eastAsia" w:ascii="宋体" w:hAnsi="宋体" w:eastAsia="宋体" w:cs="宋体"/>
                <w:bCs/>
                <w:color w:val="0000FF"/>
                <w:sz w:val="24"/>
                <w:szCs w:val="24"/>
                <w:lang w:val="en-US" w:eastAsia="zh-CN"/>
              </w:rPr>
              <w:t>物种</w:t>
            </w:r>
            <w:r>
              <w:rPr>
                <w:rFonts w:hint="eastAsia" w:ascii="宋体" w:hAnsi="宋体" w:eastAsia="宋体" w:cs="宋体"/>
                <w:bCs/>
                <w:color w:val="0000FF"/>
                <w:sz w:val="24"/>
                <w:szCs w:val="24"/>
              </w:rPr>
              <w:t>，本项目建设包括以下工程：光伏阵列区（包括光伏组件区及箱变区）均可能破坏地表植被。</w:t>
            </w:r>
          </w:p>
          <w:p>
            <w:pPr>
              <w:keepNext w:val="0"/>
              <w:keepLines w:val="0"/>
              <w:pageBreakBefore w:val="0"/>
              <w:widowControl/>
              <w:shd w:val="clear" w:color="auto" w:fill="auto"/>
              <w:kinsoku w:val="0"/>
              <w:wordWrap/>
              <w:overflowPunct w:val="0"/>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0"/>
                <w:highlight w:val="none"/>
                <w:lang w:val="en-US" w:eastAsia="zh-CN" w:bidi="ar-SA"/>
                <w14:textFill>
                  <w14:solidFill>
                    <w14:schemeClr w14:val="tx1"/>
                  </w14:solidFill>
                </w14:textFill>
              </w:rPr>
            </w:pPr>
            <w:r>
              <w:rPr>
                <w:rFonts w:hint="eastAsia" w:ascii="宋体" w:hAnsi="宋体" w:eastAsia="宋体" w:cs="宋体"/>
                <w:bCs/>
                <w:color w:val="0000FF"/>
                <w:spacing w:val="0"/>
                <w:sz w:val="24"/>
                <w:szCs w:val="24"/>
              </w:rPr>
              <w:t>场区土地现状为</w:t>
            </w:r>
            <w:r>
              <w:rPr>
                <w:rFonts w:hint="eastAsia" w:ascii="宋体" w:hAnsi="宋体" w:eastAsia="宋体" w:cs="宋体"/>
                <w:color w:val="0000FF"/>
                <w:sz w:val="24"/>
                <w:szCs w:val="24"/>
                <w:highlight w:val="none"/>
                <w:lang w:val="en-US" w:eastAsia="zh-CN"/>
              </w:rPr>
              <w:t>植被覆盖度率低</w:t>
            </w:r>
            <w:r>
              <w:rPr>
                <w:rFonts w:hint="eastAsia" w:ascii="宋体" w:hAnsi="宋体" w:eastAsia="宋体" w:cs="宋体"/>
                <w:bCs/>
                <w:color w:val="0000FF"/>
                <w:spacing w:val="0"/>
                <w:sz w:val="24"/>
                <w:szCs w:val="24"/>
              </w:rPr>
              <w:t>，地表生长植物</w:t>
            </w:r>
            <w:r>
              <w:rPr>
                <w:rFonts w:hint="eastAsia" w:ascii="宋体" w:hAnsi="宋体" w:eastAsia="宋体" w:cs="宋体"/>
                <w:bCs/>
                <w:color w:val="0000FF"/>
                <w:sz w:val="24"/>
                <w:szCs w:val="24"/>
                <w:highlight w:val="none"/>
                <w:lang w:val="en-US" w:eastAsia="zh-CN"/>
              </w:rPr>
              <w:t>为盐柴类半灌木，主要为盐节木、驼绒黎、假木贼，植被覆盖度约为10%</w:t>
            </w:r>
            <w:r>
              <w:rPr>
                <w:rFonts w:hint="eastAsia" w:ascii="宋体" w:hAnsi="宋体" w:eastAsia="宋体" w:cs="宋体"/>
                <w:bCs/>
                <w:color w:val="0000FF"/>
                <w:spacing w:val="0"/>
                <w:sz w:val="24"/>
                <w:szCs w:val="24"/>
                <w:highlight w:val="none"/>
              </w:rPr>
              <w:t>。</w:t>
            </w:r>
            <w:r>
              <w:rPr>
                <w:rFonts w:hint="eastAsia" w:ascii="宋体" w:hAnsi="宋体" w:eastAsia="宋体" w:cs="宋体"/>
                <w:color w:val="0000FF"/>
                <w:kern w:val="0"/>
                <w:sz w:val="24"/>
                <w:szCs w:val="24"/>
                <w:lang w:val="en-US" w:eastAsia="zh-CN" w:bidi="ar-SA"/>
              </w:rPr>
              <w:t>根据道路沿线生态环境现状的调查，包括荒漠植被生长情况、农田作物产量情况等，对照有关资料和经验公式计算，严重荒漠化为0.9~0.0t/</w:t>
            </w:r>
            <w:r>
              <w:rPr>
                <w:rFonts w:hint="eastAsia" w:ascii="宋体" w:hAnsi="宋体" w:eastAsia="宋体" w:cs="宋体"/>
                <w:b w:val="0"/>
                <w:bCs w:val="0"/>
                <w:color w:val="0000FF"/>
                <w:sz w:val="24"/>
                <w:szCs w:val="24"/>
                <w:highlight w:val="none"/>
                <w:lang w:val="en-US" w:eastAsia="zh-CN"/>
              </w:rPr>
              <w:t>hm</w:t>
            </w:r>
            <w:r>
              <w:rPr>
                <w:rFonts w:hint="eastAsia" w:ascii="宋体" w:hAnsi="宋体" w:eastAsia="宋体" w:cs="宋体"/>
                <w:b w:val="0"/>
                <w:bCs w:val="0"/>
                <w:color w:val="0000FF"/>
                <w:sz w:val="24"/>
                <w:szCs w:val="24"/>
                <w:highlight w:val="none"/>
                <w:vertAlign w:val="superscript"/>
                <w:lang w:val="en-US" w:eastAsia="zh-CN"/>
              </w:rPr>
              <w:t>2</w:t>
            </w:r>
            <w:r>
              <w:rPr>
                <w:rFonts w:hint="eastAsia" w:ascii="宋体" w:hAnsi="宋体" w:eastAsia="宋体" w:cs="宋体"/>
                <w:b w:val="0"/>
                <w:bCs w:val="0"/>
                <w:color w:val="0000FF"/>
                <w:sz w:val="24"/>
                <w:szCs w:val="24"/>
                <w:highlight w:val="none"/>
                <w:vertAlign w:val="baseline"/>
                <w:lang w:val="en-US" w:eastAsia="zh-CN"/>
              </w:rPr>
              <w:t>.a，</w:t>
            </w:r>
            <w:r>
              <w:rPr>
                <w:rFonts w:hint="eastAsia" w:ascii="宋体" w:hAnsi="宋体" w:eastAsia="宋体" w:cs="宋体"/>
                <w:color w:val="0000FF"/>
                <w:kern w:val="0"/>
                <w:sz w:val="24"/>
                <w:szCs w:val="24"/>
                <w:lang w:val="en-US" w:eastAsia="zh-CN" w:bidi="ar-SA"/>
              </w:rPr>
              <w:t>结合所在区域实际情况，本次评价按0.1t/</w:t>
            </w:r>
            <w:r>
              <w:rPr>
                <w:rFonts w:hint="eastAsia" w:ascii="宋体" w:hAnsi="宋体" w:eastAsia="宋体" w:cs="宋体"/>
                <w:b w:val="0"/>
                <w:bCs w:val="0"/>
                <w:color w:val="0000FF"/>
                <w:sz w:val="24"/>
                <w:szCs w:val="24"/>
                <w:highlight w:val="none"/>
                <w:lang w:val="en-US" w:eastAsia="zh-CN"/>
              </w:rPr>
              <w:t>hm</w:t>
            </w:r>
            <w:r>
              <w:rPr>
                <w:rFonts w:hint="eastAsia" w:ascii="宋体" w:hAnsi="宋体" w:eastAsia="宋体" w:cs="宋体"/>
                <w:b w:val="0"/>
                <w:bCs w:val="0"/>
                <w:color w:val="0000FF"/>
                <w:sz w:val="24"/>
                <w:szCs w:val="24"/>
                <w:highlight w:val="none"/>
                <w:vertAlign w:val="superscript"/>
                <w:lang w:val="en-US" w:eastAsia="zh-CN"/>
              </w:rPr>
              <w:t>2</w:t>
            </w:r>
            <w:r>
              <w:rPr>
                <w:rFonts w:hint="eastAsia" w:ascii="宋体" w:hAnsi="宋体" w:eastAsia="宋体" w:cs="宋体"/>
                <w:b w:val="0"/>
                <w:bCs w:val="0"/>
                <w:color w:val="0000FF"/>
                <w:sz w:val="24"/>
                <w:szCs w:val="24"/>
                <w:highlight w:val="none"/>
                <w:vertAlign w:val="baseline"/>
                <w:lang w:val="en-US" w:eastAsia="zh-CN"/>
              </w:rPr>
              <w:t>.a计算</w:t>
            </w:r>
            <w:r>
              <w:rPr>
                <w:rFonts w:hint="eastAsia" w:ascii="宋体" w:hAnsi="宋体" w:eastAsia="宋体" w:cs="宋体"/>
                <w:color w:val="0000FF"/>
                <w:kern w:val="0"/>
                <w:sz w:val="24"/>
                <w:szCs w:val="24"/>
                <w:lang w:val="en-US" w:eastAsia="zh-CN" w:bidi="ar-SA"/>
              </w:rPr>
              <w:t>，项目总占地面积约</w:t>
            </w:r>
            <w:r>
              <w:rPr>
                <w:rFonts w:hint="eastAsia" w:ascii="宋体" w:hAnsi="宋体" w:eastAsia="宋体" w:cs="宋体"/>
                <w:i w:val="0"/>
                <w:caps w:val="0"/>
                <w:color w:val="0000FF"/>
                <w:spacing w:val="0"/>
                <w:sz w:val="24"/>
                <w:szCs w:val="24"/>
                <w:shd w:val="clear" w:fill="FFFFFF"/>
              </w:rPr>
              <w:t>2368.493公顷</w:t>
            </w:r>
            <w:r>
              <w:rPr>
                <w:rFonts w:hint="eastAsia" w:ascii="宋体" w:hAnsi="宋体" w:eastAsia="宋体" w:cs="宋体"/>
                <w:color w:val="0000FF"/>
                <w:kern w:val="0"/>
                <w:sz w:val="24"/>
                <w:szCs w:val="24"/>
                <w:lang w:val="en-US" w:eastAsia="zh-CN" w:bidi="ar-SA"/>
              </w:rPr>
              <w:t>工程建设完成后，占地植被生物损失总量为236.8t，</w:t>
            </w:r>
            <w:r>
              <w:rPr>
                <w:rFonts w:hint="eastAsia" w:ascii="宋体" w:hAnsi="宋体" w:eastAsia="宋体" w:cs="宋体"/>
                <w:bCs/>
                <w:color w:val="0000FF"/>
                <w:spacing w:val="0"/>
                <w:sz w:val="24"/>
                <w:szCs w:val="24"/>
              </w:rPr>
              <w:t>工程建设活动中的地表开挖，车辆行驶，建筑材料堆放等活动对植被压埋、碾压等，对场区植被造成破坏，使植被覆盖度降低。</w:t>
            </w:r>
            <w:r>
              <w:rPr>
                <w:rFonts w:hint="eastAsia" w:ascii="宋体" w:hAnsi="宋体" w:eastAsia="宋体" w:cs="宋体"/>
                <w:bCs/>
                <w:color w:val="0000FF"/>
                <w:spacing w:val="0"/>
                <w:kern w:val="0"/>
                <w:sz w:val="24"/>
                <w:szCs w:val="24"/>
              </w:rPr>
              <w:t>本项目建设对植被存在一定的影响，但不会使区内生态体系的生物量发生明显改变。</w:t>
            </w:r>
            <w:r>
              <w:rPr>
                <w:rFonts w:hint="eastAsia" w:ascii="宋体" w:hAnsi="宋体" w:eastAsia="宋体" w:cs="宋体"/>
                <w:color w:val="0000FF"/>
                <w:kern w:val="0"/>
                <w:sz w:val="24"/>
                <w:szCs w:val="20"/>
                <w:lang w:val="en-US" w:eastAsia="zh-CN" w:bidi="ar-SA"/>
              </w:rPr>
              <w:t>评价范围内生态环境简单，相同植被类型较多，该损失处于可以承受的范围内。工程临时占地施工结束后对临时占地采取恢复措施后，可在3~5年得到恢复，临时占地对植被的影响可完全消除。</w:t>
            </w:r>
          </w:p>
          <w:p>
            <w:pPr>
              <w:kinsoku w:val="0"/>
              <w:overflowPunct w:val="0"/>
              <w:autoSpaceDE w:val="0"/>
              <w:autoSpaceDN w:val="0"/>
              <w:adjustRightInd w:val="0"/>
              <w:snapToGrid w:val="0"/>
              <w:spacing w:line="360" w:lineRule="auto"/>
              <w:jc w:val="left"/>
              <w:rPr>
                <w:rFonts w:hint="default" w:ascii="Times New Roman" w:hAnsi="Times New Roman" w:eastAsia="宋体" w:cs="Times New Roman"/>
                <w:bCs/>
                <w:color w:val="000000" w:themeColor="text1"/>
                <w:kern w:val="0"/>
                <w:sz w:val="24"/>
                <w:szCs w:val="24"/>
                <w14:textFill>
                  <w14:solidFill>
                    <w14:schemeClr w14:val="tx1"/>
                  </w14:solidFill>
                </w14:textFill>
              </w:rPr>
            </w:pPr>
            <w:r>
              <w:rPr>
                <w:rFonts w:hint="eastAsia" w:eastAsia="宋体" w:cs="Times New Roman"/>
                <w:b/>
                <w:bCs w:val="0"/>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bCs w:val="0"/>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bCs w:val="0"/>
                <w:color w:val="000000" w:themeColor="text1"/>
                <w:sz w:val="24"/>
                <w:szCs w:val="24"/>
                <w:lang w:val="en-US" w:eastAsia="zh-CN"/>
                <w14:textFill>
                  <w14:solidFill>
                    <w14:schemeClr w14:val="tx1"/>
                  </w14:solidFill>
                </w14:textFill>
              </w:rPr>
              <w:t>对动物的影响分析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000000" w:themeColor="text1"/>
                <w:spacing w:val="0"/>
                <w:kern w:val="0"/>
                <w:sz w:val="24"/>
                <w:szCs w:val="24"/>
                <w14:textFill>
                  <w14:solidFill>
                    <w14:schemeClr w14:val="tx1"/>
                  </w14:solidFill>
                </w14:textFill>
              </w:rPr>
            </w:pPr>
            <w:r>
              <w:rPr>
                <w:rFonts w:hint="default" w:ascii="Times New Roman" w:hAnsi="Times New Roman" w:eastAsia="宋体" w:cs="Times New Roman"/>
                <w:bCs/>
                <w:color w:val="000000" w:themeColor="text1"/>
                <w:spacing w:val="0"/>
                <w:kern w:val="0"/>
                <w:sz w:val="24"/>
                <w:szCs w:val="24"/>
                <w14:textFill>
                  <w14:solidFill>
                    <w14:schemeClr w14:val="tx1"/>
                  </w14:solidFill>
                </w14:textFill>
              </w:rPr>
              <w:t>根据现状调查，评价区受人为活动影响，项目区域内野生动物以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干旱荒漠区的爬行类及啮齿类为主，本项目区域内主要有跳鼠、沙蜥等</w:t>
            </w:r>
            <w:r>
              <w:rPr>
                <w:rFonts w:hint="default" w:ascii="Times New Roman" w:hAnsi="Times New Roman" w:eastAsia="宋体" w:cs="Times New Roman"/>
                <w:bCs/>
                <w:color w:val="000000" w:themeColor="text1"/>
                <w:spacing w:val="0"/>
                <w:kern w:val="0"/>
                <w:sz w:val="24"/>
                <w:szCs w:val="24"/>
                <w14:textFill>
                  <w14:solidFill>
                    <w14:schemeClr w14:val="tx1"/>
                  </w14:solidFill>
                </w14:textFill>
              </w:rPr>
              <w:t>。项目区未发现大型野生动物，未发现国家重点保护的或珍稀、濒危野生动物。施工期受人为活动和机械设备的影响，区内鼠等野生动物将迁往附近同类生境，动物迁徙能力强，同类生境易于在附近找寻，并且施工仅在昼间进行，夜间不施工。因此，对动物活动影响较小，加之施工结束后动物会逐渐适应并回到该区域活动。</w:t>
            </w:r>
          </w:p>
          <w:p>
            <w:pPr>
              <w:kinsoku w:val="0"/>
              <w:overflowPunct w:val="0"/>
              <w:autoSpaceDE w:val="0"/>
              <w:autoSpaceDN w:val="0"/>
              <w:adjustRightInd w:val="0"/>
              <w:snapToGrid w:val="0"/>
              <w:spacing w:line="360" w:lineRule="auto"/>
              <w:ind w:firstLine="480" w:firstLineChars="200"/>
              <w:jc w:val="both"/>
              <w:rPr>
                <w:rFonts w:hint="default" w:ascii="Times New Roman" w:hAnsi="Times New Roman" w:eastAsia="宋体" w:cs="Times New Roman"/>
                <w:bCs/>
                <w:color w:val="000000" w:themeColor="text1"/>
                <w:spacing w:val="0"/>
                <w:kern w:val="0"/>
                <w:sz w:val="24"/>
                <w:szCs w:val="24"/>
                <w14:textFill>
                  <w14:solidFill>
                    <w14:schemeClr w14:val="tx1"/>
                  </w14:solidFill>
                </w14:textFill>
              </w:rPr>
            </w:pPr>
            <w:r>
              <w:rPr>
                <w:rFonts w:hint="default" w:ascii="Times New Roman" w:hAnsi="Times New Roman" w:eastAsia="宋体" w:cs="Times New Roman"/>
                <w:bCs/>
                <w:color w:val="000000" w:themeColor="text1"/>
                <w:spacing w:val="0"/>
                <w:kern w:val="0"/>
                <w:sz w:val="24"/>
                <w:szCs w:val="24"/>
                <w14:textFill>
                  <w14:solidFill>
                    <w14:schemeClr w14:val="tx1"/>
                  </w14:solidFill>
                </w14:textFill>
              </w:rPr>
              <w:t>在项目区域活动的鸟类主要为麻雀等一般鸟类，未见国家级省级重点保护鸟类。由于项目施工破坏项目区草地，可能会对麻雀的觅食造成一定影响。由于同类生境在附近易于找寻，受施工影响的鸟类将暂时迁往附近同类生境，施工结束后仍能返回原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pacing w:val="0"/>
                <w:kern w:val="0"/>
                <w:sz w:val="24"/>
                <w:szCs w:val="24"/>
                <w14:textFill>
                  <w14:solidFill>
                    <w14:schemeClr w14:val="tx1"/>
                  </w14:solidFill>
                </w14:textFill>
              </w:rPr>
            </w:pPr>
            <w:r>
              <w:rPr>
                <w:rFonts w:hint="default" w:ascii="Times New Roman" w:hAnsi="Times New Roman" w:eastAsia="宋体" w:cs="Times New Roman"/>
                <w:bCs/>
                <w:color w:val="000000" w:themeColor="text1"/>
                <w:spacing w:val="0"/>
                <w:kern w:val="0"/>
                <w:sz w:val="24"/>
                <w:szCs w:val="24"/>
                <w:lang w:val="en-US" w:eastAsia="zh-CN"/>
                <w14:textFill>
                  <w14:solidFill>
                    <w14:schemeClr w14:val="tx1"/>
                  </w14:solidFill>
                </w14:textFill>
              </w:rPr>
              <w:t>本项目所在区域</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植被</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覆盖度</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率低</w:t>
            </w:r>
            <w:r>
              <w:rPr>
                <w:rFonts w:hint="default" w:ascii="Times New Roman" w:hAnsi="Times New Roman" w:eastAsia="宋体" w:cs="Times New Roman"/>
                <w:bCs/>
                <w:color w:val="000000" w:themeColor="text1"/>
                <w:spacing w:val="0"/>
                <w:kern w:val="0"/>
                <w:sz w:val="24"/>
                <w:szCs w:val="24"/>
                <w:lang w:val="en-US" w:eastAsia="zh-CN"/>
                <w14:textFill>
                  <w14:solidFill>
                    <w14:schemeClr w14:val="tx1"/>
                  </w14:solidFill>
                </w14:textFill>
              </w:rPr>
              <w:t>，项目施工阶段，如遇迁徙鸟类，应当对涉及区域予以停工、设立提示牌，并申请延迟施工，尽量将对候鸟的影响降到最低。</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kern w:val="0"/>
                <w:sz w:val="24"/>
                <w:szCs w:val="24"/>
                <w14:textFill>
                  <w14:solidFill>
                    <w14:schemeClr w14:val="tx1"/>
                  </w14:solidFill>
                </w14:textFill>
              </w:rPr>
            </w:pPr>
            <w:r>
              <w:rPr>
                <w:rFonts w:hint="default" w:ascii="Times New Roman" w:hAnsi="Times New Roman" w:eastAsia="宋体" w:cs="Times New Roman"/>
                <w:bCs/>
                <w:color w:val="000000" w:themeColor="text1"/>
                <w:spacing w:val="0"/>
                <w:kern w:val="0"/>
                <w:sz w:val="24"/>
                <w:szCs w:val="24"/>
                <w14:textFill>
                  <w14:solidFill>
                    <w14:schemeClr w14:val="tx1"/>
                  </w14:solidFill>
                </w14:textFill>
              </w:rPr>
              <w:t>综上所述，施工期植被破坏对爬行动物及鸟类的影响是暂时的，施工结束后这些动物及鸟类仍能返回原地，不会引起其种群和数量上的减少。因此，施工期对项目区域内动物影响较小。</w:t>
            </w:r>
          </w:p>
          <w:p>
            <w:pPr>
              <w:kinsoku w:val="0"/>
              <w:overflowPunct w:val="0"/>
              <w:autoSpaceDE w:val="0"/>
              <w:autoSpaceDN w:val="0"/>
              <w:adjustRightInd w:val="0"/>
              <w:snapToGrid w:val="0"/>
              <w:spacing w:line="360" w:lineRule="auto"/>
              <w:jc w:val="both"/>
              <w:rPr>
                <w:rFonts w:hint="default" w:ascii="Times New Roman" w:hAnsi="Times New Roman" w:eastAsia="宋体" w:cs="Times New Roman"/>
                <w:bCs/>
                <w:color w:val="000000" w:themeColor="text1"/>
                <w:kern w:val="0"/>
                <w:sz w:val="24"/>
                <w:szCs w:val="24"/>
                <w14:textFill>
                  <w14:solidFill>
                    <w14:schemeClr w14:val="tx1"/>
                  </w14:solidFill>
                </w14:textFill>
              </w:rPr>
            </w:pPr>
            <w:r>
              <w:rPr>
                <w:rFonts w:hint="eastAsia" w:eastAsia="宋体" w:cs="Times New Roman"/>
                <w:b/>
                <w:bCs w:val="0"/>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bCs w:val="0"/>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bCs w:val="0"/>
                <w:color w:val="000000" w:themeColor="text1"/>
                <w:sz w:val="24"/>
                <w:szCs w:val="24"/>
                <w:lang w:val="en-US" w:eastAsia="zh-CN"/>
                <w14:textFill>
                  <w14:solidFill>
                    <w14:schemeClr w14:val="tx1"/>
                  </w14:solidFill>
                </w14:textFill>
              </w:rPr>
              <w:t>生物多样性影响分析</w:t>
            </w:r>
          </w:p>
          <w:p>
            <w:pPr>
              <w:keepNext w:val="0"/>
              <w:keepLines w:val="0"/>
              <w:pageBreakBefore w:val="0"/>
              <w:widowControl w:val="0"/>
              <w:kinsoku w:val="0"/>
              <w:wordWrap/>
              <w:overflowPunct w:val="0"/>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Cs/>
                <w:color w:val="000000" w:themeColor="text1"/>
                <w:kern w:val="0"/>
                <w:sz w:val="24"/>
                <w:szCs w:val="24"/>
                <w:lang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14:textFill>
                  <w14:solidFill>
                    <w14:schemeClr w14:val="tx1"/>
                  </w14:solidFill>
                </w14:textFill>
              </w:rPr>
              <w:t>施工作业主要对施工场地的植被造成破坏。项目施工期虽然较短，因场地施工等建设破坏的植被均可在建设完成后，通过绿化等植被措施得到恢复或重建。本项目区域内动植物类型均为常见种和广布种，无保护动植物分布</w:t>
            </w:r>
            <w:r>
              <w:rPr>
                <w:rFonts w:hint="eastAsia" w:ascii="Times New Roman" w:hAnsi="Times New Roman" w:eastAsia="宋体" w:cs="Times New Roman"/>
                <w:bCs/>
                <w:color w:val="000000" w:themeColor="text1"/>
                <w:kern w:val="0"/>
                <w:sz w:val="24"/>
                <w:szCs w:val="24"/>
                <w:lang w:eastAsia="zh-CN"/>
                <w14:textFill>
                  <w14:solidFill>
                    <w14:schemeClr w14:val="tx1"/>
                  </w14:solidFill>
                </w14:textFill>
              </w:rPr>
              <w:t>，</w:t>
            </w:r>
            <w:r>
              <w:rPr>
                <w:rFonts w:hint="default" w:ascii="Times New Roman" w:hAnsi="Times New Roman" w:eastAsia="宋体" w:cs="Times New Roman"/>
                <w:bCs/>
                <w:color w:val="000000" w:themeColor="text1"/>
                <w:kern w:val="0"/>
                <w:sz w:val="24"/>
                <w:szCs w:val="24"/>
                <w14:textFill>
                  <w14:solidFill>
                    <w14:schemeClr w14:val="tx1"/>
                  </w14:solidFill>
                </w14:textFill>
              </w:rPr>
              <w:t>对生态系统的多样性基本无影响。通过灌、草相结合等植被绿化措施可以恢复被扰动的区域植被，对植物种类的多样性和植被类型的多样性影响较小</w:t>
            </w:r>
            <w:r>
              <w:rPr>
                <w:rFonts w:hint="eastAsia" w:eastAsia="宋体" w:cs="Times New Roman"/>
                <w:bCs/>
                <w:color w:val="000000" w:themeColor="text1"/>
                <w:kern w:val="0"/>
                <w:sz w:val="24"/>
                <w:szCs w:val="24"/>
                <w:lang w:eastAsia="zh-CN"/>
                <w14:textFill>
                  <w14:solidFill>
                    <w14:schemeClr w14:val="tx1"/>
                  </w14:solidFill>
                </w14:textFill>
              </w:rPr>
              <w:t>。</w:t>
            </w:r>
          </w:p>
          <w:p>
            <w:pPr>
              <w:keepNext w:val="0"/>
              <w:keepLines w:val="0"/>
              <w:pageBreakBefore w:val="0"/>
              <w:widowControl w:val="0"/>
              <w:kinsoku w:val="0"/>
              <w:wordWrap/>
              <w:overflowPunct w:val="0"/>
              <w:topLinePunct w:val="0"/>
              <w:autoSpaceDE w:val="0"/>
              <w:autoSpaceDN w:val="0"/>
              <w:bidi w:val="0"/>
              <w:adjustRightInd w:val="0"/>
              <w:snapToGrid w:val="0"/>
              <w:spacing w:line="360" w:lineRule="auto"/>
              <w:ind w:firstLine="480" w:firstLineChars="200"/>
              <w:jc w:val="both"/>
              <w:textAlignment w:val="auto"/>
              <w:rPr>
                <w:rFonts w:hint="eastAsia" w:eastAsia="宋体"/>
                <w:color w:val="000000" w:themeColor="text1"/>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4"/>
                <w:szCs w:val="24"/>
                <w14:textFill>
                  <w14:solidFill>
                    <w14:schemeClr w14:val="tx1"/>
                  </w14:solidFill>
                </w14:textFill>
              </w:rPr>
              <w:t>综上所述，本项目不会引起区域内生态系统结构和功能的改变，对生物多样性影响很小。</w:t>
            </w:r>
          </w:p>
          <w:p>
            <w:pPr>
              <w:rPr>
                <w:rFonts w:hint="eastAsia" w:ascii="宋体" w:hAnsi="宋体" w:eastAsia="宋体" w:cs="宋体"/>
                <w:b/>
                <w:bCs w:val="0"/>
                <w:color w:val="000000" w:themeColor="text1"/>
                <w:kern w:val="0"/>
                <w:sz w:val="24"/>
                <w:szCs w:val="24"/>
                <w:highlight w:val="none"/>
                <w:lang w:val="en-US" w:eastAsia="zh-CN"/>
                <w14:textFill>
                  <w14:solidFill>
                    <w14:schemeClr w14:val="tx1"/>
                  </w14:solidFill>
                </w14:textFill>
              </w:rPr>
            </w:pPr>
            <w:r>
              <w:rPr>
                <w:rFonts w:hint="eastAsia" w:ascii="宋体" w:hAnsi="宋体" w:eastAsia="宋体" w:cs="宋体"/>
                <w:b/>
                <w:bCs w:val="0"/>
                <w:color w:val="000000" w:themeColor="text1"/>
                <w:kern w:val="0"/>
                <w:sz w:val="24"/>
                <w:szCs w:val="24"/>
                <w:highlight w:val="none"/>
                <w:lang w:val="en-US" w:eastAsia="zh-CN"/>
                <w14:textFill>
                  <w14:solidFill>
                    <w14:schemeClr w14:val="tx1"/>
                  </w14:solidFill>
                </w14:textFill>
              </w:rPr>
              <w:t>1.5施工期水土流失的影响</w:t>
            </w:r>
          </w:p>
          <w:p>
            <w:pPr>
              <w:rPr>
                <w:rFonts w:hint="eastAsia" w:ascii="宋体" w:hAnsi="宋体" w:eastAsia="宋体" w:cs="宋体"/>
                <w:bCs/>
                <w:color w:val="000000" w:themeColor="text1"/>
                <w:kern w:val="0"/>
                <w:sz w:val="24"/>
                <w:szCs w:val="24"/>
                <w:highlight w:val="none"/>
                <w14:textFill>
                  <w14:solidFill>
                    <w14:schemeClr w14:val="tx1"/>
                  </w14:solidFill>
                </w14:textFill>
              </w:rPr>
            </w:pPr>
            <w:r>
              <w:rPr>
                <w:rFonts w:hint="eastAsia" w:ascii="宋体" w:hAnsi="宋体" w:eastAsia="宋体" w:cs="宋体"/>
                <w:bCs/>
                <w:color w:val="000000" w:themeColor="text1"/>
                <w:kern w:val="0"/>
                <w:sz w:val="24"/>
                <w:szCs w:val="24"/>
                <w:highlight w:val="none"/>
                <w14:textFill>
                  <w14:solidFill>
                    <w14:schemeClr w14:val="tx1"/>
                  </w14:solidFill>
                </w14:textFill>
              </w:rPr>
              <w:t>在项目施工过程中，会因工程施工占地、开挖、土方堆放等造成一定的水土流失。通常因其破坏原有植被，改变表土结构，挖出的土石方因结构松散，如果开挖期间遭遇暴雨，水土流失量将增大；在施工区域内，因机械设备、车辆等碾压、施工人员踩踏和土石方堆放等因素使土地原有植被受到破坏，土壤裸露，易被雨水冲刷，造成水土流失。挖出的土方由机械压实，并用防尘网覆盖，减小风力起尘造成的水土流失，项目区雨量较少，水土流失影响较小。</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eastAsia="宋体" w:cs="Times New Roman"/>
                <w:b/>
                <w:bCs/>
                <w:color w:val="000000" w:themeColor="text1"/>
                <w:sz w:val="24"/>
                <w:highlight w:val="none"/>
                <w:lang w:val="en-US" w:eastAsia="zh-CN"/>
                <w14:textFill>
                  <w14:solidFill>
                    <w14:schemeClr w14:val="tx1"/>
                  </w14:solidFill>
                </w14:textFill>
              </w:rPr>
              <w:t>1.6</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土地沙化影响分析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建设过程中对原地貌的扰动将降低项目占地范围内的土壤抗侵蚀能力，造成土地沙化；此外，由于项目地处内陆地区，风沙较大，空气干燥，加上地表植被覆盖度低，若项目土石方堆存过程中未采取防尘网苫盖、洒水抑尘等措施，地表沙化的土壤及废土、废渣遇大风天气易产生严重的扬尘，形成沙尘天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施工期基础开挖、场地平整等过程中，对原有地表土壤造成扰动，造成地表原有结构的破坏。此外，在施工过程中，各种车辆（尤其是重型卡车）在荒漠上行驶将使经过的土壤变紧实，严重的经过多次碾压后植物很难再生长，甚至退化为沙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上述施工作业过程中，对原地貌的扰动大大降低了项目占地范围内的土壤抗侵蚀能力，若未采取相应的防护措施，遇大风天气，极易加重区域沙尘天气。</w:t>
            </w:r>
          </w:p>
          <w:p>
            <w:pPr>
              <w:keepNext w:val="0"/>
              <w:keepLines w:val="0"/>
              <w:widowControl/>
              <w:suppressLineNumbers w:val="0"/>
              <w:jc w:val="both"/>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综上所述，施工期对周围环境有一定影响，采取相应防治措施后对周围环境的影响较小，同时施工期较短，施工结束后，影响即随之消除。</w:t>
            </w:r>
          </w:p>
          <w:p>
            <w:pPr>
              <w:keepNext w:val="0"/>
              <w:keepLines w:val="0"/>
              <w:widowControl/>
              <w:suppressLineNumbers w:val="0"/>
              <w:jc w:val="both"/>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1.7对景观的影响分析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项目施工期塔基施工场地、牵张场、跨越场等临时施工</w:t>
            </w:r>
            <w:r>
              <w:rPr>
                <w:rFonts w:hint="default" w:ascii="Times New Roman" w:hAnsi="Times New Roman" w:eastAsia="宋体" w:cs="Times New Roman"/>
                <w:color w:val="000000" w:themeColor="text1"/>
                <w:lang w:val="en-US"/>
                <w14:textFill>
                  <w14:solidFill>
                    <w14:schemeClr w14:val="tx1"/>
                  </w14:solidFill>
                </w14:textFill>
              </w:rPr>
              <w:t>设施</w:t>
            </w:r>
            <w:r>
              <w:rPr>
                <w:rFonts w:hint="eastAsia" w:ascii="Times New Roman" w:hAnsi="Times New Roman" w:cs="Times New Roman"/>
                <w:color w:val="000000" w:themeColor="text1"/>
                <w:lang w:val="en-US" w:eastAsia="zh-CN"/>
                <w14:textFill>
                  <w14:solidFill>
                    <w14:schemeClr w14:val="tx1"/>
                  </w14:solidFill>
                </w14:textFill>
              </w:rPr>
              <w:t>的建设，</w:t>
            </w:r>
            <w:r>
              <w:rPr>
                <w:rFonts w:hint="default" w:ascii="Times New Roman" w:hAnsi="Times New Roman" w:eastAsia="宋体" w:cs="Times New Roman"/>
                <w:color w:val="000000" w:themeColor="text1"/>
                <w:sz w:val="24"/>
                <w:szCs w:val="24"/>
                <w:lang w:val="en-US"/>
                <w14:textFill>
                  <w14:solidFill>
                    <w14:schemeClr w14:val="tx1"/>
                  </w14:solidFill>
                </w14:textFill>
              </w:rPr>
              <w:t>使其由</w:t>
            </w:r>
            <w:r>
              <w:rPr>
                <w:rFonts w:hint="eastAsia" w:ascii="Times New Roman" w:hAnsi="Times New Roman" w:cs="Times New Roman"/>
                <w:color w:val="000000" w:themeColor="text1"/>
                <w:sz w:val="24"/>
                <w:szCs w:val="24"/>
                <w:lang w:val="en-US" w:eastAsia="zh-CN"/>
                <w14:textFill>
                  <w14:solidFill>
                    <w14:schemeClr w14:val="tx1"/>
                  </w14:solidFill>
                </w14:textFill>
              </w:rPr>
              <w:t>原来的戈壁荒漠</w:t>
            </w:r>
            <w:r>
              <w:rPr>
                <w:rFonts w:hint="default" w:ascii="Times New Roman" w:hAnsi="Times New Roman" w:eastAsia="宋体" w:cs="Times New Roman"/>
                <w:color w:val="000000" w:themeColor="text1"/>
                <w:sz w:val="24"/>
                <w:szCs w:val="24"/>
                <w:lang w:val="en-US"/>
                <w14:textFill>
                  <w14:solidFill>
                    <w14:schemeClr w14:val="tx1"/>
                  </w14:solidFill>
                </w14:textFill>
              </w:rPr>
              <w:t>自然景观变为人工工程场地</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大量的施工机械和人员进驻、场地的开挖，造成空间上的非连续性和一些人为的劣质景观，使得施工场地与周围自然环境的不协调</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14:textFill>
                  <w14:solidFill>
                    <w14:schemeClr w14:val="tx1"/>
                  </w14:solidFill>
                </w14:textFill>
              </w:rPr>
              <w:t>但随着施工期的结束，</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临时施工设施拆除完毕</w:t>
            </w:r>
            <w:r>
              <w:rPr>
                <w:rFonts w:hint="eastAsia" w:ascii="Times New Roman" w:hAnsi="Times New Roman" w:cs="Times New Roman"/>
                <w:color w:val="000000" w:themeColor="text1"/>
                <w:sz w:val="24"/>
                <w:szCs w:val="24"/>
                <w:lang w:val="en-US" w:eastAsia="zh-CN"/>
                <w14:textFill>
                  <w14:solidFill>
                    <w14:schemeClr w14:val="tx1"/>
                  </w14:solidFill>
                </w14:textFill>
              </w:rPr>
              <w:t>，并采取</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临时占地迹地恢复</w:t>
            </w:r>
            <w:r>
              <w:rPr>
                <w:rFonts w:hint="eastAsia" w:ascii="Times New Roman" w:hAnsi="Times New Roman" w:cs="Times New Roman"/>
                <w:color w:val="000000" w:themeColor="text1"/>
                <w:sz w:val="24"/>
                <w:szCs w:val="24"/>
                <w:lang w:val="en-US" w:eastAsia="zh-CN"/>
                <w14:textFill>
                  <w14:solidFill>
                    <w14:schemeClr w14:val="tx1"/>
                  </w14:solidFill>
                </w14:textFill>
              </w:rPr>
              <w:t>措施后</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项目施工</w:t>
            </w:r>
            <w:r>
              <w:rPr>
                <w:rFonts w:hint="default" w:ascii="Times New Roman" w:hAnsi="Times New Roman" w:eastAsia="宋体" w:cs="Times New Roman"/>
                <w:color w:val="000000" w:themeColor="text1"/>
                <w:sz w:val="24"/>
                <w:szCs w:val="24"/>
                <w:lang w:val="en-US"/>
                <w14:textFill>
                  <w14:solidFill>
                    <w14:schemeClr w14:val="tx1"/>
                  </w14:solidFill>
                </w14:textFill>
              </w:rPr>
              <w:t>对景观的负面影响会随之减小。</w:t>
            </w:r>
          </w:p>
          <w:p>
            <w:pPr>
              <w:keepNext w:val="0"/>
              <w:keepLines w:val="0"/>
              <w:widowControl/>
              <w:suppressLineNumbers w:val="0"/>
              <w:jc w:val="both"/>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1.8水土流失影响分析</w:t>
            </w:r>
          </w:p>
          <w:p>
            <w:pPr>
              <w:keepNext w:val="0"/>
              <w:keepLines w:val="0"/>
              <w:widowControl/>
              <w:suppressLineNumbers w:val="0"/>
              <w:jc w:val="both"/>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本项目施工过程中，各项工程活动将破坏地表植被，破坏原生地貌，形成裸露疏松的表土，加剧土壤侵蚀，塔基周边及其他区域临时占地范围内土壤受到侵蚀，肥力减退，破坏土地、植被等生态系统要素，使土地生产力下降甚至丧失。</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2、施工期</w:t>
            </w:r>
            <w:r>
              <w:rPr>
                <w:rFonts w:hint="eastAsia" w:cs="Times New Roman"/>
                <w:b/>
                <w:bCs/>
                <w:color w:val="000000" w:themeColor="text1"/>
                <w:kern w:val="0"/>
                <w:sz w:val="24"/>
                <w:szCs w:val="24"/>
                <w:lang w:val="en-US" w:eastAsia="zh-CN" w:bidi="ar"/>
                <w14:textFill>
                  <w14:solidFill>
                    <w14:schemeClr w14:val="tx1"/>
                  </w14:solidFill>
                </w14:textFill>
              </w:rPr>
              <w:t>大气环境</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影响分析</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施工废气主要包括施工扬尘及机械排放废气。</w:t>
            </w:r>
          </w:p>
          <w:p>
            <w:pPr>
              <w:keepNext w:val="0"/>
              <w:keepLines w:val="0"/>
              <w:widowControl/>
              <w:suppressLineNumbers w:val="0"/>
              <w:jc w:val="both"/>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2.1</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施工扬尘</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 xml:space="preserve">① </w:t>
            </w:r>
            <w:r>
              <w:rPr>
                <w:rFonts w:hint="eastAsia" w:cs="Times New Roman"/>
                <w:b w:val="0"/>
                <w:bCs w:val="0"/>
                <w:color w:val="000000" w:themeColor="text1"/>
                <w:kern w:val="0"/>
                <w:sz w:val="24"/>
                <w:szCs w:val="24"/>
                <w:lang w:val="en-US" w:eastAsia="zh-CN" w:bidi="ar"/>
                <w14:textFill>
                  <w14:solidFill>
                    <w14:schemeClr w14:val="tx1"/>
                  </w14:solidFill>
                </w14:textFill>
              </w:rPr>
              <w:t>项目区</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施工扬尘</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施工扬尘主要来自于基础处理阶段，包括开挖、回填土方等过程形成裸露地面，使各种沉降在地表上的气溶胶粒子等成为扬尘的天然来源，在进行施工建设时极易形成扬尘颗粒物并进入大气环境中，对周围环境空气质量造成影响。施工扬尘粒径较大、沉降快，一般影响范围较小。</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② 道路扬尘</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物料运输过程中车辆沿途洒落于道路上的沙、土、灰、渣和建筑垃圾，以及沉积在道路上其他排放源排放的颗粒物，经来往车辆碾压后也会导致粒径较小的颗粒物进入空气，形成二次扬尘。</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在同样路面清洁程度条件下，车速越快，扬尘量越大；而在同样车速情况下，路面越脏，则扬尘量更大。因此对出入施工场地车辆进行冲洗、限速行驶及保持路面清洁是减少和防止汽车扬尘的有效手段。</w:t>
            </w:r>
          </w:p>
          <w:p>
            <w:pPr>
              <w:keepNext w:val="0"/>
              <w:keepLines w:val="0"/>
              <w:widowControl/>
              <w:suppressLineNumbers w:val="0"/>
              <w:jc w:val="both"/>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2.2施工</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机械废气</w:t>
            </w:r>
          </w:p>
          <w:p>
            <w:pPr>
              <w:keepNext w:val="0"/>
              <w:keepLines w:val="0"/>
              <w:widowControl/>
              <w:suppressLineNumbers w:val="0"/>
              <w:jc w:val="both"/>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项目施工期废气主要为施工机械废气，包括施工机械废气和运输车辆废气，施工机械废气中含有的污染物主要是NO</w:t>
            </w:r>
            <w:r>
              <w:rPr>
                <w:rFonts w:hint="eastAsia" w:ascii="Times New Roman" w:hAnsi="Times New Roman" w:eastAsia="宋体" w:cs="Times New Roman"/>
                <w:b w:val="0"/>
                <w:bCs w:val="0"/>
                <w:color w:val="000000" w:themeColor="text1"/>
                <w:kern w:val="0"/>
                <w:sz w:val="24"/>
                <w:szCs w:val="24"/>
                <w:vertAlign w:val="subscript"/>
                <w:lang w:val="en-US" w:eastAsia="zh-CN" w:bidi="ar"/>
                <w14:textFill>
                  <w14:solidFill>
                    <w14:schemeClr w14:val="tx1"/>
                  </w14:solidFill>
                </w14:textFill>
              </w:rPr>
              <w:t>X</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CO、HC等，其产生量及废气中污染物浓度视其使用频率及发动机对燃料的燃烧情况而异。施工机械废气属低架点源无组织排放性质，具有间断性产生、产生量较小、产生点相对分散、易被稀释扩散等特点，由于项目所在地较空旷且产生量不大，影响范围有限，对环境影响较小。</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3、施工期水环境影响分析</w:t>
            </w:r>
          </w:p>
          <w:p>
            <w:pPr>
              <w:keepNext w:val="0"/>
              <w:keepLines w:val="0"/>
              <w:widowControl/>
              <w:suppressLineNumbers w:val="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施工期废水主要包括施工生产废水和施工人员生活污水。</w:t>
            </w:r>
          </w:p>
          <w:p>
            <w:pPr>
              <w:keepNext w:val="0"/>
              <w:keepLines w:val="0"/>
              <w:widowControl/>
              <w:suppressLineNumbers w:val="0"/>
              <w:jc w:val="both"/>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（1）生产废水</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废水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主要</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来源</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于</w:t>
            </w:r>
            <w:r>
              <w:rPr>
                <w:rFonts w:hint="eastAsia" w:cs="Times New Roman"/>
                <w:color w:val="000000" w:themeColor="text1"/>
                <w:kern w:val="0"/>
                <w:sz w:val="24"/>
                <w:szCs w:val="24"/>
                <w:lang w:val="en-US" w:eastAsia="zh-CN" w:bidi="ar"/>
                <w14:textFill>
                  <w14:solidFill>
                    <w14:schemeClr w14:val="tx1"/>
                  </w14:solidFill>
                </w14:textFill>
              </w:rPr>
              <w:t>机械设备冲洗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和施工机械及运输车辆冲洗等，该部分废水中主要污染物为SS，不含其他有毒有害物质，采用沉淀池进行澄清处理后贮存，用于施工场地、道路洒水降尘。</w:t>
            </w:r>
          </w:p>
          <w:p>
            <w:pPr>
              <w:keepNext w:val="0"/>
              <w:keepLines w:val="0"/>
              <w:widowControl/>
              <w:suppressLineNumbers w:val="0"/>
              <w:jc w:val="both"/>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（2）生活污水</w:t>
            </w:r>
          </w:p>
          <w:p>
            <w:pPr>
              <w:keepNext w:val="0"/>
              <w:keepLines w:val="0"/>
              <w:widowControl/>
              <w:suppressLineNumbers w:val="0"/>
              <w:jc w:val="both"/>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施工期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施工人员</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约</w:t>
            </w:r>
            <w:r>
              <w:rPr>
                <w:rFonts w:hint="eastAsia" w:cs="Times New Roman"/>
                <w:color w:val="000000" w:themeColor="text1"/>
                <w:kern w:val="0"/>
                <w:sz w:val="24"/>
                <w:szCs w:val="24"/>
                <w:lang w:val="en-US" w:eastAsia="zh-CN" w:bidi="ar"/>
                <w14:textFill>
                  <w14:solidFill>
                    <w14:schemeClr w14:val="tx1"/>
                  </w14:solidFill>
                </w14:textFill>
              </w:rPr>
              <w:t>300</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人，生活用水量按100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L/人·d</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计，</w:t>
            </w:r>
            <w:r>
              <w:rPr>
                <w:rFonts w:hint="default" w:ascii="Times New Roman" w:hAnsi="Times New Roman" w:eastAsia="宋体" w:cs="Times New Roman"/>
                <w:color w:val="000000" w:themeColor="text1"/>
                <w:sz w:val="24"/>
                <w:lang w:val="en-US"/>
                <w14:textFill>
                  <w14:solidFill>
                    <w14:schemeClr w14:val="tx1"/>
                  </w14:solidFill>
                </w14:textFill>
              </w:rPr>
              <w:t>污水产生系数</w:t>
            </w:r>
            <w:r>
              <w:rPr>
                <w:rFonts w:hint="eastAsia" w:ascii="Times New Roman" w:hAnsi="Times New Roman" w:eastAsia="宋体" w:cs="Times New Roman"/>
                <w:color w:val="000000" w:themeColor="text1"/>
                <w:sz w:val="24"/>
                <w:lang w:val="en-US" w:eastAsia="zh-CN"/>
                <w14:textFill>
                  <w14:solidFill>
                    <w14:schemeClr w14:val="tx1"/>
                  </w14:solidFill>
                </w14:textFill>
              </w:rPr>
              <w:t>按</w:t>
            </w:r>
            <w:r>
              <w:rPr>
                <w:rFonts w:hint="default" w:ascii="Times New Roman" w:hAnsi="Times New Roman" w:eastAsia="宋体" w:cs="Times New Roman"/>
                <w:color w:val="000000" w:themeColor="text1"/>
                <w:sz w:val="24"/>
                <w:lang w:val="en-US"/>
                <w14:textFill>
                  <w14:solidFill>
                    <w14:schemeClr w14:val="tx1"/>
                  </w14:solidFill>
                </w14:textFill>
              </w:rPr>
              <w:t>0.8</w:t>
            </w:r>
            <w:r>
              <w:rPr>
                <w:rFonts w:hint="eastAsia" w:ascii="Times New Roman" w:hAnsi="Times New Roman" w:eastAsia="宋体" w:cs="Times New Roman"/>
                <w:color w:val="000000" w:themeColor="text1"/>
                <w:sz w:val="24"/>
                <w:lang w:val="en-US" w:eastAsia="zh-CN"/>
                <w14:textFill>
                  <w14:solidFill>
                    <w14:schemeClr w14:val="tx1"/>
                  </w14:solidFill>
                </w14:textFill>
              </w:rPr>
              <w:t>计</w:t>
            </w:r>
            <w:r>
              <w:rPr>
                <w:rFonts w:hint="default" w:ascii="Times New Roman" w:hAnsi="Times New Roman" w:eastAsia="宋体" w:cs="Times New Roman"/>
                <w:color w:val="000000" w:themeColor="text1"/>
                <w:sz w:val="24"/>
                <w:lang w:val="en-US"/>
                <w14:textFill>
                  <w14:solidFill>
                    <w14:schemeClr w14:val="tx1"/>
                  </w14:solidFill>
                </w14:textFill>
              </w:rPr>
              <w:t>，则生活污水</w:t>
            </w:r>
            <w:r>
              <w:rPr>
                <w:rFonts w:hint="eastAsia" w:ascii="Times New Roman" w:hAnsi="Times New Roman" w:eastAsia="宋体" w:cs="Times New Roman"/>
                <w:color w:val="000000" w:themeColor="text1"/>
                <w:sz w:val="24"/>
                <w:lang w:val="en-US" w:eastAsia="zh-CN"/>
                <w14:textFill>
                  <w14:solidFill>
                    <w14:schemeClr w14:val="tx1"/>
                  </w14:solidFill>
                </w14:textFill>
              </w:rPr>
              <w:t>排放</w:t>
            </w:r>
            <w:r>
              <w:rPr>
                <w:rFonts w:hint="default" w:ascii="Times New Roman" w:hAnsi="Times New Roman" w:eastAsia="宋体" w:cs="Times New Roman"/>
                <w:color w:val="000000" w:themeColor="text1"/>
                <w:sz w:val="24"/>
                <w:lang w:val="en-US"/>
                <w14:textFill>
                  <w14:solidFill>
                    <w14:schemeClr w14:val="tx1"/>
                  </w14:solidFill>
                </w14:textFill>
              </w:rPr>
              <w:t>量为</w:t>
            </w:r>
            <w:r>
              <w:rPr>
                <w:rFonts w:hint="eastAsia" w:cs="Times New Roman"/>
                <w:color w:val="000000" w:themeColor="text1"/>
                <w:sz w:val="24"/>
                <w:lang w:val="en-US" w:eastAsia="zh-CN"/>
                <w14:textFill>
                  <w14:solidFill>
                    <w14:schemeClr w14:val="tx1"/>
                  </w14:solidFill>
                </w14:textFill>
              </w:rPr>
              <w:t>24</w:t>
            </w:r>
            <w:r>
              <w:rPr>
                <w:rFonts w:hint="default" w:ascii="Times New Roman" w:hAnsi="Times New Roman" w:eastAsia="宋体" w:cs="Times New Roman"/>
                <w:color w:val="000000" w:themeColor="text1"/>
                <w:sz w:val="24"/>
                <w:lang w:val="en-US"/>
                <w14:textFill>
                  <w14:solidFill>
                    <w14:schemeClr w14:val="tx1"/>
                  </w14:solidFill>
                </w14:textFill>
              </w:rPr>
              <w:t>m</w:t>
            </w:r>
            <w:r>
              <w:rPr>
                <w:rFonts w:hint="default" w:ascii="Times New Roman" w:hAnsi="Times New Roman" w:eastAsia="宋体" w:cs="Times New Roman"/>
                <w:color w:val="000000" w:themeColor="text1"/>
                <w:sz w:val="24"/>
                <w:vertAlign w:val="superscript"/>
                <w:lang w:val="en-US"/>
                <w14:textFill>
                  <w14:solidFill>
                    <w14:schemeClr w14:val="tx1"/>
                  </w14:solidFill>
                </w14:textFill>
              </w:rPr>
              <w:t>3</w:t>
            </w:r>
            <w:r>
              <w:rPr>
                <w:rFonts w:hint="default" w:ascii="Times New Roman" w:hAnsi="Times New Roman" w:eastAsia="宋体" w:cs="Times New Roman"/>
                <w:color w:val="000000" w:themeColor="text1"/>
                <w:sz w:val="24"/>
                <w:lang w:val="en-US"/>
                <w14:textFill>
                  <w14:solidFill>
                    <w14:schemeClr w14:val="tx1"/>
                  </w14:solidFill>
                </w14:textFill>
              </w:rPr>
              <w:t>/d</w:t>
            </w:r>
            <w:r>
              <w:rPr>
                <w:rFonts w:hint="eastAsia" w:cs="Times New Roman"/>
                <w:color w:val="000000" w:themeColor="text1"/>
                <w:sz w:val="24"/>
                <w:lang w:val="en-US" w:eastAsia="zh-CN"/>
                <w14:textFill>
                  <w14:solidFill>
                    <w14:schemeClr w14:val="tx1"/>
                  </w14:solidFill>
                </w14:textFill>
              </w:rPr>
              <w:t>，项目区设置防渗化粪池，定期清掏拉运至奇台县污水处理厂处理。</w:t>
            </w:r>
          </w:p>
          <w:p>
            <w:pPr>
              <w:keepNext w:val="0"/>
              <w:keepLines w:val="0"/>
              <w:widowControl/>
              <w:suppressLineNumbers w:val="0"/>
              <w:ind w:left="0" w:leftChars="0" w:firstLine="480" w:firstLineChars="200"/>
              <w:jc w:val="both"/>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建设项目施工场地周边无地表水体，综上所述，通过严格实施各项污染防治措施后，建设项目施工不会对当地水环境造成影响。</w:t>
            </w:r>
          </w:p>
          <w:p>
            <w:pPr>
              <w:keepNext w:val="0"/>
              <w:keepLines w:val="0"/>
              <w:widowControl/>
              <w:suppressLineNumbers w:val="0"/>
              <w:ind w:left="0" w:leftChars="0" w:firstLine="0" w:firstLineChars="0"/>
              <w:jc w:val="both"/>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4、施工期声环境影响分析</w:t>
            </w:r>
          </w:p>
          <w:p>
            <w:pPr>
              <w:keepNext w:val="0"/>
              <w:keepLines w:val="0"/>
              <w:widowControl/>
              <w:suppressLineNumbers w:val="0"/>
              <w:jc w:val="both"/>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本项目施工噪声</w:t>
            </w:r>
            <w:r>
              <w:rPr>
                <w:rFonts w:hint="eastAsia" w:cs="Times New Roman"/>
                <w:color w:val="000000" w:themeColor="text1"/>
                <w:kern w:val="0"/>
                <w:sz w:val="24"/>
                <w:szCs w:val="24"/>
                <w:lang w:val="en-US" w:eastAsia="zh-CN" w:bidi="ar"/>
                <w14:textFill>
                  <w14:solidFill>
                    <w14:schemeClr w14:val="tx1"/>
                  </w14:solidFill>
                </w14:textFill>
              </w:rPr>
              <w:t>主要来自</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车辆运输、基础开挖</w:t>
            </w:r>
            <w:r>
              <w:rPr>
                <w:rFonts w:hint="eastAsia" w:cs="Times New Roman"/>
                <w:color w:val="000000" w:themeColor="text1"/>
                <w:kern w:val="0"/>
                <w:sz w:val="24"/>
                <w:szCs w:val="24"/>
                <w:lang w:val="en-US" w:eastAsia="zh-CN" w:bidi="ar"/>
                <w14:textFill>
                  <w14:solidFill>
                    <w14:schemeClr w14:val="tx1"/>
                  </w14:solidFill>
                </w14:textFill>
              </w:rPr>
              <w:t>、设备安装等</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各种机具的设备噪声等。本项目工地运输采用汽车运输，运输线路选择时尽量避开居民区，做好车辆保养，同时要求驾驶人员在运输过程中遵守交通规则，施工运输对沿途居民工作及生活没有明显影响。使用低噪声机械设备，加强机械设备维护保养，可有效减小基础施工声环境影响。本项目</w:t>
            </w:r>
            <w:r>
              <w:rPr>
                <w:rFonts w:hint="eastAsia" w:cs="Times New Roman"/>
                <w:color w:val="000000" w:themeColor="text1"/>
                <w:kern w:val="0"/>
                <w:sz w:val="24"/>
                <w:szCs w:val="24"/>
                <w:lang w:val="en-US" w:eastAsia="zh-CN" w:bidi="ar"/>
                <w14:textFill>
                  <w14:solidFill>
                    <w14:schemeClr w14:val="tx1"/>
                  </w14:solidFill>
                </w14:textFill>
              </w:rPr>
              <w:t>周边</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无声环境</w:t>
            </w:r>
            <w:r>
              <w:rPr>
                <w:rFonts w:hint="eastAsia" w:cs="Times New Roman"/>
                <w:color w:val="000000" w:themeColor="text1"/>
                <w:kern w:val="0"/>
                <w:sz w:val="24"/>
                <w:szCs w:val="24"/>
                <w:lang w:val="en-US" w:eastAsia="zh-CN" w:bidi="ar"/>
                <w14:textFill>
                  <w14:solidFill>
                    <w14:schemeClr w14:val="tx1"/>
                  </w14:solidFill>
                </w14:textFill>
              </w:rPr>
              <w:t>保护</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目标，且各段施工时间相对较短，施工产生</w:t>
            </w:r>
            <w:r>
              <w:rPr>
                <w:rFonts w:hint="eastAsia" w:cs="Times New Roman"/>
                <w:color w:val="000000" w:themeColor="text1"/>
                <w:kern w:val="0"/>
                <w:sz w:val="24"/>
                <w:szCs w:val="24"/>
                <w:lang w:val="en-US" w:eastAsia="zh-CN" w:bidi="ar"/>
                <w14:textFill>
                  <w14:solidFill>
                    <w14:schemeClr w14:val="tx1"/>
                  </w14:solidFill>
                </w14:textFill>
              </w:rPr>
              <w:t>的</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噪声对周边环境影响相对较小。</w:t>
            </w:r>
          </w:p>
          <w:p>
            <w:pPr>
              <w:keepNext w:val="0"/>
              <w:keepLines w:val="0"/>
              <w:widowControl/>
              <w:suppressLineNumbers w:val="0"/>
              <w:ind w:left="0" w:leftChars="0" w:firstLine="0" w:firstLineChars="0"/>
              <w:jc w:val="both"/>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5、施工期固体废物影响分析</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施工期固体弃物主要</w:t>
            </w:r>
            <w:r>
              <w:rPr>
                <w:rFonts w:hint="eastAsia" w:cs="Times New Roman"/>
                <w:color w:val="000000" w:themeColor="text1"/>
                <w:lang w:val="en-US" w:eastAsia="zh-CN"/>
                <w14:textFill>
                  <w14:solidFill>
                    <w14:schemeClr w14:val="tx1"/>
                  </w14:solidFill>
                </w14:textFill>
              </w:rPr>
              <w:t>包括</w:t>
            </w:r>
            <w:r>
              <w:rPr>
                <w:rFonts w:hint="default" w:ascii="Times New Roman" w:hAnsi="Times New Roman" w:eastAsia="宋体" w:cs="Times New Roman"/>
                <w:color w:val="000000" w:themeColor="text1"/>
                <w:lang w:val="en-US" w:eastAsia="zh-CN"/>
                <w14:textFill>
                  <w14:solidFill>
                    <w14:schemeClr w14:val="tx1"/>
                  </w14:solidFill>
                </w14:textFill>
              </w:rPr>
              <w:t>建筑垃圾和生活垃圾。</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ascii="Times New Roman" w:hAnsi="Times New Roman" w:eastAsia="宋体" w:cs="Times New Roman"/>
                <w:color w:val="000000" w:themeColor="text1"/>
                <w:lang w:val="en-US" w:eastAsia="zh-CN"/>
                <w14:textFill>
                  <w14:solidFill>
                    <w14:schemeClr w14:val="tx1"/>
                  </w14:solidFill>
                </w14:textFill>
              </w:rPr>
              <w:t>建筑垃圾</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施工临时土方全部用于场地平整</w:t>
            </w:r>
            <w:r>
              <w:rPr>
                <w:rFonts w:hint="eastAsia"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建筑垃圾主要是设备拆除过程和施工过程产生的一般废弃钢结构材料、砖块及混凝土结块等，产生量不大。建筑垃圾收集后堆放于指定地点，其中可再生利用部分回收出售给废品站，不可再生利用的部分清运到</w:t>
            </w:r>
            <w:r>
              <w:rPr>
                <w:rFonts w:hint="eastAsia" w:cs="Times New Roman"/>
                <w:color w:val="000000" w:themeColor="text1"/>
                <w:lang w:val="en-US" w:eastAsia="zh-CN"/>
                <w14:textFill>
                  <w14:solidFill>
                    <w14:schemeClr w14:val="tx1"/>
                  </w14:solidFill>
                </w14:textFill>
              </w:rPr>
              <w:t>当地环卫部门</w:t>
            </w:r>
            <w:r>
              <w:rPr>
                <w:rFonts w:hint="default" w:ascii="Times New Roman" w:hAnsi="Times New Roman" w:eastAsia="宋体" w:cs="Times New Roman"/>
                <w:color w:val="000000" w:themeColor="text1"/>
                <w:lang w:val="en-US" w:eastAsia="zh-CN"/>
                <w14:textFill>
                  <w14:solidFill>
                    <w14:schemeClr w14:val="tx1"/>
                  </w14:solidFill>
                </w14:textFill>
              </w:rPr>
              <w:t>指定的建筑垃圾填埋场，严禁随意丢弃。</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lang w:val="en-US" w:eastAsia="zh-CN"/>
                <w14:textFill>
                  <w14:solidFill>
                    <w14:schemeClr w14:val="tx1"/>
                  </w14:solidFill>
                </w14:textFill>
              </w:rPr>
              <w:t>）生活垃圾</w:t>
            </w:r>
          </w:p>
          <w:p>
            <w:pPr>
              <w:keepNext w:val="0"/>
              <w:keepLines w:val="0"/>
              <w:widowControl/>
              <w:suppressLineNumbers w:val="0"/>
              <w:jc w:val="left"/>
              <w:rPr>
                <w:rFonts w:hint="default" w:ascii="Times New Roman" w:hAnsi="Times New Roman" w:eastAsia="宋体" w:cs="Times New Roman"/>
                <w:color w:val="000000" w:themeColor="text1"/>
                <w:highlight w:val="yellow"/>
                <w14:textFill>
                  <w14:solidFill>
                    <w14:schemeClr w14:val="tx1"/>
                  </w14:solidFill>
                </w14:textFill>
              </w:rPr>
            </w:pPr>
            <w:r>
              <w:rPr>
                <w:rFonts w:hint="eastAsia" w:cs="Times New Roman"/>
                <w:color w:val="000000" w:themeColor="text1"/>
                <w:lang w:val="en-US" w:eastAsia="zh-CN"/>
                <w14:textFill>
                  <w14:solidFill>
                    <w14:schemeClr w14:val="tx1"/>
                  </w14:solidFill>
                </w14:textFill>
              </w:rPr>
              <w:t>施工期</w:t>
            </w:r>
            <w:r>
              <w:rPr>
                <w:rFonts w:hint="default" w:ascii="Times New Roman" w:hAnsi="Times New Roman" w:eastAsia="宋体" w:cs="Times New Roman"/>
                <w:color w:val="000000" w:themeColor="text1"/>
                <w:lang w:val="en-US" w:eastAsia="zh-CN"/>
                <w14:textFill>
                  <w14:solidFill>
                    <w14:schemeClr w14:val="tx1"/>
                  </w14:solidFill>
                </w14:textFill>
              </w:rPr>
              <w:t>施工人员</w:t>
            </w:r>
            <w:r>
              <w:rPr>
                <w:rFonts w:hint="eastAsia" w:cs="Times New Roman"/>
                <w:color w:val="000000" w:themeColor="text1"/>
                <w:lang w:val="en-US" w:eastAsia="zh-CN"/>
                <w14:textFill>
                  <w14:solidFill>
                    <w14:schemeClr w14:val="tx1"/>
                  </w14:solidFill>
                </w14:textFill>
              </w:rPr>
              <w:t>约300人，生活垃圾产生量按0.5kg/人·天计，生活垃圾产生量约150kg/d。施工人员</w:t>
            </w:r>
            <w:r>
              <w:rPr>
                <w:rFonts w:hint="default" w:ascii="Times New Roman" w:hAnsi="Times New Roman" w:eastAsia="宋体" w:cs="Times New Roman"/>
                <w:color w:val="000000" w:themeColor="text1"/>
                <w:lang w:val="en-US" w:eastAsia="zh-CN"/>
                <w14:textFill>
                  <w14:solidFill>
                    <w14:schemeClr w14:val="tx1"/>
                  </w14:solidFill>
                </w14:textFill>
              </w:rPr>
              <w:t>日常生活垃圾集中堆放，定期运至当地环卫部门指定的</w:t>
            </w:r>
            <w:r>
              <w:rPr>
                <w:rFonts w:hint="eastAsia" w:cs="Times New Roman"/>
                <w:color w:val="000000" w:themeColor="text1"/>
                <w:lang w:val="en-US" w:eastAsia="zh-CN"/>
                <w14:textFill>
                  <w14:solidFill>
                    <w14:schemeClr w14:val="tx1"/>
                  </w14:solidFill>
                </w14:textFill>
              </w:rPr>
              <w:t>奇台县</w:t>
            </w:r>
            <w:r>
              <w:rPr>
                <w:rFonts w:hint="default" w:ascii="Times New Roman" w:hAnsi="Times New Roman" w:eastAsia="宋体" w:cs="Times New Roman"/>
                <w:color w:val="000000" w:themeColor="text1"/>
                <w:lang w:val="en-US" w:eastAsia="zh-CN"/>
                <w14:textFill>
                  <w14:solidFill>
                    <w14:schemeClr w14:val="tx1"/>
                  </w14:solidFill>
                </w14:textFill>
              </w:rPr>
              <w:t>垃圾填埋场处置。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520"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运营期生态环境影响分析</w:t>
            </w:r>
          </w:p>
        </w:tc>
        <w:tc>
          <w:tcPr>
            <w:tcW w:w="8496" w:type="dxa"/>
            <w:vAlign w:val="top"/>
          </w:tcPr>
          <w:p>
            <w:pPr>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left="-2" w:leftChars="0" w:firstLine="482" w:firstLineChars="0"/>
              <w:textAlignment w:val="auto"/>
              <w:rPr>
                <w:rFonts w:hint="eastAsia"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大气环境影响分析</w:t>
            </w:r>
          </w:p>
          <w:p>
            <w:pPr>
              <w:pStyle w:val="2"/>
              <w:numPr>
                <w:ilvl w:val="0"/>
                <w:numId w:val="0"/>
              </w:numPr>
              <w:spacing w:line="360" w:lineRule="auto"/>
              <w:ind w:right="113" w:rightChars="0" w:firstLine="240" w:firstLineChars="100"/>
              <w:rPr>
                <w:rFonts w:hint="default" w:ascii="Times New Roman" w:hAnsi="Times New Roman" w:eastAsia="宋体" w:cs="Times New Roman"/>
                <w:color w:val="000000" w:themeColor="text1"/>
                <w:spacing w:val="-4"/>
                <w:kern w:val="0"/>
                <w:sz w:val="24"/>
                <w:szCs w:val="24"/>
                <w:highlight w:val="none"/>
                <w:lang w:val="en-US" w:eastAsia="zh-CN" w:bidi="ar-SA"/>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pacing w:val="-4"/>
                <w:kern w:val="0"/>
                <w:sz w:val="24"/>
                <w:szCs w:val="24"/>
                <w:highlight w:val="none"/>
                <w:lang w:val="en-US" w:eastAsia="zh-CN" w:bidi="ar-SA"/>
                <w14:textFill>
                  <w14:solidFill>
                    <w14:schemeClr w14:val="tx1"/>
                  </w14:solidFill>
                </w14:textFill>
              </w:rPr>
              <w:t>本项目光伏发电为清洁能源，</w:t>
            </w:r>
            <w:r>
              <w:rPr>
                <w:rFonts w:hint="eastAsia" w:eastAsia="宋体" w:cs="Times New Roman"/>
                <w:color w:val="000000" w:themeColor="text1"/>
                <w:spacing w:val="-4"/>
                <w:kern w:val="0"/>
                <w:sz w:val="24"/>
                <w:szCs w:val="24"/>
                <w:highlight w:val="none"/>
                <w:lang w:val="en-US" w:eastAsia="zh-CN" w:bidi="ar-SA"/>
                <w14:textFill>
                  <w14:solidFill>
                    <w14:schemeClr w14:val="tx1"/>
                  </w14:solidFill>
                </w14:textFill>
              </w:rPr>
              <w:t>光伏区和汇集站</w:t>
            </w:r>
            <w:r>
              <w:rPr>
                <w:rFonts w:hint="eastAsia" w:ascii="Times New Roman" w:hAnsi="Times New Roman" w:eastAsia="宋体" w:cs="Times New Roman"/>
                <w:color w:val="000000" w:themeColor="text1"/>
                <w:spacing w:val="-4"/>
                <w:kern w:val="0"/>
                <w:sz w:val="24"/>
                <w:szCs w:val="24"/>
                <w:highlight w:val="none"/>
                <w:lang w:val="en-US" w:eastAsia="zh-CN" w:bidi="ar-SA"/>
                <w14:textFill>
                  <w14:solidFill>
                    <w14:schemeClr w14:val="tx1"/>
                  </w14:solidFill>
                </w14:textFill>
              </w:rPr>
              <w:t>运营过程中</w:t>
            </w:r>
            <w:r>
              <w:rPr>
                <w:rFonts w:hint="eastAsia" w:eastAsia="宋体" w:cs="Times New Roman"/>
                <w:color w:val="000000" w:themeColor="text1"/>
                <w:spacing w:val="-4"/>
                <w:kern w:val="0"/>
                <w:sz w:val="24"/>
                <w:szCs w:val="24"/>
                <w:highlight w:val="none"/>
                <w:lang w:val="en-US" w:eastAsia="zh-CN" w:bidi="ar-SA"/>
                <w14:textFill>
                  <w14:solidFill>
                    <w14:schemeClr w14:val="tx1"/>
                  </w14:solidFill>
                </w14:textFill>
              </w:rPr>
              <w:t>无生产废气产生，对周边环境空气质量无影响。</w:t>
            </w:r>
          </w:p>
          <w:p>
            <w:pPr>
              <w:keepNext w:val="0"/>
              <w:keepLines w:val="0"/>
              <w:widowControl/>
              <w:numPr>
                <w:ilvl w:val="0"/>
                <w:numId w:val="4"/>
              </w:numPr>
              <w:suppressLineNumbers w:val="0"/>
              <w:spacing w:line="360" w:lineRule="auto"/>
              <w:ind w:left="-2" w:leftChars="0" w:firstLine="482" w:firstLineChars="0"/>
              <w:jc w:val="both"/>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水环境影响分析</w:t>
            </w:r>
          </w:p>
          <w:p>
            <w:pPr>
              <w:pStyle w:val="2"/>
              <w:numPr>
                <w:ilvl w:val="0"/>
                <w:numId w:val="0"/>
              </w:numPr>
              <w:spacing w:line="360" w:lineRule="auto"/>
              <w:ind w:leftChars="200" w:right="113" w:rightChars="0"/>
              <w:rPr>
                <w:rFonts w:hint="eastAsia" w:ascii="宋体" w:hAnsi="宋体" w:eastAsia="宋体" w:cs="宋体"/>
                <w:b w:val="0"/>
                <w:bCs w:val="0"/>
                <w:color w:val="000000" w:themeColor="text1"/>
                <w:spacing w:val="-4"/>
                <w:kern w:val="0"/>
                <w:sz w:val="24"/>
                <w:szCs w:val="24"/>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spacing w:val="-4"/>
                <w:kern w:val="0"/>
                <w:sz w:val="24"/>
                <w:szCs w:val="24"/>
                <w:highlight w:val="none"/>
                <w:lang w:val="en-US" w:eastAsia="zh-CN" w:bidi="ar-SA"/>
                <w14:textFill>
                  <w14:solidFill>
                    <w14:schemeClr w14:val="tx1"/>
                  </w14:solidFill>
                </w14:textFill>
              </w:rPr>
              <w:t>本项目建成废水主要包括生活污水和光伏板冲洗废水。</w:t>
            </w:r>
          </w:p>
          <w:p>
            <w:pPr>
              <w:keepNext w:val="0"/>
              <w:keepLines w:val="0"/>
              <w:widowControl/>
              <w:suppressLineNumbers w:val="0"/>
              <w:spacing w:line="360" w:lineRule="auto"/>
              <w:ind w:left="0" w:leftChars="0" w:firstLine="0" w:firstLineChars="0"/>
              <w:jc w:val="both"/>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 xml:space="preserve"> 2.1生活污水</w:t>
            </w:r>
          </w:p>
          <w:p>
            <w:pPr>
              <w:pStyle w:val="2"/>
              <w:spacing w:line="360" w:lineRule="auto"/>
              <w:rPr>
                <w:rFonts w:hint="default" w:ascii="宋体" w:hAnsi="宋体" w:eastAsia="宋体" w:cs="宋体"/>
                <w:b w:val="0"/>
                <w:bCs w:val="0"/>
                <w:color w:val="000000" w:themeColor="text1"/>
                <w:kern w:val="0"/>
                <w:sz w:val="24"/>
                <w:szCs w:val="24"/>
                <w:lang w:val="en-US" w:eastAsia="zh-CN" w:bidi="ar"/>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项目建成后运行人员20人，生活用水年耗水量约584m³/a，生活污水排水量按日用水量80%计算，生活污水产生量约为467.2m³/a，生活污水经2m³/d地埋式一体化生活污水处理装置处理达标后用于厂区绿化，其中冬季排放生活污水约为194m³，配套建设200m³集水池满足冬季储存水要求。生活污水处理浓度及排放情况见下表</w:t>
            </w:r>
            <w:r>
              <w:rPr>
                <w:rFonts w:hint="eastAsia" w:ascii="宋体" w:hAnsi="宋体" w:cs="宋体"/>
                <w:b w:val="0"/>
                <w:bCs w:val="0"/>
                <w:color w:val="000000" w:themeColor="text1"/>
                <w:kern w:val="0"/>
                <w:sz w:val="24"/>
                <w:szCs w:val="24"/>
                <w:lang w:val="en-US" w:eastAsia="zh-CN" w:bidi="ar"/>
                <w14:textFill>
                  <w14:solidFill>
                    <w14:schemeClr w14:val="tx1"/>
                  </w14:solidFill>
                </w14:textFill>
              </w:rPr>
              <w:t>4-1</w:t>
            </w:r>
          </w:p>
          <w:p>
            <w:pPr>
              <w:pStyle w:val="2"/>
              <w:spacing w:line="240" w:lineRule="auto"/>
              <w:ind w:firstLine="1928" w:firstLineChars="800"/>
              <w:rPr>
                <w:b/>
                <w:snapToGrid w:val="0"/>
                <w:color w:val="000000" w:themeColor="text1"/>
                <w:kern w:val="0"/>
                <w:szCs w:val="21"/>
                <w14:textFill>
                  <w14:solidFill>
                    <w14:schemeClr w14:val="tx1"/>
                  </w14:solidFill>
                </w14:textFill>
              </w:rPr>
            </w:pPr>
            <w:r>
              <w:rPr>
                <w:rFonts w:hint="eastAsia"/>
                <w:b/>
                <w:snapToGrid w:val="0"/>
                <w:color w:val="000000" w:themeColor="text1"/>
                <w:kern w:val="0"/>
                <w:sz w:val="24"/>
                <w:lang w:eastAsia="zh-CN"/>
                <w14:textFill>
                  <w14:solidFill>
                    <w14:schemeClr w14:val="tx1"/>
                  </w14:solidFill>
                </w14:textFill>
              </w:rPr>
              <w:t>表</w:t>
            </w:r>
            <w:r>
              <w:rPr>
                <w:rFonts w:hint="eastAsia"/>
                <w:b/>
                <w:snapToGrid w:val="0"/>
                <w:color w:val="000000" w:themeColor="text1"/>
                <w:kern w:val="0"/>
                <w:sz w:val="24"/>
                <w:lang w:val="en-US" w:eastAsia="zh-CN"/>
                <w14:textFill>
                  <w14:solidFill>
                    <w14:schemeClr w14:val="tx1"/>
                  </w14:solidFill>
                </w14:textFill>
              </w:rPr>
              <w:t>4-1</w:t>
            </w:r>
            <w:r>
              <w:rPr>
                <w:b/>
                <w:snapToGrid w:val="0"/>
                <w:color w:val="000000" w:themeColor="text1"/>
                <w:kern w:val="0"/>
                <w:sz w:val="24"/>
                <w14:textFill>
                  <w14:solidFill>
                    <w14:schemeClr w14:val="tx1"/>
                  </w14:solidFill>
                </w14:textFill>
              </w:rPr>
              <w:t>生活污水污染物</w:t>
            </w:r>
            <w:r>
              <w:rPr>
                <w:rFonts w:hint="eastAsia"/>
                <w:b/>
                <w:snapToGrid w:val="0"/>
                <w:color w:val="000000" w:themeColor="text1"/>
                <w:kern w:val="0"/>
                <w:sz w:val="24"/>
                <w:lang w:eastAsia="zh-CN"/>
                <w14:textFill>
                  <w14:solidFill>
                    <w14:schemeClr w14:val="tx1"/>
                  </w14:solidFill>
                </w14:textFill>
              </w:rPr>
              <w:t>处理浓度及</w:t>
            </w:r>
            <w:r>
              <w:rPr>
                <w:b/>
                <w:snapToGrid w:val="0"/>
                <w:color w:val="000000" w:themeColor="text1"/>
                <w:kern w:val="0"/>
                <w:sz w:val="24"/>
                <w14:textFill>
                  <w14:solidFill>
                    <w14:schemeClr w14:val="tx1"/>
                  </w14:solidFill>
                </w14:textFill>
              </w:rPr>
              <w:t xml:space="preserve">排放情况  </w:t>
            </w:r>
          </w:p>
          <w:tbl>
            <w:tblPr>
              <w:tblStyle w:val="35"/>
              <w:tblW w:w="8303"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717"/>
              <w:gridCol w:w="1366"/>
              <w:gridCol w:w="1264"/>
              <w:gridCol w:w="1351"/>
              <w:gridCol w:w="160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jc w:val="center"/>
                    <w:rPr>
                      <w:rFonts w:hint="eastAsia" w:ascii="宋体" w:hAnsi="宋体" w:eastAsia="宋体" w:cs="宋体"/>
                      <w:b/>
                      <w:bCs/>
                      <w:snapToGrid w:val="0"/>
                      <w:color w:val="000000" w:themeColor="text1"/>
                      <w:kern w:val="0"/>
                      <w:sz w:val="21"/>
                      <w:szCs w:val="21"/>
                      <w14:textFill>
                        <w14:solidFill>
                          <w14:schemeClr w14:val="tx1"/>
                        </w14:solidFill>
                      </w14:textFill>
                    </w:rPr>
                  </w:pPr>
                  <w:r>
                    <w:rPr>
                      <w:rFonts w:hint="eastAsia" w:ascii="宋体" w:hAnsi="宋体" w:eastAsia="宋体" w:cs="宋体"/>
                      <w:b/>
                      <w:bCs/>
                      <w:snapToGrid w:val="0"/>
                      <w:color w:val="000000" w:themeColor="text1"/>
                      <w:kern w:val="0"/>
                      <w:sz w:val="21"/>
                      <w:szCs w:val="21"/>
                      <w14:textFill>
                        <w14:solidFill>
                          <w14:schemeClr w14:val="tx1"/>
                        </w14:solidFill>
                      </w14:textFill>
                    </w:rPr>
                    <w:t>项目</w:t>
                  </w:r>
                </w:p>
              </w:tc>
              <w:tc>
                <w:tcPr>
                  <w:tcW w:w="1366" w:type="dxa"/>
                  <w:noWrap w:val="0"/>
                  <w:vAlign w:val="center"/>
                </w:tcPr>
                <w:p>
                  <w:pPr>
                    <w:autoSpaceDE w:val="0"/>
                    <w:autoSpaceDN w:val="0"/>
                    <w:jc w:val="center"/>
                    <w:rPr>
                      <w:rFonts w:hint="eastAsia" w:ascii="宋体" w:hAnsi="宋体" w:eastAsia="宋体" w:cs="宋体"/>
                      <w:b/>
                      <w:bCs/>
                      <w:snapToGrid w:val="0"/>
                      <w:color w:val="000000" w:themeColor="text1"/>
                      <w:kern w:val="0"/>
                      <w:sz w:val="21"/>
                      <w:szCs w:val="21"/>
                      <w14:textFill>
                        <w14:solidFill>
                          <w14:schemeClr w14:val="tx1"/>
                        </w14:solidFill>
                      </w14:textFill>
                    </w:rPr>
                  </w:pPr>
                  <w:r>
                    <w:rPr>
                      <w:rFonts w:hint="eastAsia" w:ascii="宋体" w:hAnsi="宋体" w:eastAsia="宋体" w:cs="宋体"/>
                      <w:b/>
                      <w:bCs/>
                      <w:snapToGrid w:val="0"/>
                      <w:color w:val="000000" w:themeColor="text1"/>
                      <w:kern w:val="0"/>
                      <w:sz w:val="21"/>
                      <w:szCs w:val="21"/>
                      <w14:textFill>
                        <w14:solidFill>
                          <w14:schemeClr w14:val="tx1"/>
                        </w14:solidFill>
                      </w14:textFill>
                    </w:rPr>
                    <w:t>COD</w:t>
                  </w:r>
                  <w:r>
                    <w:rPr>
                      <w:rFonts w:hint="eastAsia" w:ascii="宋体" w:hAnsi="宋体" w:eastAsia="宋体" w:cs="宋体"/>
                      <w:b/>
                      <w:bCs/>
                      <w:snapToGrid w:val="0"/>
                      <w:color w:val="000000" w:themeColor="text1"/>
                      <w:kern w:val="0"/>
                      <w:sz w:val="21"/>
                      <w:szCs w:val="21"/>
                      <w:vertAlign w:val="subscript"/>
                      <w14:textFill>
                        <w14:solidFill>
                          <w14:schemeClr w14:val="tx1"/>
                        </w14:solidFill>
                      </w14:textFill>
                    </w:rPr>
                    <w:t>Cr</w:t>
                  </w:r>
                </w:p>
              </w:tc>
              <w:tc>
                <w:tcPr>
                  <w:tcW w:w="1264" w:type="dxa"/>
                  <w:noWrap w:val="0"/>
                  <w:vAlign w:val="center"/>
                </w:tcPr>
                <w:p>
                  <w:pPr>
                    <w:autoSpaceDE w:val="0"/>
                    <w:autoSpaceDN w:val="0"/>
                    <w:jc w:val="center"/>
                    <w:rPr>
                      <w:rFonts w:hint="eastAsia" w:ascii="宋体" w:hAnsi="宋体" w:eastAsia="宋体" w:cs="宋体"/>
                      <w:b/>
                      <w:bCs/>
                      <w:snapToGrid w:val="0"/>
                      <w:color w:val="000000" w:themeColor="text1"/>
                      <w:kern w:val="0"/>
                      <w:sz w:val="21"/>
                      <w:szCs w:val="21"/>
                      <w14:textFill>
                        <w14:solidFill>
                          <w14:schemeClr w14:val="tx1"/>
                        </w14:solidFill>
                      </w14:textFill>
                    </w:rPr>
                  </w:pPr>
                  <w:r>
                    <w:rPr>
                      <w:rFonts w:hint="eastAsia" w:ascii="宋体" w:hAnsi="宋体" w:eastAsia="宋体" w:cs="宋体"/>
                      <w:b/>
                      <w:bCs/>
                      <w:snapToGrid w:val="0"/>
                      <w:color w:val="000000" w:themeColor="text1"/>
                      <w:kern w:val="0"/>
                      <w:sz w:val="21"/>
                      <w:szCs w:val="21"/>
                      <w14:textFill>
                        <w14:solidFill>
                          <w14:schemeClr w14:val="tx1"/>
                        </w14:solidFill>
                      </w14:textFill>
                    </w:rPr>
                    <w:t>BOD</w:t>
                  </w:r>
                  <w:r>
                    <w:rPr>
                      <w:rFonts w:hint="eastAsia" w:ascii="宋体" w:hAnsi="宋体" w:eastAsia="宋体" w:cs="宋体"/>
                      <w:b/>
                      <w:bCs/>
                      <w:snapToGrid w:val="0"/>
                      <w:color w:val="000000" w:themeColor="text1"/>
                      <w:kern w:val="0"/>
                      <w:sz w:val="21"/>
                      <w:szCs w:val="21"/>
                      <w:vertAlign w:val="subscript"/>
                      <w14:textFill>
                        <w14:solidFill>
                          <w14:schemeClr w14:val="tx1"/>
                        </w14:solidFill>
                      </w14:textFill>
                    </w:rPr>
                    <w:t>5</w:t>
                  </w:r>
                </w:p>
              </w:tc>
              <w:tc>
                <w:tcPr>
                  <w:tcW w:w="1351" w:type="dxa"/>
                  <w:noWrap w:val="0"/>
                  <w:vAlign w:val="center"/>
                </w:tcPr>
                <w:p>
                  <w:pPr>
                    <w:autoSpaceDE w:val="0"/>
                    <w:autoSpaceDN w:val="0"/>
                    <w:jc w:val="center"/>
                    <w:rPr>
                      <w:rFonts w:hint="eastAsia" w:ascii="宋体" w:hAnsi="宋体" w:eastAsia="宋体" w:cs="宋体"/>
                      <w:b/>
                      <w:bCs/>
                      <w:snapToGrid w:val="0"/>
                      <w:color w:val="000000" w:themeColor="text1"/>
                      <w:kern w:val="0"/>
                      <w:sz w:val="21"/>
                      <w:szCs w:val="21"/>
                      <w14:textFill>
                        <w14:solidFill>
                          <w14:schemeClr w14:val="tx1"/>
                        </w14:solidFill>
                      </w14:textFill>
                    </w:rPr>
                  </w:pPr>
                  <w:r>
                    <w:rPr>
                      <w:rFonts w:hint="eastAsia" w:ascii="宋体" w:hAnsi="宋体" w:eastAsia="宋体" w:cs="宋体"/>
                      <w:b/>
                      <w:bCs/>
                      <w:color w:val="000000" w:themeColor="text1"/>
                      <w:kern w:val="28"/>
                      <w:sz w:val="21"/>
                      <w:szCs w:val="21"/>
                      <w14:textFill>
                        <w14:solidFill>
                          <w14:schemeClr w14:val="tx1"/>
                        </w14:solidFill>
                      </w14:textFill>
                    </w:rPr>
                    <w:t>SS</w:t>
                  </w:r>
                </w:p>
              </w:tc>
              <w:tc>
                <w:tcPr>
                  <w:tcW w:w="1605" w:type="dxa"/>
                  <w:noWrap w:val="0"/>
                  <w:vAlign w:val="center"/>
                </w:tcPr>
                <w:p>
                  <w:pPr>
                    <w:autoSpaceDE w:val="0"/>
                    <w:autoSpaceDN w:val="0"/>
                    <w:jc w:val="center"/>
                    <w:rPr>
                      <w:rFonts w:hint="eastAsia" w:ascii="宋体" w:hAnsi="宋体" w:eastAsia="宋体" w:cs="宋体"/>
                      <w:b/>
                      <w:bCs/>
                      <w:snapToGrid w:val="0"/>
                      <w:color w:val="000000" w:themeColor="text1"/>
                      <w:kern w:val="0"/>
                      <w:sz w:val="21"/>
                      <w:szCs w:val="21"/>
                      <w14:textFill>
                        <w14:solidFill>
                          <w14:schemeClr w14:val="tx1"/>
                        </w14:solidFill>
                      </w14:textFill>
                    </w:rPr>
                  </w:pPr>
                  <w:r>
                    <w:rPr>
                      <w:rFonts w:hint="eastAsia" w:ascii="宋体" w:hAnsi="宋体" w:eastAsia="宋体" w:cs="宋体"/>
                      <w:b/>
                      <w:bCs/>
                      <w:snapToGrid w:val="0"/>
                      <w:color w:val="000000" w:themeColor="text1"/>
                      <w:kern w:val="0"/>
                      <w:sz w:val="21"/>
                      <w:szCs w:val="21"/>
                      <w14:textFill>
                        <w14:solidFill>
                          <w14:schemeClr w14:val="tx1"/>
                        </w14:solidFill>
                      </w14:textFill>
                    </w:rPr>
                    <w:t>NH</w:t>
                  </w:r>
                  <w:r>
                    <w:rPr>
                      <w:rFonts w:hint="eastAsia" w:ascii="宋体" w:hAnsi="宋体" w:eastAsia="宋体" w:cs="宋体"/>
                      <w:b/>
                      <w:bCs/>
                      <w:snapToGrid w:val="0"/>
                      <w:color w:val="000000" w:themeColor="text1"/>
                      <w:kern w:val="0"/>
                      <w:sz w:val="21"/>
                      <w:szCs w:val="21"/>
                      <w:vertAlign w:val="subscript"/>
                      <w14:textFill>
                        <w14:solidFill>
                          <w14:schemeClr w14:val="tx1"/>
                        </w14:solidFill>
                      </w14:textFill>
                    </w:rPr>
                    <w:t>3</w:t>
                  </w:r>
                  <w:r>
                    <w:rPr>
                      <w:rFonts w:hint="eastAsia" w:ascii="宋体" w:hAnsi="宋体" w:eastAsia="宋体" w:cs="宋体"/>
                      <w:b/>
                      <w:bCs/>
                      <w:snapToGrid w:val="0"/>
                      <w:color w:val="000000" w:themeColor="text1"/>
                      <w:kern w:val="0"/>
                      <w:sz w:val="21"/>
                      <w:szCs w:val="21"/>
                      <w14:textFill>
                        <w14:solidFill>
                          <w14:schemeClr w14:val="tx1"/>
                        </w14:solidFill>
                      </w14:textFill>
                    </w:rPr>
                    <w:t>-N</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废水量（</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m³</w:t>
                  </w:r>
                  <w:r>
                    <w:rPr>
                      <w:rFonts w:hint="eastAsia" w:ascii="宋体" w:hAnsi="宋体" w:eastAsia="宋体" w:cs="宋体"/>
                      <w:snapToGrid w:val="0"/>
                      <w:color w:val="000000" w:themeColor="text1"/>
                      <w:kern w:val="0"/>
                      <w:sz w:val="21"/>
                      <w:szCs w:val="21"/>
                      <w14:textFill>
                        <w14:solidFill>
                          <w14:schemeClr w14:val="tx1"/>
                        </w14:solidFill>
                      </w14:textFill>
                    </w:rPr>
                    <w:t>/a）</w:t>
                  </w:r>
                </w:p>
              </w:tc>
              <w:tc>
                <w:tcPr>
                  <w:tcW w:w="5586" w:type="dxa"/>
                  <w:gridSpan w:val="4"/>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467.2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产生浓度（mg/L）</w:t>
                  </w:r>
                </w:p>
              </w:tc>
              <w:tc>
                <w:tcPr>
                  <w:tcW w:w="1366" w:type="dxa"/>
                  <w:noWrap w:val="0"/>
                  <w:vAlign w:val="center"/>
                </w:tcPr>
                <w:p>
                  <w:pPr>
                    <w:autoSpaceDE w:val="0"/>
                    <w:autoSpaceDN w:val="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350</w:t>
                  </w:r>
                </w:p>
              </w:tc>
              <w:tc>
                <w:tcPr>
                  <w:tcW w:w="1264" w:type="dxa"/>
                  <w:noWrap w:val="0"/>
                  <w:vAlign w:val="center"/>
                </w:tcPr>
                <w:p>
                  <w:pPr>
                    <w:autoSpaceDE w:val="0"/>
                    <w:autoSpaceDN w:val="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200</w:t>
                  </w:r>
                </w:p>
              </w:tc>
              <w:tc>
                <w:tcPr>
                  <w:tcW w:w="1351"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200</w:t>
                  </w:r>
                </w:p>
              </w:tc>
              <w:tc>
                <w:tcPr>
                  <w:tcW w:w="1605"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产生量（</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t</w:t>
                  </w:r>
                  <w:r>
                    <w:rPr>
                      <w:rFonts w:hint="eastAsia" w:ascii="宋体" w:hAnsi="宋体" w:eastAsia="宋体" w:cs="宋体"/>
                      <w:snapToGrid w:val="0"/>
                      <w:color w:val="000000" w:themeColor="text1"/>
                      <w:kern w:val="0"/>
                      <w:sz w:val="21"/>
                      <w:szCs w:val="21"/>
                      <w14:textFill>
                        <w14:solidFill>
                          <w14:schemeClr w14:val="tx1"/>
                        </w14:solidFill>
                      </w14:textFill>
                    </w:rPr>
                    <w:t>/a）</w:t>
                  </w:r>
                </w:p>
              </w:tc>
              <w:tc>
                <w:tcPr>
                  <w:tcW w:w="1366"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0.163</w:t>
                  </w:r>
                </w:p>
              </w:tc>
              <w:tc>
                <w:tcPr>
                  <w:tcW w:w="1264"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0.093</w:t>
                  </w:r>
                </w:p>
              </w:tc>
              <w:tc>
                <w:tcPr>
                  <w:tcW w:w="1351"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0.093</w:t>
                  </w:r>
                </w:p>
              </w:tc>
              <w:tc>
                <w:tcPr>
                  <w:tcW w:w="1605"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0.024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jc w:val="center"/>
                    <w:rPr>
                      <w:rFonts w:hint="eastAsia" w:ascii="宋体" w:hAnsi="宋体" w:eastAsia="宋体" w:cs="宋体"/>
                      <w:snapToGrid w:val="0"/>
                      <w:color w:val="000000" w:themeColor="text1"/>
                      <w:kern w:val="0"/>
                      <w:sz w:val="21"/>
                      <w:szCs w:val="21"/>
                      <w:lang w:eastAsia="zh-CN"/>
                      <w14:textFill>
                        <w14:solidFill>
                          <w14:schemeClr w14:val="tx1"/>
                        </w14:solidFill>
                      </w14:textFill>
                    </w:rPr>
                  </w:pPr>
                  <w:r>
                    <w:rPr>
                      <w:rFonts w:hint="eastAsia" w:ascii="宋体" w:hAnsi="宋体" w:eastAsia="宋体" w:cs="宋体"/>
                      <w:snapToGrid w:val="0"/>
                      <w:color w:val="000000" w:themeColor="text1"/>
                      <w:kern w:val="0"/>
                      <w:sz w:val="21"/>
                      <w:szCs w:val="21"/>
                      <w:lang w:eastAsia="zh-CN"/>
                      <w14:textFill>
                        <w14:solidFill>
                          <w14:schemeClr w14:val="tx1"/>
                        </w14:solidFill>
                      </w14:textFill>
                    </w:rPr>
                    <w:t>处理效率</w:t>
                  </w:r>
                </w:p>
              </w:tc>
              <w:tc>
                <w:tcPr>
                  <w:tcW w:w="1366"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75%</w:t>
                  </w:r>
                </w:p>
              </w:tc>
              <w:tc>
                <w:tcPr>
                  <w:tcW w:w="1264" w:type="dxa"/>
                  <w:noWrap w:val="0"/>
                  <w:vAlign w:val="center"/>
                </w:tcPr>
                <w:p>
                  <w:pPr>
                    <w:autoSpaceDE w:val="0"/>
                    <w:autoSpaceDN w:val="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85%</w:t>
                  </w:r>
                </w:p>
              </w:tc>
              <w:tc>
                <w:tcPr>
                  <w:tcW w:w="1351" w:type="dxa"/>
                  <w:noWrap w:val="0"/>
                  <w:vAlign w:val="center"/>
                </w:tcPr>
                <w:p>
                  <w:pPr>
                    <w:autoSpaceDE w:val="0"/>
                    <w:autoSpaceDN w:val="0"/>
                    <w:jc w:val="center"/>
                    <w:rPr>
                      <w:rFonts w:hint="eastAsia"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85%</w:t>
                  </w:r>
                </w:p>
              </w:tc>
              <w:tc>
                <w:tcPr>
                  <w:tcW w:w="1605" w:type="dxa"/>
                  <w:noWrap w:val="0"/>
                  <w:vAlign w:val="center"/>
                </w:tcPr>
                <w:p>
                  <w:pPr>
                    <w:autoSpaceDE w:val="0"/>
                    <w:autoSpaceDN w:val="0"/>
                    <w:jc w:val="center"/>
                    <w:rPr>
                      <w:rFonts w:hint="eastAsia"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排放浓度（mg/L）</w:t>
                  </w:r>
                </w:p>
              </w:tc>
              <w:tc>
                <w:tcPr>
                  <w:tcW w:w="1366"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87.5</w:t>
                  </w:r>
                </w:p>
              </w:tc>
              <w:tc>
                <w:tcPr>
                  <w:tcW w:w="1264"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30</w:t>
                  </w:r>
                </w:p>
              </w:tc>
              <w:tc>
                <w:tcPr>
                  <w:tcW w:w="1351"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30</w:t>
                  </w:r>
                </w:p>
              </w:tc>
              <w:tc>
                <w:tcPr>
                  <w:tcW w:w="1605"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排放量（</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t</w:t>
                  </w:r>
                  <w:r>
                    <w:rPr>
                      <w:rFonts w:hint="eastAsia" w:ascii="宋体" w:hAnsi="宋体" w:eastAsia="宋体" w:cs="宋体"/>
                      <w:snapToGrid w:val="0"/>
                      <w:color w:val="000000" w:themeColor="text1"/>
                      <w:kern w:val="0"/>
                      <w:sz w:val="21"/>
                      <w:szCs w:val="21"/>
                      <w14:textFill>
                        <w14:solidFill>
                          <w14:schemeClr w14:val="tx1"/>
                        </w14:solidFill>
                      </w14:textFill>
                    </w:rPr>
                    <w:t>/a）</w:t>
                  </w:r>
                </w:p>
              </w:tc>
              <w:tc>
                <w:tcPr>
                  <w:tcW w:w="1366"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0.0</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41</w:t>
                  </w:r>
                </w:p>
              </w:tc>
              <w:tc>
                <w:tcPr>
                  <w:tcW w:w="1264"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0.0</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14</w:t>
                  </w:r>
                </w:p>
              </w:tc>
              <w:tc>
                <w:tcPr>
                  <w:tcW w:w="1351"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0.014</w:t>
                  </w:r>
                </w:p>
              </w:tc>
              <w:tc>
                <w:tcPr>
                  <w:tcW w:w="1605"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14:textFill>
                        <w14:solidFill>
                          <w14:schemeClr w14:val="tx1"/>
                        </w14:solidFill>
                      </w14:textFill>
                    </w:rPr>
                    <w:t>0.00</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2717"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DB65 4275-2019</w:t>
                  </w:r>
                  <w:r>
                    <w:rPr>
                      <w:rFonts w:hint="eastAsia" w:ascii="宋体" w:hAnsi="宋体" w:eastAsia="宋体" w:cs="宋体"/>
                      <w:snapToGrid w:val="0"/>
                      <w:color w:val="000000" w:themeColor="text1"/>
                      <w:kern w:val="0"/>
                      <w:sz w:val="21"/>
                      <w:szCs w:val="21"/>
                      <w14:textFill>
                        <w14:solidFill>
                          <w14:schemeClr w14:val="tx1"/>
                        </w14:solidFill>
                      </w14:textFill>
                    </w:rPr>
                    <w:t>-表</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2</w:t>
                  </w:r>
                  <w:r>
                    <w:rPr>
                      <w:rFonts w:hint="eastAsia" w:ascii="宋体" w:hAnsi="宋体" w:eastAsia="宋体" w:cs="宋体"/>
                      <w:snapToGrid w:val="0"/>
                      <w:color w:val="000000" w:themeColor="text1"/>
                      <w:kern w:val="0"/>
                      <w:sz w:val="21"/>
                      <w:szCs w:val="21"/>
                      <w14:textFill>
                        <w14:solidFill>
                          <w14:schemeClr w14:val="tx1"/>
                        </w14:solidFill>
                      </w14:textFill>
                    </w:rPr>
                    <w:t>中</w:t>
                  </w: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C</w:t>
                  </w:r>
                  <w:r>
                    <w:rPr>
                      <w:rFonts w:hint="eastAsia" w:ascii="宋体" w:hAnsi="宋体" w:eastAsia="宋体" w:cs="宋体"/>
                      <w:snapToGrid w:val="0"/>
                      <w:color w:val="000000" w:themeColor="text1"/>
                      <w:kern w:val="0"/>
                      <w:sz w:val="21"/>
                      <w:szCs w:val="21"/>
                      <w14:textFill>
                        <w14:solidFill>
                          <w14:schemeClr w14:val="tx1"/>
                        </w14:solidFill>
                      </w14:textFill>
                    </w:rPr>
                    <w:t>级标准</w:t>
                  </w:r>
                </w:p>
              </w:tc>
              <w:tc>
                <w:tcPr>
                  <w:tcW w:w="1366"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200</w:t>
                  </w:r>
                </w:p>
              </w:tc>
              <w:tc>
                <w:tcPr>
                  <w:tcW w:w="1264"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lang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w:t>
                  </w:r>
                </w:p>
              </w:tc>
              <w:tc>
                <w:tcPr>
                  <w:tcW w:w="1351" w:type="dxa"/>
                  <w:noWrap w:val="0"/>
                  <w:vAlign w:val="center"/>
                </w:tcPr>
                <w:p>
                  <w:pPr>
                    <w:autoSpaceDE w:val="0"/>
                    <w:autoSpaceDN w:val="0"/>
                    <w:ind w:firstLine="420" w:firstLineChars="200"/>
                    <w:jc w:val="center"/>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100</w:t>
                  </w:r>
                </w:p>
              </w:tc>
              <w:tc>
                <w:tcPr>
                  <w:tcW w:w="1605" w:type="dxa"/>
                  <w:noWrap w:val="0"/>
                  <w:vAlign w:val="center"/>
                </w:tcPr>
                <w:p>
                  <w:pPr>
                    <w:autoSpaceDE w:val="0"/>
                    <w:autoSpaceDN w:val="0"/>
                    <w:ind w:firstLine="420" w:firstLineChars="200"/>
                    <w:jc w:val="center"/>
                    <w:rPr>
                      <w:rFonts w:hint="eastAsia" w:ascii="宋体" w:hAnsi="宋体" w:eastAsia="宋体" w:cs="宋体"/>
                      <w:snapToGrid w:val="0"/>
                      <w:color w:val="000000" w:themeColor="text1"/>
                      <w:kern w:val="0"/>
                      <w:sz w:val="21"/>
                      <w:szCs w:val="21"/>
                      <w:lang w:eastAsia="zh-CN"/>
                      <w14:textFill>
                        <w14:solidFill>
                          <w14:schemeClr w14:val="tx1"/>
                        </w14:solidFill>
                      </w14:textFill>
                    </w:rPr>
                  </w:pPr>
                  <w:r>
                    <w:rPr>
                      <w:rFonts w:hint="eastAsia" w:ascii="宋体" w:hAnsi="宋体" w:eastAsia="宋体" w:cs="宋体"/>
                      <w:snapToGrid w:val="0"/>
                      <w:color w:val="000000" w:themeColor="text1"/>
                      <w:kern w:val="0"/>
                      <w:sz w:val="21"/>
                      <w:szCs w:val="21"/>
                      <w:lang w:val="en-US" w:eastAsia="zh-CN"/>
                      <w14:textFill>
                        <w14:solidFill>
                          <w14:schemeClr w14:val="tx1"/>
                        </w14:solidFill>
                      </w14:textFill>
                    </w:rPr>
                    <w:t>/</w:t>
                  </w:r>
                </w:p>
              </w:tc>
            </w:tr>
          </w:tbl>
          <w:p>
            <w:pPr>
              <w:keepNext w:val="0"/>
              <w:keepLines w:val="0"/>
              <w:widowControl/>
              <w:suppressLineNumbers w:val="0"/>
              <w:ind w:left="0" w:leftChars="0" w:firstLine="0" w:firstLineChars="0"/>
              <w:jc w:val="both"/>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2.2光伏板冲洗废水</w:t>
            </w:r>
          </w:p>
          <w:p>
            <w:pPr>
              <w:pStyle w:val="22"/>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建成运行后对太阳能光伏板冲洗用水为间断性用水，每年进行两次，每次清洗水用量约为1000m³，年用水量为2000m³。清洗废水主要污染物为SS，含量较少且污染较小，清洗后的废水直接流入光伏板下部用于绿化。</w:t>
            </w:r>
          </w:p>
          <w:p>
            <w:pPr>
              <w:keepNext w:val="0"/>
              <w:keepLines w:val="0"/>
              <w:widowControl/>
              <w:suppressLineNumbers w:val="0"/>
              <w:ind w:left="0" w:leftChars="0" w:firstLine="0" w:firstLineChars="0"/>
              <w:jc w:val="both"/>
              <w:rPr>
                <w:rFonts w:hint="eastAsia" w:cs="Times New Roman"/>
                <w:b/>
                <w:bCs/>
                <w:color w:val="000000" w:themeColor="text1"/>
                <w:kern w:val="0"/>
                <w:sz w:val="24"/>
                <w:szCs w:val="24"/>
                <w:lang w:val="en-US" w:eastAsia="zh-CN" w:bidi="ar"/>
                <w14:textFill>
                  <w14:solidFill>
                    <w14:schemeClr w14:val="tx1"/>
                  </w14:solidFill>
                </w14:textFill>
              </w:rPr>
            </w:pPr>
            <w:r>
              <w:rPr>
                <w:rFonts w:hint="eastAsia" w:cs="Times New Roman"/>
                <w:b/>
                <w:bCs/>
                <w:color w:val="000000" w:themeColor="text1"/>
                <w:kern w:val="0"/>
                <w:sz w:val="24"/>
                <w:szCs w:val="24"/>
                <w:lang w:val="en-US" w:eastAsia="zh-CN" w:bidi="ar"/>
                <w14:textFill>
                  <w14:solidFill>
                    <w14:schemeClr w14:val="tx1"/>
                  </w14:solidFill>
                </w14:textFill>
              </w:rPr>
              <w:t>2.3水环境影响分析</w:t>
            </w:r>
          </w:p>
          <w:p>
            <w:pPr>
              <w:pStyle w:val="22"/>
              <w:rPr>
                <w:rFonts w:hint="eastAsia" w:ascii="宋体" w:hAnsi="宋体" w:eastAsia="宋体" w:cs="宋体"/>
                <w:snapToGrid w:val="0"/>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生活污水经地埋式一体化污水处理设施处理后满足《农村生活污水排放标准》</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DB65 4275-2019</w:t>
            </w:r>
            <w:r>
              <w:rPr>
                <w:rFonts w:hint="eastAsia" w:ascii="宋体" w:hAnsi="宋体" w:eastAsia="宋体" w:cs="宋体"/>
                <w:snapToGrid w:val="0"/>
                <w:color w:val="000000" w:themeColor="text1"/>
                <w:kern w:val="0"/>
                <w:sz w:val="24"/>
                <w:szCs w:val="24"/>
                <w14:textFill>
                  <w14:solidFill>
                    <w14:schemeClr w14:val="tx1"/>
                  </w14:solidFill>
                </w14:textFill>
              </w:rPr>
              <w:t>-表</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2</w:t>
            </w:r>
            <w:r>
              <w:rPr>
                <w:rFonts w:hint="eastAsia" w:ascii="宋体" w:hAnsi="宋体" w:eastAsia="宋体" w:cs="宋体"/>
                <w:snapToGrid w:val="0"/>
                <w:color w:val="000000" w:themeColor="text1"/>
                <w:kern w:val="0"/>
                <w:sz w:val="24"/>
                <w:szCs w:val="24"/>
                <w14:textFill>
                  <w14:solidFill>
                    <w14:schemeClr w14:val="tx1"/>
                  </w14:solidFill>
                </w14:textFill>
              </w:rPr>
              <w:t>中</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C</w:t>
            </w:r>
            <w:r>
              <w:rPr>
                <w:rFonts w:hint="eastAsia" w:ascii="宋体" w:hAnsi="宋体" w:eastAsia="宋体" w:cs="宋体"/>
                <w:snapToGrid w:val="0"/>
                <w:color w:val="000000" w:themeColor="text1"/>
                <w:kern w:val="0"/>
                <w:sz w:val="24"/>
                <w:szCs w:val="24"/>
                <w14:textFill>
                  <w14:solidFill>
                    <w14:schemeClr w14:val="tx1"/>
                  </w14:solidFill>
                </w14:textFill>
              </w:rPr>
              <w:t>级标准</w:t>
            </w:r>
            <w:r>
              <w:rPr>
                <w:rFonts w:hint="eastAsia" w:ascii="宋体" w:hAnsi="宋体" w:eastAsia="宋体" w:cs="宋体"/>
                <w:snapToGrid w:val="0"/>
                <w:color w:val="000000" w:themeColor="text1"/>
                <w:kern w:val="0"/>
                <w:sz w:val="24"/>
                <w:szCs w:val="24"/>
                <w:lang w:eastAsia="zh-CN"/>
                <w14:textFill>
                  <w14:solidFill>
                    <w14:schemeClr w14:val="tx1"/>
                  </w14:solidFill>
                </w14:textFill>
              </w:rPr>
              <w:t>用于厂区绿化，采用厌氧</w:t>
            </w:r>
            <w:r>
              <w:rPr>
                <w:rFonts w:hint="eastAsia" w:ascii="宋体" w:hAnsi="宋体" w:eastAsia="宋体" w:cs="宋体"/>
                <w:snapToGrid w:val="0"/>
                <w:color w:val="000000" w:themeColor="text1"/>
                <w:kern w:val="0"/>
                <w:sz w:val="24"/>
                <w:szCs w:val="24"/>
                <w:lang w:val="en-US" w:eastAsia="zh-CN"/>
                <w14:textFill>
                  <w14:solidFill>
                    <w14:schemeClr w14:val="tx1"/>
                  </w14:solidFill>
                </w14:textFill>
              </w:rPr>
              <w:t>-好氧污水处理工艺，工艺流程见下图。</w:t>
            </w:r>
          </w:p>
          <w:p>
            <w:pPr>
              <w:pStyle w:val="22"/>
              <w:rPr>
                <w:rFonts w:hint="default" w:ascii="宋体" w:hAnsi="宋体" w:eastAsia="宋体" w:cs="宋体"/>
                <w:snapToGrid w:val="0"/>
                <w:color w:val="000000" w:themeColor="text1"/>
                <w:kern w:val="0"/>
                <w:sz w:val="21"/>
                <w:szCs w:val="21"/>
                <w:lang w:val="en-US" w:eastAsia="zh-CN"/>
                <w14:textFill>
                  <w14:solidFill>
                    <w14:schemeClr w14:val="tx1"/>
                  </w14:solidFill>
                </w14:textFill>
              </w:rPr>
            </w:pPr>
            <w:r>
              <w:rPr>
                <w:rFonts w:hint="default" w:ascii="宋体" w:hAnsi="宋体" w:eastAsia="宋体" w:cs="宋体"/>
                <w:snapToGrid w:val="0"/>
                <w:color w:val="000000" w:themeColor="text1"/>
                <w:kern w:val="0"/>
                <w:sz w:val="21"/>
                <w:szCs w:val="21"/>
                <w:lang w:val="en-US" w:eastAsia="zh-CN"/>
                <w14:textFill>
                  <w14:solidFill>
                    <w14:schemeClr w14:val="tx1"/>
                  </w14:solidFill>
                </w14:textFill>
              </w:rPr>
              <w:drawing>
                <wp:inline distT="0" distB="0" distL="114300" distR="114300">
                  <wp:extent cx="5067300" cy="1645920"/>
                  <wp:effectExtent l="0" t="0" r="7620" b="0"/>
                  <wp:docPr id="1" name="图片 1" descr="微信截图_2023091916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截图_20230919163603"/>
                          <pic:cNvPicPr>
                            <a:picLocks noChangeAspect="1"/>
                          </pic:cNvPicPr>
                        </pic:nvPicPr>
                        <pic:blipFill>
                          <a:blip r:embed="rId22"/>
                          <a:stretch>
                            <a:fillRect/>
                          </a:stretch>
                        </pic:blipFill>
                        <pic:spPr>
                          <a:xfrm>
                            <a:off x="0" y="0"/>
                            <a:ext cx="5067300" cy="1645920"/>
                          </a:xfrm>
                          <a:prstGeom prst="rect">
                            <a:avLst/>
                          </a:prstGeom>
                        </pic:spPr>
                      </pic:pic>
                    </a:graphicData>
                  </a:graphic>
                </wp:inline>
              </w:drawing>
            </w:r>
          </w:p>
          <w:p>
            <w:pPr>
              <w:keepNext w:val="0"/>
              <w:keepLines w:val="0"/>
              <w:widowControl/>
              <w:suppressLineNumbers w:val="0"/>
              <w:ind w:left="0" w:leftChars="0" w:firstLine="0" w:firstLineChars="0"/>
              <w:jc w:val="both"/>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 </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 xml:space="preserve">  生</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活污水经2m³/d地埋式一体化生活污水处理装置处理达标后用于厂区绿化，其中冬季排放生活污水约为194m³，配套建设200m³集水池满足冬季储存水要求。</w:t>
            </w:r>
          </w:p>
          <w:p>
            <w:pPr>
              <w:keepNext w:val="0"/>
              <w:keepLines w:val="0"/>
              <w:widowControl/>
              <w:suppressLineNumbers w:val="0"/>
              <w:ind w:left="0" w:leftChars="0" w:firstLine="241" w:firstLineChars="100"/>
              <w:jc w:val="both"/>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3、声环境影响分析</w:t>
            </w:r>
          </w:p>
          <w:p>
            <w:pPr>
              <w:pStyle w:val="16"/>
              <w:adjustRightInd/>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本项目运营期噪声主要为光伏区逆变器运行时产生的设备噪声。</w:t>
            </w:r>
            <w:r>
              <w:rPr>
                <w:rFonts w:hint="default" w:ascii="Times New Roman" w:hAnsi="Times New Roman" w:eastAsia="宋体" w:cs="Times New Roman"/>
                <w:color w:val="000000" w:themeColor="text1"/>
                <w:sz w:val="24"/>
                <w:szCs w:val="24"/>
                <w:highlight w:val="none"/>
                <w14:textFill>
                  <w14:solidFill>
                    <w14:schemeClr w14:val="tx1"/>
                  </w14:solidFill>
                </w14:textFill>
              </w:rPr>
              <w:t>噪声值约65~70dB（A），将箱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逆</w:t>
            </w:r>
            <w:r>
              <w:rPr>
                <w:rFonts w:hint="default" w:ascii="Times New Roman" w:hAnsi="Times New Roman" w:eastAsia="宋体" w:cs="Times New Roman"/>
                <w:color w:val="000000" w:themeColor="text1"/>
                <w:sz w:val="24"/>
                <w:szCs w:val="24"/>
                <w:highlight w:val="none"/>
                <w14:textFill>
                  <w14:solidFill>
                    <w14:schemeClr w14:val="tx1"/>
                  </w14:solidFill>
                </w14:textFill>
              </w:rPr>
              <w:t>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一体机</w:t>
            </w:r>
            <w:r>
              <w:rPr>
                <w:rFonts w:hint="default" w:ascii="Times New Roman" w:hAnsi="Times New Roman" w:eastAsia="宋体" w:cs="Times New Roman"/>
                <w:color w:val="000000" w:themeColor="text1"/>
                <w:sz w:val="24"/>
                <w:szCs w:val="24"/>
                <w:highlight w:val="none"/>
                <w14:textFill>
                  <w14:solidFill>
                    <w14:schemeClr w14:val="tx1"/>
                  </w14:solidFill>
                </w14:textFill>
              </w:rPr>
              <w:t>等设备安装于室内，建筑自身的</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噪声</w:t>
            </w:r>
            <w:r>
              <w:rPr>
                <w:rFonts w:hint="default" w:ascii="Times New Roman" w:hAnsi="Times New Roman" w:eastAsia="宋体" w:cs="Times New Roman"/>
                <w:color w:val="000000" w:themeColor="text1"/>
                <w:sz w:val="24"/>
                <w:szCs w:val="24"/>
                <w:highlight w:val="none"/>
                <w14:textFill>
                  <w14:solidFill>
                    <w14:schemeClr w14:val="tx1"/>
                  </w14:solidFill>
                </w14:textFill>
              </w:rPr>
              <w:t>传输损失值可达20dB（A），隔音效果良好，对噪声具有一定的衰减作用。</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采用《环境影响评价技术导则 声环境》（HJ2.4-20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21</w:t>
            </w:r>
            <w:r>
              <w:rPr>
                <w:rFonts w:hint="default" w:ascii="Times New Roman" w:hAnsi="Times New Roman" w:eastAsia="宋体" w:cs="Times New Roman"/>
                <w:color w:val="000000" w:themeColor="text1"/>
                <w:kern w:val="0"/>
                <w:sz w:val="24"/>
                <w:szCs w:val="24"/>
                <w14:textFill>
                  <w14:solidFill>
                    <w14:schemeClr w14:val="tx1"/>
                  </w14:solidFill>
                </w14:textFill>
              </w:rPr>
              <w:t>）中噪声预测模式。每个</w:t>
            </w:r>
            <w:r>
              <w:rPr>
                <w:rFonts w:hint="default" w:ascii="Times New Roman" w:hAnsi="Times New Roman" w:eastAsia="宋体" w:cs="Times New Roman"/>
                <w:color w:val="000000" w:themeColor="text1"/>
                <w:sz w:val="24"/>
                <w:szCs w:val="24"/>
                <w:highlight w:val="none"/>
                <w14:textFill>
                  <w14:solidFill>
                    <w14:schemeClr w14:val="tx1"/>
                  </w14:solidFill>
                </w14:textFill>
              </w:rPr>
              <w:t>箱变</w:t>
            </w:r>
            <w:r>
              <w:rPr>
                <w:rFonts w:hint="default" w:ascii="Times New Roman" w:hAnsi="Times New Roman" w:eastAsia="宋体" w:cs="Times New Roman"/>
                <w:color w:val="000000" w:themeColor="text1"/>
                <w:kern w:val="0"/>
                <w:sz w:val="24"/>
                <w:szCs w:val="24"/>
                <w14:textFill>
                  <w14:solidFill>
                    <w14:schemeClr w14:val="tx1"/>
                  </w14:solidFill>
                </w14:textFill>
              </w:rPr>
              <w:t>可视为一个点声源，采用处于自由空间的点声源几何发散衰减公式对</w:t>
            </w:r>
            <w:r>
              <w:rPr>
                <w:rFonts w:hint="default" w:ascii="Times New Roman" w:hAnsi="Times New Roman" w:eastAsia="宋体" w:cs="Times New Roman"/>
                <w:color w:val="000000" w:themeColor="text1"/>
                <w:sz w:val="24"/>
                <w:szCs w:val="24"/>
                <w:highlight w:val="none"/>
                <w14:textFill>
                  <w14:solidFill>
                    <w14:schemeClr w14:val="tx1"/>
                  </w14:solidFill>
                </w14:textFill>
              </w:rPr>
              <w:t>箱变</w:t>
            </w:r>
            <w:r>
              <w:rPr>
                <w:rFonts w:hint="default" w:ascii="Times New Roman" w:hAnsi="Times New Roman" w:eastAsia="宋体" w:cs="Times New Roman"/>
                <w:color w:val="000000" w:themeColor="text1"/>
                <w:kern w:val="0"/>
                <w:sz w:val="24"/>
                <w:szCs w:val="24"/>
                <w14:textFill>
                  <w14:solidFill>
                    <w14:schemeClr w14:val="tx1"/>
                  </w14:solidFill>
                </w14:textFill>
              </w:rPr>
              <w:t>噪声影响进行预测，具体计算公式如下：</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LA（r）＝LWA－20lg（r）-11</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式中：LA（r）——距声源r（m）处A声级，dB（A）；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1200" w:firstLineChars="5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LWA——点声源的A声功率级，dB（A）；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1200" w:firstLineChars="5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R——声源中心至预测点的距离，m。</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1661312" behindDoc="0" locked="0" layoutInCell="1" allowOverlap="1">
                  <wp:simplePos x="0" y="0"/>
                  <wp:positionH relativeFrom="column">
                    <wp:posOffset>1837055</wp:posOffset>
                  </wp:positionH>
                  <wp:positionV relativeFrom="paragraph">
                    <wp:posOffset>630555</wp:posOffset>
                  </wp:positionV>
                  <wp:extent cx="1962150" cy="287655"/>
                  <wp:effectExtent l="0" t="0" r="3810" b="1905"/>
                  <wp:wrapTopAndBottom/>
                  <wp:docPr id="4"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72"/>
                          <pic:cNvPicPr>
                            <a:picLocks noChangeAspect="1"/>
                          </pic:cNvPicPr>
                        </pic:nvPicPr>
                        <pic:blipFill>
                          <a:blip r:embed="rId23"/>
                          <a:stretch>
                            <a:fillRect/>
                          </a:stretch>
                        </pic:blipFill>
                        <pic:spPr>
                          <a:xfrm>
                            <a:off x="0" y="0"/>
                            <a:ext cx="1962150" cy="287655"/>
                          </a:xfrm>
                          <a:prstGeom prst="rect">
                            <a:avLst/>
                          </a:prstGeom>
                          <a:noFill/>
                          <a:ln>
                            <a:noFill/>
                          </a:ln>
                        </pic:spPr>
                      </pic:pic>
                    </a:graphicData>
                  </a:graphic>
                </wp:anchor>
              </w:drawing>
            </w:r>
            <w:r>
              <w:rPr>
                <w:rFonts w:hint="default" w:ascii="Times New Roman" w:hAnsi="Times New Roman" w:eastAsia="宋体" w:cs="Times New Roman"/>
                <w:color w:val="000000" w:themeColor="text1"/>
                <w:kern w:val="0"/>
                <w:sz w:val="24"/>
                <w:szCs w:val="24"/>
                <w14:textFill>
                  <w14:solidFill>
                    <w14:schemeClr w14:val="tx1"/>
                  </w14:solidFill>
                </w14:textFill>
              </w:rPr>
              <w:t>预测点的预测等效声级（eqL）计算公式：</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式中：Leqg—建设项目声源在预测点的等效声级贡献值，dB（A）；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Leqb—预测点的背景值，dB（A）。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baseline"/>
              <w:rPr>
                <w:rFonts w:hint="default" w:ascii="Times New Roman" w:hAnsi="Times New Roman" w:eastAsia="宋体" w:cs="Times New Roman"/>
                <w:b/>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14:textFill>
                  <w14:solidFill>
                    <w14:schemeClr w14:val="tx1"/>
                  </w14:solidFill>
                </w14:textFill>
              </w:rPr>
              <w:t>光伏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电场</w:t>
            </w:r>
            <w:r>
              <w:rPr>
                <w:rFonts w:hint="default" w:ascii="Times New Roman" w:hAnsi="Times New Roman" w:eastAsia="宋体" w:cs="Times New Roman"/>
                <w:color w:val="000000" w:themeColor="text1"/>
                <w:kern w:val="0"/>
                <w:sz w:val="24"/>
                <w:szCs w:val="24"/>
                <w14:textFill>
                  <w14:solidFill>
                    <w14:schemeClr w14:val="tx1"/>
                  </w14:solidFill>
                </w14:textFill>
              </w:rPr>
              <w:t>的初步布置方案，由单个</w:t>
            </w:r>
            <w:r>
              <w:rPr>
                <w:rFonts w:hint="default" w:ascii="Times New Roman" w:hAnsi="Times New Roman" w:eastAsia="宋体" w:cs="Times New Roman"/>
                <w:color w:val="000000" w:themeColor="text1"/>
                <w:sz w:val="24"/>
                <w:szCs w:val="24"/>
                <w:highlight w:val="none"/>
                <w14:textFill>
                  <w14:solidFill>
                    <w14:schemeClr w14:val="tx1"/>
                  </w14:solidFill>
                </w14:textFill>
              </w:rPr>
              <w:t>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逆</w:t>
            </w:r>
            <w:r>
              <w:rPr>
                <w:rFonts w:hint="default" w:ascii="Times New Roman" w:hAnsi="Times New Roman" w:eastAsia="宋体" w:cs="Times New Roman"/>
                <w:color w:val="000000" w:themeColor="text1"/>
                <w:sz w:val="24"/>
                <w:szCs w:val="24"/>
                <w:highlight w:val="none"/>
                <w14:textFill>
                  <w14:solidFill>
                    <w14:schemeClr w14:val="tx1"/>
                  </w14:solidFill>
                </w14:textFill>
              </w:rPr>
              <w:t>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一体机</w:t>
            </w:r>
            <w:r>
              <w:rPr>
                <w:rFonts w:hint="default" w:ascii="Times New Roman" w:hAnsi="Times New Roman" w:eastAsia="宋体" w:cs="Times New Roman"/>
                <w:color w:val="000000" w:themeColor="text1"/>
                <w:kern w:val="0"/>
                <w:sz w:val="24"/>
                <w:szCs w:val="24"/>
                <w14:textFill>
                  <w14:solidFill>
                    <w14:schemeClr w14:val="tx1"/>
                  </w14:solidFill>
                </w14:textFill>
              </w:rPr>
              <w:t>声源声功率级预测正常运行时对周围不同距离处的噪声贡献值和预测值。单个</w:t>
            </w:r>
            <w:r>
              <w:rPr>
                <w:rFonts w:hint="default" w:ascii="Times New Roman" w:hAnsi="Times New Roman" w:eastAsia="宋体" w:cs="Times New Roman"/>
                <w:color w:val="000000" w:themeColor="text1"/>
                <w:sz w:val="24"/>
                <w:szCs w:val="24"/>
                <w:highlight w:val="none"/>
                <w14:textFill>
                  <w14:solidFill>
                    <w14:schemeClr w14:val="tx1"/>
                  </w14:solidFill>
                </w14:textFill>
              </w:rPr>
              <w:t>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逆</w:t>
            </w:r>
            <w:r>
              <w:rPr>
                <w:rFonts w:hint="default" w:ascii="Times New Roman" w:hAnsi="Times New Roman" w:eastAsia="宋体" w:cs="Times New Roman"/>
                <w:color w:val="000000" w:themeColor="text1"/>
                <w:sz w:val="24"/>
                <w:szCs w:val="24"/>
                <w:highlight w:val="none"/>
                <w14:textFill>
                  <w14:solidFill>
                    <w14:schemeClr w14:val="tx1"/>
                  </w14:solidFill>
                </w14:textFill>
              </w:rPr>
              <w:t>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一体机</w:t>
            </w:r>
            <w:r>
              <w:rPr>
                <w:rFonts w:hint="default" w:ascii="Times New Roman" w:hAnsi="Times New Roman" w:eastAsia="宋体" w:cs="Times New Roman"/>
                <w:color w:val="000000" w:themeColor="text1"/>
                <w:kern w:val="0"/>
                <w:sz w:val="24"/>
                <w:szCs w:val="24"/>
                <w14:textFill>
                  <w14:solidFill>
                    <w14:schemeClr w14:val="tx1"/>
                  </w14:solidFill>
                </w14:textFill>
              </w:rPr>
              <w:t>运行时在地面不同距离处的噪声值见表</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4-</w:t>
            </w:r>
            <w:r>
              <w:rPr>
                <w:rFonts w:hint="eastAsia"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b/>
                <w:bCs w:val="0"/>
                <w:color w:val="000000" w:themeColor="text1"/>
                <w:kern w:val="0"/>
                <w:sz w:val="21"/>
                <w:szCs w:val="21"/>
                <w14:textFill>
                  <w14:solidFill>
                    <w14:schemeClr w14:val="tx1"/>
                  </w14:solidFill>
                </w14:textFill>
              </w:rPr>
            </w:pPr>
            <w:r>
              <w:rPr>
                <w:rFonts w:hint="default" w:ascii="Times New Roman" w:hAnsi="Times New Roman" w:eastAsia="宋体" w:cs="Times New Roman"/>
                <w:b/>
                <w:bCs w:val="0"/>
                <w:color w:val="000000" w:themeColor="text1"/>
                <w:kern w:val="0"/>
                <w:sz w:val="21"/>
                <w:szCs w:val="21"/>
                <w14:textFill>
                  <w14:solidFill>
                    <w14:schemeClr w14:val="tx1"/>
                  </w14:solidFill>
                </w14:textFill>
              </w:rPr>
              <w:t>表</w:t>
            </w:r>
            <w:r>
              <w:rPr>
                <w:rFonts w:hint="default" w:ascii="Times New Roman" w:hAnsi="Times New Roman" w:eastAsia="宋体" w:cs="Times New Roman"/>
                <w:b/>
                <w:bCs w:val="0"/>
                <w:color w:val="000000" w:themeColor="text1"/>
                <w:kern w:val="0"/>
                <w:sz w:val="21"/>
                <w:szCs w:val="21"/>
                <w:lang w:val="en-US" w:eastAsia="zh-CN"/>
                <w14:textFill>
                  <w14:solidFill>
                    <w14:schemeClr w14:val="tx1"/>
                  </w14:solidFill>
                </w14:textFill>
              </w:rPr>
              <w:t>4-</w:t>
            </w:r>
            <w:r>
              <w:rPr>
                <w:rFonts w:hint="eastAsia" w:cs="Times New Roman"/>
                <w:b/>
                <w:bCs w:val="0"/>
                <w:color w:val="000000" w:themeColor="text1"/>
                <w:kern w:val="0"/>
                <w:sz w:val="21"/>
                <w:szCs w:val="21"/>
                <w:lang w:val="en-US" w:eastAsia="zh-CN"/>
                <w14:textFill>
                  <w14:solidFill>
                    <w14:schemeClr w14:val="tx1"/>
                  </w14:solidFill>
                </w14:textFill>
              </w:rPr>
              <w:t>2</w:t>
            </w:r>
            <w:r>
              <w:rPr>
                <w:rFonts w:hint="default" w:ascii="Times New Roman" w:hAnsi="Times New Roman" w:eastAsia="宋体" w:cs="Times New Roman"/>
                <w:b/>
                <w:bCs w:val="0"/>
                <w:color w:val="000000" w:themeColor="text1"/>
                <w:kern w:val="0"/>
                <w:sz w:val="21"/>
                <w:szCs w:val="21"/>
                <w14:textFill>
                  <w14:solidFill>
                    <w14:schemeClr w14:val="tx1"/>
                  </w14:solidFill>
                </w14:textFill>
              </w:rPr>
              <w:t xml:space="preserve">  单个</w:t>
            </w:r>
            <w:r>
              <w:rPr>
                <w:rFonts w:hint="default" w:ascii="Times New Roman" w:hAnsi="Times New Roman" w:eastAsia="宋体" w:cs="Times New Roman"/>
                <w:b/>
                <w:color w:val="000000" w:themeColor="text1"/>
                <w:sz w:val="21"/>
                <w:szCs w:val="21"/>
                <w:highlight w:val="none"/>
                <w14:textFill>
                  <w14:solidFill>
                    <w14:schemeClr w14:val="tx1"/>
                  </w14:solidFill>
                </w14:textFill>
              </w:rPr>
              <w:t>箱</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逆</w:t>
            </w:r>
            <w:r>
              <w:rPr>
                <w:rFonts w:hint="default" w:ascii="Times New Roman" w:hAnsi="Times New Roman" w:eastAsia="宋体" w:cs="Times New Roman"/>
                <w:b/>
                <w:color w:val="000000" w:themeColor="text1"/>
                <w:sz w:val="21"/>
                <w:szCs w:val="21"/>
                <w:highlight w:val="none"/>
                <w14:textFill>
                  <w14:solidFill>
                    <w14:schemeClr w14:val="tx1"/>
                  </w14:solidFill>
                </w14:textFill>
              </w:rPr>
              <w:t>变</w:t>
            </w:r>
            <w: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t>一体机</w:t>
            </w:r>
            <w:r>
              <w:rPr>
                <w:rFonts w:hint="default" w:ascii="Times New Roman" w:hAnsi="Times New Roman" w:eastAsia="宋体" w:cs="Times New Roman"/>
                <w:b/>
                <w:bCs w:val="0"/>
                <w:color w:val="000000" w:themeColor="text1"/>
                <w:kern w:val="0"/>
                <w:sz w:val="21"/>
                <w:szCs w:val="21"/>
                <w14:textFill>
                  <w14:solidFill>
                    <w14:schemeClr w14:val="tx1"/>
                  </w14:solidFill>
                </w14:textFill>
              </w:rPr>
              <w:t>在地面不同距离处的噪声预测值单位：dB（A）</w:t>
            </w:r>
          </w:p>
          <w:tbl>
            <w:tblPr>
              <w:tblStyle w:val="35"/>
              <w:tblW w:w="81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0"/>
              <w:gridCol w:w="831"/>
              <w:gridCol w:w="874"/>
              <w:gridCol w:w="873"/>
              <w:gridCol w:w="874"/>
              <w:gridCol w:w="874"/>
              <w:gridCol w:w="874"/>
              <w:gridCol w:w="874"/>
              <w:gridCol w:w="8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190" w:type="dxa"/>
                  <w:vMerge w:val="restart"/>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噪声源</w:t>
                  </w:r>
                </w:p>
              </w:tc>
              <w:tc>
                <w:tcPr>
                  <w:tcW w:w="6947" w:type="dxa"/>
                  <w:gridSpan w:val="8"/>
                  <w:noWrap w:val="0"/>
                  <w:vAlign w:val="center"/>
                </w:tcPr>
                <w:p>
                  <w:pPr>
                    <w:spacing w:line="240" w:lineRule="auto"/>
                    <w:jc w:val="center"/>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190" w:type="dxa"/>
                  <w:vMerge w:val="continue"/>
                  <w:tcBorders>
                    <w:bottom w:val="single" w:color="auto" w:sz="12" w:space="0"/>
                  </w:tcBorders>
                  <w:noWrap w:val="0"/>
                  <w:vAlign w:val="center"/>
                </w:tcPr>
                <w:p>
                  <w:pPr>
                    <w:spacing w:line="240" w:lineRule="auto"/>
                    <w:jc w:val="center"/>
                    <w:textAlignment w:val="baseline"/>
                    <w:rPr>
                      <w:rFonts w:hint="eastAsia" w:ascii="宋体" w:hAnsi="宋体" w:eastAsia="宋体" w:cs="宋体"/>
                      <w:b w:val="0"/>
                      <w:bCs/>
                      <w:color w:val="000000" w:themeColor="text1"/>
                      <w:kern w:val="0"/>
                      <w:sz w:val="21"/>
                      <w:szCs w:val="21"/>
                      <w14:textFill>
                        <w14:solidFill>
                          <w14:schemeClr w14:val="tx1"/>
                        </w14:solidFill>
                      </w14:textFill>
                    </w:rPr>
                  </w:pPr>
                </w:p>
              </w:tc>
              <w:tc>
                <w:tcPr>
                  <w:tcW w:w="831"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1</w:t>
                  </w:r>
                  <w:r>
                    <w:rPr>
                      <w:rFonts w:hint="eastAsia" w:ascii="宋体" w:hAnsi="宋体" w:eastAsia="宋体" w:cs="宋体"/>
                      <w:b w:val="0"/>
                      <w:bCs/>
                      <w:color w:val="000000" w:themeColor="text1"/>
                      <w:kern w:val="0"/>
                      <w:sz w:val="21"/>
                      <w:szCs w:val="21"/>
                      <w14:textFill>
                        <w14:solidFill>
                          <w14:schemeClr w14:val="tx1"/>
                        </w14:solidFill>
                      </w14:textFill>
                    </w:rPr>
                    <w:t>m</w:t>
                  </w:r>
                </w:p>
              </w:tc>
              <w:tc>
                <w:tcPr>
                  <w:tcW w:w="874"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5</w:t>
                  </w:r>
                  <w:r>
                    <w:rPr>
                      <w:rFonts w:hint="eastAsia" w:ascii="宋体" w:hAnsi="宋体" w:eastAsia="宋体" w:cs="宋体"/>
                      <w:b w:val="0"/>
                      <w:bCs/>
                      <w:color w:val="000000" w:themeColor="text1"/>
                      <w:kern w:val="0"/>
                      <w:sz w:val="21"/>
                      <w:szCs w:val="21"/>
                      <w14:textFill>
                        <w14:solidFill>
                          <w14:schemeClr w14:val="tx1"/>
                        </w14:solidFill>
                      </w14:textFill>
                    </w:rPr>
                    <w:t>m</w:t>
                  </w:r>
                </w:p>
              </w:tc>
              <w:tc>
                <w:tcPr>
                  <w:tcW w:w="873"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1</w:t>
                  </w:r>
                  <w:r>
                    <w:rPr>
                      <w:rFonts w:hint="eastAsia" w:ascii="宋体" w:hAnsi="宋体" w:eastAsia="宋体" w:cs="宋体"/>
                      <w:b w:val="0"/>
                      <w:bCs/>
                      <w:color w:val="000000" w:themeColor="text1"/>
                      <w:kern w:val="0"/>
                      <w:sz w:val="21"/>
                      <w:szCs w:val="21"/>
                      <w:lang w:val="en-US" w:eastAsia="zh-CN"/>
                      <w14:textFill>
                        <w14:solidFill>
                          <w14:schemeClr w14:val="tx1"/>
                        </w14:solidFill>
                      </w14:textFill>
                    </w:rPr>
                    <w:t>0</w:t>
                  </w:r>
                  <w:r>
                    <w:rPr>
                      <w:rFonts w:hint="eastAsia" w:ascii="宋体" w:hAnsi="宋体" w:eastAsia="宋体" w:cs="宋体"/>
                      <w:b w:val="0"/>
                      <w:bCs/>
                      <w:color w:val="000000" w:themeColor="text1"/>
                      <w:kern w:val="0"/>
                      <w:sz w:val="21"/>
                      <w:szCs w:val="21"/>
                      <w14:textFill>
                        <w14:solidFill>
                          <w14:schemeClr w14:val="tx1"/>
                        </w14:solidFill>
                      </w14:textFill>
                    </w:rPr>
                    <w:t>m</w:t>
                  </w:r>
                </w:p>
              </w:tc>
              <w:tc>
                <w:tcPr>
                  <w:tcW w:w="874"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15</w:t>
                  </w:r>
                  <w:r>
                    <w:rPr>
                      <w:rFonts w:hint="eastAsia" w:ascii="宋体" w:hAnsi="宋体" w:eastAsia="宋体" w:cs="宋体"/>
                      <w:b w:val="0"/>
                      <w:bCs/>
                      <w:color w:val="000000" w:themeColor="text1"/>
                      <w:kern w:val="0"/>
                      <w:sz w:val="21"/>
                      <w:szCs w:val="21"/>
                      <w14:textFill>
                        <w14:solidFill>
                          <w14:schemeClr w14:val="tx1"/>
                        </w14:solidFill>
                      </w14:textFill>
                    </w:rPr>
                    <w:t>m</w:t>
                  </w:r>
                </w:p>
              </w:tc>
              <w:tc>
                <w:tcPr>
                  <w:tcW w:w="874"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2</w:t>
                  </w:r>
                  <w:r>
                    <w:rPr>
                      <w:rFonts w:hint="eastAsia" w:ascii="宋体" w:hAnsi="宋体" w:eastAsia="宋体" w:cs="宋体"/>
                      <w:b w:val="0"/>
                      <w:bCs/>
                      <w:color w:val="000000" w:themeColor="text1"/>
                      <w:kern w:val="0"/>
                      <w:sz w:val="21"/>
                      <w:szCs w:val="21"/>
                      <w:lang w:val="en-US" w:eastAsia="zh-CN"/>
                      <w14:textFill>
                        <w14:solidFill>
                          <w14:schemeClr w14:val="tx1"/>
                        </w14:solidFill>
                      </w14:textFill>
                    </w:rPr>
                    <w:t>0</w:t>
                  </w:r>
                  <w:r>
                    <w:rPr>
                      <w:rFonts w:hint="eastAsia" w:ascii="宋体" w:hAnsi="宋体" w:eastAsia="宋体" w:cs="宋体"/>
                      <w:b w:val="0"/>
                      <w:bCs/>
                      <w:color w:val="000000" w:themeColor="text1"/>
                      <w:kern w:val="0"/>
                      <w:sz w:val="21"/>
                      <w:szCs w:val="21"/>
                      <w14:textFill>
                        <w14:solidFill>
                          <w14:schemeClr w14:val="tx1"/>
                        </w14:solidFill>
                      </w14:textFill>
                    </w:rPr>
                    <w:t>m</w:t>
                  </w:r>
                </w:p>
              </w:tc>
              <w:tc>
                <w:tcPr>
                  <w:tcW w:w="874"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30m</w:t>
                  </w:r>
                </w:p>
              </w:tc>
              <w:tc>
                <w:tcPr>
                  <w:tcW w:w="874"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40m</w:t>
                  </w:r>
                </w:p>
              </w:tc>
              <w:tc>
                <w:tcPr>
                  <w:tcW w:w="873" w:type="dxa"/>
                  <w:tcBorders>
                    <w:bottom w:val="single" w:color="auto" w:sz="12" w:space="0"/>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92" w:hRule="atLeast"/>
                <w:jc w:val="center"/>
              </w:trPr>
              <w:tc>
                <w:tcPr>
                  <w:tcW w:w="1190"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单台</w:t>
                  </w:r>
                  <w:r>
                    <w:rPr>
                      <w:rFonts w:hint="eastAsia" w:ascii="宋体" w:hAnsi="宋体" w:eastAsia="宋体" w:cs="宋体"/>
                      <w:b w:val="0"/>
                      <w:bCs/>
                      <w:color w:val="000000" w:themeColor="text1"/>
                      <w:sz w:val="21"/>
                      <w:szCs w:val="21"/>
                      <w:highlight w:val="none"/>
                      <w14:textFill>
                        <w14:solidFill>
                          <w14:schemeClr w14:val="tx1"/>
                        </w14:solidFill>
                      </w14:textFill>
                    </w:rPr>
                    <w:t>箱</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逆</w:t>
                  </w:r>
                  <w:r>
                    <w:rPr>
                      <w:rFonts w:hint="eastAsia" w:ascii="宋体" w:hAnsi="宋体" w:eastAsia="宋体" w:cs="宋体"/>
                      <w:b w:val="0"/>
                      <w:bCs/>
                      <w:color w:val="000000" w:themeColor="text1"/>
                      <w:sz w:val="21"/>
                      <w:szCs w:val="21"/>
                      <w:highlight w:val="none"/>
                      <w14:textFill>
                        <w14:solidFill>
                          <w14:schemeClr w14:val="tx1"/>
                        </w14:solidFill>
                      </w14:textFill>
                    </w:rPr>
                    <w:t>变</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一体机</w:t>
                  </w:r>
                </w:p>
              </w:tc>
              <w:tc>
                <w:tcPr>
                  <w:tcW w:w="831"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65</w:t>
                  </w:r>
                  <w:r>
                    <w:rPr>
                      <w:rFonts w:hint="eastAsia" w:ascii="宋体" w:hAnsi="宋体" w:eastAsia="宋体" w:cs="宋体"/>
                      <w:b w:val="0"/>
                      <w:bCs/>
                      <w:color w:val="000000" w:themeColor="text1"/>
                      <w:kern w:val="0"/>
                      <w:sz w:val="21"/>
                      <w:szCs w:val="21"/>
                      <w14:textFill>
                        <w14:solidFill>
                          <w14:schemeClr w14:val="tx1"/>
                        </w14:solidFill>
                      </w14:textFill>
                    </w:rPr>
                    <w:t>.0</w:t>
                  </w:r>
                </w:p>
              </w:tc>
              <w:tc>
                <w:tcPr>
                  <w:tcW w:w="874"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lang w:eastAsia="zh-CN"/>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55</w:t>
                  </w:r>
                  <w:r>
                    <w:rPr>
                      <w:rFonts w:hint="eastAsia" w:ascii="宋体" w:hAnsi="宋体" w:eastAsia="宋体" w:cs="宋体"/>
                      <w:b w:val="0"/>
                      <w:bCs/>
                      <w:color w:val="000000" w:themeColor="text1"/>
                      <w:kern w:val="0"/>
                      <w:sz w:val="21"/>
                      <w:szCs w:val="21"/>
                      <w14:textFill>
                        <w14:solidFill>
                          <w14:schemeClr w14:val="tx1"/>
                        </w14:solidFill>
                      </w14:textFill>
                    </w:rPr>
                    <w:t>.</w:t>
                  </w:r>
                  <w:r>
                    <w:rPr>
                      <w:rFonts w:hint="eastAsia" w:ascii="宋体" w:hAnsi="宋体" w:eastAsia="宋体" w:cs="宋体"/>
                      <w:b w:val="0"/>
                      <w:bCs/>
                      <w:color w:val="000000" w:themeColor="text1"/>
                      <w:kern w:val="0"/>
                      <w:sz w:val="21"/>
                      <w:szCs w:val="21"/>
                      <w:lang w:val="en-US" w:eastAsia="zh-CN"/>
                      <w14:textFill>
                        <w14:solidFill>
                          <w14:schemeClr w14:val="tx1"/>
                        </w14:solidFill>
                      </w14:textFill>
                    </w:rPr>
                    <w:t>2</w:t>
                  </w:r>
                </w:p>
              </w:tc>
              <w:tc>
                <w:tcPr>
                  <w:tcW w:w="873"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lang w:val="en-US" w:eastAsia="zh-CN"/>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49.5</w:t>
                  </w:r>
                </w:p>
              </w:tc>
              <w:tc>
                <w:tcPr>
                  <w:tcW w:w="874"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4</w:t>
                  </w:r>
                  <w:r>
                    <w:rPr>
                      <w:rFonts w:hint="eastAsia" w:ascii="宋体" w:hAnsi="宋体" w:eastAsia="宋体" w:cs="宋体"/>
                      <w:b w:val="0"/>
                      <w:bCs/>
                      <w:color w:val="000000" w:themeColor="text1"/>
                      <w:kern w:val="0"/>
                      <w:sz w:val="21"/>
                      <w:szCs w:val="21"/>
                      <w:lang w:val="en-US" w:eastAsia="zh-CN"/>
                      <w14:textFill>
                        <w14:solidFill>
                          <w14:schemeClr w14:val="tx1"/>
                        </w14:solidFill>
                      </w14:textFill>
                    </w:rPr>
                    <w:t>4.5</w:t>
                  </w:r>
                </w:p>
              </w:tc>
              <w:tc>
                <w:tcPr>
                  <w:tcW w:w="874"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lang w:val="en-US" w:eastAsia="zh-CN"/>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39.5</w:t>
                  </w:r>
                </w:p>
              </w:tc>
              <w:tc>
                <w:tcPr>
                  <w:tcW w:w="874"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lang w:val="en-US" w:eastAsia="zh-CN"/>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33.5</w:t>
                  </w:r>
                </w:p>
              </w:tc>
              <w:tc>
                <w:tcPr>
                  <w:tcW w:w="874"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lang w:val="en-US" w:eastAsia="zh-CN"/>
                      <w14:textFill>
                        <w14:solidFill>
                          <w14:schemeClr w14:val="tx1"/>
                        </w14:solidFill>
                      </w14:textFill>
                    </w:rPr>
                    <w:t>32</w:t>
                  </w:r>
                  <w:r>
                    <w:rPr>
                      <w:rFonts w:hint="eastAsia" w:ascii="宋体" w:hAnsi="宋体" w:eastAsia="宋体" w:cs="宋体"/>
                      <w:b w:val="0"/>
                      <w:bCs/>
                      <w:color w:val="000000" w:themeColor="text1"/>
                      <w:kern w:val="0"/>
                      <w:sz w:val="21"/>
                      <w:szCs w:val="21"/>
                      <w14:textFill>
                        <w14:solidFill>
                          <w14:schemeClr w14:val="tx1"/>
                        </w14:solidFill>
                      </w14:textFill>
                    </w:rPr>
                    <w:t>.0</w:t>
                  </w:r>
                </w:p>
              </w:tc>
              <w:tc>
                <w:tcPr>
                  <w:tcW w:w="873" w:type="dxa"/>
                  <w:tcBorders>
                    <w:top w:val="single" w:color="auto" w:sz="12" w:space="0"/>
                    <w:tl2br w:val="nil"/>
                    <w:tr2bl w:val="nil"/>
                  </w:tcBorders>
                  <w:noWrap w:val="0"/>
                  <w:vAlign w:val="center"/>
                </w:tcPr>
                <w:p>
                  <w:pPr>
                    <w:spacing w:line="240" w:lineRule="auto"/>
                    <w:ind w:left="0" w:leftChars="0" w:firstLine="0" w:firstLineChars="0"/>
                    <w:jc w:val="both"/>
                    <w:textAlignment w:val="baseline"/>
                    <w:rPr>
                      <w:rFonts w:hint="eastAsia" w:ascii="宋体" w:hAnsi="宋体" w:eastAsia="宋体" w:cs="宋体"/>
                      <w:b w:val="0"/>
                      <w:bCs/>
                      <w:color w:val="000000" w:themeColor="text1"/>
                      <w:kern w:val="0"/>
                      <w:sz w:val="21"/>
                      <w:szCs w:val="21"/>
                      <w14:textFill>
                        <w14:solidFill>
                          <w14:schemeClr w14:val="tx1"/>
                        </w14:solidFill>
                      </w14:textFill>
                    </w:rPr>
                  </w:pPr>
                  <w:r>
                    <w:rPr>
                      <w:rFonts w:hint="eastAsia" w:ascii="宋体" w:hAnsi="宋体" w:eastAsia="宋体" w:cs="宋体"/>
                      <w:b w:val="0"/>
                      <w:bCs/>
                      <w:color w:val="000000" w:themeColor="text1"/>
                      <w:kern w:val="0"/>
                      <w:sz w:val="21"/>
                      <w:szCs w:val="21"/>
                      <w14:textFill>
                        <w14:solidFill>
                          <w14:schemeClr w14:val="tx1"/>
                        </w14:solidFill>
                      </w14:textFill>
                    </w:rPr>
                    <w:t>3</w:t>
                  </w:r>
                  <w:r>
                    <w:rPr>
                      <w:rFonts w:hint="eastAsia" w:ascii="宋体" w:hAnsi="宋体" w:eastAsia="宋体" w:cs="宋体"/>
                      <w:b w:val="0"/>
                      <w:bCs/>
                      <w:color w:val="000000" w:themeColor="text1"/>
                      <w:kern w:val="0"/>
                      <w:sz w:val="21"/>
                      <w:szCs w:val="21"/>
                      <w:lang w:val="en-US" w:eastAsia="zh-CN"/>
                      <w14:textFill>
                        <w14:solidFill>
                          <w14:schemeClr w14:val="tx1"/>
                        </w14:solidFill>
                      </w14:textFill>
                    </w:rPr>
                    <w:t>1</w:t>
                  </w:r>
                  <w:r>
                    <w:rPr>
                      <w:rFonts w:hint="eastAsia" w:ascii="宋体" w:hAnsi="宋体" w:eastAsia="宋体" w:cs="宋体"/>
                      <w:b w:val="0"/>
                      <w:bCs/>
                      <w:color w:val="000000" w:themeColor="text1"/>
                      <w:kern w:val="0"/>
                      <w:sz w:val="21"/>
                      <w:szCs w:val="21"/>
                      <w14:textFill>
                        <w14:solidFill>
                          <w14:schemeClr w14:val="tx1"/>
                        </w14:solidFill>
                      </w14:textFill>
                    </w:rPr>
                    <w:t>.0</w:t>
                  </w:r>
                </w:p>
              </w:tc>
            </w:tr>
          </w:tbl>
          <w:p>
            <w:pPr>
              <w:pStyle w:val="22"/>
              <w:rPr>
                <w:rFonts w:hint="eastAsia"/>
                <w:bCs/>
                <w:color w:val="000000" w:themeColor="text1"/>
                <w:kern w:val="28"/>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由预测结果可知，在仅考虑距离衰减、不考虑环境因素衰减常数下，距</w:t>
            </w:r>
            <w:r>
              <w:rPr>
                <w:rFonts w:hint="default" w:ascii="Times New Roman" w:hAnsi="Times New Roman" w:eastAsia="宋体" w:cs="Times New Roman"/>
                <w:color w:val="000000" w:themeColor="text1"/>
                <w:sz w:val="24"/>
                <w:szCs w:val="24"/>
                <w:highlight w:val="none"/>
                <w14:textFill>
                  <w14:solidFill>
                    <w14:schemeClr w14:val="tx1"/>
                  </w14:solidFill>
                </w14:textFill>
              </w:rPr>
              <w:t>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逆</w:t>
            </w:r>
            <w:r>
              <w:rPr>
                <w:rFonts w:hint="default" w:ascii="Times New Roman" w:hAnsi="Times New Roman" w:eastAsia="宋体" w:cs="Times New Roman"/>
                <w:color w:val="000000" w:themeColor="text1"/>
                <w:sz w:val="24"/>
                <w:szCs w:val="24"/>
                <w:highlight w:val="none"/>
                <w14:textFill>
                  <w14:solidFill>
                    <w14:schemeClr w14:val="tx1"/>
                  </w14:solidFill>
                </w14:textFill>
              </w:rPr>
              <w:t>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一体机</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10m处（地面水平距离）的噪声影响值为</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49</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dB（A），能达到《工业企业厂界环境噪声排放标准》（GB12348-2008）2类标准要求</w:t>
            </w:r>
            <w:r>
              <w:rPr>
                <w:rFonts w:hint="default" w:ascii="Times New Roman" w:hAnsi="Times New Roman" w:eastAsia="宋体" w:cs="Times New Roman"/>
                <w:color w:val="000000" w:themeColor="text1"/>
                <w:sz w:val="24"/>
                <w:szCs w:val="24"/>
                <w:highlight w:val="none"/>
                <w14:textFill>
                  <w14:solidFill>
                    <w14:schemeClr w14:val="tx1"/>
                  </w14:solidFill>
                </w14:textFill>
              </w:rPr>
              <w:t>，因此本项目运营期对项目区及周边声环境影响较小</w:t>
            </w:r>
            <w:r>
              <w:rPr>
                <w:rFonts w:hint="default" w:ascii="Times New Roman" w:hAnsi="Times New Roman" w:cs="Times New Roman"/>
                <w:color w:val="000000" w:themeColor="text1"/>
                <w:sz w:val="24"/>
                <w:szCs w:val="24"/>
                <w:highlight w:val="none"/>
                <w14:textFill>
                  <w14:solidFill>
                    <w14:schemeClr w14:val="tx1"/>
                  </w14:solidFill>
                </w14:textFill>
              </w:rPr>
              <w:t>。</w:t>
            </w:r>
          </w:p>
          <w:p>
            <w:pPr>
              <w:pStyle w:val="43"/>
              <w:widowControl w:val="0"/>
              <w:numPr>
                <w:ilvl w:val="0"/>
                <w:numId w:val="0"/>
              </w:numPr>
              <w:spacing w:line="360" w:lineRule="auto"/>
              <w:ind w:firstLine="482" w:firstLineChars="200"/>
              <w:jc w:val="both"/>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r>
              <w:rPr>
                <w:rFonts w:hint="eastAsia" w:cs="Times New Roman"/>
                <w:b/>
                <w:bCs/>
                <w:snapToGrid/>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t>、运营期固体废物影响分析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cs="Times New Roman"/>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z w:val="24"/>
                <w:szCs w:val="24"/>
                <w:highlight w:val="none"/>
                <w:lang w:val="en-US" w:eastAsia="zh-CN"/>
                <w14:textFill>
                  <w14:solidFill>
                    <w14:schemeClr w14:val="tx1"/>
                  </w14:solidFill>
                </w14:textFill>
              </w:rPr>
              <w:t>4.1生活垃圾</w:t>
            </w:r>
          </w:p>
          <w:p>
            <w:pPr>
              <w:pStyle w:val="14"/>
              <w:ind w:left="0" w:leftChars="0" w:firstLine="480" w:firstLineChars="200"/>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项目生活垃圾年产生量约为3.6t/a,在厂区设置垃圾桶收集，集中收集后委托奇台县环卫部门清运，禁止在厂区随意丢弃。</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4.2废光伏组件</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项目光伏系统使用寿命25年，其中组件寿命25年，逆变器寿命25年，电缆使用寿命大于20年，除人为破坏外基本无损坏，为保障太阳能发电站的稳定性，设备厂家对其进行定期检测，对于损坏更换的电池组件以及光伏电池组件使用寿命到期后更换下来的电池组件，根据《国家危险废物名录》(2021年版)，拟建项目所用晶硅电池组件不属于危险废物，场区内部均不设置临时储存点，直接由设备厂家回收。本项目废光伏组件产生量约2t/a，由生产厂商进行更换后回收，不在厂区暂存。</w:t>
            </w:r>
          </w:p>
          <w:p>
            <w:pPr>
              <w:keepNext w:val="0"/>
              <w:keepLines w:val="0"/>
              <w:pageBreakBefore w:val="0"/>
              <w:widowControl w:val="0"/>
              <w:kinsoku/>
              <w:wordWrap w:val="0"/>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4.3</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废电池组件</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本项目使用储能电池类型为磷酸铁锂电池，单晶双面电池组件首年功率衰减到98%往后各年以0.45%衰减，到第25年功率衰减到87.2%。经查阅《国家危险废物名录》（2021版），本项目运营期产生的废旧电池组件不属于危险废物，产生的废电池组件委托厂家进行回收并置换新电池组件。</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4.4废变压油</w:t>
            </w:r>
          </w:p>
          <w:p>
            <w:pPr>
              <w:pStyle w:val="1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本项目箱式变压器，仅在检修时会产生废变压器油，一般3-5年检修一次，检修周期较长，类比同类项目，本项目按每3年检修一次计算，废变压器油检修一次产生量约为2.1t，平均年产生量为0.7t/a，事故废油属于HW08类废矿物与含矿物油废物，危废代码为900-220-08，统一收集后，暂存在厂区危废暂存间内，并委托有资质单位定期处置。</w:t>
            </w:r>
          </w:p>
          <w:p>
            <w:pPr>
              <w:pStyle w:val="1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根据《国家危险废物名录》（2021年版），废变压器油属危险废物（HW08 900-220-08），其贮存应满足《危险废物贮存污染控制标准》(GB18597-2023)的要求，因该废变压器油由变压器发生事故状态产生，变压器事故油池主要起临时</w:t>
            </w:r>
            <w:r>
              <w:rPr>
                <w:rFonts w:hint="eastAsia" w:ascii="宋体" w:hAnsi="宋体" w:eastAsia="宋体" w:cs="宋体"/>
                <w:color w:val="000000" w:themeColor="text1"/>
                <w:spacing w:val="-4"/>
                <w:kern w:val="0"/>
                <w:sz w:val="24"/>
                <w:szCs w:val="24"/>
                <w:highlight w:val="none"/>
                <w14:textFill>
                  <w14:solidFill>
                    <w14:schemeClr w14:val="tx1"/>
                  </w14:solidFill>
                </w14:textFill>
              </w:rPr>
              <w:t>收集贮存作用，</w:t>
            </w:r>
            <w:r>
              <w:rPr>
                <w:rFonts w:hint="eastAsia" w:ascii="宋体" w:hAnsi="宋体" w:eastAsia="宋体" w:cs="宋体"/>
                <w:color w:val="000000" w:themeColor="text1"/>
                <w:sz w:val="24"/>
                <w:szCs w:val="24"/>
                <w:highlight w:val="none"/>
                <w:lang w:val="en-US" w:eastAsia="zh-CN"/>
                <w14:textFill>
                  <w14:solidFill>
                    <w14:schemeClr w14:val="tx1"/>
                  </w14:solidFill>
                </w14:textFill>
              </w:rPr>
              <w:t>后由运维单位及时交由资质单位处置，不外排。环评要求事故油池应设基础防渗措施，事故油池一般要求使用抗渗等级为S6的C30混凝土，防止变压器油污染地下水，事故状态下排放的事故油不会对周围水环境造成污染，对周围环境无不良影响。</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本项目危废暂存间严格按《危险废物贮存污染控制标准》（GBl8597-2023）危险废物的其他相关规定进行设计建设，</w:t>
            </w:r>
            <w:r>
              <w:rPr>
                <w:rFonts w:hint="eastAsia" w:ascii="宋体" w:hAnsi="宋体" w:eastAsia="宋体" w:cs="宋体"/>
                <w:color w:val="000000" w:themeColor="text1"/>
                <w:sz w:val="24"/>
                <w:szCs w:val="24"/>
                <w14:textFill>
                  <w14:solidFill>
                    <w14:schemeClr w14:val="tx1"/>
                  </w14:solidFill>
                </w14:textFill>
              </w:rPr>
              <w:t>明确防渗措施和渗漏收集措施</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对地面防腐防渗，基础防渗层为至少1m厚粘土层（渗透系数≤10-7cm/s）或2mm厚高密度聚乙烯，或至少2mm厚的其他人工材料（渗透系数≤10-10cm/s）。设有围堰、应急事故池等可收集泄露的液态危险废物。</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危险废物单独分类收集、存放管理</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废变压器油用专用标准铁桶贮存；对危险废物的容器或包装物以及收集、贮存、运输危险废物的设施、场所，必须设置危险废物醒目的警示标志。</w:t>
            </w:r>
            <w:r>
              <w:rPr>
                <w:rFonts w:hint="eastAsia" w:ascii="宋体" w:hAnsi="宋体" w:eastAsia="宋体" w:cs="宋体"/>
                <w:color w:val="000000" w:themeColor="text1"/>
                <w:sz w:val="24"/>
                <w:szCs w:val="24"/>
                <w14:textFill>
                  <w14:solidFill>
                    <w14:schemeClr w14:val="tx1"/>
                  </w14:solidFill>
                </w14:textFill>
              </w:rPr>
              <w:t>危险废物盛装容器上粘贴清晰易辨的标签，储罐上应粘贴</w:t>
            </w:r>
            <w:r>
              <w:rPr>
                <w:rFonts w:hint="eastAsia" w:ascii="宋体" w:hAnsi="宋体" w:eastAsia="宋体" w:cs="宋体"/>
                <w:color w:val="000000" w:themeColor="text1"/>
                <w:sz w:val="24"/>
                <w:szCs w:val="24"/>
                <w:lang w:val="en-US" w:eastAsia="zh-CN"/>
                <w14:textFill>
                  <w14:solidFill>
                    <w14:schemeClr w14:val="tx1"/>
                  </w14:solidFill>
                </w14:textFill>
              </w:rPr>
              <w:t>危险废物标识</w:t>
            </w:r>
            <w:r>
              <w:rPr>
                <w:rFonts w:hint="eastAsia" w:ascii="宋体" w:hAnsi="宋体" w:eastAsia="宋体" w:cs="宋体"/>
                <w:color w:val="000000" w:themeColor="text1"/>
                <w:sz w:val="24"/>
                <w:szCs w:val="24"/>
                <w14:textFill>
                  <w14:solidFill>
                    <w14:schemeClr w14:val="tx1"/>
                  </w14:solidFill>
                </w14:textFill>
              </w:rPr>
              <w:t>标签，并注明危险废物的来源、数量等；</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对危险废物的出入流动做好记录；不同类危险废物容器之间留有间隔和搬运通道；配备消防设备和报警装置。</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对于危险废物的运输要求如下：</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①运输危险废物的运输车辆应按</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道路运输危险货物车辆标志</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的规定悬挂相应标志。</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②</w:t>
            </w:r>
            <w:r>
              <w:rPr>
                <w:rFonts w:hint="eastAsia" w:ascii="宋体" w:hAnsi="宋体" w:eastAsia="宋体" w:cs="宋体"/>
                <w:color w:val="000000" w:themeColor="text1"/>
                <w:sz w:val="24"/>
                <w:szCs w:val="24"/>
                <w:lang w:val="en-US" w:eastAsia="zh-CN"/>
                <w14:textFill>
                  <w14:solidFill>
                    <w14:schemeClr w14:val="tx1"/>
                  </w14:solidFill>
                </w14:textFill>
              </w:rPr>
              <w:t>专用车辆应当配备符合有关国家标准以及与所载运的危险货物相适应的应急处理器材和安全防护设备。</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③运输车辆在公路上行驶应持有通行证。其上应证明废物的来源、性质、运往地点，必要时须有单位人员负责押运工作。</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④运输公司应制定详细的运输方案及路线，并制定事故应急预案，配备事故应急及个人防护设备，以保证在收集、运输过程中发生事故时能有效地减少以至防止对环境的污染。</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⑤运输时应采取有效的包装措施，以防止有害成分的泄漏污染。</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⑥运输车辆驾驶员和押运人员需持有</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道路危险货物运输资格证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必须经过危险废物和应急救援方面的培训，包括防火、防泄漏以及应急联络等。</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⑦危险废物禁止混入非危险废物中贮存，禁止与乘客在同一运输工具上载运。</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⑧运输路线尽量避开饮用水源保护区及其他特殊敏感区</w:t>
            </w:r>
            <w:r>
              <w:rPr>
                <w:rFonts w:hint="eastAsia" w:ascii="宋体" w:hAnsi="宋体" w:eastAsia="宋体" w:cs="宋体"/>
                <w:color w:val="000000" w:themeColor="text1"/>
                <w:sz w:val="24"/>
                <w:szCs w:val="24"/>
                <w:lang w:eastAsia="zh-CN"/>
                <w14:textFill>
                  <w14:solidFill>
                    <w14:schemeClr w14:val="tx1"/>
                  </w14:solidFill>
                </w14:textFill>
              </w:rPr>
              <w:t>。</w:t>
            </w:r>
          </w:p>
          <w:p>
            <w:pPr>
              <w:pStyle w:val="2"/>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综上，本项目按照《危险废物贮存污染控制标准》（GB18597-2023）相关要求进行建设，危险废物委托有危废处置资质单位进行处置。</w:t>
            </w:r>
          </w:p>
          <w:p>
            <w:pPr>
              <w:spacing w:line="360" w:lineRule="auto"/>
              <w:ind w:firstLine="480" w:firstLineChars="200"/>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0"/>
                <w:sz w:val="24"/>
                <w:highlight w:val="none"/>
                <w:lang w:bidi="ar"/>
                <w14:textFill>
                  <w14:solidFill>
                    <w14:schemeClr w14:val="tx1"/>
                  </w14:solidFill>
                </w14:textFill>
              </w:rPr>
              <w:t>本项目固体废物产排污情况见表</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4-</w:t>
            </w:r>
            <w:r>
              <w:rPr>
                <w:rFonts w:hint="eastAsia" w:cs="Times New Roman"/>
                <w:color w:val="000000" w:themeColor="text1"/>
                <w:kern w:val="0"/>
                <w:sz w:val="24"/>
                <w:highlight w:val="none"/>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4"/>
                <w:highlight w:val="none"/>
                <w:lang w:bidi="ar"/>
                <w14:textFill>
                  <w14:solidFill>
                    <w14:schemeClr w14:val="tx1"/>
                  </w14:solidFill>
                </w14:textFill>
              </w:rPr>
              <w:t>。</w:t>
            </w:r>
          </w:p>
          <w:p>
            <w:pPr>
              <w:pStyle w:val="20"/>
              <w:spacing w:after="0" w:line="240" w:lineRule="auto"/>
              <w:ind w:left="0" w:leftChars="0" w:firstLine="0" w:firstLineChars="0"/>
              <w:jc w:val="center"/>
              <w:rPr>
                <w:b/>
                <w:color w:val="000000" w:themeColor="text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表</w:t>
            </w:r>
            <w:r>
              <w:rPr>
                <w:rFonts w:hint="eastAsia" w:ascii="Times New Roman" w:hAnsi="Times New Roman" w:eastAsia="宋体" w:cs="Times New Roman"/>
                <w:b/>
                <w:color w:val="000000" w:themeColor="text1"/>
                <w:sz w:val="21"/>
                <w:szCs w:val="21"/>
                <w:highlight w:val="none"/>
                <w:lang w:val="en-US" w:eastAsia="zh-CN"/>
                <w14:textFill>
                  <w14:solidFill>
                    <w14:schemeClr w14:val="tx1"/>
                  </w14:solidFill>
                </w14:textFill>
              </w:rPr>
              <w:t>4-</w:t>
            </w:r>
            <w:r>
              <w:rPr>
                <w:rFonts w:hint="eastAsia" w:ascii="Times New Roman" w:hAnsi="Times New Roman" w:cs="Times New Roman"/>
                <w:b/>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sz w:val="21"/>
                <w:szCs w:val="21"/>
                <w:highlight w:val="none"/>
                <w14:textFill>
                  <w14:solidFill>
                    <w14:schemeClr w14:val="tx1"/>
                  </w14:solidFill>
                </w14:textFill>
              </w:rPr>
              <w:t xml:space="preserve">   本项目固体废物产生及属性判定表</w:t>
            </w:r>
          </w:p>
          <w:tbl>
            <w:tblPr>
              <w:tblStyle w:val="35"/>
              <w:tblW w:w="81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086"/>
              <w:gridCol w:w="699"/>
              <w:gridCol w:w="731"/>
              <w:gridCol w:w="1003"/>
              <w:gridCol w:w="1260"/>
              <w:gridCol w:w="2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218"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名称</w:t>
                  </w:r>
                </w:p>
              </w:tc>
              <w:tc>
                <w:tcPr>
                  <w:tcW w:w="108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产生量</w:t>
                  </w:r>
                </w:p>
              </w:tc>
              <w:tc>
                <w:tcPr>
                  <w:tcW w:w="69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属性</w:t>
                  </w:r>
                </w:p>
              </w:tc>
              <w:tc>
                <w:tcPr>
                  <w:tcW w:w="73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形态</w:t>
                  </w:r>
                </w:p>
              </w:tc>
              <w:tc>
                <w:tcPr>
                  <w:tcW w:w="1003"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废物</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类别</w:t>
                  </w:r>
                </w:p>
              </w:tc>
              <w:tc>
                <w:tcPr>
                  <w:tcW w:w="1260"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危废</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代码</w:t>
                  </w:r>
                </w:p>
              </w:tc>
              <w:tc>
                <w:tcPr>
                  <w:tcW w:w="2140"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21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生活垃圾</w:t>
                  </w:r>
                </w:p>
              </w:tc>
              <w:tc>
                <w:tcPr>
                  <w:tcW w:w="10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3.6t/a</w:t>
                  </w:r>
                </w:p>
              </w:tc>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生活垃圾</w:t>
                  </w:r>
                </w:p>
              </w:tc>
              <w:tc>
                <w:tcPr>
                  <w:tcW w:w="7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固态</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w:t>
                  </w:r>
                </w:p>
              </w:tc>
              <w:tc>
                <w:tcPr>
                  <w:tcW w:w="214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定期由环卫部门运至垃圾场处理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0" w:hRule="atLeast"/>
              </w:trPr>
              <w:tc>
                <w:tcPr>
                  <w:tcW w:w="1218" w:type="dxa"/>
                  <w:vAlign w:val="center"/>
                </w:tcPr>
                <w:p>
                  <w:pPr>
                    <w:keepNext w:val="0"/>
                    <w:keepLines w:val="0"/>
                    <w:pageBreakBefore w:val="0"/>
                    <w:widowControl w:val="0"/>
                    <w:kinsoku/>
                    <w:wordWrap w:val="0"/>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废光伏组件</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p>
              </w:tc>
              <w:tc>
                <w:tcPr>
                  <w:tcW w:w="10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2t/a</w:t>
                  </w:r>
                </w:p>
              </w:tc>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eastAsia="zh-CN"/>
                      <w14:textFill>
                        <w14:solidFill>
                          <w14:schemeClr w14:val="tx1"/>
                        </w14:solidFill>
                      </w14:textFill>
                    </w:rPr>
                    <w:t>一般固废</w:t>
                  </w:r>
                </w:p>
              </w:tc>
              <w:tc>
                <w:tcPr>
                  <w:tcW w:w="7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w:t>
                  </w:r>
                </w:p>
              </w:tc>
              <w:tc>
                <w:tcPr>
                  <w:tcW w:w="214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由生产厂商进行更换后回收，不在厂区暂存。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0" w:hRule="atLeast"/>
              </w:trPr>
              <w:tc>
                <w:tcPr>
                  <w:tcW w:w="121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废变压器油</w:t>
                  </w:r>
                </w:p>
              </w:tc>
              <w:tc>
                <w:tcPr>
                  <w:tcW w:w="10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0.7t/a</w:t>
                  </w:r>
                </w:p>
              </w:tc>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危险固废</w:t>
                  </w:r>
                </w:p>
              </w:tc>
              <w:tc>
                <w:tcPr>
                  <w:tcW w:w="7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液态</w:t>
                  </w: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HW08</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900-220-08</w:t>
                  </w:r>
                </w:p>
              </w:tc>
              <w:tc>
                <w:tcPr>
                  <w:tcW w:w="214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设专用的抽油装置收集到油桶内，收集后立即</w:t>
                  </w:r>
                  <w:r>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90" w:hRule="atLeast"/>
              </w:trPr>
              <w:tc>
                <w:tcPr>
                  <w:tcW w:w="1218" w:type="dxa"/>
                  <w:vAlign w:val="center"/>
                </w:tcPr>
                <w:p>
                  <w:pPr>
                    <w:keepNext w:val="0"/>
                    <w:keepLines w:val="0"/>
                    <w:pageBreakBefore w:val="0"/>
                    <w:widowControl w:val="0"/>
                    <w:kinsoku/>
                    <w:wordWrap w:val="0"/>
                    <w:overflowPunct/>
                    <w:topLinePunct w:val="0"/>
                    <w:autoSpaceDE/>
                    <w:autoSpaceDN/>
                    <w:bidi w:val="0"/>
                    <w:adjustRightInd/>
                    <w:snapToGrid/>
                    <w:spacing w:line="360" w:lineRule="auto"/>
                    <w:ind w:left="0" w:leftChars="0" w:firstLine="0" w:firstLineChars="0"/>
                    <w:jc w:val="left"/>
                    <w:textAlignment w:val="auto"/>
                    <w:rPr>
                      <w:rFonts w:hint="eastAsia" w:asciiTheme="minorEastAsia" w:hAnsiTheme="minorEastAsia" w:eastAsiaTheme="minorEastAsia" w:cstheme="minorEastAsia"/>
                      <w:b w:val="0"/>
                      <w:bCs w:val="0"/>
                      <w:color w:val="000000" w:themeColor="text1"/>
                      <w:kern w:val="2"/>
                      <w:sz w:val="21"/>
                      <w:szCs w:val="21"/>
                      <w:highlight w:val="no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kern w:val="2"/>
                      <w:sz w:val="21"/>
                      <w:szCs w:val="21"/>
                      <w:highlight w:val="none"/>
                      <w:lang w:val="en-US" w:eastAsia="zh-CN" w:bidi="ar-SA"/>
                      <w14:textFill>
                        <w14:solidFill>
                          <w14:schemeClr w14:val="tx1"/>
                        </w14:solidFill>
                      </w14:textFill>
                    </w:rPr>
                    <w:t>废旧电池组件</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p>
              </w:tc>
              <w:tc>
                <w:tcPr>
                  <w:tcW w:w="10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2t/a</w:t>
                  </w:r>
                </w:p>
              </w:tc>
              <w:tc>
                <w:tcPr>
                  <w:tcW w:w="69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eastAsia="zh-CN"/>
                      <w14:textFill>
                        <w14:solidFill>
                          <w14:schemeClr w14:val="tx1"/>
                        </w14:solidFill>
                      </w14:textFill>
                    </w:rPr>
                    <w:t>一般固废</w:t>
                  </w:r>
                </w:p>
              </w:tc>
              <w:tc>
                <w:tcPr>
                  <w:tcW w:w="73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p>
              </w:tc>
              <w:tc>
                <w:tcPr>
                  <w:tcW w:w="1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w:t>
                  </w:r>
                </w:p>
              </w:tc>
              <w:tc>
                <w:tcPr>
                  <w:tcW w:w="126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heme="minorEastAsia" w:hAnsiTheme="minorEastAsia" w:eastAsiaTheme="minorEastAsia" w:cstheme="minorEastAsia"/>
                      <w:b w:val="0"/>
                      <w:bCs w:val="0"/>
                      <w:color w:val="000000" w:themeColor="text1"/>
                      <w:sz w:val="21"/>
                      <w:szCs w:val="21"/>
                      <w:highlight w:val="none"/>
                      <w14:textFill>
                        <w14:solidFill>
                          <w14:schemeClr w14:val="tx1"/>
                        </w14:solidFill>
                      </w14:textFill>
                    </w:rPr>
                  </w:pPr>
                  <w:r>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t>/</w:t>
                  </w:r>
                </w:p>
              </w:tc>
              <w:tc>
                <w:tcPr>
                  <w:tcW w:w="2140" w:type="dxa"/>
                  <w:vAlign w:val="center"/>
                </w:tcPr>
                <w:p>
                  <w:pPr>
                    <w:keepNext w:val="0"/>
                    <w:keepLines w:val="0"/>
                    <w:pageBreakBefore w:val="0"/>
                    <w:widowControl w:val="0"/>
                    <w:kinsoku/>
                    <w:wordWrap w:val="0"/>
                    <w:overflowPunct/>
                    <w:topLinePunct w:val="0"/>
                    <w:autoSpaceDE/>
                    <w:autoSpaceDN/>
                    <w:bidi w:val="0"/>
                    <w:adjustRightInd/>
                    <w:snapToGrid/>
                    <w:spacing w:line="240" w:lineRule="auto"/>
                    <w:ind w:left="0" w:leftChars="0" w:firstLine="0" w:firstLineChars="0"/>
                    <w:jc w:val="left"/>
                    <w:textAlignment w:val="auto"/>
                    <w:rPr>
                      <w:rFonts w:hint="eastAsia" w:asciiTheme="minorEastAsia" w:hAnsiTheme="minorEastAsia" w:eastAsiaTheme="minorEastAsia" w:cstheme="minorEastAsia"/>
                      <w:b w:val="0"/>
                      <w:bCs w:val="0"/>
                      <w:color w:val="000000" w:themeColor="text1"/>
                      <w:kern w:val="2"/>
                      <w:sz w:val="21"/>
                      <w:szCs w:val="21"/>
                      <w:highlight w:val="none"/>
                      <w:lang w:val="en-US" w:eastAsia="zh-CN" w:bidi="ar-SA"/>
                      <w14:textFill>
                        <w14:solidFill>
                          <w14:schemeClr w14:val="tx1"/>
                        </w14:solidFill>
                      </w14:textFill>
                    </w:rPr>
                  </w:pPr>
                  <w:r>
                    <w:rPr>
                      <w:rFonts w:hint="eastAsia" w:asciiTheme="minorEastAsia" w:hAnsiTheme="minorEastAsia" w:eastAsiaTheme="minorEastAsia" w:cstheme="minorEastAsia"/>
                      <w:b w:val="0"/>
                      <w:bCs w:val="0"/>
                      <w:color w:val="000000" w:themeColor="text1"/>
                      <w:kern w:val="2"/>
                      <w:sz w:val="21"/>
                      <w:szCs w:val="21"/>
                      <w:highlight w:val="none"/>
                      <w:lang w:val="en-US" w:eastAsia="zh-CN" w:bidi="ar-SA"/>
                      <w14:textFill>
                        <w14:solidFill>
                          <w14:schemeClr w14:val="tx1"/>
                        </w14:solidFill>
                      </w14:textFill>
                    </w:rPr>
                    <w:t>委托厂家进行回收并置换新电池组件。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heme="minorEastAsia" w:hAnsiTheme="minorEastAsia" w:eastAsiaTheme="minorEastAsia" w:cstheme="minorEastAsia"/>
                      <w:b w:val="0"/>
                      <w:bCs w:val="0"/>
                      <w:color w:val="000000" w:themeColor="text1"/>
                      <w:sz w:val="21"/>
                      <w:szCs w:val="21"/>
                      <w:highlight w:val="none"/>
                      <w:lang w:val="en-US" w:eastAsia="zh-CN"/>
                      <w14:textFill>
                        <w14:solidFill>
                          <w14:schemeClr w14:val="tx1"/>
                        </w14:solidFill>
                      </w14:textFill>
                    </w:rPr>
                  </w:pPr>
                </w:p>
              </w:tc>
            </w:tr>
          </w:tbl>
          <w:p>
            <w:pPr>
              <w:adjustRightInd w:val="0"/>
              <w:snapToGrid w:val="0"/>
              <w:spacing w:line="360" w:lineRule="auto"/>
              <w:rPr>
                <w:rFonts w:hint="eastAsia" w:ascii="宋体" w:hAnsi="宋体" w:eastAsia="宋体" w:cs="宋体"/>
                <w:b/>
                <w:bCs/>
                <w:color w:val="000000" w:themeColor="text1"/>
                <w:kern w:val="2"/>
                <w:sz w:val="24"/>
                <w:szCs w:val="24"/>
                <w:lang w:val="en-US" w:eastAsia="zh-CN" w:bidi="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5.</w:t>
            </w:r>
            <w:r>
              <w:rPr>
                <w:rFonts w:hint="eastAsia" w:ascii="宋体" w:hAnsi="宋体" w:eastAsia="宋体" w:cs="宋体"/>
                <w:b/>
                <w:bCs/>
                <w:color w:val="000000" w:themeColor="text1"/>
                <w:kern w:val="2"/>
                <w:sz w:val="24"/>
                <w:szCs w:val="24"/>
                <w:lang w:val="en-US" w:eastAsia="zh-CN" w:bidi="zh-CN"/>
                <w14:textFill>
                  <w14:solidFill>
                    <w14:schemeClr w14:val="tx1"/>
                  </w14:solidFill>
                </w14:textFill>
              </w:rPr>
              <w:t>运营期生态环境影响分析</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运行期对生态环境影响主要表现为光伏板阴影遮挡对植被恢复的影响、对生物多样性的影响以及光伏阵列景观环境影响。</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5.1对植物的影响</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太阳光是绿色植物进行光合作用的能量源泉，因此光资源的状况不仅限制着地区植物生产力的高低，而且决定了该地生产潜力的上限值。不同植物对光照强度要求不同，喜阴植物（如大部分禾本科植物）随着光照强度增加，光合作用加快，耐阴植物在微弱阳光下即能正常生长发育。很多植物在光照不足的条件下，由于缺乏叶绿素，会出现黄化现象。项目区现有植被较少，设计时已充分考虑光伏阴影影响，因而项目光伏板阴影对区域植物影响较小。</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5.2生物多样性影响</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工程建成恢复植被后，地表的自然生态系统能连成一片，不会影响生态系统原有的结构和功能，对评价区内的动物、植物种类和数量不会产生明显的影响，对评价区内的生态系统的多样性也不会产生影响。本项目光伏发电单元不可避免地起到一定程度的遮阳作用，从而影响向阳生植物的生长、发育，相反有利于阴生植物的生长。因此，对区域生态环境产生的影响较小，对区域生物多样性也不会产生明显影响。</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5.3对景观的影响</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项目区域地势平坦。光伏项目建成后，对周围景观有一定的影响，但项目占地面积有限，对项目所在地区整体景观影响有限，改变不了项目区原有景观特性。项目建成后场区形成一个结构合理、系统稳定的生态环境，可改善原来较脆弱的自然环境。另一方面，电站建成后，光伏阵列组合在一起可以构成一个非常美观、独特的人文景观，这种景观具有群体性、可观赏性，为单调的戈壁景观增添了活力，具有明显的社会效益和经济效益。</w:t>
            </w:r>
          </w:p>
          <w:p>
            <w:pPr>
              <w:pStyle w:val="24"/>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环境风险分析</w:t>
            </w:r>
          </w:p>
          <w:p>
            <w:pPr>
              <w:pStyle w:val="34"/>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涉及的风险物质主要为变压器油，变压器</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总</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含油量</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约300</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主要事故类型为变压器油</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泄漏</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及火灾、爆炸事故，以及由此引发的环境污染事故。</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因此，与临界量(2500t)的比值Q为0.</w:t>
            </w:r>
            <w:r>
              <w:rPr>
                <w:rFonts w:hint="eastAsia" w:ascii="Times New Roman" w:hAnsi="Times New Roman" w:eastAsia="宋体" w:cs="Times New Roman"/>
                <w:color w:val="000000" w:themeColor="text1"/>
                <w:spacing w:val="4"/>
                <w:sz w:val="24"/>
                <w:szCs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小于1，对比《建设项目环境风险评价技术导则》(HJ/T 169-2018)表1，本</w:t>
            </w:r>
            <w:r>
              <w:rPr>
                <w:rFonts w:hint="default" w:ascii="Times New Roman" w:hAnsi="Times New Roman" w:eastAsia="宋体" w:cs="Times New Roman"/>
                <w:color w:val="000000" w:themeColor="text1"/>
                <w:spacing w:val="4"/>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为轻度危害，环境低度敏感区，环境风险潜势为Ⅰ。可知项目环境风险评价工作等级为简单分析。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(1)</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火灾、爆炸事故影响分析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变压器油发生火灾、爆炸事故后对环境空气影响的主要污染物为一氧化碳和非甲烷总烃。一氧化碳可在血中与血红蛋白结合从而造成组织缺氧。轻度中毒者出现头痛、头晕、耳鸣、心悸、恶心、呕吐、无力。中度中毒者除上述症状外，还有脉快、烦躁、步态不稳、意识模糊，还有昏迷。重度患者昏迷不醒、瞳孔缩小、肌张力增加，频繁抽搐、大小便失禁等。深度中毒可致死。非甲烷总烃是指存在于环境中除甲烷以外C1～C12碳氢化合物的总称，包括烯烃、芳香烃、炔烃和含氧烃等。其中一些饱和脂肪烃能够对外围神经系统造成永久性损伤，非甲烷总烃的存在有助于形成光化学烟雾。由于变压器油量较小，以及事故发生时及时疏散周围人员并采取其他相关应急处置措施，因此废气对周围环境的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(2)</w:t>
            </w:r>
            <w:r>
              <w:rPr>
                <w:rFonts w:hint="default" w:ascii="Times New Roman" w:hAnsi="Times New Roman" w:eastAsia="宋体" w:cs="Times New Roman"/>
                <w:b/>
                <w:bCs/>
                <w:color w:val="000000" w:themeColor="text1"/>
                <w:kern w:val="0"/>
                <w:sz w:val="24"/>
                <w:szCs w:val="24"/>
                <w:highlight w:val="none"/>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变压器油</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泄漏</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影响分析</w:t>
            </w:r>
          </w:p>
          <w:p>
            <w:pPr>
              <w:pStyle w:val="43"/>
              <w:widowControl w:val="0"/>
              <w:numPr>
                <w:ilvl w:val="0"/>
                <w:numId w:val="0"/>
              </w:numPr>
              <w:spacing w:line="360" w:lineRule="auto"/>
              <w:ind w:firstLine="480" w:firstLineChars="200"/>
              <w:jc w:val="both"/>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当变压器油发生</w:t>
            </w:r>
            <w:r>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t>泄漏</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，变压器油则在土壤内部由于重力作用沿垂直方向向地下渗透，排除地质灾害等因素外，变压器油一般情况下不会冒出地表形成地面扩散，由于变压器油黏度和凝固点较高，且流动性较差。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选址</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选线</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环境</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合理</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性分</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析</w:t>
            </w:r>
          </w:p>
        </w:tc>
        <w:tc>
          <w:tcPr>
            <w:tcW w:w="8496" w:type="dxa"/>
            <w:vAlign w:val="top"/>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FF"/>
                <w:kern w:val="0"/>
                <w:sz w:val="24"/>
                <w:highlight w:val="none"/>
                <w:lang w:val="en-US" w:eastAsia="zh-CN"/>
              </w:rPr>
            </w:pPr>
            <w:r>
              <w:rPr>
                <w:rFonts w:hint="eastAsia" w:ascii="宋体" w:hAnsi="宋体" w:eastAsia="宋体" w:cs="宋体"/>
                <w:color w:val="0000FF"/>
                <w:kern w:val="0"/>
                <w:sz w:val="24"/>
                <w:highlight w:val="none"/>
              </w:rPr>
              <w:t>项目场址选择需考虑城乡规划要求、土地利用类型、项目工艺设计、交通条件、地形地貌、气象条件、地质灾害及环境保护等多项因素。项目在可行性研究阶段，选址按设计规范、防火规范等相关要求进行，与周边环境及配套设施充分做到相容；满足安全、消防及地质灾害等相关要求。</w:t>
            </w:r>
          </w:p>
          <w:p>
            <w:pPr>
              <w:pStyle w:val="16"/>
              <w:keepNext w:val="0"/>
              <w:keepLines w:val="0"/>
              <w:pageBreakBefore w:val="0"/>
              <w:widowControl w:val="0"/>
              <w:kinsoku/>
              <w:wordWrap/>
              <w:overflowPunct/>
              <w:topLinePunct w:val="0"/>
              <w:bidi w:val="0"/>
              <w:snapToGrid w:val="0"/>
              <w:spacing w:line="360" w:lineRule="auto"/>
              <w:ind w:firstLine="480" w:firstLineChars="200"/>
              <w:textAlignment w:val="auto"/>
              <w:rPr>
                <w:rFonts w:hint="eastAsia" w:ascii="宋体" w:hAnsi="宋体" w:eastAsia="宋体" w:cs="宋体"/>
                <w:color w:val="0000FF"/>
                <w:sz w:val="24"/>
                <w:highlight w:val="none"/>
                <w:lang w:val="en-US"/>
              </w:rPr>
            </w:pPr>
            <w:r>
              <w:rPr>
                <w:rFonts w:hint="eastAsia" w:ascii="宋体" w:hAnsi="宋体" w:eastAsia="宋体" w:cs="宋体"/>
                <w:color w:val="0000FF"/>
                <w:kern w:val="0"/>
                <w:sz w:val="24"/>
                <w:highlight w:val="none"/>
              </w:rPr>
              <w:t>本项目</w:t>
            </w:r>
            <w:r>
              <w:rPr>
                <w:rFonts w:hint="eastAsia" w:ascii="宋体" w:hAnsi="宋体" w:eastAsia="宋体" w:cs="宋体"/>
                <w:color w:val="0000FF"/>
                <w:kern w:val="0"/>
                <w:sz w:val="24"/>
                <w:highlight w:val="none"/>
                <w:lang w:eastAsia="zh-CN"/>
              </w:rPr>
              <w:t>光伏区</w:t>
            </w:r>
            <w:r>
              <w:rPr>
                <w:rFonts w:hint="eastAsia" w:ascii="宋体" w:hAnsi="宋体" w:eastAsia="宋体" w:cs="宋体"/>
                <w:color w:val="0000FF"/>
                <w:sz w:val="24"/>
                <w:highlight w:val="none"/>
              </w:rPr>
              <w:t>不涉及自然保护区、世界自然遗产地、风景名胜区、森林公园、</w:t>
            </w:r>
            <w:r>
              <w:rPr>
                <w:rFonts w:hint="eastAsia" w:ascii="宋体" w:hAnsi="宋体" w:eastAsia="宋体" w:cs="宋体"/>
                <w:color w:val="0000FF"/>
                <w:sz w:val="24"/>
                <w:highlight w:val="none"/>
                <w:lang w:eastAsia="zh-CN"/>
              </w:rPr>
              <w:t>地质公园</w:t>
            </w:r>
            <w:r>
              <w:rPr>
                <w:rFonts w:hint="eastAsia" w:ascii="宋体" w:hAnsi="宋体" w:eastAsia="宋体" w:cs="宋体"/>
                <w:color w:val="0000FF"/>
                <w:sz w:val="24"/>
                <w:highlight w:val="none"/>
              </w:rPr>
              <w:t>、重要湿地、饮用水水源保护区等重点保护区域内</w:t>
            </w:r>
            <w:r>
              <w:rPr>
                <w:rFonts w:hint="eastAsia" w:ascii="宋体" w:hAnsi="宋体" w:eastAsia="宋体" w:cs="宋体"/>
                <w:color w:val="0000FF"/>
                <w:sz w:val="24"/>
                <w:highlight w:val="none"/>
                <w:lang w:eastAsia="zh-CN"/>
              </w:rPr>
              <w:t>及其他</w:t>
            </w:r>
            <w:r>
              <w:rPr>
                <w:rFonts w:hint="eastAsia" w:ascii="宋体" w:hAnsi="宋体" w:eastAsia="宋体" w:cs="宋体"/>
                <w:color w:val="0000FF"/>
                <w:sz w:val="24"/>
                <w:highlight w:val="none"/>
              </w:rPr>
              <w:t>法律法规禁止的区域</w:t>
            </w:r>
            <w:r>
              <w:rPr>
                <w:rFonts w:hint="eastAsia" w:ascii="宋体" w:hAnsi="宋体" w:eastAsia="宋体" w:cs="宋体"/>
                <w:color w:val="0000FF"/>
                <w:sz w:val="24"/>
                <w:highlight w:val="none"/>
                <w:lang w:eastAsia="zh-CN"/>
              </w:rPr>
              <w:t>。</w:t>
            </w:r>
            <w:r>
              <w:rPr>
                <w:rFonts w:hint="eastAsia" w:ascii="宋体" w:hAnsi="宋体" w:eastAsia="宋体" w:cs="宋体"/>
                <w:color w:val="0000FF"/>
                <w:sz w:val="24"/>
                <w:highlight w:val="none"/>
              </w:rPr>
              <w:t>项目选址无环境限制因素。</w:t>
            </w:r>
            <w:r>
              <w:rPr>
                <w:rFonts w:hint="eastAsia" w:ascii="宋体" w:hAnsi="宋体" w:eastAsia="宋体" w:cs="宋体"/>
                <w:color w:val="0000FF"/>
                <w:sz w:val="24"/>
                <w:highlight w:val="none"/>
                <w:lang w:val="en-US" w:eastAsia="zh-CN"/>
              </w:rPr>
              <w:t>项目选址在地势平坦，周围无任何的建筑物，无任何环境敏感点，充分利用了北疆日照充足的条件，根据项目初步设计资料项目</w:t>
            </w:r>
            <w:r>
              <w:rPr>
                <w:rFonts w:hint="eastAsia" w:ascii="宋体" w:hAnsi="宋体" w:eastAsia="宋体" w:cs="宋体"/>
                <w:color w:val="0000FF"/>
                <w:sz w:val="24"/>
                <w:highlight w:val="none"/>
                <w:lang w:eastAsia="zh-CN"/>
              </w:rPr>
              <w:t>区</w:t>
            </w:r>
            <w:r>
              <w:rPr>
                <w:rFonts w:hint="eastAsia" w:ascii="宋体" w:hAnsi="宋体" w:eastAsia="宋体" w:cs="宋体"/>
                <w:color w:val="0000FF"/>
                <w:sz w:val="24"/>
                <w:highlight w:val="none"/>
              </w:rPr>
              <w:t>典型年水平太阳辐射量为1525.4kWh/m²，根据国家标准GB/T 31155-2014《太阳能资源等级总辐射》辐射值划分，属于全国太阳能资源B类地区（资源很丰富区）。场址夏季辐射强，冬季辐射弱；正午辐射强，早、晚辐射弱。直射比0.67，属于A级，直接辐射主导。</w:t>
            </w:r>
            <w:r>
              <w:rPr>
                <w:rFonts w:hint="eastAsia" w:ascii="宋体" w:hAnsi="宋体" w:eastAsia="宋体" w:cs="宋体"/>
                <w:color w:val="0000FF"/>
                <w:sz w:val="24"/>
                <w:highlight w:val="none"/>
                <w:lang w:val="en-US" w:eastAsia="zh-CN"/>
              </w:rPr>
              <w:t>根据现场踏勘，项目区地表植被稀少，</w:t>
            </w:r>
            <w:r>
              <w:rPr>
                <w:rFonts w:hint="eastAsia" w:hAnsi="宋体" w:eastAsia="宋体" w:cs="宋体"/>
                <w:color w:val="0000FF"/>
                <w:sz w:val="24"/>
                <w:highlight w:val="none"/>
                <w:lang w:val="en-US" w:eastAsia="zh-CN"/>
              </w:rPr>
              <w:t>植被覆盖度约10%，</w:t>
            </w:r>
            <w:r>
              <w:rPr>
                <w:rFonts w:hint="eastAsia" w:ascii="宋体" w:hAnsi="宋体" w:eastAsia="宋体" w:cs="宋体"/>
                <w:color w:val="0000FF"/>
                <w:sz w:val="24"/>
                <w:highlight w:val="none"/>
                <w:lang w:val="en-US" w:eastAsia="zh-CN"/>
              </w:rPr>
              <w:t>主要为盐生草等荒漠植被</w:t>
            </w:r>
            <w:r>
              <w:rPr>
                <w:rFonts w:hint="eastAsia" w:hAnsi="宋体" w:eastAsia="宋体" w:cs="宋体"/>
                <w:color w:val="0000FF"/>
                <w:sz w:val="24"/>
                <w:highlight w:val="none"/>
                <w:lang w:val="en-US" w:eastAsia="zh-CN"/>
              </w:rPr>
              <w:t>，无保护植被。</w:t>
            </w:r>
          </w:p>
          <w:p>
            <w:pPr>
              <w:ind w:firstLine="482"/>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eastAsia" w:ascii="宋体" w:hAnsi="宋体" w:eastAsia="宋体" w:cs="宋体"/>
                <w:color w:val="0000FF"/>
                <w:kern w:val="0"/>
                <w:sz w:val="24"/>
                <w:szCs w:val="24"/>
                <w:highlight w:val="none"/>
              </w:rPr>
              <w:t>本项目所在区域</w:t>
            </w:r>
            <w:r>
              <w:rPr>
                <w:rFonts w:hint="eastAsia" w:ascii="宋体" w:hAnsi="宋体" w:eastAsia="宋体" w:cs="宋体"/>
                <w:color w:val="0000FF"/>
                <w:kern w:val="0"/>
                <w:sz w:val="24"/>
                <w:szCs w:val="24"/>
                <w:highlight w:val="none"/>
                <w:lang w:val="en-US" w:eastAsia="zh-CN"/>
              </w:rPr>
              <w:t>现状为荒漠景观</w:t>
            </w:r>
            <w:r>
              <w:rPr>
                <w:rFonts w:hint="eastAsia" w:ascii="宋体" w:hAnsi="宋体" w:eastAsia="宋体" w:cs="宋体"/>
                <w:color w:val="0000FF"/>
                <w:kern w:val="0"/>
                <w:sz w:val="24"/>
                <w:szCs w:val="24"/>
                <w:highlight w:val="none"/>
              </w:rPr>
              <w:t>，周围无自然保护区、</w:t>
            </w:r>
            <w:r>
              <w:rPr>
                <w:rFonts w:hint="eastAsia" w:ascii="宋体" w:hAnsi="宋体" w:eastAsia="宋体" w:cs="宋体"/>
                <w:color w:val="0000FF"/>
                <w:kern w:val="0"/>
                <w:sz w:val="24"/>
                <w:szCs w:val="24"/>
                <w:highlight w:val="none"/>
                <w:lang w:eastAsia="zh-CN"/>
              </w:rPr>
              <w:t>无</w:t>
            </w:r>
            <w:r>
              <w:rPr>
                <w:rFonts w:hint="eastAsia" w:ascii="宋体" w:hAnsi="宋体" w:eastAsia="宋体" w:cs="宋体"/>
                <w:color w:val="0000FF"/>
                <w:kern w:val="0"/>
                <w:sz w:val="24"/>
                <w:szCs w:val="24"/>
                <w:highlight w:val="none"/>
              </w:rPr>
              <w:t>受保护的文物古迹，也无居民区等环境敏感保护目标。</w:t>
            </w:r>
            <w:r>
              <w:rPr>
                <w:rFonts w:hint="eastAsia" w:ascii="宋体" w:hAnsi="宋体" w:eastAsia="宋体" w:cs="宋体"/>
                <w:color w:val="0000FF"/>
                <w:sz w:val="24"/>
                <w:szCs w:val="24"/>
                <w:highlight w:val="none"/>
              </w:rPr>
              <w:t>场址占地远离军事设施、机场及人口密集区，从环保角度考虑，选址</w:t>
            </w:r>
            <w:r>
              <w:rPr>
                <w:rFonts w:hint="eastAsia" w:ascii="宋体" w:hAnsi="宋体" w:eastAsia="宋体" w:cs="宋体"/>
                <w:color w:val="0000FF"/>
                <w:sz w:val="24"/>
                <w:szCs w:val="24"/>
                <w:highlight w:val="none"/>
                <w:lang w:eastAsia="zh-CN"/>
              </w:rPr>
              <w:t>较</w:t>
            </w:r>
            <w:r>
              <w:rPr>
                <w:rFonts w:hint="eastAsia" w:ascii="宋体" w:hAnsi="宋体" w:eastAsia="宋体" w:cs="宋体"/>
                <w:color w:val="0000FF"/>
                <w:sz w:val="24"/>
                <w:szCs w:val="24"/>
                <w:highlight w:val="none"/>
              </w:rPr>
              <w:t>合理</w:t>
            </w:r>
            <w:r>
              <w:rPr>
                <w:rFonts w:hint="eastAsia" w:ascii="宋体" w:hAnsi="宋体" w:eastAsia="宋体" w:cs="宋体"/>
                <w:color w:val="0000FF"/>
                <w:sz w:val="24"/>
                <w:szCs w:val="24"/>
                <w:highlight w:val="none"/>
                <w:lang w:eastAsia="zh-CN"/>
              </w:rPr>
              <w:t>。</w:t>
            </w:r>
          </w:p>
        </w:tc>
      </w:tr>
    </w:tbl>
    <w:p>
      <w:pPr>
        <w:adjustRightInd w:val="0"/>
        <w:snapToGrid w:val="0"/>
        <w:ind w:firstLine="562"/>
        <w:rPr>
          <w:rFonts w:hint="default" w:ascii="Times New Roman" w:hAnsi="Times New Roman" w:eastAsia="宋体" w:cs="Times New Roman"/>
          <w:b/>
          <w:color w:val="000000" w:themeColor="text1"/>
          <w:kern w:val="0"/>
          <w:sz w:val="28"/>
          <w:szCs w:val="28"/>
          <w:highlight w:val="yellow"/>
          <w14:textFill>
            <w14:solidFill>
              <w14:schemeClr w14:val="tx1"/>
            </w14:solidFill>
          </w14:textFill>
        </w:rPr>
        <w:sectPr>
          <w:pgSz w:w="11907" w:h="16840"/>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eastAsia" w:ascii="黑体" w:hAnsi="黑体" w:eastAsia="黑体" w:cs="黑体"/>
          <w:snapToGrid w:val="0"/>
          <w:color w:val="000000" w:themeColor="text1"/>
          <w:sz w:val="30"/>
          <w:szCs w:val="30"/>
          <w:highlight w:val="none"/>
          <w14:textFill>
            <w14:solidFill>
              <w14:schemeClr w14:val="tx1"/>
            </w14:solidFill>
          </w14:textFill>
        </w:rPr>
      </w:pPr>
      <w:bookmarkStart w:id="54" w:name="_Toc29969"/>
      <w:bookmarkStart w:id="55" w:name="_Toc30952"/>
      <w:bookmarkStart w:id="56" w:name="_Toc26363"/>
      <w:bookmarkStart w:id="57" w:name="_Toc21760"/>
      <w:bookmarkStart w:id="58" w:name="_Toc13132"/>
      <w:bookmarkStart w:id="59" w:name="_Toc5920"/>
      <w:bookmarkStart w:id="60" w:name="_Toc12599"/>
      <w:bookmarkStart w:id="61" w:name="_Toc24590"/>
      <w:r>
        <w:rPr>
          <w:rFonts w:hint="eastAsia" w:ascii="黑体" w:hAnsi="黑体" w:eastAsia="黑体" w:cs="黑体"/>
          <w:snapToGrid w:val="0"/>
          <w:color w:val="000000" w:themeColor="text1"/>
          <w:sz w:val="30"/>
          <w:szCs w:val="30"/>
          <w:highlight w:val="none"/>
          <w:lang w:val="en-US" w:eastAsia="zh-CN"/>
          <w14:textFill>
            <w14:solidFill>
              <w14:schemeClr w14:val="tx1"/>
            </w14:solidFill>
          </w14:textFill>
        </w:rPr>
        <w:t>五</w:t>
      </w:r>
      <w:r>
        <w:rPr>
          <w:rFonts w:hint="eastAsia" w:ascii="黑体" w:hAnsi="黑体" w:eastAsia="黑体" w:cs="黑体"/>
          <w:snapToGrid w:val="0"/>
          <w:color w:val="000000" w:themeColor="text1"/>
          <w:sz w:val="30"/>
          <w:szCs w:val="30"/>
          <w:highlight w:val="none"/>
          <w14:textFill>
            <w14:solidFill>
              <w14:schemeClr w14:val="tx1"/>
            </w14:solidFill>
          </w14:textFill>
        </w:rPr>
        <w:t>、</w:t>
      </w:r>
      <w:r>
        <w:rPr>
          <w:rFonts w:hint="eastAsia" w:ascii="黑体" w:hAnsi="黑体" w:eastAsia="黑体" w:cs="黑体"/>
          <w:snapToGrid w:val="0"/>
          <w:color w:val="000000" w:themeColor="text1"/>
          <w:sz w:val="30"/>
          <w:szCs w:val="30"/>
          <w:highlight w:val="none"/>
          <w:lang w:val="en-US" w:eastAsia="zh-CN"/>
          <w14:textFill>
            <w14:solidFill>
              <w14:schemeClr w14:val="tx1"/>
            </w14:solidFill>
          </w14:textFill>
        </w:rPr>
        <w:t>主要生态环境保护措施</w:t>
      </w:r>
      <w:bookmarkEnd w:id="54"/>
      <w:bookmarkEnd w:id="55"/>
      <w:bookmarkEnd w:id="56"/>
      <w:bookmarkEnd w:id="57"/>
      <w:bookmarkEnd w:id="58"/>
    </w:p>
    <w:tbl>
      <w:tblPr>
        <w:tblStyle w:val="35"/>
        <w:tblW w:w="923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9"/>
        <w:gridCol w:w="84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419"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施工</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期生</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态环</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境保</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护措</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bCs/>
                <w:color w:val="000000" w:themeColor="text1"/>
                <w:kern w:val="2"/>
                <w:sz w:val="21"/>
                <w:szCs w:val="2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t>施</w:t>
            </w:r>
          </w:p>
        </w:tc>
        <w:tc>
          <w:tcPr>
            <w:tcW w:w="8496" w:type="dxa"/>
            <w:vAlign w:val="top"/>
          </w:tcPr>
          <w:p>
            <w:pPr>
              <w:keepNext w:val="0"/>
              <w:keepLines w:val="0"/>
              <w:pageBreakBefore w:val="0"/>
              <w:widowControl w:val="0"/>
              <w:kinsoku/>
              <w:wordWrap/>
              <w:overflowPunct/>
              <w:topLinePunct w:val="0"/>
              <w:autoSpaceDE/>
              <w:autoSpaceDN/>
              <w:bidi w:val="0"/>
              <w:adjustRightInd/>
              <w:snapToGrid/>
              <w:spacing w:before="164" w:beforeLines="50"/>
              <w:ind w:left="0" w:leftChars="0"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1、施工期生态环境保护措施</w:t>
            </w:r>
          </w:p>
          <w:p>
            <w:pPr>
              <w:rPr>
                <w:rFonts w:hint="default" w:ascii="Times New Roman" w:hAnsi="Times New Roman" w:eastAsia="宋体" w:cs="Times New Roman"/>
                <w:b w:val="0"/>
                <w:bCs w:val="0"/>
                <w:color w:val="0000FF"/>
                <w:kern w:val="0"/>
                <w:sz w:val="24"/>
                <w:szCs w:val="24"/>
                <w:lang w:val="en-US" w:eastAsia="zh-CN" w:bidi="ar"/>
              </w:rPr>
            </w:pPr>
            <w:r>
              <w:rPr>
                <w:rFonts w:hint="eastAsia" w:cs="Times New Roman"/>
                <w:b w:val="0"/>
                <w:bCs w:val="0"/>
                <w:color w:val="0000FF"/>
                <w:kern w:val="0"/>
                <w:sz w:val="24"/>
                <w:szCs w:val="24"/>
                <w:lang w:val="en-US" w:eastAsia="zh-CN" w:bidi="ar"/>
              </w:rPr>
              <w:t>1.1</w:t>
            </w:r>
            <w:r>
              <w:rPr>
                <w:rFonts w:hint="eastAsia" w:ascii="宋体" w:hAnsi="宋体" w:eastAsia="宋体" w:cs="宋体"/>
                <w:color w:val="0000FF"/>
                <w:kern w:val="0"/>
                <w:sz w:val="24"/>
                <w:szCs w:val="24"/>
                <w:lang w:val="en-US" w:eastAsia="zh-CN" w:bidi="ar"/>
              </w:rPr>
              <w:t>生态影响减缓措施</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b w:val="0"/>
                <w:bCs w:val="0"/>
                <w:color w:val="0000FF"/>
                <w:kern w:val="0"/>
                <w:sz w:val="24"/>
                <w:szCs w:val="24"/>
                <w:highlight w:val="none"/>
                <w:lang w:val="en-US" w:eastAsia="zh-CN" w:bidi="ar"/>
              </w:rPr>
              <w:t>① 优化施工便道的布设，施工便道应尽量利用已有简易道路进行改扩建从而减少土地的占用。</w:t>
            </w:r>
            <w:r>
              <w:rPr>
                <w:rFonts w:hint="eastAsia" w:ascii="宋体" w:hAnsi="宋体" w:eastAsia="宋体" w:cs="宋体"/>
                <w:color w:val="0000FF"/>
                <w:sz w:val="24"/>
              </w:rPr>
              <w:t>施工便道严格按照批准的路径和路肩宽度施工。施工结束后除了留做今后线路的检修道路外，其余的施工便道应恢复原貌。施工过程中，在施工便道进行洒水作业。</w:t>
            </w:r>
            <w:r>
              <w:rPr>
                <w:rFonts w:hint="eastAsia" w:ascii="宋体" w:hAnsi="宋体" w:eastAsia="宋体" w:cs="宋体"/>
                <w:b w:val="0"/>
                <w:bCs w:val="0"/>
                <w:color w:val="0000FF"/>
                <w:kern w:val="0"/>
                <w:sz w:val="24"/>
                <w:szCs w:val="24"/>
                <w:highlight w:val="none"/>
                <w:lang w:val="en-US" w:eastAsia="zh-CN" w:bidi="ar"/>
              </w:rPr>
              <w:t>施工道路尽量以半挖半填方式施工，减少施工土石方量和弃渣量，从而减少地面扰动面积；</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b w:val="0"/>
                <w:bCs w:val="0"/>
                <w:color w:val="0000FF"/>
                <w:kern w:val="0"/>
                <w:sz w:val="24"/>
                <w:szCs w:val="24"/>
                <w:highlight w:val="none"/>
                <w:lang w:val="en-US" w:eastAsia="zh-CN" w:bidi="ar"/>
              </w:rPr>
              <w:t xml:space="preserve">② </w:t>
            </w:r>
            <w:r>
              <w:rPr>
                <w:rFonts w:hint="eastAsia" w:ascii="宋体" w:hAnsi="宋体" w:eastAsia="宋体" w:cs="宋体"/>
                <w:color w:val="0000FF"/>
                <w:kern w:val="0"/>
                <w:sz w:val="24"/>
                <w:szCs w:val="24"/>
                <w:lang w:val="en-US" w:eastAsia="zh-CN" w:bidi="ar"/>
              </w:rPr>
              <w:t>优化临时占地区的选址，临时占地区选址应尽量选择没有植被覆盖的裸 地，对临时占地区采取“永临结合”的方式，尽量减小本工程对占用区植被的影响。施工结束后，应及时对临时占地区域采取平整压实处理，避免水土流失等对植被的破坏；</w:t>
            </w:r>
          </w:p>
          <w:p>
            <w:pPr>
              <w:keepNext w:val="0"/>
              <w:keepLines w:val="0"/>
              <w:widowControl/>
              <w:suppressLineNumbers w:val="0"/>
              <w:jc w:val="left"/>
              <w:rPr>
                <w:rFonts w:hint="eastAsia" w:ascii="宋体" w:hAnsi="宋体" w:eastAsia="宋体" w:cs="宋体"/>
                <w:color w:val="0000FF"/>
              </w:rPr>
            </w:pPr>
            <w:r>
              <w:rPr>
                <w:rFonts w:hint="eastAsia" w:ascii="宋体" w:hAnsi="宋体" w:eastAsia="宋体" w:cs="宋体"/>
                <w:b w:val="0"/>
                <w:bCs w:val="0"/>
                <w:color w:val="0000FF"/>
                <w:kern w:val="0"/>
                <w:sz w:val="24"/>
                <w:szCs w:val="24"/>
                <w:highlight w:val="none"/>
                <w:lang w:val="en-US" w:eastAsia="zh-CN" w:bidi="ar"/>
              </w:rPr>
              <w:t xml:space="preserve">③ </w:t>
            </w:r>
            <w:r>
              <w:rPr>
                <w:rFonts w:hint="eastAsia" w:ascii="宋体" w:hAnsi="宋体" w:eastAsia="宋体" w:cs="宋体"/>
                <w:color w:val="0000FF"/>
                <w:kern w:val="0"/>
                <w:sz w:val="24"/>
                <w:szCs w:val="24"/>
                <w:lang w:val="en-US" w:eastAsia="zh-CN" w:bidi="ar"/>
              </w:rPr>
              <w:t>严格控制临时占地，尽量不占或少占土地，以减少对植被的损坏。加强对占地区域砾幕层的保护，砾幕层恢复采用先收集－临时存放－施工结束后再覆盖－洒水的方式。禁止人为破坏占地范围以外的植被；</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b w:val="0"/>
                <w:bCs w:val="0"/>
                <w:color w:val="0000FF"/>
                <w:kern w:val="0"/>
                <w:sz w:val="24"/>
                <w:szCs w:val="24"/>
                <w:highlight w:val="none"/>
                <w:lang w:val="en-US" w:eastAsia="zh-CN" w:bidi="ar"/>
              </w:rPr>
              <w:t>④ 优化施工时间，施工期应避免在雨季施工，同时减少土石方的开挖，减少施工垃圾量的产生，及时清除多余的土方和石料，减少地面的压占，同时采取护坡、挡土墙等防护措施，避免水土流失；</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b w:val="0"/>
                <w:bCs w:val="0"/>
                <w:color w:val="0000FF"/>
                <w:kern w:val="0"/>
                <w:sz w:val="24"/>
                <w:szCs w:val="24"/>
                <w:highlight w:val="none"/>
                <w:lang w:val="en-US" w:eastAsia="zh-CN" w:bidi="ar"/>
              </w:rPr>
              <w:t>⑤ 加强施工监理，施工活动要保证在征地红线范围内进行，禁止施工人员越线施工；</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b w:val="0"/>
                <w:bCs w:val="0"/>
                <w:color w:val="0000FF"/>
                <w:kern w:val="0"/>
                <w:sz w:val="24"/>
                <w:szCs w:val="24"/>
                <w:highlight w:val="none"/>
                <w:lang w:val="en-US" w:eastAsia="zh-CN" w:bidi="ar"/>
              </w:rPr>
              <w:t>⑥ 严格控制施工作业范围、尽量选择较为平坦的场地作为临时施工场地，避免大量的土石方开挖，合理堆放施工材料及土方料等，施工后及时清理施工现场，使临时占地恢复原有功能；</w:t>
            </w:r>
          </w:p>
          <w:p>
            <w:pPr>
              <w:rPr>
                <w:rFonts w:hint="eastAsia" w:ascii="宋体" w:hAnsi="宋体" w:eastAsia="宋体" w:cs="宋体"/>
                <w:b w:val="0"/>
                <w:bCs w:val="0"/>
                <w:color w:val="0000FF"/>
                <w:kern w:val="0"/>
                <w:sz w:val="24"/>
                <w:szCs w:val="24"/>
                <w:highlight w:val="none"/>
                <w:lang w:val="en-US" w:eastAsia="zh-CN" w:bidi="ar"/>
              </w:rPr>
            </w:pPr>
            <w:r>
              <w:rPr>
                <w:rFonts w:hint="eastAsia" w:ascii="宋体" w:hAnsi="宋体" w:eastAsia="宋体" w:cs="宋体"/>
                <w:color w:val="0000FF"/>
                <w:kern w:val="0"/>
                <w:sz w:val="24"/>
                <w:szCs w:val="24"/>
                <w:lang w:val="en-US" w:eastAsia="zh-CN" w:bidi="ar"/>
              </w:rPr>
              <w:t xml:space="preserve">⑦ </w:t>
            </w:r>
            <w:r>
              <w:rPr>
                <w:rFonts w:hint="eastAsia" w:ascii="宋体" w:hAnsi="宋体" w:eastAsia="宋体" w:cs="宋体"/>
                <w:b w:val="0"/>
                <w:bCs w:val="0"/>
                <w:color w:val="0000FF"/>
                <w:kern w:val="0"/>
                <w:sz w:val="24"/>
                <w:szCs w:val="24"/>
                <w:highlight w:val="none"/>
                <w:lang w:val="en-US" w:eastAsia="zh-CN" w:bidi="ar"/>
              </w:rPr>
              <w:t>临时堆土按照施工要求，堆放在周边；土方分层堆放，熟土和生土分开，回填时，先填生土，再填熟土；堆土加盖防尘网，避免大风扬尘和雨水冲刷；</w:t>
            </w:r>
          </w:p>
          <w:p>
            <w:pPr>
              <w:pStyle w:val="43"/>
              <w:numPr>
                <w:ilvl w:val="0"/>
                <w:numId w:val="0"/>
              </w:numPr>
              <w:spacing w:line="360" w:lineRule="auto"/>
              <w:ind w:firstLine="480" w:firstLineChars="200"/>
              <w:jc w:val="both"/>
              <w:rPr>
                <w:rFonts w:hint="eastAsia" w:cs="Times New Roman"/>
                <w:snapToGrid/>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FF"/>
                <w:kern w:val="0"/>
                <w:sz w:val="24"/>
                <w:szCs w:val="24"/>
                <w:lang w:val="en-US" w:eastAsia="zh-CN" w:bidi="ar"/>
              </w:rPr>
              <w:t>⑧ 施工结束后对临时性占地及时进行迹地恢复，及时清理建筑垃圾</w:t>
            </w:r>
            <w:r>
              <w:rPr>
                <w:rFonts w:hint="default" w:ascii="Times New Roman" w:hAnsi="Times New Roman" w:eastAsia="宋体" w:cs="Times New Roman"/>
                <w:color w:val="0000FF"/>
                <w:kern w:val="0"/>
                <w:sz w:val="24"/>
                <w:szCs w:val="24"/>
                <w:lang w:val="en-US" w:eastAsia="zh-CN" w:bidi="ar"/>
              </w:rPr>
              <w:t>、恢复地表状态及土地使用功能，使恢复后的景观与周围自然景观保持一致。</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cs="Times New Roman"/>
                <w:b w:val="0"/>
                <w:bCs w:val="0"/>
                <w:color w:val="000000" w:themeColor="text1"/>
                <w:kern w:val="0"/>
                <w:sz w:val="24"/>
                <w:szCs w:val="24"/>
                <w:highlight w:val="none"/>
                <w:lang w:val="en-US" w:eastAsia="zh-CN" w:bidi="ar"/>
                <w14:textFill>
                  <w14:solidFill>
                    <w14:schemeClr w14:val="tx1"/>
                  </w14:solidFill>
                </w14:textFill>
              </w:rPr>
              <w:t>1.2</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植</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物保护措施</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① 合理规划、设计施工便道及场地，机械施工便道宽度不得大于</w:t>
            </w:r>
            <w:r>
              <w:rPr>
                <w:rFonts w:hint="eastAsia" w:cs="Times New Roman"/>
                <w:b w:val="0"/>
                <w:bCs w:val="0"/>
                <w:color w:val="000000" w:themeColor="text1"/>
                <w:kern w:val="0"/>
                <w:sz w:val="24"/>
                <w:szCs w:val="24"/>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m，人抬施工便道宽度不得大于1m，并要求各种机械和车辆固定行车路线，不能随意下道行驶或另开辟便道，以保证周围地表和植被不受破坏；</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② 材料运输过程中对施工道路及人抬道路进行合理的选择，施工运输道路一般为单行道，尽量避免过多扰动原地貌，避免在植被完好的地段进行道路修筑工作。</w:t>
            </w:r>
            <w:r>
              <w:rPr>
                <w:rFonts w:hint="eastAsia" w:cs="Times New Roman"/>
                <w:b w:val="0"/>
                <w:bCs w:val="0"/>
                <w:color w:val="000000" w:themeColor="text1"/>
                <w:kern w:val="0"/>
                <w:sz w:val="24"/>
                <w:szCs w:val="24"/>
                <w:lang w:val="en-US" w:eastAsia="zh-CN" w:bidi="ar"/>
                <w14:textFill>
                  <w14:solidFill>
                    <w14:schemeClr w14:val="tx1"/>
                  </w14:solidFill>
                </w14:textFill>
              </w:rPr>
              <w:t>对原料和建材</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，选择合适的位置进行堆放，减少场地的占用；</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③ 施工时应在工期安排上合理有序，尽量减少对地表和植被的破坏，除施工必须不得不铲除或碾压植被外，不允许以其它任何理由铲除植被，以减少对生态环境的破坏；</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 xml:space="preserve">④ </w:t>
            </w:r>
            <w:r>
              <w:rPr>
                <w:rFonts w:hint="eastAsia" w:cs="Times New Roman"/>
                <w:b w:val="0"/>
                <w:bCs w:val="0"/>
                <w:color w:val="000000" w:themeColor="text1"/>
                <w:kern w:val="0"/>
                <w:sz w:val="24"/>
                <w:szCs w:val="24"/>
                <w:lang w:val="en-US" w:eastAsia="zh-CN" w:bidi="ar"/>
                <w14:textFill>
                  <w14:solidFill>
                    <w14:schemeClr w14:val="tx1"/>
                  </w14:solidFill>
                </w14:textFill>
              </w:rPr>
              <w:t>基础</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开挖时要将表层熟土分装在编织袋内，堆放在临时堆土场的周围，用于施工结束后基坑回填，临时堆土采取四周拦挡、上铺下盖的措施，回填后及时整平。施工中要严格控制临时占地，减少破坏原地貌、植被的面积；</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⑤ 开挖尽量保持坑壁成型完好，并做好临时堆土的挡护及苫盖，基础坑开挖好后应尽快浇筑混凝土；</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⑥ 严格控制施工范围，应尽量控制作业面，施工后期对各类施工临时占地予以土地整治，植被自然恢复；</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⑦ 在工程设计及施工过程中应尽量避开野生植被较丰富的区域；</w:t>
            </w:r>
            <w:r>
              <w:rPr>
                <w:rFonts w:hint="eastAsia" w:cs="Times New Roman"/>
                <w:b w:val="0"/>
                <w:bCs w:val="0"/>
                <w:color w:val="000000" w:themeColor="text1"/>
                <w:kern w:val="0"/>
                <w:sz w:val="24"/>
                <w:szCs w:val="24"/>
                <w:lang w:val="en-US" w:eastAsia="zh-CN" w:bidi="ar"/>
                <w14:textFill>
                  <w14:solidFill>
                    <w14:schemeClr w14:val="tx1"/>
                  </w14:solidFill>
                </w14:textFill>
              </w:rPr>
              <w:t>基础</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和临时道路施工过程中尽量避开</w:t>
            </w:r>
            <w:r>
              <w:rPr>
                <w:rFonts w:hint="eastAsia" w:cs="Times New Roman"/>
                <w:b w:val="0"/>
                <w:bCs w:val="0"/>
                <w:color w:val="000000" w:themeColor="text1"/>
                <w:kern w:val="0"/>
                <w:sz w:val="24"/>
                <w:szCs w:val="24"/>
                <w:lang w:val="en-US" w:eastAsia="zh-CN" w:bidi="ar"/>
                <w14:textFill>
                  <w14:solidFill>
                    <w14:schemeClr w14:val="tx1"/>
                  </w14:solidFill>
                </w14:textFill>
              </w:rPr>
              <w:t>植被</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分布区域。建设单位对破坏的区域需进行生态恢复、生态补偿</w:t>
            </w:r>
            <w:r>
              <w:rPr>
                <w:rFonts w:hint="eastAsia" w:cs="Times New Roman"/>
                <w:b w:val="0"/>
                <w:bCs w:val="0"/>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⑧ 施工结束后，及时对施工场地进行平整，以便后期自然恢复。并按相关规定对植被损失进行生态经济补偿。</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cs="Times New Roman"/>
                <w:b w:val="0"/>
                <w:bCs w:val="0"/>
                <w:color w:val="000000" w:themeColor="text1"/>
                <w:kern w:val="0"/>
                <w:sz w:val="24"/>
                <w:szCs w:val="24"/>
                <w:lang w:val="en-US" w:eastAsia="zh-CN" w:bidi="ar"/>
                <w14:textFill>
                  <w14:solidFill>
                    <w14:schemeClr w14:val="tx1"/>
                  </w14:solidFill>
                </w14:textFill>
              </w:rPr>
              <w:t>1.3</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动物保护措施</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① 线路施工前对施工人员进行宣传和教育，严禁发生捕捉伤害野生动物的行为，提高保护野生动的意识；</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② 选用低噪声的施工设备及工艺，施工活动主要集中在白天进行，在施工过程中若发现野生动物的活动处，应进行避让和保护，以防影响野生动物的栖息，同时要杜绝施工人员捕杀野生动物；</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③ 施工期如发现保护动物应采取妥善措施进行保护，不得杀害和损伤保护动物。对受伤的动物应及时联系野生动物保护部门，及时救治。</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cs="Times New Roman"/>
                <w:b w:val="0"/>
                <w:bCs w:val="0"/>
                <w:color w:val="000000" w:themeColor="text1"/>
                <w:kern w:val="0"/>
                <w:sz w:val="24"/>
                <w:szCs w:val="24"/>
                <w:lang w:val="en-US" w:eastAsia="zh-CN" w:bidi="ar"/>
                <w14:textFill>
                  <w14:solidFill>
                    <w14:schemeClr w14:val="tx1"/>
                  </w14:solidFill>
                </w14:textFill>
              </w:rPr>
              <w:t>1.4</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水土保持措施</w:t>
            </w:r>
          </w:p>
          <w:p>
            <w:pPr>
              <w:keepNext w:val="0"/>
              <w:keepLines w:val="0"/>
              <w:widowControl/>
              <w:suppressLineNumbers w:val="0"/>
              <w:jc w:val="left"/>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随着施工场地、线路等工程开挖、填方、平整，原有的表土层收到破坏，土壤松动，或者施工过程中由于挖方及填方过程中形成的土堆不及时清理，遇到较大风速时，易发生水土流失。防治措施如下：</w:t>
            </w:r>
          </w:p>
          <w:p>
            <w:pPr>
              <w:keepNext w:val="0"/>
              <w:keepLines w:val="0"/>
              <w:widowControl/>
              <w:suppressLineNumbers w:val="0"/>
              <w:ind w:left="0" w:leftChars="0" w:firstLine="480" w:firstLineChars="200"/>
              <w:jc w:val="left"/>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①严格控制施工区域，合理安排施工期，尽量缩短施工期，以减轻施工可能带来的生态环境影响；</w:t>
            </w:r>
          </w:p>
          <w:p>
            <w:pPr>
              <w:keepNext w:val="0"/>
              <w:keepLines w:val="0"/>
              <w:widowControl/>
              <w:suppressLineNumbers w:val="0"/>
              <w:jc w:val="left"/>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②及时对回填土方进行覆盖。做好士石方、砂料等的平衡工作，开挖的土方尽量作为施工场地平整回填之用；</w:t>
            </w:r>
          </w:p>
          <w:p>
            <w:pPr>
              <w:keepNext w:val="0"/>
              <w:keepLines w:val="0"/>
              <w:widowControl/>
              <w:suppressLineNumbers w:val="0"/>
              <w:jc w:val="left"/>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③项目环境施工分期分区进行，以缩短单项工期，开挖裸露面，要有防止措施，尽量缩短暴露时间，以减少水土流失</w:t>
            </w:r>
            <w:r>
              <w:rPr>
                <w:rFonts w:hint="eastAsia" w:cs="Times New Roman"/>
                <w:b w:val="0"/>
                <w:bCs w:val="0"/>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cs="Times New Roman"/>
                <w:color w:val="000000" w:themeColor="text1"/>
                <w:kern w:val="0"/>
                <w:sz w:val="24"/>
                <w:szCs w:val="24"/>
                <w:lang w:val="en-US" w:eastAsia="zh-CN" w:bidi="ar"/>
                <w14:textFill>
                  <w14:solidFill>
                    <w14:schemeClr w14:val="tx1"/>
                  </w14:solidFill>
                </w14:textFill>
              </w:rPr>
              <w:t>1.5</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防沙治沙措施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本次评价要求建设单位严格按照《中华人民共和国防沙治沙法》及《关于加强沙区建设项目环境影响评价工作的通知》（新环环评发〔2020〕138号）中的有关规定，执行以下防沙治沙措施：</w:t>
            </w:r>
          </w:p>
          <w:p>
            <w:pPr>
              <w:pStyle w:val="31"/>
              <w:keepNext w:val="0"/>
              <w:keepLines w:val="0"/>
              <w:widowControl/>
              <w:suppressLineNumbers w:val="0"/>
              <w:spacing w:before="0" w:beforeAutospacing="0" w:after="0" w:afterAutospacing="0"/>
              <w:ind w:left="0" w:right="0" w:firstLine="0"/>
              <w:rPr>
                <w:rFonts w:hint="eastAsia" w:eastAsia="宋体"/>
                <w:color w:val="000000" w:themeColor="text1"/>
                <w:lang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① </w:t>
            </w:r>
            <w:r>
              <w:rPr>
                <w:color w:val="000000" w:themeColor="text1"/>
                <w14:textFill>
                  <w14:solidFill>
                    <w14:schemeClr w14:val="tx1"/>
                  </w14:solidFill>
                </w14:textFill>
              </w:rPr>
              <w:t>施工中应加强施工管理，尽量缩小施工范围，各种施工活动应严格控制在施工区域内，将临时占地面积控制在最低限度，以免造成土壤与植被的大面积破坏，而使本来就脆弱的生态系统受到威胁</w:t>
            </w:r>
            <w:r>
              <w:rPr>
                <w:rFonts w:hint="eastAsia"/>
                <w:color w:val="000000" w:themeColor="text1"/>
                <w:lang w:eastAsia="zh-CN"/>
                <w14:textFill>
                  <w14:solidFill>
                    <w14:schemeClr w14:val="tx1"/>
                  </w14:solidFill>
                </w14:textFill>
              </w:rPr>
              <w:t>；</w:t>
            </w:r>
          </w:p>
          <w:p>
            <w:pPr>
              <w:pStyle w:val="31"/>
              <w:keepNext w:val="0"/>
              <w:keepLines w:val="0"/>
              <w:widowControl/>
              <w:suppressLineNumbers w:val="0"/>
              <w:spacing w:before="0" w:beforeAutospacing="0" w:after="0" w:afterAutospacing="0"/>
              <w:ind w:left="0" w:right="0" w:firstLine="0"/>
              <w:rPr>
                <w:rFonts w:hint="eastAsia" w:eastAsia="宋体"/>
                <w:color w:val="000000" w:themeColor="text1"/>
                <w:lang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② </w:t>
            </w:r>
            <w:r>
              <w:rPr>
                <w:rFonts w:hint="eastAsia" w:ascii="Times New Roman" w:hAnsi="Times New Roman" w:eastAsia="宋体" w:cs="Times New Roman"/>
                <w:color w:val="000000" w:themeColor="text1"/>
                <w:sz w:val="24"/>
                <w:lang w:val="en-US" w:eastAsia="zh-CN"/>
                <w14:textFill>
                  <w14:solidFill>
                    <w14:schemeClr w14:val="tx1"/>
                  </w14:solidFill>
                </w14:textFill>
              </w:rPr>
              <w:t>控制挖方时间，在大风天气禁止挖方作业</w:t>
            </w:r>
            <w:r>
              <w:rPr>
                <w:color w:val="000000" w:themeColor="text1"/>
                <w14:textFill>
                  <w14:solidFill>
                    <w14:schemeClr w14:val="tx1"/>
                  </w14:solidFill>
                </w14:textFill>
              </w:rPr>
              <w:t>，对于施工破坏区施工完毕要及时平整土地，洒水降尘，以防止发生新的土壤侵蚀</w:t>
            </w:r>
            <w:r>
              <w:rPr>
                <w:rFonts w:hint="eastAsia"/>
                <w:color w:val="000000" w:themeColor="text1"/>
                <w:lang w:eastAsia="zh-CN"/>
                <w14:textFill>
                  <w14:solidFill>
                    <w14:schemeClr w14:val="tx1"/>
                  </w14:solidFill>
                </w14:textFill>
              </w:rPr>
              <w:t>；</w:t>
            </w:r>
          </w:p>
          <w:p>
            <w:pPr>
              <w:pStyle w:val="31"/>
              <w:keepNext w:val="0"/>
              <w:keepLines w:val="0"/>
              <w:widowControl/>
              <w:suppressLineNumbers w:val="0"/>
              <w:spacing w:before="0" w:beforeAutospacing="0" w:after="0" w:afterAutospacing="0"/>
              <w:ind w:left="0" w:right="0" w:firstLine="0"/>
              <w:rPr>
                <w:rFonts w:hint="eastAsia" w:eastAsia="宋体"/>
                <w:color w:val="000000" w:themeColor="text1"/>
                <w:lang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③ </w:t>
            </w:r>
            <w:r>
              <w:rPr>
                <w:color w:val="000000" w:themeColor="text1"/>
                <w14:textFill>
                  <w14:solidFill>
                    <w14:schemeClr w14:val="tx1"/>
                  </w14:solidFill>
                </w14:textFill>
              </w:rPr>
              <w:t>加强施工组织管理，提高施工机械化，缩短施工工期，临时占地尽早恢复原地貌</w:t>
            </w:r>
            <w:r>
              <w:rPr>
                <w:rFonts w:hint="eastAsia"/>
                <w:color w:val="000000" w:themeColor="text1"/>
                <w:lang w:eastAsia="zh-CN"/>
                <w14:textFill>
                  <w14:solidFill>
                    <w14:schemeClr w14:val="tx1"/>
                  </w14:solidFill>
                </w14:textFill>
              </w:rPr>
              <w:t>；</w:t>
            </w:r>
          </w:p>
          <w:p>
            <w:pPr>
              <w:numPr>
                <w:ilvl w:val="0"/>
                <w:numId w:val="0"/>
              </w:numPr>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④</w:t>
            </w:r>
            <w:r>
              <w:rPr>
                <w:rFonts w:hint="eastAsia" w:ascii="宋体" w:hAnsi="宋体" w:eastAsia="宋体" w:cs="宋体"/>
                <w:color w:val="000000" w:themeColor="text1"/>
                <w:lang w:val="en-US" w:eastAsia="zh-CN"/>
                <w14:textFill>
                  <w14:solidFill>
                    <w14:schemeClr w14:val="tx1"/>
                  </w14:solidFill>
                </w14:textFill>
              </w:rPr>
              <w:t xml:space="preserve"> </w:t>
            </w:r>
            <w:r>
              <w:rPr>
                <w:rFonts w:hint="eastAsia"/>
                <w:lang w:eastAsia="zh-CN"/>
              </w:rPr>
              <w:t>桩基</w:t>
            </w:r>
            <w:r>
              <w:rPr>
                <w:rFonts w:hint="eastAsia" w:ascii="Times New Roman" w:hAnsi="Times New Roman" w:eastAsia="宋体" w:cs="Times New Roman"/>
                <w:color w:val="000000" w:themeColor="text1"/>
                <w:sz w:val="24"/>
                <w:lang w:val="en-US" w:eastAsia="zh-CN"/>
                <w14:textFill>
                  <w14:solidFill>
                    <w14:schemeClr w14:val="tx1"/>
                  </w14:solidFill>
                </w14:textFill>
              </w:rPr>
              <w:t>开挖土方堆放在</w:t>
            </w:r>
            <w:r>
              <w:rPr>
                <w:rFonts w:hint="eastAsia" w:cs="Times New Roman"/>
                <w:color w:val="000000" w:themeColor="text1"/>
                <w:sz w:val="24"/>
                <w:lang w:val="en-US" w:eastAsia="zh-CN"/>
                <w14:textFill>
                  <w14:solidFill>
                    <w14:schemeClr w14:val="tx1"/>
                  </w14:solidFill>
                </w14:textFill>
              </w:rPr>
              <w:t>桩基</w:t>
            </w:r>
            <w:r>
              <w:rPr>
                <w:rFonts w:hint="eastAsia" w:ascii="Times New Roman" w:hAnsi="Times New Roman" w:eastAsia="宋体" w:cs="Times New Roman"/>
                <w:color w:val="000000" w:themeColor="text1"/>
                <w:sz w:val="24"/>
                <w:lang w:val="en-US" w:eastAsia="zh-CN"/>
                <w14:textFill>
                  <w14:solidFill>
                    <w14:schemeClr w14:val="tx1"/>
                  </w14:solidFill>
                </w14:textFill>
              </w:rPr>
              <w:t>旁，采用毡布覆盖，防止起尘；</w:t>
            </w:r>
          </w:p>
          <w:p>
            <w:pPr>
              <w:numPr>
                <w:ilvl w:val="0"/>
                <w:numId w:val="0"/>
              </w:numPr>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 xml:space="preserve">⑤ </w:t>
            </w:r>
            <w:r>
              <w:rPr>
                <w:color w:val="000000" w:themeColor="text1"/>
                <w14:textFill>
                  <w14:solidFill>
                    <w14:schemeClr w14:val="tx1"/>
                  </w14:solidFill>
                </w14:textFill>
              </w:rPr>
              <w:t>制定建设期环保规章制度，加强施工人员环保意识。</w:t>
            </w:r>
          </w:p>
          <w:p>
            <w:pPr>
              <w:ind w:left="0" w:leftChars="0" w:firstLine="0" w:firstLineChars="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2、施工期扬尘防治措施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（1）施工单位在场内转运土石方、拆除临时设施等构筑物时必须科学、合理地设置转运路线，绘制车辆运行平面图，采用有效的洒水降尘措施；</w:t>
            </w:r>
          </w:p>
          <w:p>
            <w:pPr>
              <w:keepNext w:val="0"/>
              <w:keepLines w:val="0"/>
              <w:widowControl/>
              <w:suppressLineNumbers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（2）四级以上大风天气或发布空气质量预警时，严禁进行土方开挖、回填等可能产生扬尘的施工，同时覆网防尘；</w:t>
            </w:r>
          </w:p>
          <w:p>
            <w:pPr>
              <w:keepNext w:val="0"/>
              <w:keepLines w:val="0"/>
              <w:widowControl/>
              <w:numPr>
                <w:ilvl w:val="0"/>
                <w:numId w:val="5"/>
              </w:numPr>
              <w:suppressLineNumbers w:val="0"/>
              <w:jc w:val="left"/>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对易起尘的临时堆土、运输过程中的土石方等采取密闭式防尘布</w:t>
            </w:r>
            <w:r>
              <w:rPr>
                <w:rFonts w:hint="default" w:ascii="Times New Roman" w:hAnsi="Times New Roman" w:cs="Times New Roman"/>
                <w:b w:val="0"/>
                <w:bCs w:val="0"/>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网</w:t>
            </w:r>
            <w:r>
              <w:rPr>
                <w:rFonts w:hint="default" w:ascii="Times New Roman" w:hAnsi="Times New Roman" w:cs="Times New Roman"/>
                <w:b w:val="0"/>
                <w:bCs w:val="0"/>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进行苫盖，施工面集中且有条件的地方宜采取洒水降水等有效措施，减少易造成大气污染的施工作业；</w:t>
            </w:r>
          </w:p>
          <w:p>
            <w:pPr>
              <w:keepNext w:val="0"/>
              <w:keepLines w:val="0"/>
              <w:widowControl/>
              <w:numPr>
                <w:ilvl w:val="0"/>
                <w:numId w:val="0"/>
              </w:numPr>
              <w:suppressLineNumbers w:val="0"/>
              <w:ind w:firstLine="480" w:firstLineChars="20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（4）车辆运输散体材料和废弃物时，必须100%进行密闭，避免沿途漏撒。车辆进出施工场地应100%进行覆盖冲洗，以确保扬尘不扩散；</w:t>
            </w:r>
          </w:p>
          <w:p>
            <w:pPr>
              <w:keepNext w:val="0"/>
              <w:keepLines w:val="0"/>
              <w:widowControl/>
              <w:suppressLineNumbers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eastAsia" w:cs="Times New Roman"/>
                <w:b w:val="0"/>
                <w:bCs w:val="0"/>
                <w:color w:val="000000" w:themeColor="text1"/>
                <w:kern w:val="0"/>
                <w:sz w:val="24"/>
                <w:szCs w:val="24"/>
                <w:lang w:val="en-US" w:eastAsia="zh-CN" w:bidi="ar"/>
                <w14:textFill>
                  <w14:solidFill>
                    <w14:schemeClr w14:val="tx1"/>
                  </w14:solidFill>
                </w14:textFill>
              </w:rPr>
              <w:t>5</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现场禁止搅拌混凝土、沙浆。水泥、石灰粉等建筑材料应存放在库房内或者严密遮盖。沙、石、土方等散体材料应集中堆放且应100%进行覆盖。场内装卸、搬倒物料应遮盖、封闭或洒水，不得凌空抛掷、抛撒；</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eastAsia" w:cs="Times New Roman"/>
                <w:b w:val="0"/>
                <w:bCs w:val="0"/>
                <w:color w:val="000000" w:themeColor="text1"/>
                <w:kern w:val="0"/>
                <w:sz w:val="24"/>
                <w:szCs w:val="24"/>
                <w:lang w:val="en-US" w:eastAsia="zh-CN" w:bidi="ar"/>
                <w14:textFill>
                  <w14:solidFill>
                    <w14:schemeClr w14:val="tx1"/>
                  </w14:solidFill>
                </w14:textFill>
              </w:rPr>
              <w:t>6</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）对施工车辆实行限速行驶，车辆行驶的路面实施洒水抑尘，对车辆实施清洁、冲洗轮胎；</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eastAsia" w:cs="Times New Roman"/>
                <w:b w:val="0"/>
                <w:bCs w:val="0"/>
                <w:color w:val="000000" w:themeColor="text1"/>
                <w:kern w:val="0"/>
                <w:sz w:val="24"/>
                <w:szCs w:val="24"/>
                <w:lang w:val="en-US" w:eastAsia="zh-CN" w:bidi="ar"/>
                <w14:textFill>
                  <w14:solidFill>
                    <w14:schemeClr w14:val="tx1"/>
                  </w14:solidFill>
                </w14:textFill>
              </w:rPr>
              <w:t>7</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）加强对机械、车辆的维修保养，禁止施工机械超负荷工作，减少烟度和颗粒物排放；</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eastAsia" w:cs="Times New Roman"/>
                <w:b w:val="0"/>
                <w:bCs w:val="0"/>
                <w:color w:val="000000" w:themeColor="text1"/>
                <w:kern w:val="0"/>
                <w:sz w:val="24"/>
                <w:szCs w:val="24"/>
                <w:lang w:val="en-US" w:eastAsia="zh-CN" w:bidi="ar"/>
                <w14:textFill>
                  <w14:solidFill>
                    <w14:schemeClr w14:val="tx1"/>
                  </w14:solidFill>
                </w14:textFill>
              </w:rPr>
              <w:t>8</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）施工单位应建立健全的工地保洁制度，设置清扫、洒水设备和各种防护设施；土堆、料堆要有遮盖，施工过程堆放的渣土必须有防尘措施并及时清运；</w:t>
            </w:r>
          </w:p>
          <w:p>
            <w:pP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r>
              <w:rPr>
                <w:rFonts w:hint="eastAsia" w:cs="Times New Roman"/>
                <w:b w:val="0"/>
                <w:bCs w:val="0"/>
                <w:color w:val="000000" w:themeColor="text1"/>
                <w:kern w:val="0"/>
                <w:sz w:val="24"/>
                <w:szCs w:val="24"/>
                <w:lang w:val="en-US" w:eastAsia="zh-CN" w:bidi="ar"/>
                <w14:textFill>
                  <w14:solidFill>
                    <w14:schemeClr w14:val="tx1"/>
                  </w14:solidFill>
                </w14:textFill>
              </w:rPr>
              <w:t>9</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）加强对施工人员的环保教育，提高全体施工人员的环保意识，坚持文明施工、科学施工，减少施工期的大气污染。</w:t>
            </w:r>
          </w:p>
          <w:p>
            <w:pPr>
              <w:numPr>
                <w:ilvl w:val="0"/>
                <w:numId w:val="0"/>
              </w:numPr>
              <w:ind w:leftChars="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3、施工期废水防治措施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（1）施工废水主要来源于混凝土养护和施工机械及运输车辆冲洗等，该部分废水中主要污染物为 SS，不含其他有毒有害物质，采用沉淀池进行澄清处理后贮存，用于施工场地、道路洒水降尘；</w:t>
            </w:r>
          </w:p>
          <w:p>
            <w:pPr>
              <w:keepNext w:val="0"/>
              <w:keepLines w:val="0"/>
              <w:widowControl/>
              <w:suppressLineNumbers w:val="0"/>
              <w:jc w:val="both"/>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（2）</w:t>
            </w:r>
            <w:r>
              <w:rPr>
                <w:rFonts w:hint="eastAsia" w:cs="Times New Roman"/>
                <w:color w:val="000000" w:themeColor="text1"/>
                <w:kern w:val="0"/>
                <w:sz w:val="24"/>
                <w:szCs w:val="24"/>
                <w:lang w:val="en-US" w:eastAsia="zh-CN" w:bidi="ar"/>
                <w14:textFill>
                  <w14:solidFill>
                    <w14:schemeClr w14:val="tx1"/>
                  </w14:solidFill>
                </w14:textFill>
              </w:rPr>
              <w:t>施工废水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生活污水排入</w:t>
            </w:r>
            <w:r>
              <w:rPr>
                <w:rFonts w:hint="eastAsia" w:cs="Times New Roman"/>
                <w:color w:val="000000" w:themeColor="text1"/>
                <w:kern w:val="0"/>
                <w:sz w:val="24"/>
                <w:szCs w:val="24"/>
                <w:lang w:val="en-US" w:eastAsia="zh-CN" w:bidi="ar"/>
                <w14:textFill>
                  <w14:solidFill>
                    <w14:schemeClr w14:val="tx1"/>
                  </w14:solidFill>
                </w14:textFill>
              </w:rPr>
              <w:t>防渗沉淀池，定期拉运至奇台县污水处理厂处理。</w:t>
            </w:r>
            <w:r>
              <w:rPr>
                <w:rFonts w:hint="eastAsia" w:ascii="宋体" w:hAnsi="宋体" w:eastAsia="宋体" w:cs="宋体"/>
                <w:b w:val="0"/>
                <w:bCs/>
                <w:color w:val="000000" w:themeColor="text1"/>
                <w:kern w:val="2"/>
                <w:sz w:val="24"/>
                <w:szCs w:val="24"/>
                <w:lang w:val="en-US" w:eastAsia="zh-CN" w:bidi="ar-SA"/>
                <w14:textFill>
                  <w14:solidFill>
                    <w14:schemeClr w14:val="tx1"/>
                  </w14:solidFill>
                </w14:textFill>
              </w:rPr>
              <w:t>奇台县污水处理厂于2015年建设，</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其设计规模为5万m</w:t>
            </w:r>
            <w:r>
              <w:rPr>
                <w:rFonts w:hint="eastAsia" w:ascii="宋体" w:hAnsi="宋体" w:eastAsia="宋体" w:cs="宋体"/>
                <w:b w:val="0"/>
                <w:bCs/>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/d，先期处理规模达到2.5万m</w:t>
            </w:r>
            <w:r>
              <w:rPr>
                <w:rFonts w:hint="eastAsia" w:ascii="宋体" w:hAnsi="宋体" w:eastAsia="宋体" w:cs="宋体"/>
                <w:b w:val="0"/>
                <w:bCs/>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/d。污水处理厂工艺为“氧化沟生化段+MBR膜生物反应器”。污水处理厂出口废水排放执行《城镇污水处理厂污染物排放标准》(GB18918-2002）一级 A标准，达标尾水通过管道排入北部沙漠用于生态林建设，冬季贮存于沙漠地带的中水库。目前，该污水处理厂运行状况良好，出水水质达标。本项目废水排水水质符合奇台县污水处理厂纳污标准《污水综合排放标准》（GB8978-1996）三级。本项目</w:t>
            </w:r>
            <w:r>
              <w:rPr>
                <w:rFonts w:hint="eastAsia" w:ascii="宋体" w:hAnsi="宋体" w:cs="宋体"/>
                <w:b w:val="0"/>
                <w:bCs/>
                <w:color w:val="000000" w:themeColor="text1"/>
                <w:kern w:val="2"/>
                <w:sz w:val="24"/>
                <w:szCs w:val="24"/>
                <w:highlight w:val="none"/>
                <w:vertAlign w:val="baseline"/>
                <w:lang w:val="en-US" w:eastAsia="zh-CN" w:bidi="ar-SA"/>
                <w14:textFill>
                  <w14:solidFill>
                    <w14:schemeClr w14:val="tx1"/>
                  </w14:solidFill>
                </w14:textFill>
              </w:rPr>
              <w:t>日</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排水量</w:t>
            </w:r>
            <w:r>
              <w:rPr>
                <w:rFonts w:hint="eastAsia" w:ascii="宋体" w:hAnsi="宋体" w:cs="宋体"/>
                <w:b w:val="0"/>
                <w:bCs/>
                <w:color w:val="000000" w:themeColor="text1"/>
                <w:kern w:val="2"/>
                <w:sz w:val="24"/>
                <w:szCs w:val="24"/>
                <w:highlight w:val="none"/>
                <w:vertAlign w:val="baseline"/>
                <w:lang w:val="en-US" w:eastAsia="zh-CN" w:bidi="ar-SA"/>
                <w14:textFill>
                  <w14:solidFill>
                    <w14:schemeClr w14:val="tx1"/>
                  </w14:solidFill>
                </w14:textFill>
              </w:rPr>
              <w:t>为24</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m</w:t>
            </w:r>
            <w:r>
              <w:rPr>
                <w:rFonts w:hint="eastAsia" w:ascii="宋体" w:hAnsi="宋体" w:eastAsia="宋体" w:cs="宋体"/>
                <w:b w:val="0"/>
                <w:bCs/>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w:t>
            </w:r>
            <w:r>
              <w:rPr>
                <w:rFonts w:hint="eastAsia" w:ascii="宋体" w:hAnsi="宋体" w:cs="宋体"/>
                <w:b w:val="0"/>
                <w:bCs/>
                <w:color w:val="000000" w:themeColor="text1"/>
                <w:kern w:val="2"/>
                <w:sz w:val="24"/>
                <w:szCs w:val="24"/>
                <w:highlight w:val="none"/>
                <w:vertAlign w:val="baseline"/>
                <w:lang w:val="en-US" w:eastAsia="zh-CN" w:bidi="ar-SA"/>
                <w14:textFill>
                  <w14:solidFill>
                    <w14:schemeClr w14:val="tx1"/>
                  </w14:solidFill>
                </w14:textFill>
              </w:rPr>
              <w:t>d</w:t>
            </w:r>
            <w:r>
              <w:rPr>
                <w:rFonts w:hint="eastAsia" w:ascii="宋体" w:hAnsi="宋体" w:eastAsia="宋体" w:cs="宋体"/>
                <w:b w:val="0"/>
                <w:bCs/>
                <w:color w:val="000000" w:themeColor="text1"/>
                <w:kern w:val="2"/>
                <w:sz w:val="24"/>
                <w:szCs w:val="24"/>
                <w:highlight w:val="none"/>
                <w:vertAlign w:val="baseline"/>
                <w:lang w:val="en-US" w:eastAsia="zh-CN" w:bidi="ar-SA"/>
                <w14:textFill>
                  <w14:solidFill>
                    <w14:schemeClr w14:val="tx1"/>
                  </w14:solidFill>
                </w14:textFill>
              </w:rPr>
              <w:t>，符合奇台县城污水处理厂处理负荷。因此，本项目排水方案可行。</w:t>
            </w:r>
          </w:p>
          <w:p>
            <w:pPr>
              <w:ind w:left="0" w:leftChars="0" w:firstLine="0" w:firstLineChars="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4、施工期噪声防治措施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单位应合理安排施工时间，原则上禁止夜间施工，确需要夜间施工的，按国家有关规定到当地环境保护行政主管部门办理夜间施工许可手续。施工噪声对环境的不利影响是短期的行为，随着施工结束，施工噪声的影响将结束，但仍需要采取相应的减缓措施。本工程可采用的措施如下：</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（1）施工尽量采用低噪声设备，并加强维修保养；</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（2）避免深夜运输，禁止夜间高噪声机械施工；</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（3）应对车辆行驶时间、行驶路线进行严格控制和管理，注意避开噪声敏感时段，文明行车；</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（4）为降低施工噪声对施工人员的影响程度，对从事高噪声机械作业的现场施工人员应加强个人防护，配备必要的噪声防护物品；</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（5）对施工人员进场进行文明施工教育，施工时材料不准从车上往下扔，材料堆放不发生大的噪声；</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（6）加强非道路移动机械的噪声控制。禁止擅自拆除弃用非道路移动机械的消声、隔声和吸声装置，加强对噪声控制装置的维护保养；</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（7）避免在同一地点安排大量动力机械设备，以避免局部声级过高。</w:t>
            </w:r>
          </w:p>
          <w:p>
            <w:pPr>
              <w:keepNext w:val="0"/>
              <w:keepLines w:val="0"/>
              <w:widowControl/>
              <w:suppressLineNumbers w:val="0"/>
              <w:ind w:left="0" w:leftChars="0" w:firstLine="0" w:firstLineChars="0"/>
              <w:jc w:val="left"/>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5、施工期固体废物防治措施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工期固体废物主要来源于建筑垃圾、弃土渣和施工人员生活垃圾等。如不妥善处理，及时清运，对周围环境也会造成一定的影响。为了控制施工期产生的固废对环境的污染，减少堆放和运输过程中对环境的影响，建议采取如下措施：</w:t>
            </w:r>
          </w:p>
          <w:p>
            <w:pPr>
              <w:keepNext w:val="0"/>
              <w:keepLines w:val="0"/>
              <w:widowControl/>
              <w:suppressLineNumbers w:val="0"/>
              <w:jc w:val="left"/>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（1）施工临时土方全部用于场地平整；</w:t>
            </w:r>
          </w:p>
          <w:p>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color w:val="000000" w:themeColor="text1"/>
                <w:lang w:val="en-US" w:eastAsia="zh-CN"/>
                <w14:textFill>
                  <w14:solidFill>
                    <w14:schemeClr w14:val="tx1"/>
                  </w14:solidFill>
                </w14:textFill>
              </w:rPr>
              <w:t>及时清理施工建筑垃圾，能回收利用的交由废品收购站回收，不能回收利用的运至当地建筑垃圾处置场进行处置，不得随地倾倒</w:t>
            </w:r>
            <w:r>
              <w:rPr>
                <w:rFonts w:hint="default" w:ascii="Times New Roman" w:hAnsi="Times New Roman" w:cs="Times New Roman"/>
                <w:color w:val="000000" w:themeColor="text1"/>
                <w:lang w:val="en-US" w:eastAsia="zh-CN"/>
                <w14:textFill>
                  <w14:solidFill>
                    <w14:schemeClr w14:val="tx1"/>
                  </w14:solidFill>
                </w14:textFill>
              </w:rPr>
              <w:t>；</w:t>
            </w:r>
          </w:p>
          <w:p>
            <w:pPr>
              <w:keepNext w:val="0"/>
              <w:keepLines w:val="0"/>
              <w:widowControl/>
              <w:suppressLineNumbers w:val="0"/>
              <w:jc w:val="left"/>
              <w:rPr>
                <w:rFonts w:hint="default" w:ascii="Times New Roman" w:hAnsi="Times New Roman" w:eastAsia="宋体" w:cs="Times New Roman"/>
                <w:color w:val="000000" w:themeColor="text1"/>
                <w:highlight w:val="yellow"/>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（3）施工人员日常生活垃圾集中堆放，定期运至当地环卫部门指定的垃圾填埋场处置。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93"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运营</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期生</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态环</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境保</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护措</w:t>
            </w:r>
          </w:p>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施</w:t>
            </w:r>
          </w:p>
        </w:tc>
        <w:tc>
          <w:tcPr>
            <w:tcW w:w="8496" w:type="dxa"/>
            <w:vAlign w:val="top"/>
          </w:tcPr>
          <w:p>
            <w:pPr>
              <w:keepNext w:val="0"/>
              <w:keepLines w:val="0"/>
              <w:pageBreakBefore w:val="0"/>
              <w:widowControl w:val="0"/>
              <w:kinsoku/>
              <w:wordWrap/>
              <w:overflowPunct/>
              <w:topLinePunct w:val="0"/>
              <w:autoSpaceDE/>
              <w:autoSpaceDN/>
              <w:bidi w:val="0"/>
              <w:adjustRightInd/>
              <w:snapToGrid/>
              <w:spacing w:before="164" w:beforeLines="50"/>
              <w:ind w:left="0" w:leftChars="0" w:firstLine="241" w:firstLineChars="1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1、运营期生态环境保护措施</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（1）植被保护措施</w:t>
            </w:r>
          </w:p>
          <w:p>
            <w:pPr>
              <w:rPr>
                <w:rFonts w:hint="eastAsia" w:asciiTheme="majorEastAsia" w:hAnsiTheme="majorEastAsia" w:eastAsiaTheme="majorEastAsia" w:cstheme="majorEastAsia"/>
                <w:sz w:val="24"/>
                <w:szCs w:val="24"/>
                <w:lang w:eastAsia="zh-CN"/>
              </w:rPr>
            </w:pPr>
            <w:r>
              <w:rPr>
                <w:rFonts w:hint="eastAsia" w:asciiTheme="majorEastAsia" w:hAnsiTheme="majorEastAsia" w:eastAsiaTheme="majorEastAsia" w:cstheme="majorEastAsia"/>
                <w:sz w:val="24"/>
                <w:szCs w:val="24"/>
              </w:rPr>
              <w:t>①植被修复原则</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保护原有生态系统的原则：项目区土地类型为荒漠戈壁，植被覆盖度低。本工程建设不可避免的会破坏评价区生态系统结构及功能。因此在生态修复过程中，必须尽量保护施工占地区域原有体系的生态环境，尽量发展以当地优势植被为主体的生态系统。</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保护生物多样性的原则：植被修复措施不仅考虑植被覆盖率，而且需要在利用当地原有物种的情况下，尽量使物种多样化，避免单一。在保证物种多样性的前提下，防止外来入侵物种的扩散。</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②植被恢复方案：为减缓工程建设对施工迹地区植被的影响，施工结束后应严格落实水土保持措施，根据</w:t>
            </w:r>
            <w:r>
              <w:rPr>
                <w:rFonts w:hint="eastAsia" w:asciiTheme="majorEastAsia" w:hAnsiTheme="majorEastAsia" w:eastAsiaTheme="majorEastAsia" w:cstheme="majorEastAsia"/>
                <w:sz w:val="24"/>
                <w:szCs w:val="24"/>
                <w:lang w:eastAsia="zh-CN"/>
              </w:rPr>
              <w:t>植</w:t>
            </w:r>
            <w:r>
              <w:rPr>
                <w:rFonts w:hint="eastAsia" w:asciiTheme="majorEastAsia" w:hAnsiTheme="majorEastAsia" w:eastAsiaTheme="majorEastAsia" w:cstheme="majorEastAsia"/>
                <w:sz w:val="24"/>
                <w:szCs w:val="24"/>
              </w:rPr>
              <w:t>被情况和地质地貌情况等实行不同的恢复方案，主要方案是施工结束后进行土地整治并播散当地优势物种草籽。光伏发电系统支架下有选择的种植喜阴植物，防止生物量减少。</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（2）动物保护措施</w:t>
            </w:r>
          </w:p>
          <w:p>
            <w:pP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①除必要的照明外，减少夜间灯光投射，减少对兽类惊扰影响；</w:t>
            </w:r>
          </w:p>
          <w:p>
            <w:pPr>
              <w:rPr>
                <w:rFonts w:hint="default" w:ascii="Times New Roman" w:hAnsi="Times New Roman" w:eastAsia="宋体" w:cs="Times New Roman"/>
                <w:snapToGrid/>
                <w:color w:val="000000" w:themeColor="text1"/>
                <w:kern w:val="0"/>
                <w:sz w:val="24"/>
                <w:szCs w:val="24"/>
                <w:lang w:val="en-US" w:eastAsia="zh-CN" w:bidi="ar"/>
                <w14:textFill>
                  <w14:solidFill>
                    <w14:schemeClr w14:val="tx1"/>
                  </w14:solidFill>
                </w14:textFill>
              </w:rPr>
            </w:pPr>
            <w:r>
              <w:rPr>
                <w:rFonts w:hint="eastAsia" w:asciiTheme="majorEastAsia" w:hAnsiTheme="majorEastAsia" w:eastAsiaTheme="majorEastAsia" w:cstheme="majorEastAsia"/>
                <w:sz w:val="24"/>
                <w:szCs w:val="24"/>
              </w:rPr>
              <w:t>②防火、禁猎，保护周边植被，保护动物的生存环境</w:t>
            </w:r>
            <w:r>
              <w:rPr>
                <w:rFonts w:hint="eastAsia" w:asciiTheme="majorEastAsia" w:hAnsiTheme="majorEastAsia" w:eastAsiaTheme="majorEastAsia" w:cstheme="majorEastAsia"/>
                <w:sz w:val="24"/>
                <w:szCs w:val="24"/>
                <w:lang w:eastAsia="zh-CN"/>
              </w:rPr>
              <w:t>。</w:t>
            </w:r>
          </w:p>
          <w:p>
            <w:pPr>
              <w:pStyle w:val="43"/>
              <w:numPr>
                <w:ilvl w:val="0"/>
                <w:numId w:val="0"/>
              </w:numPr>
              <w:spacing w:line="360" w:lineRule="auto"/>
              <w:jc w:val="both"/>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pPr>
            <w:r>
              <w:rPr>
                <w:rFonts w:hint="eastAsia" w:cs="Times New Roman"/>
                <w:b/>
                <w:bCs/>
                <w:snapToGrid/>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t>、运营期噪声防治措施</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val="en-US" w:eastAsia="zh-CN"/>
              </w:rPr>
              <w:t>项目在选购设备时，选用低噪声设备，变压器符合噪声要求的合格设备，加强运行期机械维护和管理工作，</w:t>
            </w:r>
            <w:r>
              <w:rPr>
                <w:rFonts w:hint="eastAsia" w:ascii="Times New Roman" w:hAnsi="Times New Roman" w:eastAsia="宋体" w:cs="Times New Roman"/>
                <w:color w:val="auto"/>
                <w:sz w:val="24"/>
                <w:highlight w:val="none"/>
                <w:lang w:val="en-US" w:eastAsia="zh-CN"/>
              </w:rPr>
              <w:t>减少</w:t>
            </w:r>
            <w:r>
              <w:rPr>
                <w:rFonts w:hint="default" w:ascii="Times New Roman" w:hAnsi="Times New Roman" w:eastAsia="宋体" w:cs="Times New Roman"/>
                <w:color w:val="auto"/>
                <w:sz w:val="24"/>
                <w:highlight w:val="none"/>
                <w:lang w:val="en-US" w:eastAsia="zh-CN"/>
              </w:rPr>
              <w:t>相关机械因素产生的噪声；</w:t>
            </w:r>
            <w:r>
              <w:rPr>
                <w:rFonts w:hint="eastAsia" w:ascii="Times New Roman" w:hAnsi="Times New Roman" w:eastAsia="宋体" w:cs="Times New Roman"/>
                <w:color w:val="auto"/>
                <w:sz w:val="24"/>
                <w:highlight w:val="none"/>
                <w:lang w:val="en-US" w:eastAsia="zh-CN"/>
              </w:rPr>
              <w:t>定期对设备进行维护，保证设备正常运行。</w:t>
            </w:r>
            <w:r>
              <w:rPr>
                <w:rFonts w:hint="default" w:ascii="Times New Roman" w:hAnsi="Times New Roman" w:eastAsia="宋体" w:cs="Times New Roman"/>
                <w:color w:val="auto"/>
                <w:sz w:val="24"/>
                <w:highlight w:val="none"/>
                <w:lang w:val="en-US" w:eastAsia="zh-CN"/>
              </w:rPr>
              <w:t>本项目区较为空旷，噪声源经过建筑物的隔声降噪处理及距离衰减后，届时厂界噪声可满足《工业企业厂界环境噪声排放标准》</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GB12348-2008</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的2类标准，对区域声环境影响较小。</w:t>
            </w:r>
          </w:p>
          <w:p>
            <w:pPr>
              <w:pStyle w:val="43"/>
              <w:numPr>
                <w:ilvl w:val="0"/>
                <w:numId w:val="0"/>
              </w:numPr>
              <w:spacing w:line="360" w:lineRule="auto"/>
              <w:jc w:val="both"/>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pPr>
            <w:r>
              <w:rPr>
                <w:rFonts w:hint="eastAsia" w:cs="Times New Roman"/>
                <w:b/>
                <w:bCs/>
                <w:snapToGrid/>
                <w:color w:val="000000" w:themeColor="text1"/>
                <w:kern w:val="2"/>
                <w:sz w:val="24"/>
                <w:szCs w:val="24"/>
                <w:lang w:val="en-US" w:eastAsia="zh-CN" w:bidi="ar-SA"/>
                <w14:textFill>
                  <w14:solidFill>
                    <w14:schemeClr w14:val="tx1"/>
                  </w14:solidFill>
                </w14:textFill>
              </w:rPr>
              <w:t>3</w:t>
            </w:r>
            <w:r>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t>、运营期废水防治措施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本工程排水系统经地埋式一体化污水处理设施处理达到排放标准后，排入</w:t>
            </w:r>
            <w:r>
              <w:rPr>
                <w:rFonts w:hint="eastAsia" w:cs="Times New Roman"/>
                <w:color w:val="000000" w:themeColor="text1"/>
                <w:kern w:val="0"/>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00m</w:t>
            </w:r>
            <w:r>
              <w:rPr>
                <w:rFonts w:hint="default" w:ascii="Times New Roman" w:hAnsi="Times New Roman" w:eastAsia="宋体" w:cs="Times New Roman"/>
                <w:color w:val="000000" w:themeColor="text1"/>
                <w:kern w:val="0"/>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 xml:space="preserve">蓄水池。夏季可将蓄水池内的水采用移动式潜水泵抽出用于绿化，冬季将处理过的水储存于蓄水池内。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厂区生活污水处理工艺流程图如下</w:t>
            </w:r>
          </w:p>
          <w:p>
            <w:pPr>
              <w:pStyle w:val="24"/>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drawing>
                <wp:inline distT="0" distB="0" distL="114300" distR="114300">
                  <wp:extent cx="5067300" cy="1463040"/>
                  <wp:effectExtent l="0" t="0" r="7620" b="0"/>
                  <wp:docPr id="5" name="图片 5" descr="微信截图_2023091916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截图_20230919163603"/>
                          <pic:cNvPicPr>
                            <a:picLocks noChangeAspect="1"/>
                          </pic:cNvPicPr>
                        </pic:nvPicPr>
                        <pic:blipFill>
                          <a:blip r:embed="rId22"/>
                          <a:stretch>
                            <a:fillRect/>
                          </a:stretch>
                        </pic:blipFill>
                        <pic:spPr>
                          <a:xfrm>
                            <a:off x="0" y="0"/>
                            <a:ext cx="5067300" cy="1463040"/>
                          </a:xfrm>
                          <a:prstGeom prst="rect">
                            <a:avLst/>
                          </a:prstGeom>
                        </pic:spPr>
                      </pic:pic>
                    </a:graphicData>
                  </a:graphic>
                </wp:inline>
              </w:drawing>
            </w:r>
          </w:p>
          <w:p>
            <w:pPr>
              <w:keepNext w:val="0"/>
              <w:keepLines w:val="0"/>
              <w:widowControl/>
              <w:numPr>
                <w:ilvl w:val="0"/>
                <w:numId w:val="0"/>
              </w:numPr>
              <w:suppressLineNumbers w:val="0"/>
              <w:ind w:left="480" w:leftChars="0"/>
              <w:jc w:val="both"/>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pPr>
            <w:r>
              <w:rPr>
                <w:rFonts w:hint="eastAsia" w:cs="Times New Roman"/>
                <w:b/>
                <w:bCs/>
                <w:snapToGrid/>
                <w:color w:val="000000" w:themeColor="text1"/>
                <w:kern w:val="2"/>
                <w:sz w:val="24"/>
                <w:szCs w:val="24"/>
                <w:lang w:val="en-US" w:eastAsia="zh-CN" w:bidi="ar-SA"/>
                <w14:textFill>
                  <w14:solidFill>
                    <w14:schemeClr w14:val="tx1"/>
                  </w14:solidFill>
                </w14:textFill>
              </w:rPr>
              <w:t>4、</w:t>
            </w:r>
            <w:r>
              <w:rPr>
                <w:rFonts w:hint="default" w:ascii="Times New Roman" w:hAnsi="Times New Roman" w:eastAsia="宋体" w:cs="Times New Roman"/>
                <w:b/>
                <w:bCs/>
                <w:snapToGrid/>
                <w:color w:val="000000" w:themeColor="text1"/>
                <w:kern w:val="2"/>
                <w:sz w:val="24"/>
                <w:szCs w:val="24"/>
                <w:lang w:val="en-US" w:eastAsia="zh-CN" w:bidi="ar-SA"/>
                <w14:textFill>
                  <w14:solidFill>
                    <w14:schemeClr w14:val="tx1"/>
                  </w14:solidFill>
                </w14:textFill>
              </w:rPr>
              <w:t>运营期固体废物防治措施</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cs="Times New Roman"/>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z w:val="24"/>
                <w:szCs w:val="24"/>
                <w:highlight w:val="none"/>
                <w:lang w:val="en-US" w:eastAsia="zh-CN"/>
                <w14:textFill>
                  <w14:solidFill>
                    <w14:schemeClr w14:val="tx1"/>
                  </w14:solidFill>
                </w14:textFill>
              </w:rPr>
              <w:t>4.1生活垃圾</w:t>
            </w:r>
          </w:p>
          <w:p>
            <w:pPr>
              <w:pStyle w:val="14"/>
              <w:ind w:left="0" w:leftChars="0" w:firstLine="480" w:firstLineChars="200"/>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项目生活垃圾年产生量约为3.6t/a,在厂区设置垃圾桶收集，集中收集后委托奇台县环卫部门清运，禁止在厂区随意丢弃。</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4.2废光伏组件</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直接由设备厂家回收。本项目废光伏组件产生量约2t/a，由生产厂商进行更换后回收，不在厂区暂存。</w:t>
            </w:r>
          </w:p>
          <w:p>
            <w:pPr>
              <w:keepNext w:val="0"/>
              <w:keepLines w:val="0"/>
              <w:pageBreakBefore w:val="0"/>
              <w:widowControl w:val="0"/>
              <w:kinsoku/>
              <w:wordWrap w:val="0"/>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4.3</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废电池组件</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本项目运营期产生的废旧电池组件不属于危险废物，产生的废电池组件委托厂家进行回收并置换新电池组件。</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4.4废变压油</w:t>
            </w:r>
          </w:p>
          <w:p>
            <w:pPr>
              <w:pStyle w:val="1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本项目箱式变压器，仅在检修时会产生废变压器油，一般3-5年检修一次，检修周期较长，类比同类项目，本项目按每3年检修一次计算，废变压器油检修一次产生量约为2.1t，平均年产生量为0.7t/a，事故废油属于HW08类废矿物与含矿物油废物，危废代码为900-220-08，统一收集后，暂存在厂区危废暂存间内，并委托有资质单位定期处置。</w:t>
            </w:r>
          </w:p>
          <w:p>
            <w:pPr>
              <w:keepNext w:val="0"/>
              <w:keepLines w:val="0"/>
              <w:pageBreakBefore w:val="0"/>
              <w:widowControl w:val="0"/>
              <w:kinsoku/>
              <w:wordWrap w:val="0"/>
              <w:overflowPunct/>
              <w:topLinePunct w:val="0"/>
              <w:autoSpaceDE/>
              <w:autoSpaceDN/>
              <w:bidi w:val="0"/>
              <w:adjustRightInd/>
              <w:snapToGrid/>
              <w:spacing w:line="360" w:lineRule="auto"/>
              <w:ind w:left="0" w:leftChars="0" w:firstLine="480" w:firstLineChars="200"/>
              <w:jc w:val="left"/>
              <w:textAlignment w:val="auto"/>
              <w:rPr>
                <w:rFonts w:hint="default"/>
                <w:color w:val="000000" w:themeColor="text1"/>
                <w:sz w:val="24"/>
                <w:szCs w:val="24"/>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危废在</w:t>
            </w:r>
            <w:r>
              <w:rPr>
                <w:rFonts w:hint="eastAsia"/>
                <w:color w:val="000000" w:themeColor="text1"/>
                <w:sz w:val="24"/>
                <w:szCs w:val="24"/>
                <w:lang w:eastAsia="zh-CN"/>
                <w14:textFill>
                  <w14:solidFill>
                    <w14:schemeClr w14:val="tx1"/>
                  </w14:solidFill>
                </w14:textFill>
              </w:rPr>
              <w:t>暂存</w:t>
            </w:r>
            <w:r>
              <w:rPr>
                <w:rFonts w:hint="default"/>
                <w:color w:val="000000" w:themeColor="text1"/>
                <w:sz w:val="24"/>
                <w:szCs w:val="24"/>
                <w14:textFill>
                  <w14:solidFill>
                    <w14:schemeClr w14:val="tx1"/>
                  </w14:solidFill>
                </w14:textFill>
              </w:rPr>
              <w:t>期间必须严格按照《危险废物贮存污染控制标准》（GB</w:t>
            </w:r>
            <w:r>
              <w:rPr>
                <w:rFonts w:hint="default" w:ascii="Times New Roman" w:hAnsi="Times New Roman"/>
                <w:color w:val="000000" w:themeColor="text1"/>
                <w:sz w:val="24"/>
                <w:szCs w:val="24"/>
                <w14:textFill>
                  <w14:solidFill>
                    <w14:schemeClr w14:val="tx1"/>
                  </w14:solidFill>
                </w14:textFill>
              </w:rPr>
              <w:t>18597</w:t>
            </w:r>
            <w:r>
              <w:rPr>
                <w:rFonts w:hint="default"/>
                <w:color w:val="000000" w:themeColor="text1"/>
                <w:sz w:val="24"/>
                <w:szCs w:val="24"/>
                <w14:textFill>
                  <w14:solidFill>
                    <w14:schemeClr w14:val="tx1"/>
                  </w14:solidFill>
                </w14:textFill>
              </w:rPr>
              <w:t>-</w:t>
            </w:r>
            <w:r>
              <w:rPr>
                <w:rFonts w:hint="default" w:ascii="Times New Roman" w:hAnsi="Times New Roman"/>
                <w:color w:val="000000" w:themeColor="text1"/>
                <w:sz w:val="24"/>
                <w:szCs w:val="24"/>
                <w14:textFill>
                  <w14:solidFill>
                    <w14:schemeClr w14:val="tx1"/>
                  </w14:solidFill>
                </w14:textFill>
              </w:rPr>
              <w:t>2</w:t>
            </w:r>
            <w:r>
              <w:rPr>
                <w:rFonts w:hint="eastAsia" w:ascii="Times New Roman" w:hAnsi="Times New Roman"/>
                <w:color w:val="000000" w:themeColor="text1"/>
                <w:sz w:val="24"/>
                <w:szCs w:val="24"/>
                <w:lang w:val="en-US" w:eastAsia="zh-CN"/>
                <w14:textFill>
                  <w14:solidFill>
                    <w14:schemeClr w14:val="tx1"/>
                  </w14:solidFill>
                </w14:textFill>
              </w:rPr>
              <w:t>023</w:t>
            </w:r>
            <w:r>
              <w:rPr>
                <w:rFonts w:hint="default"/>
                <w:color w:val="000000" w:themeColor="text1"/>
                <w:sz w:val="24"/>
                <w:szCs w:val="24"/>
                <w14:textFill>
                  <w14:solidFill>
                    <w14:schemeClr w14:val="tx1"/>
                  </w14:solidFill>
                </w14:textFill>
              </w:rPr>
              <w:t>）有关规定执行，将危险废物通过专用容器分类收集，贴上危险废物的标签，于项目所设置的危险废物暂存间内独立存放。危险废物收集容器材质和衬里必须与危险废物相容，危险废物暂存库地面要求渗透系数应满足≤</w:t>
            </w:r>
            <w:r>
              <w:rPr>
                <w:rFonts w:hint="default" w:ascii="Times New Roman" w:hAnsi="Times New Roman"/>
                <w:color w:val="000000" w:themeColor="text1"/>
                <w:sz w:val="24"/>
                <w:szCs w:val="24"/>
                <w14:textFill>
                  <w14:solidFill>
                    <w14:schemeClr w14:val="tx1"/>
                  </w14:solidFill>
                </w14:textFill>
              </w:rPr>
              <w:t>1</w:t>
            </w:r>
            <w:r>
              <w:rPr>
                <w:rFonts w:hint="default"/>
                <w:color w:val="000000" w:themeColor="text1"/>
                <w:sz w:val="24"/>
                <w:szCs w:val="24"/>
                <w14:textFill>
                  <w14:solidFill>
                    <w14:schemeClr w14:val="tx1"/>
                  </w14:solidFill>
                </w14:textFill>
              </w:rPr>
              <w:t>×</w:t>
            </w:r>
            <w:r>
              <w:rPr>
                <w:rFonts w:hint="default" w:ascii="Times New Roman" w:hAnsi="Times New Roman"/>
                <w:color w:val="000000" w:themeColor="text1"/>
                <w:sz w:val="24"/>
                <w:szCs w:val="24"/>
                <w14:textFill>
                  <w14:solidFill>
                    <w14:schemeClr w14:val="tx1"/>
                  </w14:solidFill>
                </w14:textFill>
              </w:rPr>
              <w:t>10</w:t>
            </w:r>
            <w:r>
              <w:rPr>
                <w:rFonts w:hint="default"/>
                <w:color w:val="000000" w:themeColor="text1"/>
                <w:sz w:val="24"/>
                <w:szCs w:val="24"/>
                <w14:textFill>
                  <w14:solidFill>
                    <w14:schemeClr w14:val="tx1"/>
                  </w14:solidFill>
                </w14:textFill>
              </w:rPr>
              <w:t>-</w:t>
            </w:r>
            <w:r>
              <w:rPr>
                <w:rFonts w:hint="default" w:ascii="Times New Roman" w:hAnsi="Times New Roman"/>
                <w:color w:val="000000" w:themeColor="text1"/>
                <w:sz w:val="24"/>
                <w:szCs w:val="24"/>
                <w14:textFill>
                  <w14:solidFill>
                    <w14:schemeClr w14:val="tx1"/>
                  </w14:solidFill>
                </w14:textFill>
              </w:rPr>
              <w:t>10</w:t>
            </w:r>
            <w:r>
              <w:rPr>
                <w:rFonts w:hint="default"/>
                <w:color w:val="000000" w:themeColor="text1"/>
                <w:sz w:val="24"/>
                <w:szCs w:val="24"/>
                <w14:textFill>
                  <w14:solidFill>
                    <w14:schemeClr w14:val="tx1"/>
                  </w14:solidFill>
                </w14:textFill>
              </w:rPr>
              <w:t>cm/s。危废应填写《危险废弃物</w:t>
            </w:r>
            <w:r>
              <w:rPr>
                <w:rFonts w:hint="eastAsia"/>
                <w:color w:val="000000" w:themeColor="text1"/>
                <w:sz w:val="24"/>
                <w:szCs w:val="24"/>
                <w:lang w:val="en-US" w:eastAsia="zh-CN"/>
                <w14:textFill>
                  <w14:solidFill>
                    <w14:schemeClr w14:val="tx1"/>
                  </w14:solidFill>
                </w14:textFill>
              </w:rPr>
              <w:t>贮存环节记录表</w:t>
            </w:r>
            <w:r>
              <w:rPr>
                <w:rFonts w:hint="default"/>
                <w:color w:val="000000" w:themeColor="text1"/>
                <w:sz w:val="24"/>
                <w:szCs w:val="24"/>
                <w14:textFill>
                  <w14:solidFill>
                    <w14:schemeClr w14:val="tx1"/>
                  </w14:solidFill>
                </w14:textFill>
              </w:rPr>
              <w:t>》，严格按照《危险废物贮存污染控制标准》（GB</w:t>
            </w:r>
            <w:r>
              <w:rPr>
                <w:rFonts w:hint="default" w:ascii="Times New Roman" w:hAnsi="Times New Roman"/>
                <w:color w:val="000000" w:themeColor="text1"/>
                <w:sz w:val="24"/>
                <w:szCs w:val="24"/>
                <w14:textFill>
                  <w14:solidFill>
                    <w14:schemeClr w14:val="tx1"/>
                  </w14:solidFill>
                </w14:textFill>
              </w:rPr>
              <w:t>18597</w:t>
            </w:r>
            <w:r>
              <w:rPr>
                <w:rFonts w:hint="default"/>
                <w:color w:val="000000" w:themeColor="text1"/>
                <w:sz w:val="24"/>
                <w:szCs w:val="24"/>
                <w14:textFill>
                  <w14:solidFill>
                    <w14:schemeClr w14:val="tx1"/>
                  </w14:solidFill>
                </w14:textFill>
              </w:rPr>
              <w:t>-</w:t>
            </w:r>
            <w:r>
              <w:rPr>
                <w:rFonts w:hint="default" w:ascii="Times New Roman" w:hAnsi="Times New Roman"/>
                <w:color w:val="000000" w:themeColor="text1"/>
                <w:sz w:val="24"/>
                <w:szCs w:val="24"/>
                <w14:textFill>
                  <w14:solidFill>
                    <w14:schemeClr w14:val="tx1"/>
                  </w14:solidFill>
                </w14:textFill>
              </w:rPr>
              <w:t>20</w:t>
            </w:r>
            <w:r>
              <w:rPr>
                <w:rFonts w:hint="eastAsia" w:ascii="Times New Roman" w:hAnsi="Times New Roman"/>
                <w:color w:val="000000" w:themeColor="text1"/>
                <w:sz w:val="24"/>
                <w:szCs w:val="24"/>
                <w:lang w:val="en-US" w:eastAsia="zh-CN"/>
                <w14:textFill>
                  <w14:solidFill>
                    <w14:schemeClr w14:val="tx1"/>
                  </w14:solidFill>
                </w14:textFill>
              </w:rPr>
              <w:t>23</w:t>
            </w:r>
            <w:r>
              <w:rPr>
                <w:rFonts w:hint="default"/>
                <w:color w:val="000000" w:themeColor="text1"/>
                <w:sz w:val="24"/>
                <w:szCs w:val="24"/>
                <w14:textFill>
                  <w14:solidFill>
                    <w14:schemeClr w14:val="tx1"/>
                  </w14:solidFill>
                </w14:textFill>
              </w:rPr>
              <w:t>）要求执行。按照危险废物特性分类进行收集，按种类分别存放，且不同废物间有明显间隔。</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运营期</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危险</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废物</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运输和转移</w:t>
            </w:r>
          </w:p>
          <w:p>
            <w:pPr>
              <w:pStyle w:val="13"/>
              <w:keepNext w:val="0"/>
              <w:keepLines w:val="0"/>
              <w:pageBreakBefore w:val="0"/>
              <w:widowControl w:val="0"/>
              <w:tabs>
                <w:tab w:val="left" w:pos="6105"/>
              </w:tabs>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对于危险废物的运输和转移，应根据《危险废物收集、贮存</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运输技术规范》</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HJ 2025-2012</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等</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要求做到以下几点：</w:t>
            </w:r>
          </w:p>
          <w:p>
            <w:pPr>
              <w:pStyle w:val="13"/>
              <w:keepNext w:val="0"/>
              <w:keepLines w:val="0"/>
              <w:pageBreakBefore w:val="0"/>
              <w:widowControl w:val="0"/>
              <w:tabs>
                <w:tab w:val="left" w:pos="6105"/>
              </w:tabs>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instrText xml:space="preserve"> = 1 \* GB3 </w:instrTex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①</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对承运人或者接受人的主体资格和技术能力进行核实，依法签订书面合同，并在合同中约定运输、贮存、利用、处置危险废物的污染防治要求及相关责任</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p>
          <w:p>
            <w:pPr>
              <w:pStyle w:val="13"/>
              <w:keepNext w:val="0"/>
              <w:keepLines w:val="0"/>
              <w:pageBreakBefore w:val="0"/>
              <w:widowControl w:val="0"/>
              <w:tabs>
                <w:tab w:val="left" w:pos="6105"/>
              </w:tabs>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instrText xml:space="preserve"> = 2 \* GB3 </w:instrTex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②</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制定危险废物管理计划，明确拟转移危险废物的种类、重量（数量）和流向等信息</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p>
          <w:p>
            <w:pPr>
              <w:pStyle w:val="13"/>
              <w:keepNext w:val="0"/>
              <w:keepLines w:val="0"/>
              <w:pageBreakBefore w:val="0"/>
              <w:widowControl w:val="0"/>
              <w:tabs>
                <w:tab w:val="left" w:pos="6105"/>
              </w:tabs>
              <w:kinsoku/>
              <w:wordWrap/>
              <w:overflowPunct/>
              <w:topLinePunct w:val="0"/>
              <w:autoSpaceDE/>
              <w:autoSpaceDN/>
              <w:bidi w:val="0"/>
              <w:adjustRightInd/>
              <w:snapToGrid w:val="0"/>
              <w:spacing w:after="0" w:line="360" w:lineRule="auto"/>
              <w:ind w:left="0" w:leftChars="0" w:firstLine="480" w:firstLineChars="200"/>
              <w:jc w:val="left"/>
              <w:textAlignment w:val="auto"/>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instrText xml:space="preserve"> = 3 \* GB3 </w:instrTex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③</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建立危险废物管理台账，对转移的危险废物进行计量称重，如实记录、妥善保管转移危险废物的种类、重量（数量）和接受人等相关信息</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p>
          <w:p>
            <w:pPr>
              <w:pStyle w:val="13"/>
              <w:keepNext w:val="0"/>
              <w:keepLines w:val="0"/>
              <w:pageBreakBefore w:val="0"/>
              <w:widowControl w:val="0"/>
              <w:tabs>
                <w:tab w:val="left" w:pos="6105"/>
              </w:tabs>
              <w:kinsoku/>
              <w:wordWrap/>
              <w:overflowPunct/>
              <w:topLinePunct w:val="0"/>
              <w:autoSpaceDE/>
              <w:autoSpaceDN/>
              <w:bidi w:val="0"/>
              <w:adjustRightInd/>
              <w:snapToGrid w:val="0"/>
              <w:spacing w:after="0" w:line="360" w:lineRule="auto"/>
              <w:ind w:left="0" w:leftChars="0" w:firstLine="480" w:firstLineChars="200"/>
              <w:jc w:val="lef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begin"/>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instrText xml:space="preserve"> = 4 \* GB3 </w:instrTex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separate"/>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④</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fldChar w:fldCharType="end"/>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填写、运行危险废物转移联单，在危险废物转移联单中如实填写移出人、承运人、接受人信息，转移危险废物的种类、重量（数量）、危险特性等信息，以及突发环境事件的防范措施等</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p>
          <w:p>
            <w:pPr>
              <w:pStyle w:val="13"/>
              <w:tabs>
                <w:tab w:val="left" w:pos="6105"/>
              </w:tabs>
              <w:snapToGrid w:val="0"/>
              <w:spacing w:after="0" w:line="360" w:lineRule="auto"/>
              <w:ind w:left="0" w:leftChars="0" w:firstLine="480" w:firstLineChars="200"/>
              <w:jc w:val="left"/>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⑤及时核实接受人贮存、利用或者处置相关危险废物情况。</w:t>
            </w:r>
          </w:p>
          <w:p>
            <w:pPr>
              <w:pStyle w:val="14"/>
              <w:spacing w:line="360" w:lineRule="auto"/>
              <w:ind w:left="0" w:leftChars="0" w:firstLine="480" w:firstLineChars="200"/>
              <w:rPr>
                <w:rFonts w:hint="default"/>
                <w:b w:val="0"/>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运营期固体废物的贮存</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default"/>
                <w:color w:val="000000" w:themeColor="text1"/>
                <w:sz w:val="24"/>
                <w:szCs w:val="24"/>
                <w:lang w:val="en-US" w:eastAsia="zh-CN"/>
                <w14:textFill>
                  <w14:solidFill>
                    <w14:schemeClr w14:val="tx1"/>
                  </w14:solidFill>
                </w14:textFill>
              </w:rPr>
            </w:pPr>
            <w:r>
              <w:rPr>
                <w:rFonts w:hint="default"/>
                <w:color w:val="000000" w:themeColor="text1"/>
                <w:sz w:val="24"/>
                <w:szCs w:val="24"/>
                <w:lang w:val="en-US" w:eastAsia="zh-CN"/>
                <w14:textFill>
                  <w14:solidFill>
                    <w14:schemeClr w14:val="tx1"/>
                  </w14:solidFill>
                </w14:textFill>
              </w:rPr>
              <w:t>①</w:t>
            </w:r>
            <w:r>
              <w:rPr>
                <w:rFonts w:hint="eastAsia"/>
                <w:color w:val="000000" w:themeColor="text1"/>
                <w:sz w:val="24"/>
                <w:szCs w:val="24"/>
                <w:lang w:val="en-US" w:eastAsia="zh-CN"/>
                <w14:textFill>
                  <w14:solidFill>
                    <w14:schemeClr w14:val="tx1"/>
                  </w14:solidFill>
                </w14:textFill>
              </w:rPr>
              <w:t>本</w:t>
            </w:r>
            <w:r>
              <w:rPr>
                <w:rFonts w:hint="default"/>
                <w:color w:val="000000" w:themeColor="text1"/>
                <w:sz w:val="24"/>
                <w:szCs w:val="24"/>
                <w:lang w:val="en-US" w:eastAsia="zh-CN"/>
                <w14:textFill>
                  <w14:solidFill>
                    <w14:schemeClr w14:val="tx1"/>
                  </w14:solidFill>
                </w14:textFill>
              </w:rPr>
              <w:t>项目危废暂存间严格按《危险废物贮存污染控制标准》（GBl</w:t>
            </w:r>
            <w:r>
              <w:rPr>
                <w:rFonts w:hint="default" w:ascii="Times New Roman" w:hAnsi="Times New Roman"/>
                <w:color w:val="000000" w:themeColor="text1"/>
                <w:sz w:val="24"/>
                <w:szCs w:val="24"/>
                <w:lang w:val="en-US" w:eastAsia="zh-CN"/>
                <w14:textFill>
                  <w14:solidFill>
                    <w14:schemeClr w14:val="tx1"/>
                  </w14:solidFill>
                </w14:textFill>
              </w:rPr>
              <w:t>8597</w:t>
            </w:r>
            <w:r>
              <w:rPr>
                <w:rFonts w:hint="default"/>
                <w:color w:val="000000" w:themeColor="text1"/>
                <w:sz w:val="24"/>
                <w:szCs w:val="24"/>
                <w:lang w:val="en-US" w:eastAsia="zh-CN"/>
                <w14:textFill>
                  <w14:solidFill>
                    <w14:schemeClr w14:val="tx1"/>
                  </w14:solidFill>
                </w14:textFill>
              </w:rPr>
              <w:t>-</w:t>
            </w:r>
            <w:r>
              <w:rPr>
                <w:rFonts w:hint="default" w:ascii="Times New Roman" w:hAnsi="Times New Roman"/>
                <w:color w:val="000000" w:themeColor="text1"/>
                <w:sz w:val="24"/>
                <w:szCs w:val="24"/>
                <w:lang w:val="en-US" w:eastAsia="zh-CN"/>
                <w14:textFill>
                  <w14:solidFill>
                    <w14:schemeClr w14:val="tx1"/>
                  </w14:solidFill>
                </w14:textFill>
              </w:rPr>
              <w:t>20</w:t>
            </w:r>
            <w:r>
              <w:rPr>
                <w:rFonts w:hint="eastAsia" w:ascii="Times New Roman" w:hAnsi="Times New Roman"/>
                <w:color w:val="000000" w:themeColor="text1"/>
                <w:sz w:val="24"/>
                <w:szCs w:val="24"/>
                <w:lang w:val="en-US" w:eastAsia="zh-CN"/>
                <w14:textFill>
                  <w14:solidFill>
                    <w14:schemeClr w14:val="tx1"/>
                  </w14:solidFill>
                </w14:textFill>
              </w:rPr>
              <w:t>23</w:t>
            </w:r>
            <w:r>
              <w:rPr>
                <w:rFonts w:hint="default"/>
                <w:color w:val="000000" w:themeColor="text1"/>
                <w:sz w:val="24"/>
                <w:szCs w:val="24"/>
                <w:lang w:val="en-US" w:eastAsia="zh-CN"/>
                <w14:textFill>
                  <w14:solidFill>
                    <w14:schemeClr w14:val="tx1"/>
                  </w14:solidFill>
                </w14:textFill>
              </w:rPr>
              <w:t>）危险废物的其他相关规定进行设计建设，</w:t>
            </w:r>
            <w:r>
              <w:rPr>
                <w:rFonts w:hint="default"/>
                <w:color w:val="000000" w:themeColor="text1"/>
                <w:sz w:val="24"/>
                <w:szCs w:val="24"/>
                <w14:textFill>
                  <w14:solidFill>
                    <w14:schemeClr w14:val="tx1"/>
                  </w14:solidFill>
                </w14:textFill>
              </w:rPr>
              <w:t>做到</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四防</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（防风、防雨、防晒、防渗漏），明确防渗措施和渗漏收集措施</w:t>
            </w:r>
            <w:r>
              <w:rPr>
                <w:rFonts w:hint="default"/>
                <w:color w:val="000000" w:themeColor="text1"/>
                <w:sz w:val="24"/>
                <w:szCs w:val="24"/>
                <w:lang w:eastAsia="zh-CN"/>
                <w14:textFill>
                  <w14:solidFill>
                    <w14:schemeClr w14:val="tx1"/>
                  </w14:solidFill>
                </w14:textFill>
              </w:rPr>
              <w:t>。</w:t>
            </w:r>
            <w:r>
              <w:rPr>
                <w:rFonts w:hint="default"/>
                <w:color w:val="000000" w:themeColor="text1"/>
                <w:sz w:val="24"/>
                <w:szCs w:val="24"/>
                <w:lang w:val="en-US" w:eastAsia="zh-CN"/>
                <w14:textFill>
                  <w14:solidFill>
                    <w14:schemeClr w14:val="tx1"/>
                  </w14:solidFill>
                </w14:textFill>
              </w:rPr>
              <w:t>对地面防腐防渗，基础防渗层为至少</w:t>
            </w:r>
            <w:r>
              <w:rPr>
                <w:rFonts w:hint="default" w:ascii="Times New Roman" w:hAnsi="Times New Roman"/>
                <w:color w:val="000000" w:themeColor="text1"/>
                <w:sz w:val="24"/>
                <w:szCs w:val="24"/>
                <w:lang w:val="en-US" w:eastAsia="zh-CN"/>
                <w14:textFill>
                  <w14:solidFill>
                    <w14:schemeClr w14:val="tx1"/>
                  </w14:solidFill>
                </w14:textFill>
              </w:rPr>
              <w:t>1</w:t>
            </w:r>
            <w:r>
              <w:rPr>
                <w:rFonts w:hint="default"/>
                <w:color w:val="000000" w:themeColor="text1"/>
                <w:sz w:val="24"/>
                <w:szCs w:val="24"/>
                <w:lang w:val="en-US" w:eastAsia="zh-CN"/>
                <w14:textFill>
                  <w14:solidFill>
                    <w14:schemeClr w14:val="tx1"/>
                  </w14:solidFill>
                </w14:textFill>
              </w:rPr>
              <w:t>m厚粘土层（渗透系数≤</w:t>
            </w:r>
            <w:r>
              <w:rPr>
                <w:rFonts w:hint="default" w:ascii="Times New Roman" w:hAnsi="Times New Roman"/>
                <w:color w:val="000000" w:themeColor="text1"/>
                <w:sz w:val="24"/>
                <w:szCs w:val="24"/>
                <w:lang w:val="en-US" w:eastAsia="zh-CN"/>
                <w14:textFill>
                  <w14:solidFill>
                    <w14:schemeClr w14:val="tx1"/>
                  </w14:solidFill>
                </w14:textFill>
              </w:rPr>
              <w:t>10</w:t>
            </w:r>
            <w:r>
              <w:rPr>
                <w:rFonts w:hint="default"/>
                <w:color w:val="000000" w:themeColor="text1"/>
                <w:sz w:val="24"/>
                <w:szCs w:val="24"/>
                <w:lang w:val="en-US" w:eastAsia="zh-CN"/>
                <w14:textFill>
                  <w14:solidFill>
                    <w14:schemeClr w14:val="tx1"/>
                  </w14:solidFill>
                </w14:textFill>
              </w:rPr>
              <w:t>-</w:t>
            </w:r>
            <w:r>
              <w:rPr>
                <w:rFonts w:hint="default" w:ascii="Times New Roman" w:hAnsi="Times New Roman"/>
                <w:color w:val="000000" w:themeColor="text1"/>
                <w:sz w:val="24"/>
                <w:szCs w:val="24"/>
                <w:lang w:val="en-US" w:eastAsia="zh-CN"/>
                <w14:textFill>
                  <w14:solidFill>
                    <w14:schemeClr w14:val="tx1"/>
                  </w14:solidFill>
                </w14:textFill>
              </w:rPr>
              <w:t>7</w:t>
            </w:r>
            <w:r>
              <w:rPr>
                <w:rFonts w:hint="default"/>
                <w:color w:val="000000" w:themeColor="text1"/>
                <w:sz w:val="24"/>
                <w:szCs w:val="24"/>
                <w:lang w:val="en-US" w:eastAsia="zh-CN"/>
                <w14:textFill>
                  <w14:solidFill>
                    <w14:schemeClr w14:val="tx1"/>
                  </w14:solidFill>
                </w14:textFill>
              </w:rPr>
              <w:t>cm/s）或</w:t>
            </w:r>
            <w:r>
              <w:rPr>
                <w:rFonts w:hint="default" w:ascii="Times New Roman" w:hAnsi="Times New Roman"/>
                <w:color w:val="000000" w:themeColor="text1"/>
                <w:sz w:val="24"/>
                <w:szCs w:val="24"/>
                <w:lang w:val="en-US" w:eastAsia="zh-CN"/>
                <w14:textFill>
                  <w14:solidFill>
                    <w14:schemeClr w14:val="tx1"/>
                  </w14:solidFill>
                </w14:textFill>
              </w:rPr>
              <w:t>2</w:t>
            </w:r>
            <w:r>
              <w:rPr>
                <w:rFonts w:hint="default"/>
                <w:color w:val="000000" w:themeColor="text1"/>
                <w:sz w:val="24"/>
                <w:szCs w:val="24"/>
                <w:lang w:val="en-US" w:eastAsia="zh-CN"/>
                <w14:textFill>
                  <w14:solidFill>
                    <w14:schemeClr w14:val="tx1"/>
                  </w14:solidFill>
                </w14:textFill>
              </w:rPr>
              <w:t>mm厚高密度聚乙烯，或至少</w:t>
            </w:r>
            <w:r>
              <w:rPr>
                <w:rFonts w:hint="default" w:ascii="Times New Roman" w:hAnsi="Times New Roman"/>
                <w:color w:val="000000" w:themeColor="text1"/>
                <w:sz w:val="24"/>
                <w:szCs w:val="24"/>
                <w:lang w:val="en-US" w:eastAsia="zh-CN"/>
                <w14:textFill>
                  <w14:solidFill>
                    <w14:schemeClr w14:val="tx1"/>
                  </w14:solidFill>
                </w14:textFill>
              </w:rPr>
              <w:t>2</w:t>
            </w:r>
            <w:r>
              <w:rPr>
                <w:rFonts w:hint="default"/>
                <w:color w:val="000000" w:themeColor="text1"/>
                <w:sz w:val="24"/>
                <w:szCs w:val="24"/>
                <w:lang w:val="en-US" w:eastAsia="zh-CN"/>
                <w14:textFill>
                  <w14:solidFill>
                    <w14:schemeClr w14:val="tx1"/>
                  </w14:solidFill>
                </w14:textFill>
              </w:rPr>
              <w:t>mm厚的其他人工材料（渗透系数≤</w:t>
            </w:r>
            <w:r>
              <w:rPr>
                <w:rFonts w:hint="default" w:ascii="Times New Roman" w:hAnsi="Times New Roman"/>
                <w:color w:val="000000" w:themeColor="text1"/>
                <w:sz w:val="24"/>
                <w:szCs w:val="24"/>
                <w:lang w:val="en-US" w:eastAsia="zh-CN"/>
                <w14:textFill>
                  <w14:solidFill>
                    <w14:schemeClr w14:val="tx1"/>
                  </w14:solidFill>
                </w14:textFill>
              </w:rPr>
              <w:t>10</w:t>
            </w:r>
            <w:r>
              <w:rPr>
                <w:rFonts w:hint="default"/>
                <w:color w:val="000000" w:themeColor="text1"/>
                <w:sz w:val="24"/>
                <w:szCs w:val="24"/>
                <w:lang w:val="en-US" w:eastAsia="zh-CN"/>
                <w14:textFill>
                  <w14:solidFill>
                    <w14:schemeClr w14:val="tx1"/>
                  </w14:solidFill>
                </w14:textFill>
              </w:rPr>
              <w:t>-</w:t>
            </w:r>
            <w:r>
              <w:rPr>
                <w:rFonts w:hint="default" w:ascii="Times New Roman" w:hAnsi="Times New Roman"/>
                <w:color w:val="000000" w:themeColor="text1"/>
                <w:sz w:val="24"/>
                <w:szCs w:val="24"/>
                <w:lang w:val="en-US" w:eastAsia="zh-CN"/>
                <w14:textFill>
                  <w14:solidFill>
                    <w14:schemeClr w14:val="tx1"/>
                  </w14:solidFill>
                </w14:textFill>
              </w:rPr>
              <w:t>10</w:t>
            </w:r>
            <w:r>
              <w:rPr>
                <w:rFonts w:hint="default"/>
                <w:color w:val="000000" w:themeColor="text1"/>
                <w:sz w:val="24"/>
                <w:szCs w:val="24"/>
                <w:lang w:val="en-US" w:eastAsia="zh-CN"/>
                <w14:textFill>
                  <w14:solidFill>
                    <w14:schemeClr w14:val="tx1"/>
                  </w14:solidFill>
                </w14:textFill>
              </w:rPr>
              <w:t>cm/s）。设有围堰、应急事故池等可收集泄露的液态危险废物。</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②危险废物单独分类收集、存放管理</w:t>
            </w:r>
            <w:r>
              <w:rPr>
                <w:rFonts w:hint="eastAsia"/>
                <w:color w:val="000000" w:themeColor="text1"/>
                <w:sz w:val="24"/>
                <w:szCs w:val="24"/>
                <w:lang w:eastAsia="zh-CN"/>
                <w14:textFill>
                  <w14:solidFill>
                    <w14:schemeClr w14:val="tx1"/>
                  </w14:solidFill>
                </w14:textFill>
              </w:rPr>
              <w:t>。</w:t>
            </w:r>
            <w:r>
              <w:rPr>
                <w:rFonts w:hint="default"/>
                <w:color w:val="000000" w:themeColor="text1"/>
                <w:sz w:val="24"/>
                <w:szCs w:val="24"/>
                <w:lang w:val="en-US" w:eastAsia="zh-CN"/>
                <w14:textFill>
                  <w14:solidFill>
                    <w14:schemeClr w14:val="tx1"/>
                  </w14:solidFill>
                </w14:textFill>
              </w:rPr>
              <w:t>对危险废物的容器或包装物以及收集、贮存、运输危险废物的设施、场所，必须设置危险废物醒目的警示标志。</w:t>
            </w:r>
            <w:r>
              <w:rPr>
                <w:rFonts w:hint="default"/>
                <w:color w:val="000000" w:themeColor="text1"/>
                <w:sz w:val="24"/>
                <w:szCs w:val="24"/>
                <w14:textFill>
                  <w14:solidFill>
                    <w14:schemeClr w14:val="tx1"/>
                  </w14:solidFill>
                </w14:textFill>
              </w:rPr>
              <w:t>危险废物盛装容器上粘贴清晰易辨的标签，储罐上应粘贴</w:t>
            </w:r>
            <w:r>
              <w:rPr>
                <w:rFonts w:hint="eastAsia"/>
                <w:color w:val="000000" w:themeColor="text1"/>
                <w:sz w:val="24"/>
                <w:szCs w:val="24"/>
                <w:lang w:val="en-US" w:eastAsia="zh-CN"/>
                <w14:textFill>
                  <w14:solidFill>
                    <w14:schemeClr w14:val="tx1"/>
                  </w14:solidFill>
                </w14:textFill>
              </w:rPr>
              <w:t>危险废物标识</w:t>
            </w:r>
            <w:r>
              <w:rPr>
                <w:rFonts w:hint="default"/>
                <w:color w:val="000000" w:themeColor="text1"/>
                <w:sz w:val="24"/>
                <w:szCs w:val="24"/>
                <w14:textFill>
                  <w14:solidFill>
                    <w14:schemeClr w14:val="tx1"/>
                  </w14:solidFill>
                </w14:textFill>
              </w:rPr>
              <w:t>标签，并注明危险废物的来源、数量等；</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③对危险废物的出入流动做好记录；</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④不同类危险废物容器之间留有间隔和搬运通道；</w:t>
            </w:r>
          </w:p>
          <w:p>
            <w:pPr>
              <w:keepNext w:val="0"/>
              <w:keepLines w:val="0"/>
              <w:pageBreakBefore w:val="0"/>
              <w:tabs>
                <w:tab w:val="left" w:pos="195"/>
              </w:tabs>
              <w:kinsoku/>
              <w:wordWrap/>
              <w:overflowPunct/>
              <w:topLinePunct w:val="0"/>
              <w:autoSpaceDE/>
              <w:autoSpaceDN/>
              <w:bidi w:val="0"/>
              <w:adjustRightInd/>
              <w:snapToGrid/>
              <w:spacing w:line="360" w:lineRule="auto"/>
              <w:ind w:leftChars="0" w:firstLine="480" w:firstLineChars="200"/>
              <w:textAlignment w:val="auto"/>
              <w:rPr>
                <w:rFonts w:hint="default"/>
                <w:color w:val="000000" w:themeColor="text1"/>
                <w:sz w:val="24"/>
                <w:szCs w:val="24"/>
                <w14:textFill>
                  <w14:solidFill>
                    <w14:schemeClr w14:val="tx1"/>
                  </w14:solidFill>
                </w14:textFill>
              </w:rPr>
            </w:pPr>
            <w:r>
              <w:rPr>
                <w:rFonts w:hint="default"/>
                <w:color w:val="000000" w:themeColor="text1"/>
                <w:sz w:val="24"/>
                <w:szCs w:val="24"/>
                <w14:textFill>
                  <w14:solidFill>
                    <w14:schemeClr w14:val="tx1"/>
                  </w14:solidFill>
                </w14:textFill>
              </w:rPr>
              <w:t>⑤配备消防设备和报警装置。</w:t>
            </w:r>
          </w:p>
          <w:p>
            <w:pPr>
              <w:pStyle w:val="2"/>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⑥</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项目危废间应根据《环境保护图形标志固体废物贮存（处置）场》中有关规定，设置国家环保局统一制作的环境保护图形标志牌。</w:t>
            </w:r>
          </w:p>
          <w:p>
            <w:pPr>
              <w:keepNext w:val="0"/>
              <w:keepLines w:val="0"/>
              <w:pageBreakBefore w:val="0"/>
              <w:shd w:val="clear" w:color="auto" w:fill="auto"/>
              <w:tabs>
                <w:tab w:val="center" w:pos="4736"/>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4.5</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运营期固体废物的</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防渗</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措施</w:t>
            </w:r>
          </w:p>
          <w:p>
            <w:pPr>
              <w:keepNext w:val="0"/>
              <w:keepLines w:val="0"/>
              <w:pageBreakBefore w:val="0"/>
              <w:shd w:val="clear" w:color="auto" w:fill="auto"/>
              <w:tabs>
                <w:tab w:val="center" w:pos="4736"/>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为了进一步降低废液渗入地下对地下水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及土壤</w:t>
            </w:r>
            <w:r>
              <w:rPr>
                <w:rFonts w:hint="default" w:ascii="Times New Roman" w:hAnsi="Times New Roman" w:eastAsia="宋体" w:cs="Times New Roman"/>
                <w:color w:val="000000" w:themeColor="text1"/>
                <w:sz w:val="24"/>
                <w:szCs w:val="24"/>
                <w14:textFill>
                  <w14:solidFill>
                    <w14:schemeClr w14:val="tx1"/>
                  </w14:solidFill>
                </w14:textFill>
              </w:rPr>
              <w:t>产生影响，建议建设单位采取下列措施：</w:t>
            </w:r>
          </w:p>
          <w:p>
            <w:pPr>
              <w:keepNext w:val="0"/>
              <w:keepLines w:val="0"/>
              <w:pageBreakBefore w:val="0"/>
              <w:shd w:val="clear" w:color="auto" w:fill="auto"/>
              <w:tabs>
                <w:tab w:val="center" w:pos="4736"/>
              </w:tabs>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（1）制定危险废物贮存库定期巡检制度，每天由专人负责对危险废物包装桶进行检查，如果发现有泄漏情况，立即报告相关领导，更换新的包装桶。</w:t>
            </w:r>
          </w:p>
          <w:p>
            <w:pPr>
              <w:keepNext w:val="0"/>
              <w:keepLines w:val="0"/>
              <w:pageBreakBefore w:val="0"/>
              <w:shd w:val="clear" w:color="auto" w:fill="auto"/>
              <w:tabs>
                <w:tab w:val="center" w:pos="4736"/>
              </w:tabs>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（2）源头控制措施：项目危险废物的装卸、暂存过程中，检查收集桶密封情况，防止危险废物跑、冒、滴、漏。</w:t>
            </w:r>
          </w:p>
          <w:p>
            <w:pPr>
              <w:keepNext w:val="0"/>
              <w:keepLines w:val="0"/>
              <w:pageBreakBefore w:val="0"/>
              <w:shd w:val="clear" w:color="auto" w:fill="auto"/>
              <w:tabs>
                <w:tab w:val="center" w:pos="4736"/>
              </w:tabs>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（3）地面防渗措施：</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地面涂刷环氧树脂漆，防止少量固态或液态废物遗撒地面，短期不会渗透腐蚀地面，可用沙土、抹布吸附处理。</w:t>
            </w:r>
            <w:r>
              <w:rPr>
                <w:rFonts w:hint="eastAsia" w:asciiTheme="minorEastAsia" w:hAnsiTheme="minorEastAsia" w:eastAsiaTheme="minorEastAsia" w:cstheme="minorEastAsia"/>
                <w:color w:val="000000" w:themeColor="text1"/>
                <w:sz w:val="24"/>
                <w:szCs w:val="24"/>
                <w14:textFill>
                  <w14:solidFill>
                    <w14:schemeClr w14:val="tx1"/>
                  </w14:solidFill>
                </w14:textFill>
              </w:rPr>
              <w:t>定期</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检查，</w:t>
            </w:r>
            <w:r>
              <w:rPr>
                <w:rFonts w:hint="eastAsia" w:asciiTheme="minorEastAsia" w:hAnsiTheme="minorEastAsia" w:eastAsiaTheme="minorEastAsia" w:cstheme="minorEastAsia"/>
                <w:color w:val="000000" w:themeColor="text1"/>
                <w:sz w:val="24"/>
                <w:szCs w:val="24"/>
                <w14:textFill>
                  <w14:solidFill>
                    <w14:schemeClr w14:val="tx1"/>
                  </w14:solidFill>
                </w14:textFill>
              </w:rPr>
              <w:t>防止危险废物的跑、冒、滴、漏，将污染物的环境风险事故降到最低。</w:t>
            </w:r>
          </w:p>
          <w:p>
            <w:pPr>
              <w:keepNext w:val="0"/>
              <w:keepLines w:val="0"/>
              <w:pageBreakBefore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（4）加强厂内危险废物管理、环境风险事故处置能力，及时清运危险废物，缩短危险废物厂内储存时间。</w:t>
            </w:r>
          </w:p>
          <w:p>
            <w:pPr>
              <w:keepNext w:val="0"/>
              <w:keepLines w:val="0"/>
              <w:pageBreakBefore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（5）分区防控措施</w:t>
            </w:r>
          </w:p>
          <w:p>
            <w:pPr>
              <w:keepNext w:val="0"/>
              <w:keepLines w:val="0"/>
              <w:pageBreakBefore w:val="0"/>
              <w:shd w:val="clear" w:color="auto" w:fill="auto"/>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为防止贮存过程中跑、冒、滴、漏的物料腐蚀地面，污染物入渗污染地下水，应对危废间进行分区防渗处理。具体如下</w:t>
            </w:r>
            <w:r>
              <w:rPr>
                <w:rFonts w:hint="default" w:ascii="Times New Roman" w:hAnsi="Times New Roman" w:eastAsia="宋体" w:cs="Times New Roman"/>
                <w:color w:val="000000" w:themeColor="text1"/>
                <w:sz w:val="24"/>
                <w:szCs w:val="24"/>
                <w14:textFill>
                  <w14:solidFill>
                    <w14:schemeClr w14:val="tx1"/>
                  </w14:solidFill>
                </w14:textFill>
              </w:rPr>
              <w:t>。</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①根据污染区通过各种途径可能进入地下水环境的各种有毒有害原辅材料、产品的泄漏量及其他各类污染物的性质、产生和排放量，将危废间进一步分为重点污染防治区；</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②重点污染防治区参照《危险废物填埋污染控制标准》制定防渗设计方案。本项目危险废物暂存间地面防渗情况详见表</w:t>
            </w:r>
            <w:r>
              <w:rPr>
                <w:rFonts w:hint="eastAsia" w:cs="Times New Roman"/>
                <w:color w:val="000000" w:themeColor="text1"/>
                <w:sz w:val="24"/>
                <w:szCs w:val="24"/>
                <w:lang w:val="en-US" w:eastAsia="zh-CN"/>
                <w14:textFill>
                  <w14:solidFill>
                    <w14:schemeClr w14:val="tx1"/>
                  </w14:solidFill>
                </w14:textFill>
              </w:rPr>
              <w:t>5-1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pPr>
              <w:pStyle w:val="25"/>
              <w:shd w:val="clear" w:color="auto" w:fill="auto"/>
              <w:spacing w:line="240" w:lineRule="auto"/>
              <w:jc w:val="center"/>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t>表</w:t>
            </w:r>
            <w:r>
              <w:rPr>
                <w:rFonts w:hint="eastAsia" w:cs="Times New Roman"/>
                <w:b/>
                <w:bCs w:val="0"/>
                <w:color w:val="000000" w:themeColor="text1"/>
                <w:sz w:val="21"/>
                <w:szCs w:val="21"/>
                <w:lang w:val="en-US" w:eastAsia="zh-CN"/>
                <w14:textFill>
                  <w14:solidFill>
                    <w14:schemeClr w14:val="tx1"/>
                  </w14:solidFill>
                </w14:textFill>
              </w:rPr>
              <w:t>5-1</w:t>
            </w:r>
            <w:r>
              <w:rPr>
                <w:rFonts w:hint="default" w:ascii="Times New Roman" w:hAnsi="Times New Roman" w:eastAsia="宋体" w:cs="Times New Roman"/>
                <w:b/>
                <w:bCs w:val="0"/>
                <w:color w:val="000000" w:themeColor="text1"/>
                <w:sz w:val="21"/>
                <w:szCs w:val="21"/>
                <w:lang w:val="en-US" w:eastAsia="zh-CN"/>
                <w14:textFill>
                  <w14:solidFill>
                    <w14:schemeClr w14:val="tx1"/>
                  </w14:solidFill>
                </w14:textFill>
              </w:rPr>
              <w:t xml:space="preserve">    防渗措施一览表</w:t>
            </w:r>
          </w:p>
          <w:tbl>
            <w:tblPr>
              <w:tblStyle w:val="36"/>
              <w:tblW w:w="825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3315"/>
              <w:gridCol w:w="33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87" w:type="dxa"/>
                  <w:tcBorders>
                    <w:bottom w:val="single" w:color="auto" w:sz="12" w:space="0"/>
                  </w:tcBorders>
                  <w:noWrap w:val="0"/>
                  <w:vAlign w:val="center"/>
                </w:tcPr>
                <w:p>
                  <w:pPr>
                    <w:pStyle w:val="25"/>
                    <w:keepNext w:val="0"/>
                    <w:keepLines w:val="0"/>
                    <w:pageBreakBefore w:val="0"/>
                    <w:widowControl w:val="0"/>
                    <w:shd w:val="clear" w:color="auto" w:fill="auto"/>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名称</w:t>
                  </w:r>
                </w:p>
              </w:tc>
              <w:tc>
                <w:tcPr>
                  <w:tcW w:w="3315" w:type="dxa"/>
                  <w:tcBorders>
                    <w:bottom w:val="single" w:color="auto" w:sz="12" w:space="0"/>
                  </w:tcBorders>
                  <w:noWrap w:val="0"/>
                  <w:vAlign w:val="center"/>
                </w:tcPr>
                <w:p>
                  <w:pPr>
                    <w:pStyle w:val="25"/>
                    <w:keepNext w:val="0"/>
                    <w:keepLines w:val="0"/>
                    <w:pageBreakBefore w:val="0"/>
                    <w:widowControl w:val="0"/>
                    <w:shd w:val="clear" w:color="auto" w:fill="auto"/>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范围</w:t>
                  </w:r>
                </w:p>
              </w:tc>
              <w:tc>
                <w:tcPr>
                  <w:tcW w:w="3354" w:type="dxa"/>
                  <w:tcBorders>
                    <w:bottom w:val="single" w:color="auto" w:sz="12" w:space="0"/>
                  </w:tcBorders>
                  <w:noWrap w:val="0"/>
                  <w:vAlign w:val="center"/>
                </w:tcPr>
                <w:p>
                  <w:pPr>
                    <w:pStyle w:val="25"/>
                    <w:keepNext w:val="0"/>
                    <w:keepLines w:val="0"/>
                    <w:pageBreakBefore w:val="0"/>
                    <w:widowControl w:val="0"/>
                    <w:shd w:val="clear" w:color="auto" w:fill="auto"/>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87" w:type="dxa"/>
                  <w:tcBorders>
                    <w:top w:val="single" w:color="auto" w:sz="12" w:space="0"/>
                  </w:tcBorders>
                  <w:noWrap w:val="0"/>
                  <w:vAlign w:val="center"/>
                </w:tcPr>
                <w:p>
                  <w:pPr>
                    <w:pStyle w:val="25"/>
                    <w:keepNext w:val="0"/>
                    <w:keepLines w:val="0"/>
                    <w:pageBreakBefore w:val="0"/>
                    <w:widowControl w:val="0"/>
                    <w:shd w:val="clear" w:color="auto" w:fill="auto"/>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重点防渗区</w:t>
                  </w:r>
                </w:p>
              </w:tc>
              <w:tc>
                <w:tcPr>
                  <w:tcW w:w="3315" w:type="dxa"/>
                  <w:tcBorders>
                    <w:top w:val="single" w:color="auto" w:sz="12" w:space="0"/>
                  </w:tcBorders>
                  <w:noWrap w:val="0"/>
                  <w:vAlign w:val="center"/>
                </w:tcPr>
                <w:p>
                  <w:pPr>
                    <w:pStyle w:val="25"/>
                    <w:keepNext w:val="0"/>
                    <w:keepLines w:val="0"/>
                    <w:pageBreakBefore w:val="0"/>
                    <w:widowControl w:val="0"/>
                    <w:shd w:val="clear" w:color="auto" w:fill="auto"/>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危险废物贮存区域地面、墙裙、装卸区、事故收集池、导流沟等</w:t>
                  </w:r>
                </w:p>
              </w:tc>
              <w:tc>
                <w:tcPr>
                  <w:tcW w:w="3354" w:type="dxa"/>
                  <w:tcBorders>
                    <w:top w:val="single" w:color="auto" w:sz="12" w:space="0"/>
                  </w:tcBorders>
                  <w:noWrap w:val="0"/>
                  <w:vAlign w:val="center"/>
                </w:tcPr>
                <w:p>
                  <w:pPr>
                    <w:keepNext w:val="0"/>
                    <w:keepLines w:val="0"/>
                    <w:widowControl/>
                    <w:suppressLineNumbers w:val="0"/>
                    <w:shd w:val="clear" w:color="auto" w:fill="auto"/>
                    <w:spacing w:line="240" w:lineRule="auto"/>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混凝土防渗，渗透系数≤10-10cm/s</w:t>
                  </w:r>
                </w:p>
              </w:tc>
            </w:tr>
          </w:tbl>
          <w:p>
            <w:pPr>
              <w:keepNext w:val="0"/>
              <w:keepLines w:val="0"/>
              <w:pageBreakBefore w:val="0"/>
              <w:widowControl w:val="0"/>
              <w:shd w:val="clear" w:color="auto" w:fill="auto"/>
              <w:kinsoku/>
              <w:wordWrap/>
              <w:overflowPunct/>
              <w:topLinePunct w:val="0"/>
              <w:autoSpaceDE/>
              <w:autoSpaceDN/>
              <w:bidi w:val="0"/>
              <w:spacing w:line="360" w:lineRule="auto"/>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防渗设计要求：</w:t>
            </w:r>
          </w:p>
          <w:p>
            <w:pPr>
              <w:keepNext w:val="0"/>
              <w:keepLines w:val="0"/>
              <w:pageBreakBefore w:val="0"/>
              <w:widowControl w:val="0"/>
              <w:shd w:val="clear" w:color="auto" w:fill="auto"/>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①整个贮存区采用10cm粘土铺底、上铺15~20cm的水泥进行硬化、再铺环氧树脂地坪，防渗层渗透系数≤10-10cm/s，场区地面设计一定的坡度，坡向</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应急收集池。</w:t>
            </w:r>
          </w:p>
          <w:p>
            <w:pPr>
              <w:keepNext w:val="0"/>
              <w:keepLines w:val="0"/>
              <w:pageBreakBefore w:val="0"/>
              <w:widowControl w:val="0"/>
              <w:shd w:val="clear" w:color="auto" w:fill="auto"/>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②危险废物泄漏采用工程设置的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应急收集</w:t>
            </w:r>
            <w:r>
              <w:rPr>
                <w:rFonts w:hint="default" w:ascii="Times New Roman" w:hAnsi="Times New Roman" w:eastAsia="宋体" w:cs="Times New Roman"/>
                <w:color w:val="000000" w:themeColor="text1"/>
                <w:sz w:val="24"/>
                <w:szCs w:val="24"/>
                <w14:textFill>
                  <w14:solidFill>
                    <w14:schemeClr w14:val="tx1"/>
                  </w14:solidFill>
                </w14:textFill>
              </w:rPr>
              <w:t>池进行收集。</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应急收集</w:t>
            </w:r>
            <w:r>
              <w:rPr>
                <w:rFonts w:hint="default" w:ascii="Times New Roman" w:hAnsi="Times New Roman" w:eastAsia="宋体" w:cs="Times New Roman"/>
                <w:color w:val="000000" w:themeColor="text1"/>
                <w:sz w:val="24"/>
                <w:szCs w:val="24"/>
                <w14:textFill>
                  <w14:solidFill>
                    <w14:schemeClr w14:val="tx1"/>
                  </w14:solidFill>
                </w14:textFill>
              </w:rPr>
              <w:t>池进行防渗、防腐处理，池底部及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四</w:t>
            </w:r>
            <w:r>
              <w:rPr>
                <w:rFonts w:hint="default" w:ascii="Times New Roman" w:hAnsi="Times New Roman" w:eastAsia="宋体" w:cs="Times New Roman"/>
                <w:color w:val="000000" w:themeColor="text1"/>
                <w:sz w:val="24"/>
                <w:szCs w:val="24"/>
                <w14:textFill>
                  <w14:solidFill>
                    <w14:schemeClr w14:val="tx1"/>
                  </w14:solidFill>
                </w14:textFill>
              </w:rPr>
              <w:t>壁做好防渗处理，防渗层渗漏系数均小于10-10cm/s。</w:t>
            </w:r>
          </w:p>
          <w:p>
            <w:pPr>
              <w:pStyle w:val="43"/>
              <w:numPr>
                <w:ilvl w:val="0"/>
                <w:numId w:val="0"/>
              </w:numPr>
              <w:spacing w:line="360" w:lineRule="auto"/>
              <w:ind w:firstLine="480" w:firstLineChars="200"/>
              <w:jc w:val="both"/>
              <w:rPr>
                <w:rFonts w:hint="eastAsia" w:ascii="Times New Roman" w:hAnsi="Times New Roman" w:eastAsia="宋体" w:cs="Times New Roman"/>
                <w:color w:val="000000" w:themeColor="text1"/>
                <w:sz w:val="24"/>
                <w:highlight w:val="none"/>
                <w:lang w:eastAsia="zh-CN" w:bidi="ar"/>
                <w14:textFill>
                  <w14:solidFill>
                    <w14:schemeClr w14:val="tx1"/>
                  </w14:solidFill>
                </w14:textFill>
              </w:rPr>
            </w:pPr>
            <w:r>
              <w:rPr>
                <w:rFonts w:hint="default" w:ascii="Times New Roman" w:hAnsi="Times New Roman" w:cs="Times New Roman"/>
                <w:color w:val="000000" w:themeColor="text1"/>
                <w:sz w:val="24"/>
                <w:highlight w:val="none"/>
                <w:lang w:bidi="ar"/>
                <w14:textFill>
                  <w14:solidFill>
                    <w14:schemeClr w14:val="tx1"/>
                  </w14:solidFill>
                </w14:textFill>
              </w:rPr>
              <w:t>综上所述，项目固体废弃物处理符合《一般工业固体废物贮存和填埋污染控制标准》（GB18599--2020）和《危险废物贮存污染控制标准》（GB18597－20</w:t>
            </w:r>
            <w:r>
              <w:rPr>
                <w:rFonts w:hint="eastAsia" w:cs="Times New Roman"/>
                <w:color w:val="000000" w:themeColor="text1"/>
                <w:sz w:val="24"/>
                <w:highlight w:val="none"/>
                <w:lang w:val="en-US" w:eastAsia="zh-CN" w:bidi="ar"/>
                <w14:textFill>
                  <w14:solidFill>
                    <w14:schemeClr w14:val="tx1"/>
                  </w14:solidFill>
                </w14:textFill>
              </w:rPr>
              <w:t>23</w:t>
            </w:r>
            <w:r>
              <w:rPr>
                <w:rFonts w:hint="default" w:ascii="Times New Roman" w:hAnsi="Times New Roman" w:cs="Times New Roman"/>
                <w:color w:val="000000" w:themeColor="text1"/>
                <w:sz w:val="24"/>
                <w:highlight w:val="none"/>
                <w:lang w:bidi="ar"/>
                <w14:textFill>
                  <w14:solidFill>
                    <w14:schemeClr w14:val="tx1"/>
                  </w14:solidFill>
                </w14:textFill>
              </w:rPr>
              <w:t>）的标准要求，对周围环境影响较小</w:t>
            </w:r>
            <w:r>
              <w:rPr>
                <w:rFonts w:hint="eastAsia" w:cs="Times New Roman"/>
                <w:color w:val="000000" w:themeColor="text1"/>
                <w:sz w:val="24"/>
                <w:highlight w:val="none"/>
                <w:lang w:eastAsia="zh-CN" w:bidi="ar"/>
                <w14:textFill>
                  <w14:solidFill>
                    <w14:schemeClr w14:val="tx1"/>
                  </w14:solidFill>
                </w14:textFill>
              </w:rPr>
              <w:t>。</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5.运营期光污染防治措施</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FF"/>
                <w:sz w:val="24"/>
                <w:highlight w:val="none"/>
                <w:lang w:val="en-US" w:eastAsia="zh-CN"/>
              </w:rPr>
            </w:pPr>
            <w:r>
              <w:rPr>
                <w:rFonts w:hint="eastAsia" w:ascii="宋体" w:hAnsi="宋体" w:eastAsia="宋体" w:cs="宋体"/>
                <w:color w:val="0000FF"/>
                <w:sz w:val="24"/>
                <w:highlight w:val="none"/>
                <w:lang w:val="en-US" w:eastAsia="zh-CN"/>
              </w:rPr>
              <w:t>本项目组件最外层均为特种钢化玻璃，除具有坚固、耐风霜雨雪、能经受砂砾冰雹的冲击等优点外，其吸光率极高，可达 98%以上。根据现行国家标准《玻璃幕墙光学性能》（GB/T18091-2000）相关规定，在城市主干道、立交桥、高架桥两侧设立的玻璃幕墙，应采用反射比小于0.16的低辐射玻璃。依据此标准，光伏阵列的反射光极少，根据调查，本项目周边5km范围内无交通要道，不会影响交通安全。项目不会对周边环境产生严重干扰，不会影响交通安全。另外，建议建设单位于进入本项目进站道路入口处架设警示牌，提醒驾驶人员减速慢行，防止受到反射光的影响而造成交通事故。</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highlight w:val="none"/>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环境风险分析</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6.1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火灾、爆炸事故影响分析</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变压器油发生火灾、爆炸事故后对环境空气影响的主要污染物为一氧化碳和非甲烷总烃。一氧化碳可在血中与血红蛋白结合从而造成组织缺氧，轻度中毒者出现头痛、头晕、耳鸣、心悸、恶心、呕吐、无力；中度中毒者除上述症状外，还有脉快、烦躁、步态不稳、意识模糊、昏迷；重度患者昏迷不醒、瞳孔缩小、肌张力增加，频繁抽搐、大小便失禁等；深度中毒可致死。非甲烷总烃是指存在于环境中除甲烷以外C</w:t>
            </w:r>
            <w:r>
              <w:rPr>
                <w:rFonts w:hint="eastAsia"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～C</w:t>
            </w:r>
            <w:r>
              <w:rPr>
                <w:rFonts w:hint="eastAsia"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12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碳氢化合物的总称，包括烯烃、芳香烃、炔烃和含氧烃等，其中一些饱和脂肪烃能够对外围神经系统造成永久性损伤，非甲烷总烃的存在有助于形成光化学烟雾。</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由于变压器油量较小，以及事故发生时及时疏散周围人员并采取其他相关应急处置措施，因此废气对周围环境的影响较小。</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6.2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变压器油泄露影响分析</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FF"/>
                <w:sz w:val="24"/>
                <w:highlight w:val="none"/>
                <w:lang w:val="en-US" w:eastAsia="zh-CN"/>
              </w:rPr>
            </w:pPr>
            <w:r>
              <w:rPr>
                <w:rFonts w:hint="eastAsia" w:ascii="宋体" w:hAnsi="宋体" w:eastAsia="宋体" w:cs="宋体"/>
                <w:color w:val="0000FF"/>
                <w:sz w:val="24"/>
                <w:szCs w:val="24"/>
                <w:highlight w:val="none"/>
              </w:rPr>
              <w:t>光伏电站运营期正常情况下，变压器无漏油产生，事故时排出的油</w:t>
            </w:r>
            <w:r>
              <w:rPr>
                <w:rFonts w:hint="eastAsia" w:ascii="宋体" w:hAnsi="宋体" w:eastAsia="宋体" w:cs="宋体"/>
                <w:color w:val="0000FF"/>
                <w:kern w:val="0"/>
                <w:sz w:val="24"/>
                <w:szCs w:val="24"/>
                <w:highlight w:val="none"/>
                <w:lang w:val="en-US" w:eastAsia="zh-CN"/>
              </w:rPr>
              <w:t>流入</w:t>
            </w:r>
            <w:r>
              <w:rPr>
                <w:rFonts w:hint="eastAsia" w:ascii="宋体" w:hAnsi="宋体" w:eastAsia="宋体" w:cs="宋体"/>
                <w:color w:val="0000FF"/>
                <w:kern w:val="0"/>
                <w:sz w:val="24"/>
                <w:szCs w:val="24"/>
                <w:highlight w:val="none"/>
              </w:rPr>
              <w:t>事故油池，然后将收集的废变压器油暂存于专</w:t>
            </w:r>
            <w:r>
              <w:rPr>
                <w:rFonts w:hint="eastAsia" w:ascii="宋体" w:hAnsi="宋体" w:eastAsia="宋体" w:cs="宋体"/>
                <w:color w:val="0000FF"/>
                <w:kern w:val="0"/>
                <w:sz w:val="24"/>
                <w:szCs w:val="24"/>
                <w:highlight w:val="none"/>
                <w:lang w:val="en-US" w:eastAsia="zh-CN"/>
              </w:rPr>
              <w:t>用</w:t>
            </w:r>
            <w:r>
              <w:rPr>
                <w:rFonts w:hint="eastAsia" w:ascii="宋体" w:hAnsi="宋体" w:eastAsia="宋体" w:cs="宋体"/>
                <w:color w:val="0000FF"/>
                <w:kern w:val="0"/>
                <w:sz w:val="24"/>
                <w:szCs w:val="24"/>
                <w:highlight w:val="none"/>
              </w:rPr>
              <w:t>容器内，委托有资质单位处理</w:t>
            </w:r>
            <w:r>
              <w:rPr>
                <w:rFonts w:hint="eastAsia" w:ascii="宋体" w:hAnsi="宋体" w:eastAsia="宋体" w:cs="宋体"/>
                <w:color w:val="0000FF"/>
                <w:sz w:val="24"/>
                <w:szCs w:val="24"/>
                <w:highlight w:val="none"/>
              </w:rPr>
              <w:t>，不外排。</w:t>
            </w:r>
            <w:r>
              <w:rPr>
                <w:rFonts w:hint="eastAsia" w:ascii="宋体" w:hAnsi="宋体" w:eastAsia="宋体" w:cs="宋体"/>
                <w:color w:val="0000FF"/>
                <w:sz w:val="24"/>
                <w:highlight w:val="none"/>
                <w:lang w:val="en-US" w:eastAsia="zh-CN"/>
              </w:rPr>
              <w:t>当变压器油发生泄露，变压器油则在土壤内部由于重力作用沿垂直方向向地下渗透，排除地质灾害等因素外，变压器油一般情况下不会冒出地表形成地面扩散。由于变压器油黏度和凝固点较高，且流动性较差，加上土壤对变压器油具有很强的截流能力，因此泄露的变压器油很难向土壤深层迁移。此时影响变压器油污染范围的因素有泄露量、存留时间及环境温度等。</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FF"/>
                <w:sz w:val="24"/>
                <w:highlight w:val="none"/>
                <w:lang w:val="en-US" w:eastAsia="zh-CN"/>
              </w:rPr>
            </w:pPr>
            <w:r>
              <w:rPr>
                <w:rFonts w:hint="eastAsia" w:ascii="宋体" w:hAnsi="宋体" w:eastAsia="宋体" w:cs="宋体"/>
                <w:color w:val="0000FF"/>
                <w:sz w:val="24"/>
                <w:highlight w:val="none"/>
                <w:lang w:val="en-US" w:eastAsia="zh-CN"/>
              </w:rPr>
              <w:t>泄露变压器油对土壤理化性质的影响可以用pH值、总盐量、总碱度等三项指标来说明。据已有的试验和监测资料表明，受到污染的农田和正常农田土壤中的pH值、总盐量、总碱度无明显的差别，即变压器油污染对土壤的理化性质的影响不大，但由于变压器油是粘稠大分子物质，覆盖表土或渗入土壤后，将堵塞土壤孔隙，使土壤板结，通透性变差，从而造成土壤长期处于缺氧还原状态，土壤养分释放慢，不能满足作物生长发育的需要而致其死亡。</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FF"/>
                <w:sz w:val="24"/>
                <w:highlight w:val="none"/>
                <w:lang w:val="en-US" w:eastAsia="zh-CN"/>
              </w:rPr>
            </w:pPr>
            <w:r>
              <w:rPr>
                <w:rFonts w:hint="eastAsia" w:ascii="宋体" w:hAnsi="宋体" w:eastAsia="宋体" w:cs="宋体"/>
                <w:color w:val="0000FF"/>
                <w:sz w:val="24"/>
                <w:highlight w:val="none"/>
                <w:lang w:val="en-US" w:eastAsia="zh-CN"/>
              </w:rPr>
              <w:t>此外，变压器油一旦泄露进入地下水，会导致地下水中石油类含量严重超标，水质破坏，将使地下水产生严重异味，并具有较强的致畸致癌性，根本无法饮用。</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宋体" w:hAnsi="宋体" w:eastAsia="宋体" w:cs="宋体"/>
                <w:color w:val="0000FF"/>
                <w:sz w:val="24"/>
                <w:highlight w:val="none"/>
                <w:lang w:val="en-US" w:eastAsia="zh-CN"/>
              </w:rPr>
            </w:pPr>
            <w:r>
              <w:rPr>
                <w:rFonts w:hint="eastAsia" w:ascii="宋体" w:hAnsi="宋体" w:eastAsia="宋体" w:cs="宋体"/>
                <w:color w:val="0000FF"/>
                <w:sz w:val="24"/>
                <w:highlight w:val="none"/>
                <w:lang w:val="en-US" w:eastAsia="zh-CN"/>
              </w:rPr>
              <w:t>一般情况下，发生事故而泄露于地表的变压器油数量有限，并积极实施紧急预案，处理得当对周围环境影响可得到有效的控制。</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 w:val="0"/>
                <w:bCs w:val="0"/>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highlight w:val="none"/>
                <w:lang w:val="en-US" w:eastAsia="zh-CN"/>
                <w14:textFill>
                  <w14:solidFill>
                    <w14:schemeClr w14:val="tx1"/>
                  </w14:solidFill>
                </w14:textFill>
              </w:rPr>
              <w:t>6.3环境风险防范措施</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由于环境风险具有突发性和破坏性（有时体现为灾难性）的特点，所以必须采取有效措施加以防范，加强控制和管理，杜绝、减轻和避免环境风险。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(1)防火</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①</w:t>
            </w:r>
            <w:r>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t>制定安全生产方针、政策、计划和各种规范，完善安全管理制度和安全操作规程，建立健全环境管理体系和监测体系，完善各种规章制度标准；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②道路采用混凝土路面，路面宽度设计保证消防车辆顺利通过。通往进站主干道路两侧增设人行道。</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③在电缆沟工程中的工艺路线设计过程中，考虑相应的技术及安全要求，防止人为因素造成火灾发生。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④在各电器控制装置设计中，有火灾危险的场所设置事故照明设施，对防雷建构筑物采取相应的避雷措施防击雷电引发的火灾；按规范要求对有防火防爆要求的生产场所配置相应的电气设备和灯具，并在重要场所设置火灾报警装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kern w:val="0"/>
                <w:sz w:val="24"/>
                <w:szCs w:val="24"/>
                <w:lang w:val="en-US" w:eastAsia="zh-CN" w:bidi="ar"/>
                <w14:textFill>
                  <w14:solidFill>
                    <w14:schemeClr w14:val="tx1"/>
                  </w14:solidFill>
                </w14:textFill>
              </w:rPr>
              <w:t>⑤各防火分区及各主要控制室墙体均采用非燃烧体材料，各重要防火区隔墙门采用防火门。</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t>⑥建立施工质量保证体系，加强监理和检验手段，提高施工检验人员的水平，确保施工质量；</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t xml:space="preserve">⑦操作人员管每周应进行安全活动，提高职工的安全意识，识别事故发生前的异常状态，并采取相应的措施； </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highlight w:val="none"/>
                <w:lang w:val="en-US" w:eastAsia="zh-CN"/>
                <w14:textFill>
                  <w14:solidFill>
                    <w14:schemeClr w14:val="tx1"/>
                  </w14:solidFill>
                </w14:textFill>
              </w:rPr>
              <w:t>⑧在项目投产运行前，应制定出正常、异常或紧急状态下的操作手册和维修手册，并对操作、维修人员进行培训，持证上岗，避免因严重操作失误而造成的事故；</w:t>
            </w:r>
          </w:p>
          <w:p>
            <w:pPr>
              <w:keepNext w:val="0"/>
              <w:keepLines w:val="0"/>
              <w:pageBreakBefore w:val="0"/>
              <w:widowControl w:val="0"/>
              <w:kinsoku/>
              <w:wordWrap w:val="0"/>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sz w:val="24"/>
                <w:highlight w:val="none"/>
                <w:lang w:val="en-US" w:eastAsia="zh-CN"/>
                <w14:textFill>
                  <w14:solidFill>
                    <w14:schemeClr w14:val="tx1"/>
                  </w14:solidFill>
                </w14:textFill>
              </w:rPr>
              <w:t>6.4</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环境风险管理要求</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（1）建立台账，转入及转出（处置、自利用）需要填写危废种类、数量、时间及负责人员姓名。</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（2）针对本项目产生的危废，环评要求严格按照《危险废物贮存污染控制标准》（GB18597-2</w:t>
            </w:r>
            <w:r>
              <w:rPr>
                <w:rFonts w:hint="eastAsia" w:ascii="Times New Roman" w:hAnsi="Times New Roman" w:cs="Times New Roman"/>
                <w:color w:val="000000" w:themeColor="text1"/>
                <w:sz w:val="24"/>
                <w:highlight w:val="none"/>
                <w:lang w:val="en-US" w:eastAsia="zh-CN"/>
                <w14:textFill>
                  <w14:solidFill>
                    <w14:schemeClr w14:val="tx1"/>
                  </w14:solidFill>
                </w14:textFill>
              </w:rPr>
              <w:t>023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）相关要求对其进行贮存及转移</w:t>
            </w:r>
            <w:r>
              <w:rPr>
                <w:rFonts w:hint="eastAsia" w:cs="Times New Roman"/>
                <w:color w:val="000000" w:themeColor="text1"/>
                <w:sz w:val="24"/>
                <w:highlight w:val="none"/>
                <w:lang w:val="en-US" w:eastAsia="zh-CN"/>
                <w14:textFill>
                  <w14:solidFill>
                    <w14:schemeClr w14:val="tx1"/>
                  </w14:solidFill>
                </w14:textFill>
              </w:rPr>
              <w:t>运输</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重大事故时泄露的变压器油以及受污染的土壤需尽快清理完成，防止污染地下水。同时建议更新新鲜土壤，并大量培养植被，不仅能做到对生态的修复，植被可以增加土壤中的有机质含量，促进土壤的恢复。</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综上分析项目风险事故可控，通过设变压器油泄漏事故池，并防渗处理，不会对周边土壤及地下水产生影响。</w:t>
            </w:r>
          </w:p>
          <w:p>
            <w:pPr>
              <w:adjustRightInd w:val="0"/>
              <w:snapToGrid w:val="0"/>
              <w:spacing w:line="360" w:lineRule="auto"/>
              <w:rPr>
                <w:rFonts w:hint="default"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bCs/>
                <w:color w:val="000000" w:themeColor="text1"/>
                <w:sz w:val="24"/>
                <w:lang w:val="en-US" w:eastAsia="zh-CN"/>
                <w14:textFill>
                  <w14:solidFill>
                    <w14:schemeClr w14:val="tx1"/>
                  </w14:solidFill>
                </w14:textFill>
              </w:rPr>
              <w:t>7</w:t>
            </w:r>
            <w:r>
              <w:rPr>
                <w:rFonts w:hint="default" w:ascii="Times New Roman" w:hAnsi="Times New Roman" w:cs="Times New Roman"/>
                <w:b/>
                <w:bCs/>
                <w:color w:val="000000" w:themeColor="text1"/>
                <w:sz w:val="24"/>
                <w:lang w:val="en-US" w:eastAsia="zh-CN"/>
                <w14:textFill>
                  <w14:solidFill>
                    <w14:schemeClr w14:val="tx1"/>
                  </w14:solidFill>
                </w14:textFill>
              </w:rPr>
              <w:t>.</w:t>
            </w:r>
            <w:r>
              <w:rPr>
                <w:rFonts w:hint="default" w:ascii="Times New Roman" w:hAnsi="Times New Roman" w:cs="Times New Roman"/>
                <w:b/>
                <w:bCs/>
                <w:color w:val="000000" w:themeColor="text1"/>
                <w:sz w:val="24"/>
                <w14:textFill>
                  <w14:solidFill>
                    <w14:schemeClr w14:val="tx1"/>
                  </w14:solidFill>
                </w14:textFill>
              </w:rPr>
              <w:t>运营期环境保护措施及预期效果</w:t>
            </w:r>
          </w:p>
          <w:p>
            <w:pPr>
              <w:adjustRightInd w:val="0"/>
              <w:snapToGrid w:val="0"/>
              <w:spacing w:line="360" w:lineRule="auto"/>
              <w:ind w:firstLine="480" w:firstLineChars="200"/>
              <w:jc w:val="left"/>
              <w:rPr>
                <w:rFonts w:hint="eastAsia"/>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运营期主要环境保护措施及预期效果详见表5-2。</w:t>
            </w:r>
          </w:p>
          <w:p>
            <w:pPr>
              <w:pStyle w:val="45"/>
              <w:bidi w:val="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表5-2          运营期环境保护措施及预期效果一览表</w:t>
            </w:r>
          </w:p>
          <w:tbl>
            <w:tblPr>
              <w:tblStyle w:val="35"/>
              <w:tblW w:w="853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8"/>
              <w:gridCol w:w="2111"/>
              <w:gridCol w:w="680"/>
              <w:gridCol w:w="880"/>
              <w:gridCol w:w="1060"/>
              <w:gridCol w:w="1140"/>
              <w:gridCol w:w="1837"/>
              <w:gridCol w:w="2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236" w:type="dxa"/>
              </w:trPr>
              <w:tc>
                <w:tcPr>
                  <w:tcW w:w="588" w:type="dxa"/>
                  <w:tcBorders>
                    <w:bottom w:val="single" w:color="auto" w:sz="12" w:space="0"/>
                  </w:tcBorders>
                  <w:noWrap w:val="0"/>
                  <w:vAlign w:val="center"/>
                </w:tcPr>
                <w:p>
                  <w:pPr>
                    <w:adjustRightInd w:val="0"/>
                    <w:snapToGrid w:val="0"/>
                    <w:ind w:left="0" w:leftChars="0" w:firstLine="0" w:firstLineChars="0"/>
                    <w:jc w:val="both"/>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序号</w:t>
                  </w:r>
                </w:p>
              </w:tc>
              <w:tc>
                <w:tcPr>
                  <w:tcW w:w="2111" w:type="dxa"/>
                  <w:tcBorders>
                    <w:bottom w:val="single" w:color="auto" w:sz="12" w:space="0"/>
                  </w:tcBorders>
                  <w:noWrap w:val="0"/>
                  <w:vAlign w:val="center"/>
                </w:tcPr>
                <w:p>
                  <w:pPr>
                    <w:adjustRightInd w:val="0"/>
                    <w:snapToGrid w:val="0"/>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生态保护措施要求</w:t>
                  </w:r>
                </w:p>
              </w:tc>
              <w:tc>
                <w:tcPr>
                  <w:tcW w:w="680" w:type="dxa"/>
                  <w:tcBorders>
                    <w:bottom w:val="single" w:color="auto" w:sz="12" w:space="0"/>
                  </w:tcBorders>
                  <w:noWrap w:val="0"/>
                  <w:vAlign w:val="center"/>
                </w:tcPr>
                <w:p>
                  <w:pPr>
                    <w:adjustRightInd w:val="0"/>
                    <w:snapToGrid w:val="0"/>
                    <w:ind w:left="0" w:leftChars="0" w:firstLine="0" w:firstLineChars="0"/>
                    <w:jc w:val="both"/>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实施部位</w:t>
                  </w:r>
                </w:p>
              </w:tc>
              <w:tc>
                <w:tcPr>
                  <w:tcW w:w="880" w:type="dxa"/>
                  <w:tcBorders>
                    <w:bottom w:val="single" w:color="auto" w:sz="12" w:space="0"/>
                  </w:tcBorders>
                  <w:noWrap w:val="0"/>
                  <w:vAlign w:val="center"/>
                </w:tcPr>
                <w:p>
                  <w:pPr>
                    <w:adjustRightInd w:val="0"/>
                    <w:snapToGrid w:val="0"/>
                    <w:ind w:left="0" w:leftChars="0" w:firstLine="0" w:firstLineChars="0"/>
                    <w:jc w:val="both"/>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实施时间</w:t>
                  </w:r>
                </w:p>
              </w:tc>
              <w:tc>
                <w:tcPr>
                  <w:tcW w:w="1060" w:type="dxa"/>
                  <w:tcBorders>
                    <w:bottom w:val="single" w:color="auto" w:sz="12" w:space="0"/>
                  </w:tcBorders>
                  <w:noWrap w:val="0"/>
                  <w:vAlign w:val="center"/>
                </w:tcPr>
                <w:p>
                  <w:pPr>
                    <w:adjustRightInd w:val="0"/>
                    <w:snapToGrid w:val="0"/>
                    <w:ind w:left="0" w:leftChars="0" w:firstLine="0" w:firstLineChars="0"/>
                    <w:jc w:val="both"/>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责任主体</w:t>
                  </w:r>
                </w:p>
              </w:tc>
              <w:tc>
                <w:tcPr>
                  <w:tcW w:w="1140" w:type="dxa"/>
                  <w:tcBorders>
                    <w:bottom w:val="single" w:color="auto" w:sz="12" w:space="0"/>
                  </w:tcBorders>
                  <w:noWrap w:val="0"/>
                  <w:vAlign w:val="center"/>
                </w:tcPr>
                <w:p>
                  <w:pPr>
                    <w:adjustRightInd w:val="0"/>
                    <w:snapToGrid w:val="0"/>
                    <w:ind w:left="0" w:leftChars="0" w:firstLine="0" w:firstLineChars="0"/>
                    <w:jc w:val="both"/>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实施保障</w:t>
                  </w:r>
                </w:p>
              </w:tc>
              <w:tc>
                <w:tcPr>
                  <w:tcW w:w="1837" w:type="dxa"/>
                  <w:tcBorders>
                    <w:bottom w:val="single" w:color="auto" w:sz="12" w:space="0"/>
                  </w:tcBorders>
                  <w:noWrap w:val="0"/>
                  <w:vAlign w:val="center"/>
                </w:tcPr>
                <w:p>
                  <w:pPr>
                    <w:adjustRightInd w:val="0"/>
                    <w:snapToGrid w:val="0"/>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实施效果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236" w:type="dxa"/>
                <w:trHeight w:val="548" w:hRule="atLeast"/>
              </w:trPr>
              <w:tc>
                <w:tcPr>
                  <w:tcW w:w="588" w:type="dxa"/>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1</w:t>
                  </w:r>
                </w:p>
              </w:tc>
              <w:tc>
                <w:tcPr>
                  <w:tcW w:w="2111" w:type="dxa"/>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在基础施工完毕后，应按设计要求立即对基础周边开挖部分进行平整夯实；施工结束后，及时清理施工现场</w:t>
                  </w:r>
                </w:p>
              </w:tc>
              <w:tc>
                <w:tcPr>
                  <w:tcW w:w="680" w:type="dxa"/>
                  <w:vMerge w:val="restart"/>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lang w:val="en-US" w:eastAsia="zh-CN"/>
                      <w14:textFill>
                        <w14:solidFill>
                          <w14:schemeClr w14:val="tx1"/>
                        </w14:solidFill>
                      </w14:textFill>
                    </w:rPr>
                    <w:t>项目区域</w:t>
                  </w:r>
                </w:p>
              </w:tc>
              <w:tc>
                <w:tcPr>
                  <w:tcW w:w="880" w:type="dxa"/>
                  <w:vMerge w:val="restart"/>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运营期</w:t>
                  </w:r>
                </w:p>
              </w:tc>
              <w:tc>
                <w:tcPr>
                  <w:tcW w:w="1060" w:type="dxa"/>
                  <w:vMerge w:val="restart"/>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建设单位</w:t>
                  </w:r>
                </w:p>
              </w:tc>
              <w:tc>
                <w:tcPr>
                  <w:tcW w:w="1140" w:type="dxa"/>
                  <w:vMerge w:val="restart"/>
                  <w:tcBorders>
                    <w:top w:val="single" w:color="auto" w:sz="12" w:space="0"/>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①建立环境管理机构，配备专职或兼职环保管理人员；</w:t>
                  </w:r>
                </w:p>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②制定相关方环境管理条例、质量管理</w:t>
                  </w:r>
                  <w:r>
                    <w:rPr>
                      <w:rFonts w:hint="eastAsia" w:asciiTheme="minorEastAsia" w:hAnsiTheme="minorEastAsia" w:eastAsiaTheme="minorEastAsia" w:cstheme="minorEastAsia"/>
                      <w:color w:val="000000" w:themeColor="text1"/>
                      <w:kern w:val="0"/>
                      <w:sz w:val="21"/>
                      <w:szCs w:val="21"/>
                      <w:lang w:eastAsia="zh-CN"/>
                      <w14:textFill>
                        <w14:solidFill>
                          <w14:schemeClr w14:val="tx1"/>
                        </w14:solidFill>
                      </w14:textFill>
                    </w:rPr>
                    <w:t>、</w:t>
                  </w:r>
                  <w:r>
                    <w:rPr>
                      <w:rFonts w:hint="eastAsia" w:asciiTheme="minorEastAsia" w:hAnsiTheme="minorEastAsia" w:eastAsiaTheme="minorEastAsia" w:cstheme="minorEastAsia"/>
                      <w:color w:val="000000" w:themeColor="text1"/>
                      <w:kern w:val="0"/>
                      <w:sz w:val="21"/>
                      <w:szCs w:val="21"/>
                      <w:lang w:val="en-US" w:eastAsia="zh-CN"/>
                      <w14:textFill>
                        <w14:solidFill>
                          <w14:schemeClr w14:val="tx1"/>
                        </w14:solidFill>
                      </w14:textFill>
                    </w:rPr>
                    <w:t>环境监理制度</w:t>
                  </w:r>
                  <w:r>
                    <w:rPr>
                      <w:rFonts w:hint="eastAsia" w:asciiTheme="minorEastAsia" w:hAnsiTheme="minorEastAsia" w:eastAsiaTheme="minorEastAsia" w:cstheme="minorEastAsia"/>
                      <w:color w:val="000000" w:themeColor="text1"/>
                      <w:kern w:val="0"/>
                      <w:sz w:val="21"/>
                      <w:szCs w:val="21"/>
                      <w14:textFill>
                        <w14:solidFill>
                          <w14:schemeClr w14:val="tx1"/>
                        </w14:solidFill>
                      </w14:textFill>
                    </w:rPr>
                    <w:t>；</w:t>
                  </w:r>
                </w:p>
                <w:p>
                  <w:pPr>
                    <w:adjustRightInd w:val="0"/>
                    <w:snapToGrid w:val="0"/>
                    <w:spacing w:line="240" w:lineRule="auto"/>
                    <w:jc w:val="center"/>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p>
              </w:tc>
              <w:tc>
                <w:tcPr>
                  <w:tcW w:w="1837" w:type="dxa"/>
                  <w:tcBorders>
                    <w:top w:val="single" w:color="auto" w:sz="12" w:space="0"/>
                    <w:tl2br w:val="nil"/>
                    <w:tr2bl w:val="nil"/>
                  </w:tcBorders>
                  <w:noWrap w:val="0"/>
                  <w:vAlign w:val="center"/>
                </w:tcPr>
                <w:p>
                  <w:pPr>
                    <w:adjustRightInd w:val="0"/>
                    <w:snapToGrid w:val="0"/>
                    <w:spacing w:line="240" w:lineRule="auto"/>
                    <w:jc w:val="both"/>
                    <w:rPr>
                      <w:rFonts w:hint="eastAsia" w:asciiTheme="minorEastAsia" w:hAnsiTheme="minorEastAsia" w:eastAsiaTheme="minorEastAsia" w:cstheme="minorEastAsia"/>
                      <w:color w:val="000000" w:themeColor="text1"/>
                      <w:kern w:val="0"/>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建设项目对周边生态环境影响可得到有效减缓。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236" w:type="dxa"/>
                <w:trHeight w:val="690" w:hRule="atLeast"/>
              </w:trPr>
              <w:tc>
                <w:tcPr>
                  <w:tcW w:w="588"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2</w:t>
                  </w:r>
                </w:p>
              </w:tc>
              <w:tc>
                <w:tcPr>
                  <w:tcW w:w="2111"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进行临时占地时的迹地恢复</w:t>
                  </w:r>
                </w:p>
              </w:tc>
              <w:tc>
                <w:tcPr>
                  <w:tcW w:w="6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8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06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14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837"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恢复原有地貌和生态现状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236" w:type="dxa"/>
                <w:trHeight w:val="796" w:hRule="atLeast"/>
              </w:trPr>
              <w:tc>
                <w:tcPr>
                  <w:tcW w:w="588"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3</w:t>
                  </w:r>
                </w:p>
              </w:tc>
              <w:tc>
                <w:tcPr>
                  <w:tcW w:w="2111" w:type="dxa"/>
                  <w:tcBorders>
                    <w:tl2br w:val="nil"/>
                    <w:tr2bl w:val="nil"/>
                  </w:tcBorders>
                  <w:noWrap w:val="0"/>
                  <w:vAlign w:val="center"/>
                </w:tcPr>
                <w:p>
                  <w:pPr>
                    <w:adjustRightInd w:val="0"/>
                    <w:snapToGrid w:val="0"/>
                    <w:spacing w:line="240" w:lineRule="auto"/>
                    <w:ind w:left="0" w:leftChars="0" w:firstLine="0" w:firstLineChars="0"/>
                    <w:jc w:val="left"/>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生活污水经地埋式一体化污水处理设备处理后冬储夏灌</w:t>
                  </w:r>
                </w:p>
              </w:tc>
              <w:tc>
                <w:tcPr>
                  <w:tcW w:w="6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8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06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14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1837"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达标后用于厂区绿化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65" w:hRule="atLeast"/>
              </w:trPr>
              <w:tc>
                <w:tcPr>
                  <w:tcW w:w="588"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4</w:t>
                  </w:r>
                </w:p>
              </w:tc>
              <w:tc>
                <w:tcPr>
                  <w:tcW w:w="2111"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选用低噪声设备，加强设备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日常保养和维护</w:t>
                  </w:r>
                </w:p>
              </w:tc>
              <w:tc>
                <w:tcPr>
                  <w:tcW w:w="6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8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06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14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837"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运行时</w:t>
                  </w: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厂界</w:t>
                  </w:r>
                  <w:r>
                    <w:rPr>
                      <w:rFonts w:hint="eastAsia" w:asciiTheme="minorEastAsia" w:hAnsiTheme="minorEastAsia" w:eastAsiaTheme="minorEastAsia" w:cstheme="minorEastAsia"/>
                      <w:color w:val="000000" w:themeColor="text1"/>
                      <w:sz w:val="21"/>
                      <w:szCs w:val="21"/>
                      <w14:textFill>
                        <w14:solidFill>
                          <w14:schemeClr w14:val="tx1"/>
                        </w14:solidFill>
                      </w14:textFill>
                    </w:rPr>
                    <w:t>声环境符合《声环境质量标准》(GB3096-2008)中的2类标准。</w:t>
                  </w:r>
                </w:p>
              </w:tc>
              <w:tc>
                <w:tcPr>
                  <w:tcW w:w="236"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65" w:hRule="atLeast"/>
              </w:trPr>
              <w:tc>
                <w:tcPr>
                  <w:tcW w:w="588" w:type="dxa"/>
                  <w:tcBorders>
                    <w:tl2br w:val="nil"/>
                    <w:tr2bl w:val="nil"/>
                  </w:tcBorders>
                  <w:noWrap w:val="0"/>
                  <w:vAlign w:val="center"/>
                </w:tcPr>
                <w:p>
                  <w:pPr>
                    <w:adjustRightInd w:val="0"/>
                    <w:snapToGrid w:val="0"/>
                    <w:spacing w:line="240" w:lineRule="auto"/>
                    <w:ind w:left="0" w:leftChars="0" w:firstLine="0" w:firstLineChars="0"/>
                    <w:jc w:val="both"/>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5</w:t>
                  </w:r>
                </w:p>
              </w:tc>
              <w:tc>
                <w:tcPr>
                  <w:tcW w:w="2111" w:type="dxa"/>
                  <w:tcBorders>
                    <w:tl2br w:val="nil"/>
                    <w:tr2bl w:val="nil"/>
                  </w:tcBorders>
                  <w:noWrap w:val="0"/>
                  <w:vAlign w:val="center"/>
                </w:tcPr>
                <w:p>
                  <w:pPr>
                    <w:adjustRightInd w:val="0"/>
                    <w:snapToGrid w:val="0"/>
                    <w:spacing w:line="240" w:lineRule="auto"/>
                    <w:ind w:left="0" w:leftChars="0" w:firstLine="0" w:firstLineChars="0"/>
                    <w:jc w:val="both"/>
                    <w:rPr>
                      <w:rFonts w:hint="default"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生活垃圾集中收集，由环卫部门清运；废光伏组件由生产厂商进行更换后回收，不在厂区暂存。废电池组件委托厂家进行回收并置换新电池组件。危险废物废变压器油暂存危废间，委托有资质单位处置</w:t>
                  </w:r>
                </w:p>
              </w:tc>
              <w:tc>
                <w:tcPr>
                  <w:tcW w:w="6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88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06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140" w:type="dxa"/>
                  <w:vMerge w:val="continue"/>
                  <w:tcBorders>
                    <w:tl2br w:val="nil"/>
                    <w:tr2bl w:val="nil"/>
                  </w:tcBorders>
                  <w:noWrap w:val="0"/>
                  <w:vAlign w:val="center"/>
                </w:tcPr>
                <w:p>
                  <w:pPr>
                    <w:adjustRightInd w:val="0"/>
                    <w:snapToGrid w:val="0"/>
                    <w:spacing w:line="240" w:lineRule="auto"/>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p>
              </w:tc>
              <w:tc>
                <w:tcPr>
                  <w:tcW w:w="1837" w:type="dxa"/>
                  <w:tcBorders>
                    <w:tl2br w:val="nil"/>
                    <w:tr2bl w:val="nil"/>
                  </w:tcBorders>
                  <w:noWrap w:val="0"/>
                  <w:vAlign w:val="center"/>
                </w:tcPr>
                <w:p>
                  <w:pPr>
                    <w:adjustRightInd w:val="0"/>
                    <w:snapToGrid w:val="0"/>
                    <w:spacing w:line="240" w:lineRule="auto"/>
                    <w:ind w:left="0" w:leftChars="0" w:firstLine="0" w:firstLineChars="0"/>
                    <w:jc w:val="left"/>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default" w:asciiTheme="minorEastAsia" w:hAnsiTheme="minorEastAsia" w:eastAsiaTheme="minorEastAsia" w:cstheme="minorEastAsia"/>
                      <w:color w:val="000000" w:themeColor="text1"/>
                      <w:sz w:val="21"/>
                      <w:szCs w:val="21"/>
                      <w:lang w:val="en-US" w:eastAsia="zh-CN"/>
                      <w14:textFill>
                        <w14:solidFill>
                          <w14:schemeClr w14:val="tx1"/>
                        </w14:solidFill>
                      </w14:textFill>
                    </w:rPr>
                    <w:t>项目固体废弃物处理符合《一般工业固体废物贮存和填埋污染控制标准》（GB18599--2020）和《危险废物贮存污染控制标准》（GB18597－20</w:t>
                  </w: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23</w:t>
                  </w:r>
                  <w:r>
                    <w:rPr>
                      <w:rFonts w:hint="default" w:asciiTheme="minorEastAsia" w:hAnsiTheme="minorEastAsia" w:eastAsiaTheme="minorEastAsia" w:cstheme="minorEastAsia"/>
                      <w:color w:val="000000" w:themeColor="text1"/>
                      <w:sz w:val="21"/>
                      <w:szCs w:val="21"/>
                      <w:lang w:val="en-US" w:eastAsia="zh-CN"/>
                      <w14:textFill>
                        <w14:solidFill>
                          <w14:schemeClr w14:val="tx1"/>
                        </w14:solidFill>
                      </w14:textFill>
                    </w:rPr>
                    <w:t>）的标准要求</w:t>
                  </w:r>
                </w:p>
              </w:tc>
              <w:tc>
                <w:tcPr>
                  <w:tcW w:w="236"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r>
          </w:tbl>
          <w:p>
            <w:pPr>
              <w:pStyle w:val="43"/>
              <w:numPr>
                <w:ilvl w:val="0"/>
                <w:numId w:val="0"/>
              </w:numPr>
              <w:spacing w:line="360" w:lineRule="auto"/>
              <w:ind w:firstLine="480" w:firstLineChars="200"/>
              <w:jc w:val="both"/>
              <w:rPr>
                <w:rFonts w:hint="default" w:ascii="Times New Roman" w:hAnsi="Times New Roman" w:cs="Times New Roman"/>
                <w:color w:val="000000" w:themeColor="text1"/>
                <w:sz w:val="24"/>
                <w:highlight w:val="none"/>
                <w:lang w:val="en-US" w:eastAsia="zh-CN" w:bidi="ar"/>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656"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其他</w:t>
            </w:r>
          </w:p>
        </w:tc>
        <w:tc>
          <w:tcPr>
            <w:tcW w:w="8496" w:type="dxa"/>
            <w:vAlign w:val="top"/>
          </w:tcPr>
          <w:p>
            <w:pPr>
              <w:pStyle w:val="43"/>
              <w:keepNext w:val="0"/>
              <w:keepLines w:val="0"/>
              <w:pageBreakBefore w:val="0"/>
              <w:widowControl w:val="0"/>
              <w:numPr>
                <w:ilvl w:val="0"/>
                <w:numId w:val="0"/>
              </w:numPr>
              <w:kinsoku/>
              <w:wordWrap/>
              <w:overflowPunct/>
              <w:topLinePunct w:val="0"/>
              <w:autoSpaceDE/>
              <w:autoSpaceDN/>
              <w:bidi w:val="0"/>
              <w:adjustRightInd/>
              <w:snapToGrid/>
              <w:spacing w:before="164" w:beforeLines="50" w:line="360" w:lineRule="auto"/>
              <w:jc w:val="both"/>
              <w:textAlignment w:val="auto"/>
              <w:rPr>
                <w:rFonts w:hint="default" w:ascii="Times New Roman" w:hAnsi="Times New Roman" w:eastAsia="宋体" w:cs="Times New Roman"/>
                <w:b/>
                <w:bCs/>
                <w:snapToGrid/>
                <w:color w:val="0000FF"/>
                <w:kern w:val="0"/>
                <w:sz w:val="24"/>
                <w:szCs w:val="24"/>
                <w:lang w:val="en-US" w:eastAsia="zh-CN" w:bidi="ar"/>
              </w:rPr>
            </w:pPr>
            <w:r>
              <w:rPr>
                <w:rFonts w:hint="default" w:ascii="Times New Roman" w:hAnsi="Times New Roman" w:eastAsia="宋体" w:cs="Times New Roman"/>
                <w:b/>
                <w:bCs/>
                <w:snapToGrid/>
                <w:color w:val="0000FF"/>
                <w:kern w:val="0"/>
                <w:sz w:val="24"/>
                <w:szCs w:val="24"/>
                <w:lang w:val="en-US" w:eastAsia="zh-CN" w:bidi="ar"/>
              </w:rPr>
              <w:t>1、环境管理</w:t>
            </w:r>
          </w:p>
          <w:p>
            <w:pPr>
              <w:keepNext w:val="0"/>
              <w:keepLines w:val="0"/>
              <w:widowControl/>
              <w:suppressLineNumbers w:val="0"/>
              <w:jc w:val="left"/>
              <w:rPr>
                <w:rFonts w:hint="default" w:ascii="Times New Roman" w:hAnsi="Times New Roman" w:eastAsia="宋体" w:cs="Times New Roman"/>
                <w:color w:val="0000FF"/>
                <w:kern w:val="0"/>
                <w:sz w:val="24"/>
                <w:szCs w:val="24"/>
                <w:lang w:val="en-US" w:eastAsia="zh-CN" w:bidi="ar"/>
              </w:rPr>
            </w:pPr>
            <w:bookmarkStart w:id="78" w:name="_GoBack"/>
            <w:r>
              <w:rPr>
                <w:rFonts w:hint="default" w:ascii="Times New Roman" w:hAnsi="Times New Roman" w:eastAsia="宋体" w:cs="Times New Roman"/>
                <w:color w:val="0000FF"/>
                <w:kern w:val="0"/>
                <w:sz w:val="24"/>
                <w:szCs w:val="24"/>
                <w:lang w:val="en-US" w:eastAsia="zh-CN" w:bidi="ar"/>
              </w:rPr>
              <w:t>（1）环境管理机构</w:t>
            </w:r>
          </w:p>
          <w:p>
            <w:pPr>
              <w:keepNext w:val="0"/>
              <w:keepLines w:val="0"/>
              <w:widowControl/>
              <w:suppressLineNumbers w:val="0"/>
              <w:jc w:val="left"/>
              <w:rPr>
                <w:rFonts w:hint="default" w:ascii="Times New Roman" w:hAnsi="Times New Roman" w:cs="Times New Roman"/>
                <w:b w:val="0"/>
                <w:bCs w:val="0"/>
                <w:color w:val="0000FF"/>
              </w:rPr>
            </w:pPr>
            <w:r>
              <w:rPr>
                <w:rFonts w:hint="default" w:ascii="Times New Roman" w:hAnsi="Times New Roman" w:eastAsia="宋体" w:cs="Times New Roman"/>
                <w:color w:val="0000FF"/>
                <w:kern w:val="0"/>
                <w:sz w:val="24"/>
                <w:szCs w:val="24"/>
                <w:lang w:val="en-US" w:eastAsia="zh-CN" w:bidi="ar"/>
              </w:rPr>
              <w:t>建设</w:t>
            </w:r>
            <w:r>
              <w:rPr>
                <w:rFonts w:hint="default" w:ascii="Times New Roman" w:hAnsi="Times New Roman" w:eastAsia="宋体" w:cs="Times New Roman"/>
                <w:b w:val="0"/>
                <w:bCs w:val="0"/>
                <w:color w:val="0000FF"/>
                <w:kern w:val="0"/>
                <w:sz w:val="24"/>
                <w:szCs w:val="24"/>
                <w:lang w:val="en-US" w:eastAsia="zh-CN" w:bidi="ar"/>
              </w:rPr>
              <w:t>单位或运行单位在管理机构内配备必要的专职或兼职人员，负责环境保护管理工作。</w:t>
            </w:r>
          </w:p>
          <w:p>
            <w:pPr>
              <w:keepNext w:val="0"/>
              <w:keepLines w:val="0"/>
              <w:widowControl/>
              <w:suppressLineNumbers w:val="0"/>
              <w:jc w:val="left"/>
              <w:rPr>
                <w:rFonts w:hint="default" w:ascii="Times New Roman" w:hAnsi="Times New Roman" w:cs="Times New Roman"/>
                <w:b w:val="0"/>
                <w:bCs w:val="0"/>
                <w:color w:val="0000FF"/>
              </w:rPr>
            </w:pPr>
            <w:r>
              <w:rPr>
                <w:rFonts w:hint="default" w:ascii="Times New Roman" w:hAnsi="Times New Roman" w:eastAsia="宋体" w:cs="Times New Roman"/>
                <w:b w:val="0"/>
                <w:bCs w:val="0"/>
                <w:color w:val="0000FF"/>
                <w:kern w:val="0"/>
                <w:sz w:val="24"/>
                <w:szCs w:val="24"/>
                <w:lang w:val="en-US" w:eastAsia="zh-CN" w:bidi="ar"/>
              </w:rPr>
              <w:t xml:space="preserve">（2）施工期环境管理 </w:t>
            </w:r>
          </w:p>
          <w:p>
            <w:pPr>
              <w:keepNext w:val="0"/>
              <w:keepLines w:val="0"/>
              <w:widowControl/>
              <w:suppressLineNumbers w:val="0"/>
              <w:jc w:val="left"/>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kern w:val="0"/>
                <w:sz w:val="24"/>
                <w:szCs w:val="24"/>
                <w:lang w:val="en-US" w:eastAsia="zh-CN" w:bidi="ar"/>
              </w:rPr>
              <w:t>根据《中华人民共和国环境保护法》和《建设项目环境保护管理条例》，建</w:t>
            </w:r>
            <w:r>
              <w:rPr>
                <w:rFonts w:hint="default" w:ascii="Times New Roman" w:hAnsi="Times New Roman" w:eastAsia="宋体" w:cs="Times New Roman"/>
                <w:b w:val="0"/>
                <w:bCs w:val="0"/>
                <w:color w:val="0000FF"/>
                <w:kern w:val="0"/>
                <w:sz w:val="24"/>
                <w:szCs w:val="24"/>
                <w:lang w:val="en-US" w:eastAsia="zh-CN" w:bidi="ar"/>
              </w:rPr>
              <w:t xml:space="preserve">设单位必须把环境保护工作纳入计划，建立环境保护责任制度，采取有效措施，防治环境破坏。 </w:t>
            </w:r>
            <w:r>
              <w:rPr>
                <w:rFonts w:hint="default" w:ascii="Times New Roman" w:hAnsi="Times New Roman" w:eastAsia="宋体" w:cs="Times New Roman"/>
                <w:color w:val="0000FF"/>
                <w:sz w:val="24"/>
                <w:highlight w:val="none"/>
                <w:lang w:val="en-US" w:eastAsia="zh-CN"/>
              </w:rPr>
              <w:t>在施工设计文件中详细说明施工期应注意的环境保护问题，严格要求施工单位按照设计文件施工，特别是按照环保设计要求施工。环境监理人员对施工中的每一道工序都应该严格检查是否满足环保要求，并不定期对施工点进行抽查。建设期环境保护管理的职责和任务如下：</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①贯彻执行国家的各项环境保护方针、政策法规和章制度。</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②制定本工程施工期的环境保护计划，负责工程施工过程中各项环境保护措施实施的监督和日常管理。</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③收集、整理推广和实施工程建设中各项环境保护的先进</w:t>
            </w:r>
            <w:r>
              <w:rPr>
                <w:rFonts w:hint="eastAsia" w:ascii="Times New Roman" w:hAnsi="Times New Roman" w:eastAsia="宋体" w:cs="Times New Roman"/>
                <w:color w:val="0000FF"/>
                <w:sz w:val="24"/>
                <w:highlight w:val="none"/>
                <w:lang w:val="en-US" w:eastAsia="zh-CN"/>
              </w:rPr>
              <w:t>工作</w:t>
            </w:r>
            <w:r>
              <w:rPr>
                <w:rFonts w:hint="default" w:ascii="Times New Roman" w:hAnsi="Times New Roman" w:eastAsia="宋体" w:cs="Times New Roman"/>
                <w:color w:val="0000FF"/>
                <w:sz w:val="24"/>
                <w:highlight w:val="none"/>
                <w:lang w:val="en-US" w:eastAsia="zh-CN"/>
              </w:rPr>
              <w:t>经验技术。</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④组织和开展对施工人员进行活动中应遵循的环保法规、知识培训，提高全体员工文明施工的认识。</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⑤负责日常施工活动中的环境监理，做好工程用地区域的环境特征调查，对于环境保护目标要做到心中有数。</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⑥在施工计划中应适当计划设备运输道路，以避免影响当地居民生活，施工中应考虑保护生态和避免水土流失，合理组织施工以减少占用临时施工用地。</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⑦做好施工中各种环境问题的收集、记录、建档和处理工作。</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⑧监督施工单位，使施工工作完成后的土地恢复和补偿，水保设施、环保设施等各项保护工程同时完成。</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color w:val="0000FF"/>
                <w:sz w:val="24"/>
                <w:highlight w:val="none"/>
                <w:lang w:val="en-US" w:eastAsia="zh-CN"/>
              </w:rPr>
            </w:pPr>
            <w:r>
              <w:rPr>
                <w:rFonts w:hint="default" w:ascii="Times New Roman" w:hAnsi="Times New Roman" w:eastAsia="宋体" w:cs="Times New Roman"/>
                <w:color w:val="0000FF"/>
                <w:sz w:val="24"/>
                <w:highlight w:val="none"/>
                <w:lang w:val="en-US" w:eastAsia="zh-CN"/>
              </w:rPr>
              <w:t>⑨工程竣工后，将各项环保措施落实完成情况上报当地</w:t>
            </w:r>
            <w:r>
              <w:rPr>
                <w:rFonts w:hint="eastAsia" w:ascii="Times New Roman" w:hAnsi="Times New Roman" w:eastAsia="宋体" w:cs="Times New Roman"/>
                <w:color w:val="0000FF"/>
                <w:sz w:val="24"/>
                <w:highlight w:val="none"/>
                <w:lang w:val="en-US" w:eastAsia="zh-CN"/>
              </w:rPr>
              <w:t>生态环境</w:t>
            </w:r>
            <w:r>
              <w:rPr>
                <w:rFonts w:hint="default" w:ascii="Times New Roman" w:hAnsi="Times New Roman" w:eastAsia="宋体" w:cs="Times New Roman"/>
                <w:color w:val="0000FF"/>
                <w:sz w:val="24"/>
                <w:highlight w:val="none"/>
                <w:lang w:val="en-US" w:eastAsia="zh-CN"/>
              </w:rPr>
              <w:t>主管部门和水保主管部门。</w:t>
            </w:r>
          </w:p>
          <w:p>
            <w:pPr>
              <w:keepNext w:val="0"/>
              <w:keepLines w:val="0"/>
              <w:widowControl/>
              <w:suppressLineNumbers w:val="0"/>
              <w:spacing w:line="360" w:lineRule="auto"/>
              <w:jc w:val="left"/>
              <w:rPr>
                <w:rFonts w:hint="eastAsia" w:asciiTheme="majorEastAsia" w:hAnsiTheme="majorEastAsia" w:eastAsiaTheme="majorEastAsia" w:cstheme="majorEastAsia"/>
                <w:b w:val="0"/>
                <w:bCs w:val="0"/>
                <w:color w:val="0000FF"/>
                <w:kern w:val="0"/>
                <w:sz w:val="24"/>
                <w:szCs w:val="24"/>
                <w:lang w:val="en-US" w:eastAsia="zh-CN" w:bidi="ar"/>
              </w:rPr>
            </w:pPr>
            <w:r>
              <w:rPr>
                <w:rFonts w:hint="eastAsia" w:asciiTheme="majorEastAsia" w:hAnsiTheme="majorEastAsia" w:eastAsiaTheme="majorEastAsia" w:cstheme="majorEastAsia"/>
                <w:b w:val="0"/>
                <w:bCs w:val="0"/>
                <w:color w:val="0000FF"/>
                <w:kern w:val="0"/>
                <w:sz w:val="24"/>
                <w:szCs w:val="24"/>
                <w:lang w:val="en-US" w:eastAsia="zh-CN" w:bidi="ar"/>
              </w:rPr>
              <w:t xml:space="preserve">（2）运营期环境管理 </w:t>
            </w:r>
          </w:p>
          <w:p>
            <w:pPr>
              <w:pStyle w:val="2"/>
              <w:spacing w:line="360" w:lineRule="auto"/>
              <w:rPr>
                <w:rFonts w:hint="eastAsia" w:asciiTheme="majorEastAsia" w:hAnsiTheme="majorEastAsia" w:eastAsiaTheme="majorEastAsia" w:cstheme="majorEastAsia"/>
                <w:color w:val="0000FF"/>
                <w:kern w:val="0"/>
                <w:sz w:val="24"/>
                <w:szCs w:val="24"/>
                <w:lang w:val="en-US" w:eastAsia="zh-CN" w:bidi="ar"/>
              </w:rPr>
            </w:pPr>
            <w:r>
              <w:rPr>
                <w:rFonts w:hint="eastAsia" w:asciiTheme="majorEastAsia" w:hAnsiTheme="majorEastAsia" w:eastAsiaTheme="majorEastAsia" w:cstheme="majorEastAsia"/>
                <w:color w:val="0000FF"/>
                <w:kern w:val="0"/>
                <w:sz w:val="24"/>
                <w:szCs w:val="24"/>
                <w:lang w:val="en-US" w:eastAsia="zh-CN" w:bidi="ar"/>
              </w:rPr>
              <w:t>根据项目的环境特点，建设单位宜配备相应的环境管理人员。环保管理人员应在各自的岗位责任制中明确所负的环保责任。监督国家法规、条例的贯彻执行情况，制订和贯彻环保管理制度，监控本工程主要污染源，对各部门、操作岗位进行环境保护监督和考核。</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①制定和实施各项环境管理计划。</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②建立噪声环境监测、生态环境现状数据档案，并定期向当地生态环境行政主管部门申报。</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③掌握项目所在地周围的环境特征和环境保护目标情况。建立环境管理和环境监测技术文件，做好记录、建档工作。</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④检查治理设施运行情况，及时处理出现的问题，保证治理设施的正常运行。</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⑤不定期地进行巡查，特别是各环境保护对象，保护生态环境不被破坏，保证保护生态与工程运行相协调。</w:t>
            </w:r>
          </w:p>
          <w:p>
            <w:pPr>
              <w:pStyle w:val="43"/>
              <w:numPr>
                <w:ilvl w:val="0"/>
                <w:numId w:val="0"/>
              </w:numPr>
              <w:spacing w:line="360" w:lineRule="auto"/>
              <w:ind w:firstLine="480" w:firstLineChars="200"/>
              <w:jc w:val="both"/>
              <w:rPr>
                <w:rFonts w:hint="eastAsia" w:asciiTheme="majorEastAsia" w:hAnsiTheme="majorEastAsia" w:eastAsiaTheme="majorEastAsia" w:cstheme="majorEastAsia"/>
                <w:color w:val="0000FF"/>
                <w:sz w:val="24"/>
                <w:highlight w:val="none"/>
                <w:lang w:val="en-US" w:eastAsia="zh-CN"/>
              </w:rPr>
            </w:pPr>
            <w:r>
              <w:rPr>
                <w:rFonts w:hint="eastAsia" w:asciiTheme="majorEastAsia" w:hAnsiTheme="majorEastAsia" w:eastAsiaTheme="majorEastAsia" w:cstheme="majorEastAsia"/>
                <w:color w:val="0000FF"/>
                <w:sz w:val="24"/>
                <w:highlight w:val="none"/>
                <w:lang w:val="en-US" w:eastAsia="zh-CN"/>
              </w:rPr>
              <w:t>⑥协调配合上级生态环境主管部门所进行的环境调查，生态调查等活动。</w:t>
            </w:r>
            <w:bookmarkEnd w:id="78"/>
          </w:p>
          <w:p>
            <w:pPr>
              <w:pStyle w:val="43"/>
              <w:numPr>
                <w:ilvl w:val="0"/>
                <w:numId w:val="0"/>
              </w:numPr>
              <w:spacing w:line="360" w:lineRule="auto"/>
              <w:jc w:val="both"/>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t>2、环境监测计划</w:t>
            </w:r>
          </w:p>
          <w:p>
            <w:pPr>
              <w:keepNext w:val="0"/>
              <w:keepLines w:val="0"/>
              <w:pageBreakBefore w:val="0"/>
              <w:widowControl w:val="0"/>
              <w:kinsoku/>
              <w:wordWrap w:val="0"/>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为了有效监控建设项目对环境的影响，应建立环境监测制度，定期委托当地有资质的环境监测单位展开污染源及环境监测，以便及时掌握产排污规律，加强污染治理。</w:t>
            </w:r>
          </w:p>
          <w:p>
            <w:pPr>
              <w:keepNext w:val="0"/>
              <w:keepLines w:val="0"/>
              <w:pageBreakBefore w:val="0"/>
              <w:widowControl w:val="0"/>
              <w:kinsoku/>
              <w:wordWrap w:val="0"/>
              <w:overflowPunct/>
              <w:topLinePunct w:val="0"/>
              <w:autoSpaceDE/>
              <w:autoSpaceDN/>
              <w:bidi w:val="0"/>
              <w:adjustRightInd/>
              <w:snapToGrid/>
              <w:spacing w:line="360" w:lineRule="auto"/>
              <w:ind w:firstLine="482"/>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项目建成后污染源监测委托有资质单位承担，项目监测计划见下表。</w:t>
            </w:r>
          </w:p>
          <w:p>
            <w:pPr>
              <w:pStyle w:val="45"/>
              <w:bidi w:val="0"/>
              <w:rPr>
                <w:rFonts w:hint="eastAsia" w:asciiTheme="minorEastAsia" w:hAnsiTheme="minorEastAsia" w:eastAsiaTheme="minorEastAsia" w:cstheme="minorEastAsia"/>
                <w:color w:val="000000" w:themeColor="text1"/>
                <w:sz w:val="21"/>
                <w:szCs w:val="21"/>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1"/>
                <w:szCs w:val="21"/>
                <w:highlight w:val="none"/>
                <w:lang w:val="en-US" w:eastAsia="zh-CN"/>
                <w14:textFill>
                  <w14:solidFill>
                    <w14:schemeClr w14:val="tx1"/>
                  </w14:solidFill>
                </w14:textFill>
              </w:rPr>
              <w:t>表 5-3     环境监测内容及计划</w:t>
            </w:r>
          </w:p>
          <w:tbl>
            <w:tblPr>
              <w:tblStyle w:val="35"/>
              <w:tblW w:w="8225"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22"/>
              <w:gridCol w:w="3"/>
              <w:gridCol w:w="592"/>
              <w:gridCol w:w="865"/>
              <w:gridCol w:w="3914"/>
              <w:gridCol w:w="3"/>
              <w:gridCol w:w="2217"/>
              <w:gridCol w:w="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50" w:hRule="atLeast"/>
                <w:jc w:val="center"/>
              </w:trPr>
              <w:tc>
                <w:tcPr>
                  <w:tcW w:w="625"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序号</w:t>
                  </w:r>
                </w:p>
              </w:tc>
              <w:tc>
                <w:tcPr>
                  <w:tcW w:w="1457"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监测内容</w:t>
                  </w:r>
                </w:p>
              </w:tc>
              <w:tc>
                <w:tcPr>
                  <w:tcW w:w="3917"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监测因子、频率</w:t>
                  </w:r>
                </w:p>
              </w:tc>
              <w:tc>
                <w:tcPr>
                  <w:tcW w:w="2226"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监测点位</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90" w:hRule="atLeast"/>
                <w:jc w:val="center"/>
              </w:trPr>
              <w:tc>
                <w:tcPr>
                  <w:tcW w:w="625" w:type="dxa"/>
                  <w:gridSpan w:val="2"/>
                  <w:vMerge w:val="restart"/>
                  <w:tcBorders>
                    <w:top w:val="single" w:color="000000" w:sz="4" w:space="0"/>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w w:val="99"/>
                      <w:sz w:val="21"/>
                      <w:szCs w:val="21"/>
                      <w14:textFill>
                        <w14:solidFill>
                          <w14:schemeClr w14:val="tx1"/>
                        </w14:solidFill>
                      </w14:textFill>
                    </w:rPr>
                    <w:t>1</w:t>
                  </w:r>
                </w:p>
              </w:tc>
              <w:tc>
                <w:tcPr>
                  <w:tcW w:w="592" w:type="dxa"/>
                  <w:vMerge w:val="restart"/>
                  <w:tcBorders>
                    <w:top w:val="single" w:color="000000" w:sz="4" w:space="0"/>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生态环境质量监控</w:t>
                  </w:r>
                </w:p>
              </w:tc>
              <w:tc>
                <w:tcPr>
                  <w:tcW w:w="865" w:type="dxa"/>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草场植被</w:t>
                  </w:r>
                </w:p>
              </w:tc>
              <w:tc>
                <w:tcPr>
                  <w:tcW w:w="3917"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numPr>
                      <w:ilvl w:val="0"/>
                      <w:numId w:val="0"/>
                    </w:numPr>
                    <w:tabs>
                      <w:tab w:val="left" w:pos="199"/>
                    </w:tabs>
                    <w:kinsoku/>
                    <w:wordWrap/>
                    <w:overflowPunct/>
                    <w:topLinePunct w:val="0"/>
                    <w:autoSpaceDE/>
                    <w:autoSpaceDN/>
                    <w:bidi w:val="0"/>
                    <w:adjustRightInd/>
                    <w:snapToGrid/>
                    <w:spacing w:after="0" w:line="240" w:lineRule="auto"/>
                    <w:ind w:left="0" w:leftChars="0" w:right="0" w:rightChars="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w w:val="95"/>
                      <w:sz w:val="21"/>
                      <w:szCs w:val="21"/>
                      <w14:textFill>
                        <w14:solidFill>
                          <w14:schemeClr w14:val="tx1"/>
                        </w14:solidFill>
                      </w14:textFill>
                    </w:rPr>
                    <w:t>调查项目：植被类型、植物的种类、</w:t>
                  </w:r>
                  <w:r>
                    <w:rPr>
                      <w:rFonts w:hint="eastAsia" w:asciiTheme="minorEastAsia" w:hAnsiTheme="minorEastAsia" w:eastAsiaTheme="minorEastAsia" w:cstheme="minorEastAsia"/>
                      <w:color w:val="000000" w:themeColor="text1"/>
                      <w:sz w:val="21"/>
                      <w:szCs w:val="21"/>
                      <w14:textFill>
                        <w14:solidFill>
                          <w14:schemeClr w14:val="tx1"/>
                        </w14:solidFill>
                      </w14:textFill>
                    </w:rPr>
                    <w:t>组成、高度、盖度、产量</w:t>
                  </w:r>
                </w:p>
                <w:p>
                  <w:pPr>
                    <w:pStyle w:val="68"/>
                    <w:keepNext w:val="0"/>
                    <w:keepLines w:val="0"/>
                    <w:pageBreakBefore w:val="0"/>
                    <w:widowControl w:val="0"/>
                    <w:numPr>
                      <w:ilvl w:val="0"/>
                      <w:numId w:val="0"/>
                    </w:numPr>
                    <w:tabs>
                      <w:tab w:val="left" w:pos="199"/>
                    </w:tabs>
                    <w:kinsoku/>
                    <w:wordWrap/>
                    <w:overflowPunct/>
                    <w:topLinePunct w:val="0"/>
                    <w:autoSpaceDE/>
                    <w:autoSpaceDN/>
                    <w:bidi w:val="0"/>
                    <w:adjustRightInd/>
                    <w:snapToGrid/>
                    <w:spacing w:after="0" w:line="240" w:lineRule="auto"/>
                    <w:ind w:left="0" w:leftChars="0" w:right="0" w:rightChars="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调查频率：1次/年</w:t>
                  </w:r>
                </w:p>
              </w:tc>
              <w:tc>
                <w:tcPr>
                  <w:tcW w:w="2226"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进站道路两侧等布设调查点</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42" w:hRule="atLeast"/>
                <w:jc w:val="center"/>
              </w:trPr>
              <w:tc>
                <w:tcPr>
                  <w:tcW w:w="625" w:type="dxa"/>
                  <w:gridSpan w:val="2"/>
                  <w:vMerge w:val="continue"/>
                  <w:tcBorders>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592" w:type="dxa"/>
                  <w:vMerge w:val="continue"/>
                  <w:tcBorders>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p>
              </w:tc>
              <w:tc>
                <w:tcPr>
                  <w:tcW w:w="865" w:type="dxa"/>
                  <w:tcBorders>
                    <w:top w:val="single" w:color="000000" w:sz="4" w:space="0"/>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生物多样性</w:t>
                  </w:r>
                </w:p>
              </w:tc>
              <w:tc>
                <w:tcPr>
                  <w:tcW w:w="3917" w:type="dxa"/>
                  <w:gridSpan w:val="2"/>
                  <w:tcBorders>
                    <w:top w:val="single" w:color="000000" w:sz="4" w:space="0"/>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调查项目：物种数</w:t>
                  </w:r>
                </w:p>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调查频率：1次/年</w:t>
                  </w:r>
                </w:p>
              </w:tc>
              <w:tc>
                <w:tcPr>
                  <w:tcW w:w="2226" w:type="dxa"/>
                  <w:gridSpan w:val="2"/>
                  <w:tcBorders>
                    <w:top w:val="single" w:color="000000" w:sz="4" w:space="0"/>
                    <w:left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进站道路沿线</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gridAfter w:val="1"/>
                <w:wAfter w:w="9" w:type="dxa"/>
                <w:trHeight w:val="710" w:hRule="atLeast"/>
                <w:jc w:val="center"/>
              </w:trPr>
              <w:tc>
                <w:tcPr>
                  <w:tcW w:w="622" w:type="dxa"/>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pPr>
                  <w:r>
                    <w:rPr>
                      <w:rFonts w:hint="eastAsia" w:asciiTheme="minorEastAsia" w:hAnsiTheme="minorEastAsia" w:eastAsiaTheme="minorEastAsia" w:cstheme="minorEastAsia"/>
                      <w:color w:val="000000" w:themeColor="text1"/>
                      <w:w w:val="99"/>
                      <w:sz w:val="21"/>
                      <w:szCs w:val="21"/>
                      <w:lang w:val="en-US" w:eastAsia="zh-CN"/>
                      <w14:textFill>
                        <w14:solidFill>
                          <w14:schemeClr w14:val="tx1"/>
                        </w14:solidFill>
                      </w14:textFill>
                    </w:rPr>
                    <w:t>2</w:t>
                  </w:r>
                </w:p>
              </w:tc>
              <w:tc>
                <w:tcPr>
                  <w:tcW w:w="1460" w:type="dxa"/>
                  <w:gridSpan w:val="3"/>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声环境质量监</w:t>
                  </w:r>
                  <w:r>
                    <w:rPr>
                      <w:rFonts w:hint="eastAsia" w:asciiTheme="minorEastAsia" w:hAnsiTheme="minorEastAsia" w:eastAsiaTheme="minorEastAsia" w:cstheme="minorEastAsia"/>
                      <w:color w:val="000000" w:themeColor="text1"/>
                      <w:w w:val="99"/>
                      <w:sz w:val="21"/>
                      <w:szCs w:val="21"/>
                      <w14:textFill>
                        <w14:solidFill>
                          <w14:schemeClr w14:val="tx1"/>
                        </w14:solidFill>
                      </w14:textFill>
                    </w:rPr>
                    <w:t>测</w:t>
                  </w:r>
                </w:p>
              </w:tc>
              <w:tc>
                <w:tcPr>
                  <w:tcW w:w="3914" w:type="dxa"/>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numPr>
                      <w:ilvl w:val="0"/>
                      <w:numId w:val="0"/>
                    </w:numPr>
                    <w:tabs>
                      <w:tab w:val="left" w:pos="933"/>
                    </w:tabs>
                    <w:kinsoku/>
                    <w:wordWrap/>
                    <w:overflowPunct/>
                    <w:topLinePunct w:val="0"/>
                    <w:autoSpaceDE/>
                    <w:autoSpaceDN/>
                    <w:bidi w:val="0"/>
                    <w:adjustRightInd/>
                    <w:snapToGrid/>
                    <w:spacing w:after="0" w:line="240" w:lineRule="auto"/>
                    <w:ind w:left="0" w:leftChars="0" w:right="0" w:rightChars="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监测项目：厂界噪声</w:t>
                  </w:r>
                </w:p>
                <w:p>
                  <w:pPr>
                    <w:pStyle w:val="68"/>
                    <w:keepNext w:val="0"/>
                    <w:keepLines w:val="0"/>
                    <w:pageBreakBefore w:val="0"/>
                    <w:widowControl w:val="0"/>
                    <w:numPr>
                      <w:ilvl w:val="0"/>
                      <w:numId w:val="0"/>
                    </w:numPr>
                    <w:tabs>
                      <w:tab w:val="left" w:pos="933"/>
                    </w:tabs>
                    <w:kinsoku/>
                    <w:wordWrap/>
                    <w:overflowPunct/>
                    <w:topLinePunct w:val="0"/>
                    <w:autoSpaceDE/>
                    <w:autoSpaceDN/>
                    <w:bidi w:val="0"/>
                    <w:adjustRightInd/>
                    <w:snapToGrid/>
                    <w:spacing w:after="0" w:line="240" w:lineRule="auto"/>
                    <w:ind w:left="0" w:leftChars="0" w:right="0" w:rightChars="0" w:firstLine="0"/>
                    <w:jc w:val="both"/>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监测频率：1次/</w:t>
                  </w: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季度</w:t>
                  </w:r>
                  <w:r>
                    <w:rPr>
                      <w:rFonts w:hint="eastAsia" w:asciiTheme="minorEastAsia" w:hAnsiTheme="minorEastAsia" w:eastAsiaTheme="minorEastAsia" w:cstheme="minorEastAsia"/>
                      <w:color w:val="000000" w:themeColor="text1"/>
                      <w:sz w:val="21"/>
                      <w:szCs w:val="21"/>
                      <w14:textFill>
                        <w14:solidFill>
                          <w14:schemeClr w14:val="tx1"/>
                        </w14:solidFill>
                      </w14:textFill>
                    </w:rPr>
                    <w:t>，昼、夜各一次</w:t>
                  </w:r>
                </w:p>
              </w:tc>
              <w:tc>
                <w:tcPr>
                  <w:tcW w:w="2220"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lang w:eastAsia="zh-CN"/>
                      <w14:textFill>
                        <w14:solidFill>
                          <w14:schemeClr w14:val="tx1"/>
                        </w14:solidFill>
                      </w14:textFill>
                    </w:rPr>
                    <w:t>厂界</w:t>
                  </w:r>
                  <w:r>
                    <w:rPr>
                      <w:rFonts w:hint="eastAsia" w:asciiTheme="minorEastAsia" w:hAnsiTheme="minorEastAsia" w:eastAsiaTheme="minorEastAsia" w:cstheme="minorEastAsia"/>
                      <w:color w:val="000000" w:themeColor="text1"/>
                      <w:sz w:val="21"/>
                      <w:szCs w:val="21"/>
                      <w14:textFill>
                        <w14:solidFill>
                          <w14:schemeClr w14:val="tx1"/>
                        </w14:solidFill>
                      </w14:textFill>
                    </w:rPr>
                    <w:t>四周各布设一个监测点；</w:t>
                  </w:r>
                </w:p>
              </w:tc>
            </w:tr>
          </w:tbl>
          <w:p>
            <w:pPr>
              <w:pStyle w:val="43"/>
              <w:widowControl w:val="0"/>
              <w:numPr>
                <w:ilvl w:val="0"/>
                <w:numId w:val="0"/>
              </w:numPr>
              <w:spacing w:line="360" w:lineRule="auto"/>
              <w:jc w:val="both"/>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090" w:hRule="atLeast"/>
          <w:jc w:val="center"/>
        </w:trPr>
        <w:tc>
          <w:tcPr>
            <w:tcW w:w="739" w:type="dxa"/>
            <w:tcMar>
              <w:left w:w="28" w:type="dxa"/>
              <w:right w:w="28" w:type="dxa"/>
            </w:tcMar>
            <w:vAlign w:val="center"/>
          </w:tcPr>
          <w:p>
            <w:pPr>
              <w:pStyle w:val="31"/>
              <w:adjustRightInd w:val="0"/>
              <w:snapToGrid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环保投资</w:t>
            </w:r>
          </w:p>
        </w:tc>
        <w:tc>
          <w:tcPr>
            <w:tcW w:w="8496" w:type="dxa"/>
            <w:vAlign w:val="top"/>
          </w:tcPr>
          <w:p>
            <w:pPr>
              <w:pStyle w:val="43"/>
              <w:keepNext w:val="0"/>
              <w:keepLines w:val="0"/>
              <w:pageBreakBefore w:val="0"/>
              <w:widowControl w:val="0"/>
              <w:numPr>
                <w:ilvl w:val="0"/>
                <w:numId w:val="0"/>
              </w:numPr>
              <w:kinsoku/>
              <w:wordWrap/>
              <w:overflowPunct/>
              <w:topLinePunct w:val="0"/>
              <w:autoSpaceDE/>
              <w:autoSpaceDN/>
              <w:bidi w:val="0"/>
              <w:adjustRightInd/>
              <w:snapToGrid/>
              <w:spacing w:before="164" w:beforeLines="50" w:line="360" w:lineRule="auto"/>
              <w:ind w:firstLine="480" w:firstLineChars="200"/>
              <w:jc w:val="both"/>
              <w:textAlignment w:val="auto"/>
              <w:rPr>
                <w:rFonts w:hint="default" w:ascii="Times New Roman" w:hAnsi="Times New Roman" w:cs="Times New Roman"/>
                <w:snapToGrid/>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snapToGrid/>
                <w:color w:val="000000" w:themeColor="text1"/>
                <w:kern w:val="0"/>
                <w:sz w:val="24"/>
                <w:szCs w:val="24"/>
                <w:highlight w:val="none"/>
                <w:lang w:val="en-US" w:eastAsia="zh-CN" w:bidi="ar"/>
                <w14:textFill>
                  <w14:solidFill>
                    <w14:schemeClr w14:val="tx1"/>
                  </w14:solidFill>
                </w14:textFill>
              </w:rPr>
              <w:t>本工程总投资</w:t>
            </w:r>
            <w:r>
              <w:rPr>
                <w:rFonts w:hint="eastAsia" w:cs="Times New Roman"/>
                <w:color w:val="000000" w:themeColor="text1"/>
                <w:sz w:val="24"/>
                <w:lang w:val="en-US" w:eastAsia="zh-CN"/>
                <w14:textFill>
                  <w14:solidFill>
                    <w14:schemeClr w14:val="tx1"/>
                  </w14:solidFill>
                </w14:textFill>
              </w:rPr>
              <w:t>427152.99</w:t>
            </w:r>
            <w:r>
              <w:rPr>
                <w:rFonts w:hint="default" w:ascii="Times New Roman" w:hAnsi="Times New Roman" w:eastAsia="宋体" w:cs="Times New Roman"/>
                <w:snapToGrid/>
                <w:color w:val="000000" w:themeColor="text1"/>
                <w:kern w:val="0"/>
                <w:sz w:val="24"/>
                <w:szCs w:val="24"/>
                <w:highlight w:val="none"/>
                <w:lang w:val="en-US" w:eastAsia="zh-CN" w:bidi="ar"/>
                <w14:textFill>
                  <w14:solidFill>
                    <w14:schemeClr w14:val="tx1"/>
                  </w14:solidFill>
                </w14:textFill>
              </w:rPr>
              <w:t>万元，其中环保投资约</w:t>
            </w:r>
            <w:r>
              <w:rPr>
                <w:rFonts w:hint="eastAsia" w:cs="Times New Roman"/>
                <w:snapToGrid/>
                <w:color w:val="000000" w:themeColor="text1"/>
                <w:kern w:val="0"/>
                <w:sz w:val="24"/>
                <w:szCs w:val="24"/>
                <w:highlight w:val="none"/>
                <w:lang w:val="en-US" w:eastAsia="zh-CN" w:bidi="ar"/>
                <w14:textFill>
                  <w14:solidFill>
                    <w14:schemeClr w14:val="tx1"/>
                  </w14:solidFill>
                </w14:textFill>
              </w:rPr>
              <w:t>328</w:t>
            </w:r>
            <w:r>
              <w:rPr>
                <w:rFonts w:hint="default" w:ascii="Times New Roman" w:hAnsi="Times New Roman" w:eastAsia="宋体" w:cs="Times New Roman"/>
                <w:snapToGrid/>
                <w:color w:val="000000" w:themeColor="text1"/>
                <w:kern w:val="0"/>
                <w:sz w:val="24"/>
                <w:szCs w:val="24"/>
                <w:highlight w:val="none"/>
                <w:lang w:val="en-US" w:eastAsia="zh-CN" w:bidi="ar"/>
                <w14:textFill>
                  <w14:solidFill>
                    <w14:schemeClr w14:val="tx1"/>
                  </w14:solidFill>
                </w14:textFill>
              </w:rPr>
              <w:t>万元，</w:t>
            </w:r>
            <w:r>
              <w:rPr>
                <w:rFonts w:hint="default" w:ascii="Times New Roman" w:hAnsi="Times New Roman" w:cs="Times New Roman"/>
                <w:snapToGrid/>
                <w:color w:val="000000" w:themeColor="text1"/>
                <w:kern w:val="0"/>
                <w:sz w:val="24"/>
                <w:szCs w:val="24"/>
                <w:highlight w:val="none"/>
                <w:lang w:val="en-US" w:eastAsia="zh-CN" w:bidi="ar"/>
                <w14:textFill>
                  <w14:solidFill>
                    <w14:schemeClr w14:val="tx1"/>
                  </w14:solidFill>
                </w14:textFill>
              </w:rPr>
              <w:t>环保投资</w:t>
            </w:r>
            <w:r>
              <w:rPr>
                <w:rFonts w:hint="default" w:ascii="Times New Roman" w:hAnsi="Times New Roman" w:eastAsia="宋体" w:cs="Times New Roman"/>
                <w:snapToGrid/>
                <w:color w:val="000000" w:themeColor="text1"/>
                <w:kern w:val="0"/>
                <w:sz w:val="24"/>
                <w:szCs w:val="24"/>
                <w:highlight w:val="none"/>
                <w:lang w:val="en-US" w:eastAsia="zh-CN" w:bidi="ar"/>
                <w14:textFill>
                  <w14:solidFill>
                    <w14:schemeClr w14:val="tx1"/>
                  </w14:solidFill>
                </w14:textFill>
              </w:rPr>
              <w:t>占总投资额的</w:t>
            </w:r>
            <w:r>
              <w:rPr>
                <w:rFonts w:hint="eastAsia" w:cs="Times New Roman"/>
                <w:snapToGrid/>
                <w:color w:val="000000" w:themeColor="text1"/>
                <w:kern w:val="0"/>
                <w:sz w:val="24"/>
                <w:szCs w:val="24"/>
                <w:highlight w:val="none"/>
                <w:lang w:val="en-US" w:eastAsia="zh-CN" w:bidi="ar"/>
                <w14:textFill>
                  <w14:solidFill>
                    <w14:schemeClr w14:val="tx1"/>
                  </w14:solidFill>
                </w14:textFill>
              </w:rPr>
              <w:t>0.073</w:t>
            </w:r>
            <w:r>
              <w:rPr>
                <w:rFonts w:hint="default" w:ascii="Times New Roman" w:hAnsi="Times New Roman" w:eastAsia="宋体" w:cs="Times New Roman"/>
                <w:snapToGrid/>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snapToGrid/>
                <w:color w:val="000000" w:themeColor="text1"/>
                <w:kern w:val="0"/>
                <w:sz w:val="24"/>
                <w:szCs w:val="24"/>
                <w:lang w:val="en-US" w:eastAsia="zh-CN" w:bidi="ar"/>
                <w14:textFill>
                  <w14:solidFill>
                    <w14:schemeClr w14:val="tx1"/>
                  </w14:solidFill>
                </w14:textFill>
              </w:rPr>
              <w:t>。环保投资明细见表</w:t>
            </w:r>
            <w:r>
              <w:rPr>
                <w:rFonts w:hint="eastAsia" w:cs="Times New Roman"/>
                <w:snapToGrid/>
                <w:color w:val="000000" w:themeColor="text1"/>
                <w:kern w:val="0"/>
                <w:sz w:val="24"/>
                <w:szCs w:val="24"/>
                <w:lang w:val="en-US" w:eastAsia="zh-CN" w:bidi="ar"/>
                <w14:textFill>
                  <w14:solidFill>
                    <w14:schemeClr w14:val="tx1"/>
                  </w14:solidFill>
                </w14:textFill>
              </w:rPr>
              <w:t>5-4</w:t>
            </w:r>
            <w:r>
              <w:rPr>
                <w:rFonts w:hint="default" w:ascii="Times New Roman" w:hAnsi="Times New Roman" w:cs="Times New Roman"/>
                <w:snapToGrid/>
                <w:color w:val="000000" w:themeColor="text1"/>
                <w:kern w:val="0"/>
                <w:sz w:val="24"/>
                <w:szCs w:val="24"/>
                <w:lang w:val="en-US" w:eastAsia="zh-CN" w:bidi="ar"/>
                <w14:textFill>
                  <w14:solidFill>
                    <w14:schemeClr w14:val="tx1"/>
                  </w14:solidFill>
                </w14:textFill>
              </w:rPr>
              <w:t>。</w:t>
            </w:r>
          </w:p>
          <w:p>
            <w:pPr>
              <w:pStyle w:val="43"/>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t>表</w:t>
            </w:r>
            <w:r>
              <w:rPr>
                <w:rFonts w:hint="eastAsia" w:cs="Times New Roman"/>
                <w:b/>
                <w:bCs/>
                <w:snapToGrid/>
                <w:color w:val="000000" w:themeColor="text1"/>
                <w:kern w:val="0"/>
                <w:sz w:val="24"/>
                <w:szCs w:val="24"/>
                <w:lang w:val="en-US" w:eastAsia="zh-CN" w:bidi="ar"/>
                <w14:textFill>
                  <w14:solidFill>
                    <w14:schemeClr w14:val="tx1"/>
                  </w14:solidFill>
                </w14:textFill>
              </w:rPr>
              <w:t>5-4</w:t>
            </w:r>
            <w:r>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t xml:space="preserve">     环保投资估算一览表</w:t>
            </w:r>
          </w:p>
          <w:tbl>
            <w:tblPr>
              <w:tblStyle w:val="35"/>
              <w:tblW w:w="8382"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527"/>
              <w:gridCol w:w="4933"/>
              <w:gridCol w:w="12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tcBorders>
                    <w:top w:val="single" w:color="auto" w:sz="12" w:space="0"/>
                    <w:bottom w:val="single" w:color="auto" w:sz="12" w:space="0"/>
                  </w:tcBorders>
                  <w:noWrap w:val="0"/>
                  <w:vAlign w:val="center"/>
                </w:tcPr>
                <w:p>
                  <w:pPr>
                    <w:spacing w:line="240" w:lineRule="auto"/>
                    <w:ind w:firstLine="0" w:firstLineChars="0"/>
                    <w:jc w:val="center"/>
                    <w:rPr>
                      <w:rFonts w:hint="default" w:ascii="Times New Roman" w:hAnsi="Times New Roman" w:cs="Times New Roman"/>
                      <w:b/>
                      <w:bCs/>
                      <w:color w:val="000000" w:themeColor="text1"/>
                      <w:kern w:val="0"/>
                      <w:sz w:val="21"/>
                      <w:highlight w:val="none"/>
                      <w14:textFill>
                        <w14:solidFill>
                          <w14:schemeClr w14:val="tx1"/>
                        </w14:solidFill>
                      </w14:textFill>
                    </w:rPr>
                  </w:pPr>
                  <w:r>
                    <w:rPr>
                      <w:rFonts w:hint="default" w:ascii="Times New Roman" w:hAnsi="Times New Roman" w:cs="Times New Roman"/>
                      <w:b/>
                      <w:bCs/>
                      <w:color w:val="000000" w:themeColor="text1"/>
                      <w:kern w:val="0"/>
                      <w:sz w:val="21"/>
                      <w:highlight w:val="none"/>
                      <w14:textFill>
                        <w14:solidFill>
                          <w14:schemeClr w14:val="tx1"/>
                        </w14:solidFill>
                      </w14:textFill>
                    </w:rPr>
                    <w:t>项目</w:t>
                  </w:r>
                </w:p>
              </w:tc>
              <w:tc>
                <w:tcPr>
                  <w:tcW w:w="1527" w:type="dxa"/>
                  <w:tcBorders>
                    <w:top w:val="single" w:color="auto" w:sz="12" w:space="0"/>
                    <w:bottom w:val="single" w:color="auto" w:sz="12" w:space="0"/>
                  </w:tcBorders>
                  <w:noWrap w:val="0"/>
                  <w:vAlign w:val="center"/>
                </w:tcPr>
                <w:p>
                  <w:pPr>
                    <w:spacing w:line="240" w:lineRule="auto"/>
                    <w:ind w:firstLine="0" w:firstLineChars="0"/>
                    <w:jc w:val="center"/>
                    <w:rPr>
                      <w:rFonts w:hint="default" w:ascii="Times New Roman" w:hAnsi="Times New Roman" w:cs="Times New Roman"/>
                      <w:b/>
                      <w:bCs/>
                      <w:color w:val="000000" w:themeColor="text1"/>
                      <w:kern w:val="0"/>
                      <w:sz w:val="21"/>
                      <w:highlight w:val="none"/>
                      <w14:textFill>
                        <w14:solidFill>
                          <w14:schemeClr w14:val="tx1"/>
                        </w14:solidFill>
                      </w14:textFill>
                    </w:rPr>
                  </w:pPr>
                  <w:r>
                    <w:rPr>
                      <w:rFonts w:hint="default" w:ascii="Times New Roman" w:hAnsi="Times New Roman" w:cs="Times New Roman"/>
                      <w:b/>
                      <w:bCs/>
                      <w:color w:val="000000" w:themeColor="text1"/>
                      <w:kern w:val="0"/>
                      <w:sz w:val="21"/>
                      <w:highlight w:val="none"/>
                      <w14:textFill>
                        <w14:solidFill>
                          <w14:schemeClr w14:val="tx1"/>
                        </w14:solidFill>
                      </w14:textFill>
                    </w:rPr>
                    <w:t>污染控制类型</w:t>
                  </w:r>
                </w:p>
              </w:tc>
              <w:tc>
                <w:tcPr>
                  <w:tcW w:w="4933" w:type="dxa"/>
                  <w:tcBorders>
                    <w:top w:val="single" w:color="auto" w:sz="12" w:space="0"/>
                    <w:bottom w:val="single" w:color="auto" w:sz="12" w:space="0"/>
                  </w:tcBorders>
                  <w:noWrap w:val="0"/>
                  <w:vAlign w:val="center"/>
                </w:tcPr>
                <w:p>
                  <w:pPr>
                    <w:spacing w:line="240" w:lineRule="auto"/>
                    <w:ind w:firstLine="0" w:firstLineChars="0"/>
                    <w:jc w:val="center"/>
                    <w:rPr>
                      <w:rFonts w:hint="default" w:ascii="Times New Roman" w:hAnsi="Times New Roman" w:cs="Times New Roman"/>
                      <w:b/>
                      <w:bCs/>
                      <w:color w:val="000000" w:themeColor="text1"/>
                      <w:kern w:val="0"/>
                      <w:sz w:val="21"/>
                      <w:highlight w:val="none"/>
                      <w14:textFill>
                        <w14:solidFill>
                          <w14:schemeClr w14:val="tx1"/>
                        </w14:solidFill>
                      </w14:textFill>
                    </w:rPr>
                  </w:pPr>
                  <w:r>
                    <w:rPr>
                      <w:rFonts w:hint="default" w:ascii="Times New Roman" w:hAnsi="Times New Roman" w:cs="Times New Roman"/>
                      <w:b/>
                      <w:bCs/>
                      <w:color w:val="000000" w:themeColor="text1"/>
                      <w:kern w:val="0"/>
                      <w:sz w:val="21"/>
                      <w:highlight w:val="none"/>
                      <w14:textFill>
                        <w14:solidFill>
                          <w14:schemeClr w14:val="tx1"/>
                        </w14:solidFill>
                      </w14:textFill>
                    </w:rPr>
                    <w:t>控制措施</w:t>
                  </w:r>
                </w:p>
              </w:tc>
              <w:tc>
                <w:tcPr>
                  <w:tcW w:w="1275" w:type="dxa"/>
                  <w:tcBorders>
                    <w:top w:val="single" w:color="auto" w:sz="12" w:space="0"/>
                    <w:bottom w:val="single" w:color="auto" w:sz="12" w:space="0"/>
                  </w:tcBorders>
                  <w:noWrap w:val="0"/>
                  <w:vAlign w:val="center"/>
                </w:tcPr>
                <w:p>
                  <w:pPr>
                    <w:spacing w:line="240" w:lineRule="auto"/>
                    <w:ind w:firstLine="0" w:firstLineChars="0"/>
                    <w:jc w:val="center"/>
                    <w:rPr>
                      <w:rFonts w:hint="default" w:ascii="Times New Roman" w:hAnsi="Times New Roman" w:cs="Times New Roman"/>
                      <w:b/>
                      <w:bCs/>
                      <w:color w:val="000000" w:themeColor="text1"/>
                      <w:kern w:val="0"/>
                      <w:sz w:val="21"/>
                      <w:highlight w:val="none"/>
                      <w14:textFill>
                        <w14:solidFill>
                          <w14:schemeClr w14:val="tx1"/>
                        </w14:solidFill>
                      </w14:textFill>
                    </w:rPr>
                  </w:pPr>
                  <w:r>
                    <w:rPr>
                      <w:rFonts w:hint="default" w:ascii="Times New Roman" w:hAnsi="Times New Roman" w:cs="Times New Roman"/>
                      <w:b/>
                      <w:bCs/>
                      <w:color w:val="000000" w:themeColor="text1"/>
                      <w:kern w:val="0"/>
                      <w:sz w:val="21"/>
                      <w:highlight w:val="none"/>
                      <w14:textFill>
                        <w14:solidFill>
                          <w14:schemeClr w14:val="tx1"/>
                        </w14:solidFill>
                      </w14:textFill>
                    </w:rPr>
                    <w:t>投资（万元）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8382" w:type="dxa"/>
                  <w:gridSpan w:val="4"/>
                  <w:tcBorders>
                    <w:top w:val="single" w:color="auto" w:sz="12" w:space="0"/>
                    <w:bottom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1"/>
                      <w:highlight w:val="none"/>
                      <w:lang w:val="en-US" w:eastAsia="zh-CN"/>
                      <w14:textFill>
                        <w14:solidFill>
                          <w14:schemeClr w14:val="tx1"/>
                        </w14:solidFill>
                      </w14:textFill>
                    </w:rPr>
                    <w:t>施工期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tcBorders>
                    <w:top w:val="single" w:color="auto" w:sz="4" w:space="0"/>
                    <w:bottom w:val="single" w:color="auto" w:sz="4" w:space="0"/>
                  </w:tcBorders>
                  <w:noWrap w:val="0"/>
                  <w:vAlign w:val="center"/>
                </w:tcPr>
                <w:p>
                  <w:pPr>
                    <w:spacing w:line="240" w:lineRule="auto"/>
                    <w:ind w:firstLine="0" w:firstLineChars="0"/>
                    <w:jc w:val="center"/>
                    <w:rPr>
                      <w:rFonts w:hint="eastAsia" w:ascii="Times New Roman" w:hAnsi="Times New Roman"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废气</w:t>
                  </w:r>
                </w:p>
              </w:tc>
              <w:tc>
                <w:tcPr>
                  <w:tcW w:w="1527" w:type="dxa"/>
                  <w:tcBorders>
                    <w:top w:val="single" w:color="auto" w:sz="4" w:space="0"/>
                    <w:bottom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施工扬尘</w:t>
                  </w:r>
                </w:p>
              </w:tc>
              <w:tc>
                <w:tcPr>
                  <w:tcW w:w="4933" w:type="dxa"/>
                  <w:tcBorders>
                    <w:top w:val="single" w:color="auto" w:sz="4" w:space="0"/>
                    <w:bottom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场地洒水降尘、运输车辆遮盖篷布等</w:t>
                  </w:r>
                </w:p>
              </w:tc>
              <w:tc>
                <w:tcPr>
                  <w:tcW w:w="1275" w:type="dxa"/>
                  <w:tcBorders>
                    <w:top w:val="single" w:color="auto" w:sz="4" w:space="0"/>
                    <w:bottom w:val="single" w:color="auto" w:sz="4" w:space="0"/>
                  </w:tcBorders>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vMerge w:val="restart"/>
                  <w:tcBorders>
                    <w:top w:val="single" w:color="auto" w:sz="4" w:space="0"/>
                    <w:bottom w:val="single" w:color="auto" w:sz="4" w:space="0"/>
                  </w:tcBorders>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废水</w:t>
                  </w:r>
                </w:p>
              </w:tc>
              <w:tc>
                <w:tcPr>
                  <w:tcW w:w="1527" w:type="dxa"/>
                  <w:tcBorders>
                    <w:top w:val="single" w:color="auto" w:sz="4" w:space="0"/>
                    <w:bottom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施工废水</w:t>
                  </w:r>
                </w:p>
              </w:tc>
              <w:tc>
                <w:tcPr>
                  <w:tcW w:w="4933" w:type="dxa"/>
                  <w:tcBorders>
                    <w:top w:val="single" w:color="auto" w:sz="4" w:space="0"/>
                    <w:bottom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设置临时沉砂池，沉淀后回用</w:t>
                  </w:r>
                </w:p>
              </w:tc>
              <w:tc>
                <w:tcPr>
                  <w:tcW w:w="1275" w:type="dxa"/>
                  <w:tcBorders>
                    <w:top w:val="single" w:color="auto" w:sz="4" w:space="0"/>
                    <w:bottom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vMerge w:val="continue"/>
                  <w:tcBorders>
                    <w:top w:val="single" w:color="auto" w:sz="4" w:space="0"/>
                  </w:tcBorders>
                  <w:noWrap w:val="0"/>
                  <w:vAlign w:val="center"/>
                </w:tcPr>
                <w:p>
                  <w:pPr>
                    <w:spacing w:line="240" w:lineRule="auto"/>
                    <w:ind w:firstLine="0" w:firstLineChars="0"/>
                    <w:jc w:val="center"/>
                    <w:rPr>
                      <w:rFonts w:hint="eastAsia" w:cs="Times New Roman"/>
                      <w:color w:val="000000" w:themeColor="text1"/>
                      <w:kern w:val="0"/>
                      <w:sz w:val="21"/>
                      <w:highlight w:val="none"/>
                      <w:lang w:val="en-US" w:eastAsia="zh-CN"/>
                      <w14:textFill>
                        <w14:solidFill>
                          <w14:schemeClr w14:val="tx1"/>
                        </w14:solidFill>
                      </w14:textFill>
                    </w:rPr>
                  </w:pPr>
                </w:p>
              </w:tc>
              <w:tc>
                <w:tcPr>
                  <w:tcW w:w="1527" w:type="dxa"/>
                  <w:tcBorders>
                    <w:top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生活污水</w:t>
                  </w:r>
                </w:p>
              </w:tc>
              <w:tc>
                <w:tcPr>
                  <w:tcW w:w="4933" w:type="dxa"/>
                  <w:tcBorders>
                    <w:top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设置临沉淀池收集生活污水，定期清理后拉运至奇台县污水处理厂处理</w:t>
                  </w:r>
                </w:p>
              </w:tc>
              <w:tc>
                <w:tcPr>
                  <w:tcW w:w="1275" w:type="dxa"/>
                  <w:tcBorders>
                    <w:top w:val="single" w:color="auto" w:sz="4" w:space="0"/>
                  </w:tcBorders>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固体废物</w:t>
                  </w:r>
                </w:p>
              </w:tc>
              <w:tc>
                <w:tcPr>
                  <w:tcW w:w="152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生活垃圾</w:t>
                  </w:r>
                </w:p>
              </w:tc>
              <w:tc>
                <w:tcPr>
                  <w:tcW w:w="4933" w:type="dxa"/>
                  <w:noWrap w:val="0"/>
                  <w:vAlign w:val="center"/>
                </w:tcPr>
                <w:p>
                  <w:pPr>
                    <w:spacing w:line="240" w:lineRule="auto"/>
                    <w:ind w:firstLine="0" w:firstLineChars="0"/>
                    <w:jc w:val="center"/>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生活垃圾集中收集垃圾设施中，</w:t>
                  </w: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定期清运至奇台县垃圾填埋场</w:t>
                  </w:r>
                </w:p>
              </w:tc>
              <w:tc>
                <w:tcPr>
                  <w:tcW w:w="1275" w:type="dxa"/>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8382" w:type="dxa"/>
                  <w:gridSpan w:val="4"/>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b/>
                      <w:bCs/>
                      <w:color w:val="000000" w:themeColor="text1"/>
                      <w:kern w:val="0"/>
                      <w:sz w:val="21"/>
                      <w:highlight w:val="none"/>
                      <w:lang w:val="en-US" w:eastAsia="zh-CN"/>
                      <w14:textFill>
                        <w14:solidFill>
                          <w14:schemeClr w14:val="tx1"/>
                        </w14:solidFill>
                      </w14:textFill>
                    </w:rPr>
                    <w:t>运营期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噪声</w:t>
                  </w:r>
                </w:p>
              </w:tc>
              <w:tc>
                <w:tcPr>
                  <w:tcW w:w="152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噪声</w:t>
                  </w:r>
                </w:p>
              </w:tc>
              <w:tc>
                <w:tcPr>
                  <w:tcW w:w="4933" w:type="dxa"/>
                  <w:noWrap w:val="0"/>
                  <w:vAlign w:val="center"/>
                </w:tcPr>
                <w:p>
                  <w:pPr>
                    <w:spacing w:line="240" w:lineRule="auto"/>
                    <w:ind w:firstLine="0" w:firstLineChars="0"/>
                    <w:jc w:val="center"/>
                    <w:rPr>
                      <w:rFonts w:hint="eastAsia"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基础减振，加强运行管理</w:t>
                  </w:r>
                </w:p>
              </w:tc>
              <w:tc>
                <w:tcPr>
                  <w:tcW w:w="1275" w:type="dxa"/>
                  <w:noWrap w:val="0"/>
                  <w:vAlign w:val="center"/>
                </w:tcPr>
                <w:p>
                  <w:pPr>
                    <w:spacing w:line="240" w:lineRule="auto"/>
                    <w:ind w:firstLine="0" w:firstLineChars="0"/>
                    <w:jc w:val="center"/>
                    <w:rPr>
                      <w:rFonts w:hint="default"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vMerge w:val="restart"/>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固体废物</w:t>
                  </w:r>
                </w:p>
              </w:tc>
              <w:tc>
                <w:tcPr>
                  <w:tcW w:w="1527" w:type="dxa"/>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废光伏组件</w:t>
                  </w:r>
                </w:p>
              </w:tc>
              <w:tc>
                <w:tcPr>
                  <w:tcW w:w="4933"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废电气组件由厂家更换回收，不在厂区暂存</w:t>
                  </w:r>
                </w:p>
              </w:tc>
              <w:tc>
                <w:tcPr>
                  <w:tcW w:w="1275" w:type="dxa"/>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cs="Times New Roman"/>
                      <w:color w:val="000000" w:themeColor="text1"/>
                      <w:kern w:val="0"/>
                      <w:sz w:val="21"/>
                      <w:highlight w:val="none"/>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vMerge w:val="continue"/>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p>
              </w:tc>
              <w:tc>
                <w:tcPr>
                  <w:tcW w:w="152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废变压器油</w:t>
                  </w:r>
                </w:p>
              </w:tc>
              <w:tc>
                <w:tcPr>
                  <w:tcW w:w="4933"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统一收集，</w:t>
                  </w: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暂存于厂区危废暂存间内，定期</w:t>
                  </w:r>
                  <w:r>
                    <w:rPr>
                      <w:rFonts w:hint="default" w:ascii="Times New Roman" w:hAnsi="Times New Roman" w:cs="Times New Roman"/>
                      <w:color w:val="000000" w:themeColor="text1"/>
                      <w:kern w:val="0"/>
                      <w:sz w:val="21"/>
                      <w:highlight w:val="none"/>
                      <w14:textFill>
                        <w14:solidFill>
                          <w14:schemeClr w14:val="tx1"/>
                        </w14:solidFill>
                      </w14:textFill>
                    </w:rPr>
                    <w:t>委托有资质单位处置</w:t>
                  </w:r>
                </w:p>
              </w:tc>
              <w:tc>
                <w:tcPr>
                  <w:tcW w:w="1275" w:type="dxa"/>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风险</w:t>
                  </w:r>
                </w:p>
              </w:tc>
              <w:tc>
                <w:tcPr>
                  <w:tcW w:w="1527"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变压油泄露</w:t>
                  </w:r>
                </w:p>
              </w:tc>
              <w:tc>
                <w:tcPr>
                  <w:tcW w:w="4933"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变压器油泄露风险通过修建事故油</w:t>
                  </w: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池</w:t>
                  </w:r>
                </w:p>
              </w:tc>
              <w:tc>
                <w:tcPr>
                  <w:tcW w:w="1275"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8" w:hRule="atLeast"/>
                <w:jc w:val="center"/>
              </w:trPr>
              <w:tc>
                <w:tcPr>
                  <w:tcW w:w="2174" w:type="dxa"/>
                  <w:gridSpan w:val="2"/>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生态</w:t>
                  </w:r>
                </w:p>
              </w:tc>
              <w:tc>
                <w:tcPr>
                  <w:tcW w:w="4933" w:type="dxa"/>
                  <w:noWrap w:val="0"/>
                  <w:vAlign w:val="center"/>
                </w:tcPr>
                <w:p>
                  <w:pPr>
                    <w:spacing w:line="240" w:lineRule="auto"/>
                    <w:ind w:firstLine="0" w:firstLineChars="0"/>
                    <w:jc w:val="center"/>
                    <w:rPr>
                      <w:rFonts w:hint="eastAsia"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施工时将剥离的表土集中存放，施工结束后，对施工场地进行全面平整，</w:t>
                  </w: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同时，施工区域采取恢复植被</w:t>
                  </w:r>
                </w:p>
              </w:tc>
              <w:tc>
                <w:tcPr>
                  <w:tcW w:w="1275" w:type="dxa"/>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230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107" w:type="dxa"/>
                  <w:gridSpan w:val="3"/>
                  <w:tcBorders>
                    <w:bottom w:val="single" w:color="auto" w:sz="12" w:space="0"/>
                  </w:tcBorders>
                  <w:noWrap w:val="0"/>
                  <w:vAlign w:val="center"/>
                </w:tcPr>
                <w:p>
                  <w:pPr>
                    <w:spacing w:line="240" w:lineRule="auto"/>
                    <w:ind w:firstLine="0" w:firstLineChars="0"/>
                    <w:jc w:val="center"/>
                    <w:rPr>
                      <w:rFonts w:hint="default" w:ascii="Times New Roman" w:hAnsi="Times New Roman" w:cs="Times New Roman"/>
                      <w:color w:val="000000" w:themeColor="text1"/>
                      <w:kern w:val="0"/>
                      <w:sz w:val="21"/>
                      <w:highlight w:val="none"/>
                      <w14:textFill>
                        <w14:solidFill>
                          <w14:schemeClr w14:val="tx1"/>
                        </w14:solidFill>
                      </w14:textFill>
                    </w:rPr>
                  </w:pPr>
                  <w:r>
                    <w:rPr>
                      <w:rFonts w:hint="default" w:ascii="Times New Roman" w:hAnsi="Times New Roman" w:cs="Times New Roman"/>
                      <w:color w:val="000000" w:themeColor="text1"/>
                      <w:kern w:val="0"/>
                      <w:sz w:val="21"/>
                      <w:highlight w:val="none"/>
                      <w14:textFill>
                        <w14:solidFill>
                          <w14:schemeClr w14:val="tx1"/>
                        </w14:solidFill>
                      </w14:textFill>
                    </w:rPr>
                    <w:t>合计</w:t>
                  </w:r>
                </w:p>
              </w:tc>
              <w:tc>
                <w:tcPr>
                  <w:tcW w:w="1275" w:type="dxa"/>
                  <w:tcBorders>
                    <w:bottom w:val="single" w:color="auto" w:sz="12" w:space="0"/>
                  </w:tcBorders>
                  <w:noWrap w:val="0"/>
                  <w:vAlign w:val="center"/>
                </w:tcPr>
                <w:p>
                  <w:pPr>
                    <w:spacing w:line="240" w:lineRule="auto"/>
                    <w:ind w:firstLine="0" w:firstLineChars="0"/>
                    <w:jc w:val="center"/>
                    <w:rPr>
                      <w:rFonts w:hint="default" w:ascii="Times New Roman" w:hAnsi="Times New Roman" w:eastAsia="宋体" w:cs="Times New Roman"/>
                      <w:color w:val="000000" w:themeColor="text1"/>
                      <w:kern w:val="0"/>
                      <w:sz w:val="21"/>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1"/>
                      <w:highlight w:val="none"/>
                      <w:lang w:val="en-US" w:eastAsia="zh-CN"/>
                      <w14:textFill>
                        <w14:solidFill>
                          <w14:schemeClr w14:val="tx1"/>
                        </w14:solidFill>
                      </w14:textFill>
                    </w:rPr>
                    <w:t>328</w:t>
                  </w:r>
                </w:p>
              </w:tc>
            </w:tr>
          </w:tbl>
          <w:p>
            <w:pPr>
              <w:pStyle w:val="43"/>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p>
          <w:p>
            <w:pPr>
              <w:pStyle w:val="43"/>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jc w:val="both"/>
              <w:textAlignment w:val="auto"/>
              <w:rPr>
                <w:rFonts w:hint="default" w:ascii="Times New Roman" w:hAnsi="Times New Roman" w:eastAsia="宋体" w:cs="Times New Roman"/>
                <w:b/>
                <w:bCs/>
                <w:snapToGrid/>
                <w:color w:val="000000" w:themeColor="text1"/>
                <w:kern w:val="0"/>
                <w:sz w:val="24"/>
                <w:szCs w:val="24"/>
                <w:lang w:val="en-US" w:eastAsia="zh-CN" w:bidi="ar"/>
                <w14:textFill>
                  <w14:solidFill>
                    <w14:schemeClr w14:val="tx1"/>
                  </w14:solidFill>
                </w14:textFill>
              </w:rPr>
            </w:pPr>
          </w:p>
        </w:tc>
      </w:tr>
    </w:tbl>
    <w:p>
      <w:pPr>
        <w:rPr>
          <w:rFonts w:hint="default" w:ascii="Times New Roman" w:hAnsi="Times New Roman" w:eastAsia="宋体" w:cs="Times New Roman"/>
          <w:snapToGrid w:val="0"/>
          <w:color w:val="000000" w:themeColor="text1"/>
          <w:sz w:val="30"/>
          <w:szCs w:val="30"/>
          <w:highlight w:val="yellow"/>
          <w14:textFill>
            <w14:solidFill>
              <w14:schemeClr w14:val="tx1"/>
            </w14:solidFill>
          </w14:textFill>
        </w:rPr>
      </w:pPr>
      <w:r>
        <w:rPr>
          <w:rFonts w:hint="default" w:ascii="Times New Roman" w:hAnsi="Times New Roman" w:eastAsia="宋体" w:cs="Times New Roman"/>
          <w:snapToGrid w:val="0"/>
          <w:color w:val="000000" w:themeColor="text1"/>
          <w:sz w:val="30"/>
          <w:szCs w:val="30"/>
          <w:highlight w:val="yellow"/>
          <w14:textFill>
            <w14:solidFill>
              <w14:schemeClr w14:val="tx1"/>
            </w14:solidFill>
          </w14:textFill>
        </w:rPr>
        <w:br w:type="page"/>
      </w:r>
    </w:p>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240" w:lineRule="auto"/>
        <w:ind w:firstLine="0" w:firstLineChars="0"/>
        <w:jc w:val="center"/>
        <w:textAlignment w:val="auto"/>
        <w:outlineLvl w:val="0"/>
        <w:rPr>
          <w:rFonts w:hint="eastAsia" w:ascii="黑体" w:hAnsi="黑体" w:eastAsia="黑体" w:cs="黑体"/>
          <w:snapToGrid w:val="0"/>
          <w:color w:val="000000" w:themeColor="text1"/>
          <w:sz w:val="30"/>
          <w:szCs w:val="30"/>
          <w:highlight w:val="none"/>
          <w14:textFill>
            <w14:solidFill>
              <w14:schemeClr w14:val="tx1"/>
            </w14:solidFill>
          </w14:textFill>
        </w:rPr>
      </w:pPr>
      <w:bookmarkStart w:id="62" w:name="_Toc15548"/>
      <w:bookmarkStart w:id="63" w:name="_Toc28407"/>
      <w:bookmarkStart w:id="64" w:name="_Toc25397"/>
      <w:bookmarkStart w:id="65" w:name="_Toc23593"/>
      <w:bookmarkStart w:id="66" w:name="_Toc14125"/>
      <w:r>
        <w:rPr>
          <w:rFonts w:hint="eastAsia" w:ascii="黑体" w:hAnsi="黑体" w:eastAsia="黑体" w:cs="黑体"/>
          <w:snapToGrid w:val="0"/>
          <w:color w:val="000000" w:themeColor="text1"/>
          <w:sz w:val="30"/>
          <w:szCs w:val="30"/>
          <w:highlight w:val="none"/>
          <w:lang w:val="en-US" w:eastAsia="zh-CN"/>
          <w14:textFill>
            <w14:solidFill>
              <w14:schemeClr w14:val="tx1"/>
            </w14:solidFill>
          </w14:textFill>
        </w:rPr>
        <w:t>六</w:t>
      </w:r>
      <w:r>
        <w:rPr>
          <w:rFonts w:hint="eastAsia" w:ascii="黑体" w:hAnsi="黑体" w:eastAsia="黑体" w:cs="黑体"/>
          <w:snapToGrid w:val="0"/>
          <w:color w:val="000000" w:themeColor="text1"/>
          <w:sz w:val="30"/>
          <w:szCs w:val="30"/>
          <w:highlight w:val="none"/>
          <w14:textFill>
            <w14:solidFill>
              <w14:schemeClr w14:val="tx1"/>
            </w14:solidFill>
          </w14:textFill>
        </w:rPr>
        <w:t>、</w:t>
      </w:r>
      <w:bookmarkStart w:id="67" w:name="_Hlk54167917"/>
      <w:r>
        <w:rPr>
          <w:rFonts w:hint="eastAsia" w:ascii="黑体" w:hAnsi="黑体" w:eastAsia="黑体" w:cs="黑体"/>
          <w:snapToGrid w:val="0"/>
          <w:color w:val="000000" w:themeColor="text1"/>
          <w:sz w:val="30"/>
          <w:szCs w:val="30"/>
          <w:highlight w:val="none"/>
          <w14:textFill>
            <w14:solidFill>
              <w14:schemeClr w14:val="tx1"/>
            </w14:solidFill>
          </w14:textFill>
        </w:rPr>
        <w:t>生态环境保护措施监督检查清单</w:t>
      </w:r>
      <w:bookmarkEnd w:id="59"/>
      <w:bookmarkEnd w:id="60"/>
      <w:bookmarkEnd w:id="61"/>
      <w:bookmarkEnd w:id="62"/>
      <w:bookmarkEnd w:id="63"/>
      <w:bookmarkEnd w:id="64"/>
      <w:bookmarkEnd w:id="65"/>
      <w:bookmarkEnd w:id="66"/>
      <w:bookmarkEnd w:id="67"/>
    </w:p>
    <w:tbl>
      <w:tblPr>
        <w:tblStyle w:val="35"/>
        <w:tblW w:w="9229"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223"/>
        <w:gridCol w:w="2001"/>
        <w:gridCol w:w="2001"/>
        <w:gridCol w:w="2001"/>
        <w:gridCol w:w="2003"/>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PrEx>
        <w:trPr>
          <w:trHeight w:val="567" w:hRule="atLeast"/>
          <w:jc w:val="center"/>
        </w:trPr>
        <w:tc>
          <w:tcPr>
            <w:tcW w:w="1223" w:type="dxa"/>
            <w:vMerge w:val="restart"/>
            <w:tcBorders>
              <w:tl2br w:val="single" w:color="000000" w:sz="4" w:space="0"/>
            </w:tcBorders>
            <w:vAlign w:val="center"/>
          </w:tcPr>
          <w:p>
            <w:pPr>
              <w:pStyle w:val="68"/>
              <w:keepNext w:val="0"/>
              <w:keepLines w:val="0"/>
              <w:pageBreakBefore w:val="0"/>
              <w:widowControl w:val="0"/>
              <w:kinsoku/>
              <w:wordWrap w:val="0"/>
              <w:overflowPunct/>
              <w:topLinePunct w:val="0"/>
              <w:autoSpaceDE/>
              <w:autoSpaceDN/>
              <w:bidi w:val="0"/>
              <w:adjustRightInd/>
              <w:snapToGrid/>
              <w:spacing w:line="240" w:lineRule="auto"/>
              <w:ind w:left="0" w:firstLine="0" w:firstLineChars="0"/>
              <w:jc w:val="right"/>
              <w:textAlignment w:val="auto"/>
              <w:rPr>
                <w:rFonts w:hint="default" w:ascii="Times New Roman" w:hAnsi="Times New Roman" w:eastAsia="宋体" w:cs="Times New Roman"/>
                <w:color w:val="000000" w:themeColor="text1"/>
                <w:sz w:val="21"/>
                <w:lang w:val="en-US" w:eastAsia="zh-CN"/>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内容</w:t>
            </w:r>
          </w:p>
          <w:p>
            <w:pPr>
              <w:pStyle w:val="68"/>
              <w:keepNext w:val="0"/>
              <w:keepLines w:val="0"/>
              <w:pageBreakBefore w:val="0"/>
              <w:widowControl w:val="0"/>
              <w:kinsoku/>
              <w:wordWrap/>
              <w:overflowPunct/>
              <w:topLinePunct w:val="0"/>
              <w:autoSpaceDE/>
              <w:autoSpaceDN/>
              <w:bidi w:val="0"/>
              <w:adjustRightInd/>
              <w:snapToGrid/>
              <w:spacing w:line="240" w:lineRule="auto"/>
              <w:ind w:left="0" w:leftChars="0" w:firstLine="210" w:firstLineChars="100"/>
              <w:jc w:val="left"/>
              <w:textAlignment w:val="auto"/>
              <w:rPr>
                <w:rFonts w:hint="default" w:ascii="Times New Roman" w:hAnsi="Times New Roman" w:eastAsia="宋体" w:cs="Times New Roman"/>
                <w:color w:val="000000" w:themeColor="text1"/>
                <w:sz w:val="21"/>
                <w14:textFill>
                  <w14:solidFill>
                    <w14:schemeClr w14:val="tx1"/>
                  </w14:solidFill>
                </w14:textFill>
              </w:rPr>
            </w:pPr>
            <w:r>
              <w:rPr>
                <w:rFonts w:hint="default" w:ascii="Times New Roman" w:hAnsi="Times New Roman" w:eastAsia="宋体" w:cs="Times New Roman"/>
                <w:color w:val="000000" w:themeColor="text1"/>
                <w:sz w:val="21"/>
                <w14:textFill>
                  <w14:solidFill>
                    <w14:schemeClr w14:val="tx1"/>
                  </w14:solidFill>
                </w14:textFill>
              </w:rPr>
              <w:t>要素</w:t>
            </w:r>
          </w:p>
        </w:tc>
        <w:tc>
          <w:tcPr>
            <w:tcW w:w="4002" w:type="dxa"/>
            <w:gridSpan w:val="2"/>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施工期</w:t>
            </w:r>
          </w:p>
        </w:tc>
        <w:tc>
          <w:tcPr>
            <w:tcW w:w="4004" w:type="dxa"/>
            <w:gridSpan w:val="2"/>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运营期</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567" w:hRule="atLeast"/>
          <w:jc w:val="center"/>
        </w:trPr>
        <w:tc>
          <w:tcPr>
            <w:tcW w:w="1223" w:type="dxa"/>
            <w:vMerge w:val="continue"/>
            <w:tcBorders>
              <w:tl2br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
                <w:szCs w:val="2"/>
                <w14:textFill>
                  <w14:solidFill>
                    <w14:schemeClr w14:val="tx1"/>
                  </w14:solidFill>
                </w14:textFill>
              </w:rPr>
            </w:pPr>
          </w:p>
        </w:tc>
        <w:tc>
          <w:tcPr>
            <w:tcW w:w="2001"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环境保护措施</w:t>
            </w:r>
          </w:p>
        </w:tc>
        <w:tc>
          <w:tcPr>
            <w:tcW w:w="2001"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验收要求</w:t>
            </w:r>
          </w:p>
        </w:tc>
        <w:tc>
          <w:tcPr>
            <w:tcW w:w="2001"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环境保护措施</w:t>
            </w:r>
          </w:p>
        </w:tc>
        <w:tc>
          <w:tcPr>
            <w:tcW w:w="200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验收要求</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8" w:hRule="atLeast"/>
          <w:jc w:val="center"/>
        </w:trPr>
        <w:tc>
          <w:tcPr>
            <w:tcW w:w="1223" w:type="dxa"/>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陆生生态</w:t>
            </w:r>
          </w:p>
        </w:tc>
        <w:tc>
          <w:tcPr>
            <w:tcW w:w="200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尽量减少占地、控制施工范围、减少扰动面积，作业区四周设置彩带控制作业范围；减少地表开挖裸露时间、避开雨季及大风天气施工及时进行迹地恢复等；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施工结束</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对</w:t>
            </w:r>
            <w:r>
              <w:rPr>
                <w:rFonts w:hint="default" w:ascii="Times New Roman" w:hAnsi="Times New Roman" w:cs="Times New Roman"/>
                <w:color w:val="000000" w:themeColor="text1"/>
                <w:sz w:val="21"/>
                <w:szCs w:val="21"/>
                <w:lang w:val="en-US" w:eastAsia="zh-CN"/>
                <w14:textFill>
                  <w14:solidFill>
                    <w14:schemeClr w14:val="tx1"/>
                  </w14:solidFill>
                </w14:textFill>
              </w:rPr>
              <w:t>施工临时占地</w:t>
            </w:r>
            <w:r>
              <w:rPr>
                <w:rFonts w:hint="eastAsia" w:ascii="Times New Roman" w:hAnsi="Times New Roman" w:cs="Times New Roman"/>
                <w:color w:val="000000" w:themeColor="text1"/>
                <w:sz w:val="21"/>
                <w:szCs w:val="21"/>
                <w:lang w:val="en-US" w:eastAsia="zh-CN"/>
                <w14:textFill>
                  <w14:solidFill>
                    <w14:schemeClr w14:val="tx1"/>
                  </w14:solidFill>
                </w14:textFill>
              </w:rPr>
              <w:t>进行</w:t>
            </w:r>
            <w:r>
              <w:rPr>
                <w:rFonts w:hint="default" w:ascii="Times New Roman" w:hAnsi="Times New Roman" w:cs="Times New Roman"/>
                <w:color w:val="000000" w:themeColor="text1"/>
                <w:sz w:val="21"/>
                <w:szCs w:val="21"/>
                <w:lang w:val="en-US" w:eastAsia="zh-CN"/>
                <w14:textFill>
                  <w14:solidFill>
                    <w14:schemeClr w14:val="tx1"/>
                  </w14:solidFill>
                </w14:textFill>
              </w:rPr>
              <w:t>迹地恢复</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及时清理建筑垃圾、恢复地表状态及土地使用功能</w:t>
            </w:r>
            <w:r>
              <w:rPr>
                <w:rFonts w:hint="eastAsia"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避免因本项目</w:t>
            </w:r>
            <w:r>
              <w:rPr>
                <w:rFonts w:hint="eastAsia" w:cs="Times New Roman"/>
                <w:color w:val="000000" w:themeColor="text1"/>
                <w:sz w:val="21"/>
                <w:szCs w:val="21"/>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建设造成区域植被破坏，水土流失。</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按照相关技术要求进行临时占地的植被恢复和重建，尽可能早地恢复遭受破坏地段的自然生境</w:t>
            </w:r>
            <w:r>
              <w:rPr>
                <w:rFonts w:hint="eastAsia" w:ascii="宋体" w:hAnsi="宋体" w:eastAsia="宋体" w:cs="宋体"/>
                <w:color w:val="000000" w:themeColor="text1"/>
                <w:sz w:val="21"/>
                <w:szCs w:val="21"/>
                <w:lang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本项目对周边生态环境影响可得到有效减 </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缓。</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水生生态</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9"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地表水环境</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施工废水采用沉淀池沉淀处理后，用于施工场地、道路洒水降尘。施工人员</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cs="Times New Roman"/>
                <w:color w:val="000000" w:themeColor="text1"/>
                <w:sz w:val="21"/>
                <w:szCs w:val="21"/>
                <w:highlight w:val="none"/>
                <w:lang w:val="en-US" w:eastAsia="zh-CN"/>
                <w14:textFill>
                  <w14:solidFill>
                    <w14:schemeClr w14:val="tx1"/>
                  </w14:solidFill>
                </w14:textFill>
              </w:rPr>
              <w:t>沉淀池收集后由吸污车拉运至奇台县污水处理厂</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废水合理处置。</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擦拭废水沿板面直接落入光伏组件下方的绿地，用于植被浇灌</w:t>
            </w:r>
            <w:r>
              <w:rPr>
                <w:rFonts w:hint="eastAsia" w:ascii="宋体" w:hAnsi="宋体" w:cs="宋体"/>
                <w:color w:val="000000" w:themeColor="text1"/>
                <w:sz w:val="21"/>
                <w:szCs w:val="21"/>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生活污水经地埋式一体化污水处理设施处理后冬季贮存，夏季用于厂区绿化</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生活污水不外排</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地下水及土壤环境</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8"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声环境</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采用低噪声设备，加强维护保养，严格操作规程</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满足《建筑施工场界环境噪声排放标准》（GB12523-2011）</w:t>
            </w:r>
          </w:p>
        </w:tc>
        <w:tc>
          <w:tcPr>
            <w:tcW w:w="2001" w:type="dxa"/>
            <w:tcBorders>
              <w:tl2br w:val="nil"/>
              <w:tr2bl w:val="nil"/>
            </w:tcBorders>
            <w:vAlign w:val="center"/>
          </w:tcPr>
          <w:p>
            <w:pPr>
              <w:adjustRightInd w:val="0"/>
              <w:snapToGrid w:val="0"/>
              <w:spacing w:line="240" w:lineRule="auto"/>
              <w:ind w:firstLine="420" w:firstLineChars="20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采用低噪设备、距离衰减</w:t>
            </w:r>
          </w:p>
        </w:tc>
        <w:tc>
          <w:tcPr>
            <w:tcW w:w="2003" w:type="dxa"/>
            <w:tcBorders>
              <w:tl2br w:val="nil"/>
              <w:tr2bl w:val="nil"/>
            </w:tcBorders>
            <w:vAlign w:val="center"/>
          </w:tcPr>
          <w:p>
            <w:pPr>
              <w:adjustRightInd w:val="0"/>
              <w:snapToGrid w:val="0"/>
              <w:spacing w:line="240" w:lineRule="auto"/>
              <w:ind w:firstLine="420" w:firstLineChars="20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满足</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《工业企业厂界环境噪声排放标准》（GB12348-2008）2类标准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振动</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8"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大气环境</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道路及施工面洒水降尘</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物料运输篷布遮盖</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土石方采用防尘布（网）苫盖</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禁止焚烧可燃垃圾。</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大气环境质量不因本项目的建设而降低。</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固体废物</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生活垃圾运至就近垃圾转运站处置；施工土方回填、护坡、平整及迹地恢复；施工建筑垃圾，能回收利用的交由废品收购站回收，不能回收利用的运至当地建筑垃圾处置场进行处置</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施工现场无遗留固体废弃物。</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废光伏组件由生产厂商进行更换后回收，不在厂区暂存。废电池组件委托厂家进行回收并置换新电池组件。废变压器油危废暂存间暂存，交有资质单位处置。</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符</w:t>
            </w:r>
            <w:r>
              <w:rPr>
                <w:rFonts w:hint="eastAsia" w:asciiTheme="minorEastAsia" w:hAnsiTheme="minorEastAsia" w:eastAsiaTheme="minorEastAsia" w:cstheme="minorEastAsia"/>
                <w:color w:val="000000" w:themeColor="text1"/>
                <w:kern w:val="2"/>
                <w:sz w:val="21"/>
                <w:szCs w:val="21"/>
                <w:highlight w:val="none"/>
                <w:lang w:val="en-US" w:eastAsia="zh-CN" w:bidi="ar-SA"/>
                <w14:textFill>
                  <w14:solidFill>
                    <w14:schemeClr w14:val="tx1"/>
                  </w14:solidFill>
                </w14:textFill>
              </w:rPr>
              <w:t>合《一般工业固体废物贮存和填埋污染控制标准》（GB18599--2020）和《危险废物贮存污染控制标准》（GB18597－2023）的标准要求</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8"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电磁环境</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环境风险</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设置事故油池，事故废油交有资质单位处置</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事故废油不外排</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78"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环境监测</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按监测计划进行环境监测。</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委托有资质的单位开展监测或自行监测，确保声环境满足监测计划要求。</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Ex>
        <w:trPr>
          <w:trHeight w:val="681" w:hRule="atLeast"/>
          <w:jc w:val="center"/>
        </w:trPr>
        <w:tc>
          <w:tcPr>
            <w:tcW w:w="1223" w:type="dxa"/>
            <w:tcBorders>
              <w:tl2br w:val="nil"/>
              <w:tr2bl w:val="nil"/>
            </w:tcBorders>
            <w:vAlign w:val="center"/>
          </w:tcPr>
          <w:p>
            <w:pPr>
              <w:pStyle w:val="68"/>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4"/>
                <w14:textFill>
                  <w14:solidFill>
                    <w14:schemeClr w14:val="tx1"/>
                  </w14:solidFill>
                </w14:textFill>
              </w:rPr>
            </w:pPr>
            <w:r>
              <w:rPr>
                <w:rFonts w:hint="default" w:ascii="Times New Roman" w:hAnsi="Times New Roman" w:eastAsia="宋体" w:cs="Times New Roman"/>
                <w:color w:val="000000" w:themeColor="text1"/>
                <w:sz w:val="21"/>
                <w:szCs w:val="24"/>
                <w14:textFill>
                  <w14:solidFill>
                    <w14:schemeClr w14:val="tx1"/>
                  </w14:solidFill>
                </w14:textFill>
              </w:rPr>
              <w:t>其他</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tc>
        <w:tc>
          <w:tcPr>
            <w:tcW w:w="20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竣工后应及时验收。</w:t>
            </w:r>
          </w:p>
        </w:tc>
        <w:tc>
          <w:tcPr>
            <w:tcW w:w="200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竣工后应及时组织开展自主验收。</w:t>
            </w:r>
          </w:p>
        </w:tc>
      </w:tr>
    </w:tbl>
    <w:p>
      <w:pPr>
        <w:pStyle w:val="31"/>
        <w:keepNext w:val="0"/>
        <w:keepLines w:val="0"/>
        <w:pageBreakBefore w:val="0"/>
        <w:widowControl/>
        <w:numPr>
          <w:ilvl w:val="0"/>
          <w:numId w:val="0"/>
        </w:numPr>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outlineLvl w:val="0"/>
        <w:rPr>
          <w:rFonts w:hint="eastAsia" w:ascii="黑体" w:hAnsi="黑体" w:eastAsia="黑体" w:cs="黑体"/>
          <w:snapToGrid w:val="0"/>
          <w:color w:val="000000" w:themeColor="text1"/>
          <w:sz w:val="30"/>
          <w:szCs w:val="30"/>
          <w:highlight w:val="none"/>
          <w14:textFill>
            <w14:solidFill>
              <w14:schemeClr w14:val="tx1"/>
            </w14:solidFill>
          </w14:textFill>
        </w:rPr>
      </w:pPr>
      <w:r>
        <w:rPr>
          <w:rFonts w:hint="default" w:ascii="Times New Roman" w:hAnsi="Times New Roman" w:eastAsia="宋体" w:cs="Times New Roman"/>
          <w:snapToGrid w:val="0"/>
          <w:color w:val="000000" w:themeColor="text1"/>
          <w:highlight w:val="yellow"/>
          <w14:textFill>
            <w14:solidFill>
              <w14:schemeClr w14:val="tx1"/>
            </w14:solidFill>
          </w14:textFill>
        </w:rPr>
        <w:br w:type="page"/>
      </w:r>
      <w:bookmarkStart w:id="68" w:name="_Toc18038"/>
      <w:bookmarkStart w:id="69" w:name="_Toc12529"/>
      <w:bookmarkStart w:id="70" w:name="_Toc3150"/>
      <w:bookmarkStart w:id="71" w:name="_Toc24279"/>
      <w:bookmarkStart w:id="72" w:name="_Toc28623"/>
      <w:bookmarkStart w:id="73" w:name="_Toc3814"/>
      <w:bookmarkStart w:id="74" w:name="_Toc10398"/>
      <w:bookmarkStart w:id="75" w:name="_Toc23482"/>
      <w:r>
        <w:rPr>
          <w:rFonts w:hint="eastAsia" w:ascii="黑体" w:hAnsi="黑体" w:eastAsia="黑体" w:cs="黑体"/>
          <w:snapToGrid w:val="0"/>
          <w:color w:val="000000" w:themeColor="text1"/>
          <w:sz w:val="30"/>
          <w:szCs w:val="30"/>
          <w:highlight w:val="none"/>
          <w:lang w:val="en-US" w:eastAsia="zh-CN"/>
          <w14:textFill>
            <w14:solidFill>
              <w14:schemeClr w14:val="tx1"/>
            </w14:solidFill>
          </w14:textFill>
        </w:rPr>
        <w:t>七、</w:t>
      </w:r>
      <w:r>
        <w:rPr>
          <w:rFonts w:hint="eastAsia" w:ascii="黑体" w:hAnsi="黑体" w:eastAsia="黑体" w:cs="黑体"/>
          <w:snapToGrid w:val="0"/>
          <w:color w:val="000000" w:themeColor="text1"/>
          <w:sz w:val="30"/>
          <w:szCs w:val="30"/>
          <w:highlight w:val="none"/>
          <w14:textFill>
            <w14:solidFill>
              <w14:schemeClr w14:val="tx1"/>
            </w14:solidFill>
          </w14:textFill>
        </w:rPr>
        <w:t>结论</w:t>
      </w:r>
      <w:bookmarkEnd w:id="68"/>
      <w:bookmarkEnd w:id="69"/>
      <w:bookmarkEnd w:id="70"/>
      <w:bookmarkEnd w:id="71"/>
      <w:bookmarkEnd w:id="72"/>
      <w:bookmarkEnd w:id="73"/>
      <w:bookmarkEnd w:id="74"/>
      <w:bookmarkEnd w:id="75"/>
    </w:p>
    <w:tbl>
      <w:tblPr>
        <w:tblStyle w:val="36"/>
        <w:tblW w:w="9060" w:type="dxa"/>
        <w:tblInd w:w="0" w:type="dxa"/>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9060"/>
      </w:tblGrid>
      <w:tr>
        <w:tblPrEx>
          <w:tblBorders>
            <w:top w:val="single" w:color="auto" w:sz="8"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Ex>
        <w:trPr>
          <w:trHeight w:val="12059" w:hRule="atLeast"/>
        </w:trPr>
        <w:tc>
          <w:tcPr>
            <w:tcW w:w="9060" w:type="dxa"/>
            <w:tcBorders>
              <w:tl2br w:val="nil"/>
              <w:tr2bl w:val="nil"/>
            </w:tcBorders>
            <w:vAlign w:val="top"/>
          </w:tcPr>
          <w:p>
            <w:pPr>
              <w:pStyle w:val="31"/>
              <w:keepNext w:val="0"/>
              <w:keepLines w:val="0"/>
              <w:pageBreakBefore w:val="0"/>
              <w:widowControl/>
              <w:kinsoku/>
              <w:wordWrap/>
              <w:overflowPunct/>
              <w:topLinePunct w:val="0"/>
              <w:autoSpaceDE/>
              <w:autoSpaceDN/>
              <w:bidi w:val="0"/>
              <w:adjustRightInd/>
              <w:snapToGrid/>
              <w:spacing w:before="157" w:beforeLines="50" w:beforeAutospacing="0" w:after="157" w:afterLines="50" w:afterAutospacing="0" w:line="360" w:lineRule="auto"/>
              <w:ind w:left="0" w:leftChars="0" w:firstLine="480" w:firstLineChars="200"/>
              <w:jc w:val="both"/>
              <w:textAlignment w:val="auto"/>
              <w:outlineLvl w:val="9"/>
              <w:rPr>
                <w:rFonts w:hint="default" w:ascii="Times New Roman" w:hAnsi="Times New Roman" w:eastAsia="宋体" w:cs="Times New Roman"/>
                <w:color w:val="000000" w:themeColor="text1"/>
                <w14:textFill>
                  <w14:solidFill>
                    <w14:schemeClr w14:val="tx1"/>
                  </w14:solidFill>
                </w14:textFill>
              </w:rPr>
            </w:pPr>
            <w:bookmarkStart w:id="76" w:name="_Toc5549"/>
            <w:bookmarkStart w:id="77" w:name="_Toc19021"/>
            <w:r>
              <w:rPr>
                <w:rFonts w:hint="eastAsia" w:ascii="Times New Roman" w:hAnsi="Times New Roman" w:cs="Times New Roman"/>
                <w:color w:val="000000" w:themeColor="text1"/>
                <w:lang w:val="en-US" w:eastAsia="zh-CN"/>
                <w14:textFill>
                  <w14:solidFill>
                    <w14:schemeClr w14:val="tx1"/>
                  </w14:solidFill>
                </w14:textFill>
              </w:rPr>
              <w:t>项目</w:t>
            </w:r>
            <w:r>
              <w:rPr>
                <w:rFonts w:hint="default" w:ascii="Times New Roman" w:hAnsi="Times New Roman" w:eastAsia="宋体" w:cs="Times New Roman"/>
                <w:color w:val="000000" w:themeColor="text1"/>
                <w:lang w:val="en-US" w:eastAsia="zh-CN"/>
                <w14:textFill>
                  <w14:solidFill>
                    <w14:schemeClr w14:val="tx1"/>
                  </w14:solidFill>
                </w14:textFill>
              </w:rPr>
              <w:t>建设符合国家产业政策及相关规划要求，选址合理，项目周边无明显环境制约因素，符合本项目所在区域</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三线一单</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管控要求。在严格落实本环评提出的环保措施的前提下，项目排放的各类污染物对区域环境影响不大，生态环境影响可接受。因此，本项目的建设从环保角度上分析是可行的。</w:t>
            </w:r>
            <w:bookmarkEnd w:id="76"/>
            <w:bookmarkEnd w:id="77"/>
          </w:p>
        </w:tc>
      </w:tr>
    </w:tbl>
    <w:p>
      <w:pPr>
        <w:ind w:left="0" w:leftChars="0" w:firstLine="0" w:firstLineChars="0"/>
        <w:outlineLvl w:val="9"/>
        <w:rPr>
          <w:rFonts w:hint="default" w:ascii="Times New Roman" w:hAnsi="Times New Roman" w:eastAsia="宋体" w:cs="Times New Roman"/>
          <w:b/>
          <w:bCs/>
          <w:color w:val="000000" w:themeColor="text1"/>
          <w:highlight w:val="yellow"/>
          <w14:textFill>
            <w14:solidFill>
              <w14:schemeClr w14:val="tx1"/>
            </w14:solidFill>
          </w14:textFill>
        </w:rPr>
      </w:pPr>
    </w:p>
    <w:p>
      <w:pPr>
        <w:pStyle w:val="25"/>
        <w:rPr>
          <w:rFonts w:hint="default" w:ascii="Times New Roman" w:hAnsi="Times New Roman" w:eastAsia="宋体" w:cs="Times New Roman"/>
          <w:b/>
          <w:bCs/>
          <w:color w:val="000000" w:themeColor="text1"/>
          <w:highlight w:val="yellow"/>
          <w14:textFill>
            <w14:solidFill>
              <w14:schemeClr w14:val="tx1"/>
            </w14:solidFill>
          </w14:textFill>
        </w:rPr>
      </w:pPr>
    </w:p>
    <w:p>
      <w:pPr>
        <w:keepNext w:val="0"/>
        <w:keepLines w:val="0"/>
        <w:widowControl/>
        <w:suppressLineNumbers w:val="0"/>
        <w:ind w:left="0" w:leftChars="0" w:firstLine="0" w:firstLineChars="0"/>
        <w:jc w:val="center"/>
        <w:rPr>
          <w:rFonts w:hint="default" w:ascii="Times New Roman" w:hAnsi="Times New Roman" w:eastAsia="宋体" w:cs="Times New Roman"/>
          <w:b/>
          <w:bCs/>
          <w:color w:val="000000" w:themeColor="text1"/>
          <w:kern w:val="0"/>
          <w:sz w:val="40"/>
          <w:szCs w:val="40"/>
          <w:lang w:val="en-US" w:eastAsia="zh-CN" w:bidi="ar"/>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26" w:charSpace="0"/>
        </w:sectPr>
      </w:pPr>
    </w:p>
    <w:p>
      <w:pPr>
        <w:pStyle w:val="31"/>
        <w:adjustRightInd w:val="0"/>
        <w:snapToGrid w:val="0"/>
        <w:spacing w:before="0" w:beforeAutospacing="0" w:after="0" w:afterAutospacing="0" w:line="360" w:lineRule="auto"/>
        <w:outlineLvl w:val="0"/>
        <w:rPr>
          <w:rFonts w:hint="default" w:ascii="Times New Roman" w:hAnsi="Times New Roman" w:eastAsia="黑体"/>
          <w:snapToGrid w:val="0"/>
          <w:color w:val="auto"/>
          <w:sz w:val="32"/>
          <w:szCs w:val="32"/>
          <w:highlight w:val="none"/>
          <w:lang w:val="en-US" w:eastAsia="zh-CN"/>
        </w:rPr>
      </w:pPr>
      <w:r>
        <w:rPr>
          <w:rFonts w:hint="default" w:ascii="Times New Roman" w:hAnsi="Times New Roman" w:eastAsia="黑体"/>
          <w:snapToGrid w:val="0"/>
          <w:color w:val="auto"/>
          <w:sz w:val="32"/>
          <w:szCs w:val="32"/>
          <w:highlight w:val="none"/>
          <w:lang w:val="en-US" w:eastAsia="zh-CN"/>
        </w:rPr>
        <w:t>附图：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附图1：项目地理位置图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附图2：项目平面布置图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附图3：项目在新疆主体功能区划的位置图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附图4：项目在新疆生态功能区划的位置图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附图5：项目在</w:t>
      </w:r>
      <w:r>
        <w:rPr>
          <w:rFonts w:hint="default" w:ascii="Times New Roman" w:hAnsi="Times New Roman" w:eastAsia="宋体" w:cs="Times New Roman"/>
          <w:color w:val="auto"/>
          <w:sz w:val="24"/>
          <w:szCs w:val="32"/>
          <w:highlight w:val="none"/>
          <w:lang w:val="en-US" w:eastAsia="zh-CN"/>
        </w:rPr>
        <w:t>昌吉州“三线一单”生态环境分区管控</w:t>
      </w:r>
      <w:r>
        <w:rPr>
          <w:rFonts w:hint="eastAsia" w:ascii="Times New Roman" w:hAnsi="Times New Roman" w:eastAsia="宋体" w:cs="Times New Roman"/>
          <w:color w:val="auto"/>
          <w:sz w:val="24"/>
          <w:szCs w:val="32"/>
          <w:highlight w:val="none"/>
          <w:lang w:val="en-US" w:eastAsia="zh-CN"/>
        </w:rPr>
        <w:t>单元的位置图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附图6：项目评价区域植被类型图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附图7：项目评价区域土地利用现状图</w:t>
      </w:r>
    </w:p>
    <w:p>
      <w:pPr>
        <w:spacing w:line="360" w:lineRule="auto"/>
        <w:ind w:firstLine="480" w:firstLineChars="200"/>
        <w:jc w:val="both"/>
        <w:rPr>
          <w:rFonts w:hint="eastAsia"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附图8：项目评价区域土壤类型图</w:t>
      </w:r>
    </w:p>
    <w:p>
      <w:pPr>
        <w:pStyle w:val="31"/>
        <w:adjustRightInd w:val="0"/>
        <w:snapToGrid w:val="0"/>
        <w:spacing w:before="0" w:beforeAutospacing="0" w:after="0" w:afterAutospacing="0" w:line="360" w:lineRule="auto"/>
        <w:outlineLvl w:val="0"/>
        <w:rPr>
          <w:rFonts w:hint="default" w:ascii="Times New Roman" w:hAnsi="Times New Roman" w:eastAsia="黑体"/>
          <w:snapToGrid w:val="0"/>
          <w:color w:val="auto"/>
          <w:sz w:val="32"/>
          <w:szCs w:val="32"/>
          <w:highlight w:val="none"/>
          <w:lang w:val="en-US" w:eastAsia="zh-CN"/>
        </w:rPr>
      </w:pPr>
    </w:p>
    <w:p>
      <w:pPr>
        <w:pStyle w:val="31"/>
        <w:adjustRightInd w:val="0"/>
        <w:snapToGrid w:val="0"/>
        <w:spacing w:before="0" w:beforeAutospacing="0" w:after="0" w:afterAutospacing="0" w:line="360" w:lineRule="auto"/>
        <w:outlineLvl w:val="0"/>
        <w:rPr>
          <w:rFonts w:hint="default" w:ascii="Times New Roman" w:hAnsi="Times New Roman" w:eastAsia="黑体"/>
          <w:snapToGrid w:val="0"/>
          <w:color w:val="auto"/>
          <w:sz w:val="32"/>
          <w:szCs w:val="32"/>
          <w:highlight w:val="none"/>
          <w:lang w:val="en-US" w:eastAsia="zh-CN"/>
        </w:rPr>
      </w:pPr>
      <w:r>
        <w:rPr>
          <w:rFonts w:hint="default" w:ascii="Times New Roman" w:hAnsi="Times New Roman" w:eastAsia="黑体"/>
          <w:snapToGrid w:val="0"/>
          <w:color w:val="auto"/>
          <w:sz w:val="32"/>
          <w:szCs w:val="32"/>
          <w:highlight w:val="none"/>
          <w:lang w:val="en-US" w:eastAsia="zh-CN"/>
        </w:rPr>
        <w:t>附件：</w:t>
      </w:r>
    </w:p>
    <w:p>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color w:val="auto"/>
          <w:sz w:val="24"/>
          <w:szCs w:val="24"/>
          <w:highlight w:val="none"/>
          <w:lang w:val="en-US" w:eastAsia="zh-CN"/>
        </w:rPr>
        <w:t>附</w:t>
      </w:r>
      <w:r>
        <w:rPr>
          <w:rFonts w:hint="default" w:ascii="Times New Roman" w:hAnsi="Times New Roman" w:eastAsia="宋体" w:cs="Times New Roman"/>
          <w:color w:val="auto"/>
          <w:sz w:val="24"/>
          <w:szCs w:val="24"/>
          <w:highlight w:val="none"/>
          <w:lang w:val="en-US" w:eastAsia="zh-CN"/>
        </w:rPr>
        <w:t>件1：委托书</w:t>
      </w:r>
    </w:p>
    <w:p>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附件2：项目备案</w:t>
      </w:r>
    </w:p>
    <w:p>
      <w:pPr>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附件</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营业执照</w:t>
      </w:r>
    </w:p>
    <w:p>
      <w:pPr>
        <w:pStyle w:val="12"/>
        <w:rPr>
          <w:rFonts w:hint="default"/>
          <w:color w:val="000000" w:themeColor="text1"/>
          <w:lang w:val="en-US" w:eastAsia="zh-CN"/>
          <w14:textFill>
            <w14:solidFill>
              <w14:schemeClr w14:val="tx1"/>
            </w14:solidFill>
          </w14:textFill>
        </w:rPr>
      </w:pPr>
    </w:p>
    <w:p>
      <w:pPr>
        <w:rPr>
          <w:rFonts w:hint="default" w:ascii="Times New Roman" w:hAnsi="Times New Roman" w:eastAsia="宋体" w:cs="Times New Roman"/>
          <w:color w:val="000000" w:themeColor="text1"/>
          <w:lang w:val="en-US" w:eastAsia="zh-CN"/>
          <w14:textFill>
            <w14:solidFill>
              <w14:schemeClr w14:val="tx1"/>
            </w14:solidFill>
          </w14:textFill>
        </w:rPr>
      </w:pPr>
    </w:p>
    <w:p>
      <w:pPr>
        <w:rPr>
          <w:rFonts w:hint="default" w:ascii="Times New Roman" w:hAnsi="Times New Roman" w:eastAsia="宋体" w:cs="Times New Roman"/>
          <w:color w:val="000000" w:themeColor="text1"/>
          <w:lang w:val="en-US" w:eastAsia="zh-CN"/>
          <w14:textFill>
            <w14:solidFill>
              <w14:schemeClr w14:val="tx1"/>
            </w14:solidFill>
          </w14:textFill>
        </w:rPr>
      </w:pPr>
    </w:p>
    <w:p>
      <w:pPr>
        <w:pStyle w:val="2"/>
        <w:rPr>
          <w:rFonts w:hint="default" w:ascii="Times New Roman" w:hAnsi="Times New Roman" w:eastAsia="宋体" w:cs="Times New Roman"/>
          <w:color w:val="000000" w:themeColor="text1"/>
          <w:lang w:val="en-US" w:eastAsia="zh-CN"/>
          <w14:textFill>
            <w14:solidFill>
              <w14:schemeClr w14:val="tx1"/>
            </w14:solidFill>
          </w14:textFill>
        </w:rPr>
      </w:pPr>
    </w:p>
    <w:p>
      <w:pPr>
        <w:pStyle w:val="3"/>
        <w:rPr>
          <w:rFonts w:hint="default" w:ascii="Times New Roman" w:hAnsi="Times New Roman" w:eastAsia="宋体" w:cs="Times New Roman"/>
          <w:color w:val="000000" w:themeColor="text1"/>
          <w:lang w:val="en-US" w:eastAsia="zh-CN"/>
          <w14:textFill>
            <w14:solidFill>
              <w14:schemeClr w14:val="tx1"/>
            </w14:solidFill>
          </w14:textFill>
        </w:rPr>
      </w:pPr>
    </w:p>
    <w:p>
      <w:pPr>
        <w:pStyle w:val="3"/>
        <w:rPr>
          <w:rFonts w:hint="default" w:ascii="Times New Roman" w:hAnsi="Times New Roman" w:eastAsia="宋体" w:cs="Times New Roman"/>
          <w:color w:val="000000" w:themeColor="text1"/>
          <w:lang w:val="en-US" w:eastAsia="zh-CN"/>
          <w14:textFill>
            <w14:solidFill>
              <w14:schemeClr w14:val="tx1"/>
            </w14:solidFill>
          </w14:textFill>
        </w:rPr>
      </w:pPr>
    </w:p>
    <w:p>
      <w:pPr>
        <w:pStyle w:val="3"/>
        <w:rPr>
          <w:rFonts w:hint="default" w:ascii="Times New Roman" w:hAnsi="Times New Roman" w:eastAsia="宋体" w:cs="Times New Roman"/>
          <w:color w:val="000000" w:themeColor="text1"/>
          <w:lang w:val="en-US" w:eastAsia="zh-CN"/>
          <w14:textFill>
            <w14:solidFill>
              <w14:schemeClr w14:val="tx1"/>
            </w14:solidFill>
          </w14:textFill>
        </w:rPr>
      </w:pPr>
    </w:p>
    <w:p>
      <w:pPr>
        <w:pStyle w:val="3"/>
        <w:rPr>
          <w:rFonts w:hint="default" w:ascii="Times New Roman" w:hAnsi="Times New Roman" w:eastAsia="宋体" w:cs="Times New Roman"/>
          <w:color w:val="000000" w:themeColor="text1"/>
          <w:lang w:val="en-US" w:eastAsia="zh-CN"/>
          <w14:textFill>
            <w14:solidFill>
              <w14:schemeClr w14:val="tx1"/>
            </w14:solidFill>
          </w14:textFill>
        </w:rPr>
      </w:pPr>
    </w:p>
    <w:p>
      <w:pPr>
        <w:pStyle w:val="3"/>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cols w:space="720" w:num="1"/>
          <w:docGrid w:type="lines" w:linePitch="312" w:charSpace="0"/>
        </w:sectPr>
      </w:pPr>
    </w:p>
    <w:p>
      <w:pPr>
        <w:ind w:left="0" w:leftChars="0" w:firstLine="0" w:firstLineChars="0"/>
        <w:jc w:val="center"/>
        <w:rPr>
          <w:rFonts w:hint="default" w:ascii="Times New Roman" w:hAnsi="Times New Roman" w:cs="Times New Roman"/>
          <w:b/>
          <w:bCs/>
          <w:sz w:val="28"/>
          <w:szCs w:val="36"/>
          <w:lang w:val="en-US" w:eastAsia="zh-CN"/>
        </w:rPr>
        <w:sectPr>
          <w:pgSz w:w="16838" w:h="11906" w:orient="landscape"/>
          <w:pgMar w:top="1800" w:right="1440" w:bottom="1800" w:left="1440" w:header="851" w:footer="992" w:gutter="0"/>
          <w:cols w:space="720" w:num="1"/>
          <w:docGrid w:type="lines" w:linePitch="312" w:charSpace="0"/>
        </w:sectPr>
      </w:pPr>
      <w:r>
        <w:rPr>
          <w:sz w:val="21"/>
        </w:rPr>
        <mc:AlternateContent>
          <mc:Choice Requires="wps">
            <w:drawing>
              <wp:anchor distT="0" distB="0" distL="114300" distR="114300" simplePos="0" relativeHeight="251662336" behindDoc="0" locked="0" layoutInCell="1" allowOverlap="1">
                <wp:simplePos x="0" y="0"/>
                <wp:positionH relativeFrom="column">
                  <wp:posOffset>3686810</wp:posOffset>
                </wp:positionH>
                <wp:positionV relativeFrom="paragraph">
                  <wp:posOffset>3239135</wp:posOffset>
                </wp:positionV>
                <wp:extent cx="1581150" cy="419100"/>
                <wp:effectExtent l="12700" t="1490345" r="21590" b="26035"/>
                <wp:wrapNone/>
                <wp:docPr id="20" name="圆角矩形标注 20"/>
                <wp:cNvGraphicFramePr/>
                <a:graphic xmlns:a="http://schemas.openxmlformats.org/drawingml/2006/main">
                  <a:graphicData uri="http://schemas.microsoft.com/office/word/2010/wordprocessingShape">
                    <wps:wsp>
                      <wps:cNvSpPr/>
                      <wps:spPr>
                        <a:xfrm>
                          <a:off x="4135755" y="4146550"/>
                          <a:ext cx="1581150" cy="419100"/>
                        </a:xfrm>
                        <a:prstGeom prst="wedgeRoundRectCallout">
                          <a:avLst>
                            <a:gd name="adj1" fmla="val -31285"/>
                            <a:gd name="adj2" fmla="val -402575"/>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sz w:val="24"/>
                                <w:szCs w:val="32"/>
                                <w:lang w:val="en-US" w:eastAsia="zh-CN"/>
                              </w:rPr>
                            </w:pPr>
                            <w:r>
                              <w:rPr>
                                <w:rFonts w:hint="eastAsia"/>
                                <w:sz w:val="24"/>
                                <w:szCs w:val="32"/>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0.3pt;margin-top:255.05pt;height:33pt;width:124.5pt;z-index:251662336;v-text-anchor:middle;mso-width-relative:page;mso-height-relative:page;" fillcolor="#FFFFFF" filled="t" stroked="t" coordsize="21600,21600" o:gfxdata="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Yt7FzNkAAAALAQAADwAAAAAAAAABACAAAAAiAAAAZHJz&#10;L2Rvd25yZXYueG1sUEsBAhQAFAAAAAgAh07iQPWcE2euAgAASwUAAA4AAAAAAAAAAQAgAAAAKAEA&#10;AGRycy9lMm9Eb2MueG1sUEsFBgAAAAAGAAYAWQEAAEgGAAAAAA==&#10;" adj="4042,-76156,14400">
                <v:fill on="t" focussize="0,0"/>
                <v:stroke weight="2pt" color="#000000" joinstyle="round"/>
                <v:imagedata o:title=""/>
                <o:lock v:ext="edit" aspectratio="f"/>
                <v:textbox>
                  <w:txbxContent>
                    <w:p>
                      <w:pPr>
                        <w:jc w:val="center"/>
                        <w:rPr>
                          <w:rFonts w:hint="default" w:eastAsia="宋体"/>
                          <w:sz w:val="24"/>
                          <w:szCs w:val="32"/>
                          <w:lang w:val="en-US" w:eastAsia="zh-CN"/>
                        </w:rPr>
                      </w:pPr>
                      <w:r>
                        <w:rPr>
                          <w:rFonts w:hint="eastAsia"/>
                          <w:sz w:val="24"/>
                          <w:szCs w:val="32"/>
                          <w:lang w:val="en-US" w:eastAsia="zh-CN"/>
                        </w:rPr>
                        <w:t>本项目所在地</w:t>
                      </w:r>
                    </w:p>
                  </w:txbxContent>
                </v:textbox>
              </v:shape>
            </w:pict>
          </mc:Fallback>
        </mc:AlternateContent>
      </w:r>
      <w:r>
        <w:rPr>
          <w:rFonts w:hint="default"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8808085" cy="4603750"/>
            <wp:effectExtent l="0" t="0" r="635" b="13970"/>
            <wp:docPr id="19"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
                    <pic:cNvPicPr>
                      <a:picLocks noChangeAspect="1"/>
                    </pic:cNvPicPr>
                  </pic:nvPicPr>
                  <pic:blipFill>
                    <a:blip r:embed="rId24"/>
                    <a:stretch>
                      <a:fillRect/>
                    </a:stretch>
                  </pic:blipFill>
                  <pic:spPr>
                    <a:xfrm>
                      <a:off x="0" y="0"/>
                      <a:ext cx="8808085" cy="4603750"/>
                    </a:xfrm>
                    <a:prstGeom prst="rect">
                      <a:avLst/>
                    </a:prstGeom>
                  </pic:spPr>
                </pic:pic>
              </a:graphicData>
            </a:graphic>
          </wp:inline>
        </w:drawing>
      </w:r>
      <w:r>
        <w:rPr>
          <w:rFonts w:hint="default" w:ascii="Times New Roman" w:hAnsi="Times New Roman" w:cs="Times New Roman"/>
          <w:b/>
          <w:bCs/>
          <w:sz w:val="28"/>
          <w:szCs w:val="36"/>
          <w:lang w:val="en-US" w:eastAsia="zh-CN"/>
        </w:rPr>
        <w:t>附图1     项目地理位置图</w:t>
      </w:r>
    </w:p>
    <w:tbl>
      <w:tblPr>
        <w:tblStyle w:val="36"/>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4"/>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74" w:type="dxa"/>
            <w:gridSpan w:val="2"/>
            <w:noWrap w:val="0"/>
            <w:vAlign w:val="top"/>
          </w:tcPr>
          <w:p>
            <w:pPr>
              <w:jc w:val="center"/>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bCs/>
                <w:sz w:val="28"/>
                <w:szCs w:val="36"/>
                <w:vertAlign w:val="baseline"/>
                <w:lang w:val="en-US" w:eastAsia="zh-CN"/>
              </w:rPr>
              <w:drawing>
                <wp:inline distT="0" distB="0" distL="114300" distR="114300">
                  <wp:extent cx="7278370" cy="4535805"/>
                  <wp:effectExtent l="0" t="0" r="6350" b="5715"/>
                  <wp:docPr id="29" name="图片 29" descr="微信截图_2023092411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截图_20230924114941"/>
                          <pic:cNvPicPr>
                            <a:picLocks noChangeAspect="1"/>
                          </pic:cNvPicPr>
                        </pic:nvPicPr>
                        <pic:blipFill>
                          <a:blip r:embed="rId25"/>
                          <a:stretch>
                            <a:fillRect/>
                          </a:stretch>
                        </pic:blipFill>
                        <pic:spPr>
                          <a:xfrm>
                            <a:off x="0" y="0"/>
                            <a:ext cx="7278370" cy="4535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74" w:type="dxa"/>
            <w:gridSpan w:val="2"/>
            <w:noWrap w:val="0"/>
            <w:vAlign w:val="top"/>
          </w:tcPr>
          <w:p>
            <w:pPr>
              <w:spacing w:line="240" w:lineRule="auto"/>
              <w:jc w:val="center"/>
              <w:rPr>
                <w:rFonts w:hint="default" w:ascii="Times New Roman" w:hAnsi="Times New Roman" w:cs="Times New Roman"/>
                <w:b/>
                <w:bCs/>
                <w:sz w:val="28"/>
                <w:szCs w:val="36"/>
                <w:vertAlign w:val="baseline"/>
                <w:lang w:val="en-US" w:eastAsia="zh-CN"/>
              </w:rPr>
            </w:pPr>
            <w:r>
              <w:rPr>
                <w:rFonts w:hint="eastAsia" w:ascii="Times New Roman" w:hAnsi="Times New Roman" w:cs="Times New Roman"/>
                <w:b/>
                <w:bCs/>
                <w:sz w:val="28"/>
                <w:szCs w:val="36"/>
                <w:lang w:val="en-US" w:eastAsia="zh-CN"/>
              </w:rPr>
              <w:t>附图2       项目平面布置图</w:t>
            </w:r>
            <w:r>
              <w:rPr>
                <w:sz w:val="28"/>
              </w:rPr>
              <mc:AlternateContent>
                <mc:Choice Requires="wps">
                  <w:drawing>
                    <wp:anchor distT="0" distB="0" distL="114300" distR="114300" simplePos="0" relativeHeight="251669504" behindDoc="0" locked="0" layoutInCell="1" allowOverlap="1">
                      <wp:simplePos x="0" y="0"/>
                      <wp:positionH relativeFrom="column">
                        <wp:posOffset>1617345</wp:posOffset>
                      </wp:positionH>
                      <wp:positionV relativeFrom="paragraph">
                        <wp:posOffset>1394460</wp:posOffset>
                      </wp:positionV>
                      <wp:extent cx="717550" cy="279400"/>
                      <wp:effectExtent l="0" t="0" r="0" b="0"/>
                      <wp:wrapNone/>
                      <wp:docPr id="8" name="文本框 8"/>
                      <wp:cNvGraphicFramePr/>
                      <a:graphic xmlns:a="http://schemas.openxmlformats.org/drawingml/2006/main">
                        <a:graphicData uri="http://schemas.microsoft.com/office/word/2010/wordprocessingShape">
                          <wps:wsp>
                            <wps:cNvSpPr txBox="1"/>
                            <wps:spPr>
                              <a:xfrm>
                                <a:off x="2531745" y="2543810"/>
                                <a:ext cx="717550" cy="279400"/>
                              </a:xfrm>
                              <a:prstGeom prst="rect">
                                <a:avLst/>
                              </a:prstGeom>
                              <a:noFill/>
                              <a:ln w="6350">
                                <a:noFill/>
                              </a:ln>
                              <a:effectLst/>
                            </wps:spPr>
                            <wps:txbx>
                              <w:txbxContent>
                                <w:p>
                                  <w:pPr>
                                    <w:rPr>
                                      <w:rFonts w:hint="eastAsia" w:eastAsia="宋体"/>
                                      <w:b/>
                                      <w:bCs/>
                                      <w:sz w:val="24"/>
                                      <w:szCs w:val="32"/>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35pt;margin-top:109.8pt;height:22pt;width:56.5pt;z-index:251669504;mso-width-relative:page;mso-height-relative:page;" filled="f" stroked="f" coordsize="21600,21600" o:gfxdata="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s8uvtwAAAALAQAADwAAAAAAAAABACAAAAAiAAAAZHJzL2Rvd25yZXYueG1s&#10;UEsBAhQAFAAAAAgAh07iQOezXdctAgAAMQQAAA4AAAAAAAAAAQAgAAAAKwEAAGRycy9lMm9Eb2Mu&#10;eG1sUEsFBgAAAAAGAAYAWQEAAMoFAAAAAA==&#10;">
                      <v:fill on="f" focussize="0,0"/>
                      <v:stroke on="f" weight="0.5pt"/>
                      <v:imagedata o:title=""/>
                      <o:lock v:ext="edit" aspectratio="f"/>
                      <v:textbox>
                        <w:txbxContent>
                          <w:p>
                            <w:pPr>
                              <w:rPr>
                                <w:rFonts w:hint="eastAsia" w:eastAsia="宋体"/>
                                <w:b/>
                                <w:bCs/>
                                <w:sz w:val="24"/>
                                <w:szCs w:val="32"/>
                                <w:lang w:val="en-US" w:eastAsia="zh-CN"/>
                              </w:rPr>
                            </w:pP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720" w:type="dxa"/>
        </w:trPr>
        <w:tc>
          <w:tcPr>
            <w:tcW w:w="13454" w:type="dxa"/>
            <w:noWrap w:val="0"/>
            <w:vAlign w:val="top"/>
          </w:tcPr>
          <w:p>
            <w:pPr>
              <w:jc w:val="center"/>
              <w:rPr>
                <w:rFonts w:hint="default" w:ascii="Times New Roman" w:hAnsi="Times New Roman" w:cs="Times New Roman"/>
                <w:b/>
                <w:bCs/>
                <w:sz w:val="28"/>
                <w:szCs w:val="36"/>
                <w:vertAlign w:val="baseline"/>
                <w:lang w:val="en-US" w:eastAsia="zh-CN"/>
              </w:rPr>
            </w:pPr>
            <w:r>
              <w:rPr>
                <w:sz w:val="28"/>
              </w:rPr>
              <mc:AlternateContent>
                <mc:Choice Requires="wps">
                  <w:drawing>
                    <wp:anchor distT="0" distB="0" distL="114300" distR="114300" simplePos="0" relativeHeight="251665408" behindDoc="0" locked="0" layoutInCell="1" allowOverlap="1">
                      <wp:simplePos x="0" y="0"/>
                      <wp:positionH relativeFrom="column">
                        <wp:posOffset>5917565</wp:posOffset>
                      </wp:positionH>
                      <wp:positionV relativeFrom="paragraph">
                        <wp:posOffset>494030</wp:posOffset>
                      </wp:positionV>
                      <wp:extent cx="1468120" cy="401955"/>
                      <wp:effectExtent l="798195" t="12700" r="19685" b="774065"/>
                      <wp:wrapNone/>
                      <wp:docPr id="38" name="圆角矩形标注 38"/>
                      <wp:cNvGraphicFramePr/>
                      <a:graphic xmlns:a="http://schemas.openxmlformats.org/drawingml/2006/main">
                        <a:graphicData uri="http://schemas.microsoft.com/office/word/2010/wordprocessingShape">
                          <wps:wsp>
                            <wps:cNvSpPr/>
                            <wps:spPr>
                              <a:xfrm>
                                <a:off x="7554595" y="1630680"/>
                                <a:ext cx="1468120" cy="401955"/>
                              </a:xfrm>
                              <a:prstGeom prst="wedgeRoundRectCallout">
                                <a:avLst>
                                  <a:gd name="adj1" fmla="val -103503"/>
                                  <a:gd name="adj2" fmla="val 237993"/>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5.95pt;margin-top:38.9pt;height:31.65pt;width:115.6pt;z-index:251665408;v-text-anchor:middle;mso-width-relative:page;mso-height-relative:page;" fillcolor="#FFFFFF" filled="t" stroked="t" coordsize="21600,21600" o:gfxdata="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zb3u3NsAAAALAQAADwAAAAAAAAABACAAAAAi&#10;AAAAZHJzL2Rvd25yZXYueG1sUEsBAhQAFAAAAAgAh07iQMkA952yAgAASwUAAA4AAAAAAAAAAQAg&#10;AAAAKgEAAGRycy9lMm9Eb2MueG1sUEsFBgAAAAAGAAYAWQEAAE4GAAAAAA==&#10;" adj="-11557,62206,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b/>
                <w:bCs/>
                <w:sz w:val="28"/>
                <w:szCs w:val="36"/>
                <w:vertAlign w:val="baseline"/>
                <w:lang w:val="en-US" w:eastAsia="zh-CN"/>
              </w:rPr>
              <w:drawing>
                <wp:inline distT="0" distB="0" distL="114300" distR="114300">
                  <wp:extent cx="7726680" cy="5046980"/>
                  <wp:effectExtent l="0" t="0" r="0" b="12700"/>
                  <wp:docPr id="10" name="图片 4" descr="主体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主体功能区划"/>
                          <pic:cNvPicPr>
                            <a:picLocks noChangeAspect="1"/>
                          </pic:cNvPicPr>
                        </pic:nvPicPr>
                        <pic:blipFill>
                          <a:blip r:embed="rId26"/>
                          <a:stretch>
                            <a:fillRect/>
                          </a:stretch>
                        </pic:blipFill>
                        <pic:spPr>
                          <a:xfrm>
                            <a:off x="0" y="0"/>
                            <a:ext cx="7726680" cy="5046980"/>
                          </a:xfrm>
                          <a:prstGeom prst="rect">
                            <a:avLst/>
                          </a:prstGeom>
                          <a:noFill/>
                          <a:ln>
                            <a:noFill/>
                          </a:ln>
                        </pic:spPr>
                      </pic:pic>
                    </a:graphicData>
                  </a:graphic>
                </wp:inline>
              </w:drawing>
            </w:r>
          </w:p>
        </w:tc>
      </w:tr>
    </w:tbl>
    <w:p>
      <w:pPr>
        <w:jc w:val="center"/>
        <w:rPr>
          <w:rFonts w:hint="eastAsia" w:ascii="Times New Roman" w:hAnsi="Times New Roman" w:cs="Times New Roman"/>
          <w:b/>
          <w:bCs/>
          <w:sz w:val="28"/>
          <w:szCs w:val="36"/>
          <w:lang w:val="en-US" w:eastAsia="zh-CN"/>
        </w:rPr>
      </w:pPr>
      <w:r>
        <w:rPr>
          <w:rFonts w:hint="eastAsia" w:ascii="Times New Roman" w:hAnsi="Times New Roman" w:cs="Times New Roman"/>
          <w:b/>
          <w:bCs/>
          <w:sz w:val="28"/>
          <w:szCs w:val="36"/>
          <w:lang w:val="en-US" w:eastAsia="zh-CN"/>
        </w:rPr>
        <w:t>附图</w:t>
      </w:r>
      <w:r>
        <w:rPr>
          <w:rFonts w:hint="eastAsia" w:cs="Times New Roman"/>
          <w:b/>
          <w:bCs/>
          <w:sz w:val="28"/>
          <w:szCs w:val="36"/>
          <w:lang w:val="en-US" w:eastAsia="zh-CN"/>
        </w:rPr>
        <w:t>3</w:t>
      </w:r>
      <w:r>
        <w:rPr>
          <w:rFonts w:hint="eastAsia" w:ascii="Times New Roman" w:hAnsi="Times New Roman" w:cs="Times New Roman"/>
          <w:b/>
          <w:bCs/>
          <w:sz w:val="28"/>
          <w:szCs w:val="36"/>
          <w:lang w:val="en-US" w:eastAsia="zh-CN"/>
        </w:rPr>
        <w:t xml:space="preserve">       项目在新疆主体功能区划的位置图</w:t>
      </w:r>
    </w:p>
    <w:p>
      <w:pPr>
        <w:rPr>
          <w:rFonts w:hint="default" w:ascii="Times New Roman" w:hAnsi="Times New Roman" w:cs="Times New Roman"/>
          <w:b/>
          <w:bCs/>
          <w:sz w:val="28"/>
          <w:szCs w:val="36"/>
          <w:lang w:val="en-US" w:eastAsia="zh-CN"/>
        </w:rPr>
        <w:sectPr>
          <w:pgSz w:w="16838" w:h="11906" w:orient="landscape"/>
          <w:pgMar w:top="1440" w:right="1800" w:bottom="1440" w:left="1800" w:header="851" w:footer="992" w:gutter="0"/>
          <w:cols w:space="720" w:num="1"/>
          <w:docGrid w:type="lines" w:linePitch="312" w:charSpace="0"/>
        </w:sectPr>
      </w:pPr>
    </w:p>
    <w:tbl>
      <w:tblPr>
        <w:tblStyle w:val="36"/>
        <w:tblW w:w="13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4" w:type="dxa"/>
            <w:noWrap w:val="0"/>
            <w:vAlign w:val="top"/>
          </w:tcPr>
          <w:p>
            <w:pPr>
              <w:jc w:val="center"/>
              <w:rPr>
                <w:rFonts w:hint="default" w:ascii="Times New Roman" w:hAnsi="Times New Roman" w:cs="Times New Roman"/>
                <w:b/>
                <w:bCs/>
                <w:sz w:val="28"/>
                <w:szCs w:val="36"/>
                <w:vertAlign w:val="baseline"/>
                <w:lang w:val="en-US" w:eastAsia="zh-CN"/>
              </w:rPr>
            </w:pPr>
            <w:r>
              <w:rPr>
                <w:sz w:val="28"/>
              </w:rPr>
              <mc:AlternateContent>
                <mc:Choice Requires="wps">
                  <w:drawing>
                    <wp:anchor distT="0" distB="0" distL="114300" distR="114300" simplePos="0" relativeHeight="251666432" behindDoc="0" locked="0" layoutInCell="1" allowOverlap="1">
                      <wp:simplePos x="0" y="0"/>
                      <wp:positionH relativeFrom="column">
                        <wp:posOffset>4785995</wp:posOffset>
                      </wp:positionH>
                      <wp:positionV relativeFrom="paragraph">
                        <wp:posOffset>453390</wp:posOffset>
                      </wp:positionV>
                      <wp:extent cx="1468120" cy="401955"/>
                      <wp:effectExtent l="12700" t="12700" r="12700" b="880745"/>
                      <wp:wrapNone/>
                      <wp:docPr id="40" name="圆角矩形标注 40"/>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47404"/>
                                  <a:gd name="adj2" fmla="val 264375"/>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76.85pt;margin-top:35.7pt;height:31.65pt;width:115.6pt;z-index:251666432;v-text-anchor:middle;mso-width-relative:page;mso-height-relative:page;" fillcolor="#FFFFFF" filled="t" stroked="t" coordsize="21600,21600" o:gfxdata="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0KL/DYAAAACgEAAA8AAAAAAAAAAQAgAAAAIgAAAGRycy9kb3ducmV2&#10;LnhtbFBLAQIUABQAAAAIAIdO4kCpUS9ipwIAAD4FAAAOAAAAAAAAAAEAIAAAACcBAABkcnMvZTJv&#10;RG9jLnhtbFBLBQYAAAAABgAGAFkBAABABgAAAAA=&#10;" adj="561,67905,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b/>
                <w:bCs/>
                <w:sz w:val="28"/>
                <w:szCs w:val="36"/>
                <w:vertAlign w:val="baseline"/>
                <w:lang w:val="en-US" w:eastAsia="zh-CN"/>
              </w:rPr>
              <w:drawing>
                <wp:inline distT="0" distB="0" distL="114300" distR="114300">
                  <wp:extent cx="7312025" cy="5095875"/>
                  <wp:effectExtent l="0" t="0" r="3175" b="9525"/>
                  <wp:docPr id="11" name="图片 5" descr="新疆生态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新疆生态功能区划"/>
                          <pic:cNvPicPr>
                            <a:picLocks noChangeAspect="1"/>
                          </pic:cNvPicPr>
                        </pic:nvPicPr>
                        <pic:blipFill>
                          <a:blip r:embed="rId27"/>
                          <a:stretch>
                            <a:fillRect/>
                          </a:stretch>
                        </pic:blipFill>
                        <pic:spPr>
                          <a:xfrm>
                            <a:off x="0" y="0"/>
                            <a:ext cx="7312025" cy="5095875"/>
                          </a:xfrm>
                          <a:prstGeom prst="rect">
                            <a:avLst/>
                          </a:prstGeom>
                          <a:noFill/>
                          <a:ln>
                            <a:noFill/>
                          </a:ln>
                        </pic:spPr>
                      </pic:pic>
                    </a:graphicData>
                  </a:graphic>
                </wp:inline>
              </w:drawing>
            </w:r>
          </w:p>
        </w:tc>
      </w:tr>
    </w:tbl>
    <w:p>
      <w:pPr>
        <w:jc w:val="center"/>
        <w:rPr>
          <w:rFonts w:hint="default" w:ascii="Times New Roman" w:hAnsi="Times New Roman" w:cs="Times New Roman"/>
          <w:b/>
          <w:bCs/>
          <w:sz w:val="28"/>
          <w:szCs w:val="36"/>
          <w:lang w:val="en-US" w:eastAsia="zh-CN"/>
        </w:rPr>
        <w:sectPr>
          <w:pgSz w:w="16838" w:h="11906" w:orient="landscape"/>
          <w:pgMar w:top="1440" w:right="1800" w:bottom="1440" w:left="1800" w:header="851" w:footer="992" w:gutter="0"/>
          <w:cols w:space="720" w:num="1"/>
          <w:docGrid w:type="lines" w:linePitch="312" w:charSpace="0"/>
        </w:sectPr>
      </w:pPr>
      <w:r>
        <w:rPr>
          <w:rFonts w:hint="eastAsia" w:ascii="Times New Roman" w:hAnsi="Times New Roman" w:cs="Times New Roman"/>
          <w:b/>
          <w:bCs/>
          <w:sz w:val="28"/>
          <w:szCs w:val="36"/>
          <w:lang w:val="en-US" w:eastAsia="zh-CN"/>
        </w:rPr>
        <w:t>附图</w:t>
      </w:r>
      <w:r>
        <w:rPr>
          <w:rFonts w:hint="eastAsia" w:cs="Times New Roman"/>
          <w:b/>
          <w:bCs/>
          <w:sz w:val="28"/>
          <w:szCs w:val="36"/>
          <w:lang w:val="en-US" w:eastAsia="zh-CN"/>
        </w:rPr>
        <w:t>4</w:t>
      </w:r>
      <w:r>
        <w:rPr>
          <w:rFonts w:hint="eastAsia" w:ascii="Times New Roman" w:hAnsi="Times New Roman" w:cs="Times New Roman"/>
          <w:b/>
          <w:bCs/>
          <w:sz w:val="28"/>
          <w:szCs w:val="36"/>
          <w:lang w:val="en-US" w:eastAsia="zh-CN"/>
        </w:rPr>
        <w:t xml:space="preserve">      项目在新疆生态功能区划的位置图</w:t>
      </w:r>
    </w:p>
    <w:tbl>
      <w:tblPr>
        <w:tblStyle w:val="36"/>
        <w:tblW w:w="13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4" w:type="dxa"/>
            <w:noWrap w:val="0"/>
            <w:vAlign w:val="top"/>
          </w:tcPr>
          <w:p>
            <w:pPr>
              <w:tabs>
                <w:tab w:val="left" w:pos="680"/>
              </w:tabs>
              <w:bidi w:val="0"/>
              <w:jc w:val="both"/>
              <w:rPr>
                <w:rFonts w:hint="eastAsia" w:cs="Times New Roman"/>
                <w:kern w:val="2"/>
                <w:sz w:val="21"/>
                <w:szCs w:val="24"/>
                <w:vertAlign w:val="baseline"/>
                <w:lang w:val="en-US" w:eastAsia="zh-CN" w:bidi="ar-SA"/>
              </w:rPr>
            </w:pPr>
            <w:r>
              <w:rPr>
                <w:sz w:val="28"/>
              </w:rPr>
              <mc:AlternateContent>
                <mc:Choice Requires="wps">
                  <w:drawing>
                    <wp:anchor distT="0" distB="0" distL="114300" distR="114300" simplePos="0" relativeHeight="251667456" behindDoc="0" locked="0" layoutInCell="1" allowOverlap="1">
                      <wp:simplePos x="0" y="0"/>
                      <wp:positionH relativeFrom="column">
                        <wp:posOffset>3115310</wp:posOffset>
                      </wp:positionH>
                      <wp:positionV relativeFrom="paragraph">
                        <wp:posOffset>1409065</wp:posOffset>
                      </wp:positionV>
                      <wp:extent cx="1468120" cy="401955"/>
                      <wp:effectExtent l="12700" t="12700" r="469900" b="1063625"/>
                      <wp:wrapNone/>
                      <wp:docPr id="46" name="圆角矩形标注 46"/>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80449"/>
                                  <a:gd name="adj2" fmla="val 307977"/>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5.3pt;margin-top:110.95pt;height:31.65pt;width:115.6pt;z-index:251667456;v-text-anchor:middle;mso-width-relative:page;mso-height-relative:page;" fillcolor="#FFFFFF" filled="t" stroked="t" coordsize="21600,21600" o:gfxdata="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qriw3toAAAALAQAADwAAAAAAAAABACAAAAAiAAAAZHJzL2Rvd25yZXYu&#10;eG1sUEsBAhQAFAAAAAgAh07iQLL8JxqkAgAAPQUAAA4AAAAAAAAAAQAgAAAAKQEAAGRycy9lMm9E&#10;b2MueG1sUEsFBgAAAAAGAAYAWQEAAD8GAAAAAA==&#10;" adj="28177,77323,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eastAsia" w:cs="Times New Roman"/>
                <w:kern w:val="2"/>
                <w:sz w:val="21"/>
                <w:szCs w:val="24"/>
                <w:vertAlign w:val="baseline"/>
                <w:lang w:val="en-US" w:eastAsia="zh-CN" w:bidi="ar-SA"/>
              </w:rPr>
              <w:drawing>
                <wp:inline distT="0" distB="0" distL="114300" distR="114300">
                  <wp:extent cx="8011795" cy="5006340"/>
                  <wp:effectExtent l="0" t="0" r="4445" b="7620"/>
                  <wp:docPr id="16" name="图片 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图片4"/>
                          <pic:cNvPicPr>
                            <a:picLocks noChangeAspect="1"/>
                          </pic:cNvPicPr>
                        </pic:nvPicPr>
                        <pic:blipFill>
                          <a:blip r:embed="rId28"/>
                          <a:stretch>
                            <a:fillRect/>
                          </a:stretch>
                        </pic:blipFill>
                        <pic:spPr>
                          <a:xfrm>
                            <a:off x="0" y="0"/>
                            <a:ext cx="8011795" cy="5006340"/>
                          </a:xfrm>
                          <a:prstGeom prst="rect">
                            <a:avLst/>
                          </a:prstGeom>
                          <a:noFill/>
                          <a:ln>
                            <a:noFill/>
                          </a:ln>
                        </pic:spPr>
                      </pic:pic>
                    </a:graphicData>
                  </a:graphic>
                </wp:inline>
              </w:drawing>
            </w:r>
          </w:p>
        </w:tc>
      </w:tr>
    </w:tbl>
    <w:p>
      <w:pPr>
        <w:tabs>
          <w:tab w:val="left" w:pos="680"/>
        </w:tabs>
        <w:bidi w:val="0"/>
        <w:jc w:val="center"/>
        <w:rPr>
          <w:rFonts w:hint="eastAsia" w:ascii="Times New Roman" w:hAnsi="Times New Roman" w:cs="Times New Roman"/>
          <w:b/>
          <w:bCs/>
          <w:sz w:val="28"/>
          <w:szCs w:val="36"/>
          <w:lang w:val="en-US" w:eastAsia="zh-CN"/>
        </w:rPr>
      </w:pPr>
      <w:r>
        <w:rPr>
          <w:rFonts w:hint="eastAsia" w:ascii="Times New Roman" w:hAnsi="Times New Roman" w:cs="Times New Roman"/>
          <w:b/>
          <w:bCs/>
          <w:sz w:val="28"/>
          <w:szCs w:val="36"/>
          <w:lang w:val="en-US" w:eastAsia="zh-CN"/>
        </w:rPr>
        <w:t>附图</w:t>
      </w:r>
      <w:r>
        <w:rPr>
          <w:rFonts w:hint="eastAsia" w:cs="Times New Roman"/>
          <w:b/>
          <w:bCs/>
          <w:sz w:val="28"/>
          <w:szCs w:val="36"/>
          <w:lang w:val="en-US" w:eastAsia="zh-CN"/>
        </w:rPr>
        <w:t>5</w:t>
      </w:r>
      <w:r>
        <w:rPr>
          <w:rFonts w:hint="eastAsia" w:ascii="Times New Roman" w:hAnsi="Times New Roman" w:cs="Times New Roman"/>
          <w:b/>
          <w:bCs/>
          <w:sz w:val="28"/>
          <w:szCs w:val="36"/>
          <w:lang w:val="en-US" w:eastAsia="zh-CN"/>
        </w:rPr>
        <w:t xml:space="preserve">       项目在</w:t>
      </w:r>
      <w:r>
        <w:rPr>
          <w:rFonts w:hint="default" w:ascii="Times New Roman" w:hAnsi="Times New Roman" w:cs="Times New Roman"/>
          <w:b/>
          <w:bCs/>
          <w:sz w:val="28"/>
          <w:szCs w:val="36"/>
          <w:lang w:val="en-US" w:eastAsia="zh-CN"/>
        </w:rPr>
        <w:t>昌吉州“三线一单”生态环境分区管控</w:t>
      </w:r>
      <w:r>
        <w:rPr>
          <w:rFonts w:hint="eastAsia" w:ascii="Times New Roman" w:hAnsi="Times New Roman" w:cs="Times New Roman"/>
          <w:b/>
          <w:bCs/>
          <w:sz w:val="28"/>
          <w:szCs w:val="36"/>
          <w:lang w:val="en-US" w:eastAsia="zh-CN"/>
        </w:rPr>
        <w:t>单元的位置</w:t>
      </w:r>
    </w:p>
    <w:tbl>
      <w:tblPr>
        <w:tblStyle w:val="36"/>
        <w:tblW w:w="13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4" w:type="dxa"/>
            <w:noWrap w:val="0"/>
            <w:vAlign w:val="top"/>
          </w:tcPr>
          <w:p>
            <w:pPr>
              <w:tabs>
                <w:tab w:val="left" w:pos="680"/>
              </w:tabs>
              <w:bidi w:val="0"/>
              <w:jc w:val="both"/>
              <w:rPr>
                <w:rFonts w:hint="eastAsia" w:ascii="Times New Roman" w:hAnsi="Times New Roman" w:cs="Times New Roman"/>
                <w:b/>
                <w:bCs/>
                <w:sz w:val="28"/>
                <w:szCs w:val="36"/>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454" w:type="dxa"/>
            <w:noWrap w:val="0"/>
            <w:vAlign w:val="top"/>
          </w:tcPr>
          <w:p>
            <w:pPr>
              <w:tabs>
                <w:tab w:val="left" w:pos="680"/>
              </w:tabs>
              <w:bidi w:val="0"/>
              <w:jc w:val="both"/>
              <w:rPr>
                <w:rFonts w:hint="eastAsia" w:ascii="Times New Roman" w:hAnsi="Times New Roman" w:cs="Times New Roman"/>
                <w:b/>
                <w:bCs/>
                <w:sz w:val="28"/>
                <w:szCs w:val="36"/>
                <w:vertAlign w:val="baseline"/>
                <w:lang w:val="en-US" w:eastAsia="zh-CN"/>
              </w:rPr>
            </w:pPr>
            <w:r>
              <w:rPr>
                <w:sz w:val="28"/>
              </w:rPr>
              <mc:AlternateContent>
                <mc:Choice Requires="wps">
                  <w:drawing>
                    <wp:anchor distT="0" distB="0" distL="114300" distR="114300" simplePos="0" relativeHeight="251671552" behindDoc="0" locked="0" layoutInCell="1" allowOverlap="1">
                      <wp:simplePos x="0" y="0"/>
                      <wp:positionH relativeFrom="column">
                        <wp:posOffset>2944495</wp:posOffset>
                      </wp:positionH>
                      <wp:positionV relativeFrom="paragraph">
                        <wp:posOffset>1328420</wp:posOffset>
                      </wp:positionV>
                      <wp:extent cx="1468120" cy="401955"/>
                      <wp:effectExtent l="1329690" t="447040" r="21590" b="19685"/>
                      <wp:wrapNone/>
                      <wp:docPr id="49" name="圆角矩形标注 49"/>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139705"/>
                                  <a:gd name="adj2" fmla="val -158056"/>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1.85pt;margin-top:104.6pt;height:31.65pt;width:115.6pt;z-index:251671552;v-text-anchor:middle;mso-width-relative:page;mso-height-relative:page;" fillcolor="#FFFFFF" filled="t" stroked="t" coordsize="21600,21600" o:gfxdata="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PnALhtsAAAALAQAADwAAAAAAAAABACAAAAAiAAAAZHJzL2Rv&#10;d25yZXYueG1sUEsBAhQAFAAAAAgAh07iQIePFtCpAgAAQAUAAA4AAAAAAAAAAQAgAAAAKgEAAGRy&#10;cy9lMm9Eb2MueG1sUEsFBgAAAAAGAAYAWQEAAEUGAAAAAA==&#10;" adj="-19376,-23340,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eastAsia" w:ascii="Times New Roman" w:hAnsi="Times New Roman" w:cs="Times New Roman"/>
                <w:b/>
                <w:bCs/>
                <w:sz w:val="28"/>
                <w:szCs w:val="36"/>
                <w:vertAlign w:val="baseline"/>
                <w:lang w:val="en-US" w:eastAsia="zh-CN"/>
              </w:rPr>
              <w:drawing>
                <wp:inline distT="0" distB="0" distL="114300" distR="114300">
                  <wp:extent cx="7963535" cy="4682490"/>
                  <wp:effectExtent l="0" t="0" r="6985" b="11430"/>
                  <wp:docPr id="23" name="图片 8" descr="植被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植被类型"/>
                          <pic:cNvPicPr>
                            <a:picLocks noChangeAspect="1"/>
                          </pic:cNvPicPr>
                        </pic:nvPicPr>
                        <pic:blipFill>
                          <a:blip r:embed="rId29"/>
                          <a:stretch>
                            <a:fillRect/>
                          </a:stretch>
                        </pic:blipFill>
                        <pic:spPr>
                          <a:xfrm>
                            <a:off x="0" y="0"/>
                            <a:ext cx="7963535" cy="4682490"/>
                          </a:xfrm>
                          <a:prstGeom prst="rect">
                            <a:avLst/>
                          </a:prstGeom>
                          <a:noFill/>
                          <a:ln>
                            <a:noFill/>
                          </a:ln>
                        </pic:spPr>
                      </pic:pic>
                    </a:graphicData>
                  </a:graphic>
                </wp:inline>
              </w:drawing>
            </w:r>
          </w:p>
        </w:tc>
      </w:tr>
    </w:tbl>
    <w:p>
      <w:pPr>
        <w:tabs>
          <w:tab w:val="left" w:pos="680"/>
        </w:tabs>
        <w:bidi w:val="0"/>
        <w:jc w:val="center"/>
        <w:rPr>
          <w:rFonts w:hint="eastAsia" w:ascii="Times New Roman" w:hAnsi="Times New Roman" w:cs="Times New Roman"/>
          <w:b/>
          <w:bCs/>
          <w:sz w:val="28"/>
          <w:szCs w:val="36"/>
          <w:lang w:val="en-US" w:eastAsia="zh-CN"/>
        </w:rPr>
      </w:pPr>
      <w:r>
        <w:rPr>
          <w:rFonts w:hint="eastAsia" w:ascii="Times New Roman" w:hAnsi="Times New Roman" w:cs="Times New Roman"/>
          <w:b/>
          <w:bCs/>
          <w:sz w:val="28"/>
          <w:szCs w:val="36"/>
          <w:lang w:val="en-US" w:eastAsia="zh-CN"/>
        </w:rPr>
        <w:t>附图</w:t>
      </w:r>
      <w:r>
        <w:rPr>
          <w:rFonts w:hint="eastAsia" w:cs="Times New Roman"/>
          <w:b/>
          <w:bCs/>
          <w:sz w:val="28"/>
          <w:szCs w:val="36"/>
          <w:lang w:val="en-US" w:eastAsia="zh-CN"/>
        </w:rPr>
        <w:t>6</w:t>
      </w:r>
      <w:r>
        <w:rPr>
          <w:rFonts w:hint="eastAsia" w:ascii="Times New Roman" w:hAnsi="Times New Roman" w:cs="Times New Roman"/>
          <w:b/>
          <w:bCs/>
          <w:sz w:val="28"/>
          <w:szCs w:val="36"/>
          <w:lang w:val="en-US" w:eastAsia="zh-CN"/>
        </w:rPr>
        <w:t xml:space="preserve">   项目评价区域植被类型图</w:t>
      </w:r>
    </w:p>
    <w:p>
      <w:pPr>
        <w:pStyle w:val="2"/>
        <w:rPr>
          <w:rFonts w:hint="eastAsia" w:ascii="Times New Roman" w:hAnsi="Times New Roman" w:cs="Times New Roman"/>
          <w:b/>
          <w:bCs/>
          <w:sz w:val="28"/>
          <w:szCs w:val="36"/>
          <w:lang w:val="en-US" w:eastAsia="zh-CN"/>
        </w:rPr>
      </w:pPr>
      <w:r>
        <w:rPr>
          <w:sz w:val="28"/>
        </w:rPr>
        <mc:AlternateContent>
          <mc:Choice Requires="wps">
            <w:drawing>
              <wp:anchor distT="0" distB="0" distL="114300" distR="114300" simplePos="0" relativeHeight="251685888" behindDoc="0" locked="0" layoutInCell="1" allowOverlap="1">
                <wp:simplePos x="0" y="0"/>
                <wp:positionH relativeFrom="column">
                  <wp:posOffset>2798445</wp:posOffset>
                </wp:positionH>
                <wp:positionV relativeFrom="paragraph">
                  <wp:posOffset>1369060</wp:posOffset>
                </wp:positionV>
                <wp:extent cx="1468120" cy="401955"/>
                <wp:effectExtent l="1329690" t="447040" r="21590" b="19685"/>
                <wp:wrapNone/>
                <wp:docPr id="26" name="圆角矩形标注 26"/>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139705"/>
                            <a:gd name="adj2" fmla="val -158056"/>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0.35pt;margin-top:107.8pt;height:31.65pt;width:115.6pt;z-index:251685888;v-text-anchor:middle;mso-width-relative:page;mso-height-relative:page;" fillcolor="#FFFFFF" filled="t" stroked="t" coordsize="21600,21600" o:gfxdata="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WzuAFtsAAAALAQAADwAAAAAAAAABACAAAAAiAAAAZHJzL2Rvd25y&#10;ZXYueG1sUEsBAhQAFAAAAAgAh07iQBXRf4KmAgAAQAUAAA4AAAAAAAAAAQAgAAAAKgEAAGRycy9l&#10;Mm9Eb2MueG1sUEsFBgAAAAAGAAYAWQEAAEIGAAAAAA==&#10;" adj="-19376,-23340,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eastAsia" w:ascii="Times New Roman" w:hAnsi="Times New Roman" w:cs="Times New Roman"/>
          <w:b/>
          <w:bCs/>
          <w:sz w:val="28"/>
          <w:szCs w:val="36"/>
          <w:vertAlign w:val="baseline"/>
          <w:lang w:val="en-US" w:eastAsia="zh-CN"/>
        </w:rPr>
        <w:drawing>
          <wp:inline distT="0" distB="0" distL="114300" distR="114300">
            <wp:extent cx="8402955" cy="5092065"/>
            <wp:effectExtent l="0" t="0" r="9525" b="13335"/>
            <wp:docPr id="22" name="图片 5"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土地利用"/>
                    <pic:cNvPicPr>
                      <a:picLocks noChangeAspect="1"/>
                    </pic:cNvPicPr>
                  </pic:nvPicPr>
                  <pic:blipFill>
                    <a:blip r:embed="rId30"/>
                    <a:stretch>
                      <a:fillRect/>
                    </a:stretch>
                  </pic:blipFill>
                  <pic:spPr>
                    <a:xfrm>
                      <a:off x="0" y="0"/>
                      <a:ext cx="8402955" cy="5092065"/>
                    </a:xfrm>
                    <a:prstGeom prst="rect">
                      <a:avLst/>
                    </a:prstGeom>
                    <a:noFill/>
                    <a:ln>
                      <a:noFill/>
                    </a:ln>
                  </pic:spPr>
                </pic:pic>
              </a:graphicData>
            </a:graphic>
          </wp:inline>
        </w:drawing>
      </w:r>
    </w:p>
    <w:p>
      <w:pPr>
        <w:tabs>
          <w:tab w:val="left" w:pos="680"/>
        </w:tabs>
        <w:bidi w:val="0"/>
        <w:jc w:val="center"/>
        <w:rPr>
          <w:rFonts w:hint="eastAsia" w:ascii="Times New Roman" w:hAnsi="Times New Roman" w:cs="Times New Roman"/>
          <w:b/>
          <w:bCs/>
          <w:sz w:val="28"/>
          <w:szCs w:val="36"/>
          <w:lang w:val="en-US" w:eastAsia="zh-CN"/>
        </w:rPr>
      </w:pPr>
      <w:r>
        <w:rPr>
          <w:rFonts w:hint="eastAsia" w:ascii="Times New Roman" w:hAnsi="Times New Roman" w:cs="Times New Roman"/>
          <w:b/>
          <w:bCs/>
          <w:sz w:val="28"/>
          <w:szCs w:val="36"/>
          <w:lang w:val="en-US" w:eastAsia="zh-CN"/>
        </w:rPr>
        <w:t>附图7    项目评价区域土地利用现状图</w:t>
      </w:r>
    </w:p>
    <w:p>
      <w:pPr>
        <w:pStyle w:val="3"/>
        <w:spacing w:line="240" w:lineRule="auto"/>
        <w:rPr>
          <w:rFonts w:hint="eastAsia"/>
          <w:lang w:val="en-US" w:eastAsia="zh-CN"/>
        </w:rPr>
      </w:pPr>
      <w:r>
        <w:rPr>
          <w:rFonts w:hint="eastAsia"/>
          <w:lang w:val="en-US" w:eastAsia="zh-CN"/>
        </w:rPr>
        <w:drawing>
          <wp:inline distT="0" distB="0" distL="114300" distR="114300">
            <wp:extent cx="8395970" cy="4887595"/>
            <wp:effectExtent l="0" t="0" r="1270" b="4445"/>
            <wp:docPr id="27" name="图片 2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2"/>
                    <pic:cNvPicPr>
                      <a:picLocks noChangeAspect="1"/>
                    </pic:cNvPicPr>
                  </pic:nvPicPr>
                  <pic:blipFill>
                    <a:blip r:embed="rId31"/>
                    <a:stretch>
                      <a:fillRect/>
                    </a:stretch>
                  </pic:blipFill>
                  <pic:spPr>
                    <a:xfrm>
                      <a:off x="0" y="0"/>
                      <a:ext cx="8395970" cy="4887595"/>
                    </a:xfrm>
                    <a:prstGeom prst="rect">
                      <a:avLst/>
                    </a:prstGeom>
                  </pic:spPr>
                </pic:pic>
              </a:graphicData>
            </a:graphic>
          </wp:inline>
        </w:drawing>
      </w:r>
      <w:r>
        <w:rPr>
          <w:sz w:val="28"/>
        </w:rPr>
        <mc:AlternateContent>
          <mc:Choice Requires="wps">
            <w:drawing>
              <wp:anchor distT="0" distB="0" distL="114300" distR="114300" simplePos="0" relativeHeight="251714560" behindDoc="0" locked="0" layoutInCell="1" allowOverlap="1">
                <wp:simplePos x="0" y="0"/>
                <wp:positionH relativeFrom="column">
                  <wp:posOffset>2734945</wp:posOffset>
                </wp:positionH>
                <wp:positionV relativeFrom="paragraph">
                  <wp:posOffset>1464310</wp:posOffset>
                </wp:positionV>
                <wp:extent cx="1468120" cy="401955"/>
                <wp:effectExtent l="1329690" t="447040" r="21590" b="19685"/>
                <wp:wrapNone/>
                <wp:docPr id="28" name="圆角矩形标注 28"/>
                <wp:cNvGraphicFramePr/>
                <a:graphic xmlns:a="http://schemas.openxmlformats.org/drawingml/2006/main">
                  <a:graphicData uri="http://schemas.microsoft.com/office/word/2010/wordprocessingShape">
                    <wps:wsp>
                      <wps:cNvSpPr/>
                      <wps:spPr>
                        <a:xfrm>
                          <a:off x="0" y="0"/>
                          <a:ext cx="1468120" cy="401955"/>
                        </a:xfrm>
                        <a:prstGeom prst="wedgeRoundRectCallout">
                          <a:avLst>
                            <a:gd name="adj1" fmla="val -139705"/>
                            <a:gd name="adj2" fmla="val -158056"/>
                            <a:gd name="adj3" fmla="val 16667"/>
                          </a:avLst>
                        </a:prstGeom>
                        <a:solidFill>
                          <a:srgbClr val="FFFFFF"/>
                        </a:solidFill>
                        <a:ln w="25400" cap="flat" cmpd="sng" algn="ctr">
                          <a:solidFill>
                            <a:srgbClr val="000000"/>
                          </a:solidFill>
                          <a:prstDash val="solid"/>
                        </a:ln>
                        <a:effectLst/>
                      </wps:spPr>
                      <wps:txbx>
                        <w:txbxContent>
                          <w:p>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5.35pt;margin-top:115.3pt;height:31.65pt;width:115.6pt;z-index:251714560;v-text-anchor:middle;mso-width-relative:page;mso-height-relative:page;" fillcolor="#FFFFFF" filled="t" stroked="t" coordsize="21600,21600" o:gfxdata="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IXTtPbAAAACwEAAA8AAAAAAAAAAQAgAAAAIgAAAGRycy9kb3du&#10;cmV2LnhtbFBLAQIUABQAAAAIAIdO4kD+N/PnpwIAAEAFAAAOAAAAAAAAAAEAIAAAACoBAABkcnMv&#10;ZTJvRG9jLnhtbFBLBQYAAAAABgAGAFkBAABDBgAAAAA=&#10;" adj="-19376,-23340,14400">
                <v:fill on="t" focussize="0,0"/>
                <v:stroke weight="2pt" color="#000000" joinstyle="round"/>
                <v:imagedata o:title=""/>
                <o:lock v:ext="edit" aspectratio="f"/>
                <v:textbox>
                  <w:txbxContent>
                    <w:p>
                      <w:pPr>
                        <w:jc w:val="center"/>
                        <w:rPr>
                          <w:rFonts w:hint="default" w:eastAsia="宋体"/>
                          <w:lang w:val="en-US" w:eastAsia="zh-CN"/>
                        </w:rPr>
                      </w:pPr>
                      <w:r>
                        <w:rPr>
                          <w:rFonts w:hint="eastAsia"/>
                          <w:lang w:val="en-US" w:eastAsia="zh-CN"/>
                        </w:rPr>
                        <w:t>本项目位置</w:t>
                      </w:r>
                    </w:p>
                  </w:txbxContent>
                </v:textbox>
              </v:shape>
            </w:pict>
          </mc:Fallback>
        </mc:AlternateContent>
      </w:r>
    </w:p>
    <w:p>
      <w:pPr>
        <w:tabs>
          <w:tab w:val="left" w:pos="680"/>
        </w:tabs>
        <w:bidi w:val="0"/>
        <w:jc w:val="center"/>
        <w:rPr>
          <w:rFonts w:hint="eastAsia" w:ascii="Times New Roman" w:hAnsi="Times New Roman" w:cs="Times New Roman"/>
          <w:b/>
          <w:bCs/>
          <w:sz w:val="28"/>
          <w:szCs w:val="36"/>
          <w:lang w:val="en-US" w:eastAsia="zh-CN"/>
        </w:rPr>
        <w:sectPr>
          <w:pgSz w:w="16838" w:h="11906" w:orient="landscape"/>
          <w:pgMar w:top="1440" w:right="1800" w:bottom="1440" w:left="1800" w:header="851" w:footer="992" w:gutter="0"/>
          <w:cols w:space="720" w:num="1"/>
          <w:rtlGutter w:val="0"/>
          <w:docGrid w:type="lines" w:linePitch="312" w:charSpace="0"/>
        </w:sectPr>
      </w:pPr>
      <w:r>
        <w:rPr>
          <w:rFonts w:hint="eastAsia" w:ascii="Times New Roman" w:hAnsi="Times New Roman" w:cs="Times New Roman"/>
          <w:b/>
          <w:bCs/>
          <w:sz w:val="28"/>
          <w:szCs w:val="36"/>
          <w:lang w:val="en-US" w:eastAsia="zh-CN"/>
        </w:rPr>
        <w:t>附图</w:t>
      </w:r>
      <w:r>
        <w:rPr>
          <w:rFonts w:hint="eastAsia" w:cs="Times New Roman"/>
          <w:b/>
          <w:bCs/>
          <w:sz w:val="28"/>
          <w:szCs w:val="36"/>
          <w:lang w:val="en-US" w:eastAsia="zh-CN"/>
        </w:rPr>
        <w:t>8</w:t>
      </w:r>
      <w:r>
        <w:rPr>
          <w:rFonts w:hint="eastAsia" w:ascii="Times New Roman" w:hAnsi="Times New Roman" w:cs="Times New Roman"/>
          <w:b/>
          <w:bCs/>
          <w:sz w:val="28"/>
          <w:szCs w:val="36"/>
          <w:lang w:val="en-US" w:eastAsia="zh-CN"/>
        </w:rPr>
        <w:t xml:space="preserve">    项目评价区域土壤类型图</w:t>
      </w:r>
    </w:p>
    <w:p>
      <w:pPr>
        <w:pStyle w:val="3"/>
        <w:ind w:left="0" w:leftChars="0" w:firstLine="0" w:firstLineChars="0"/>
        <w:rPr>
          <w:rFonts w:hint="eastAsia"/>
          <w:lang w:val="en-US" w:eastAsia="zh-CN"/>
        </w:rPr>
      </w:pPr>
    </w:p>
    <w:p>
      <w:pPr>
        <w:pStyle w:val="3"/>
        <w:ind w:left="0" w:leftChars="0" w:firstLine="0" w:firstLineChars="0"/>
        <w:rPr>
          <w:rFonts w:hint="eastAsia"/>
          <w:lang w:val="en-US" w:eastAsia="zh-CN"/>
        </w:rPr>
      </w:pPr>
    </w:p>
    <w:p>
      <w:pPr>
        <w:pStyle w:val="3"/>
        <w:ind w:left="0" w:leftChars="0" w:firstLine="0" w:firstLineChars="0"/>
        <w:rPr>
          <w:rFonts w:hint="eastAsia"/>
          <w:lang w:val="en-US" w:eastAsia="zh-CN"/>
        </w:rPr>
        <w:sectPr>
          <w:pgSz w:w="16838" w:h="11906" w:orient="landscape"/>
          <w:pgMar w:top="1440" w:right="1800" w:bottom="1440" w:left="1800" w:header="851" w:footer="992" w:gutter="0"/>
          <w:cols w:space="720" w:num="1"/>
          <w:rtlGutter w:val="0"/>
          <w:docGrid w:type="lines" w:linePitch="312" w:charSpace="0"/>
        </w:sectPr>
      </w:pPr>
    </w:p>
    <w:p>
      <w:pPr>
        <w:pStyle w:val="2"/>
        <w:rPr>
          <w:rFonts w:hint="eastAsia"/>
          <w:lang w:val="en-US" w:eastAsia="zh-CN"/>
        </w:rPr>
      </w:pPr>
    </w:p>
    <w:p>
      <w:pPr>
        <w:rPr>
          <w:rFonts w:hint="eastAsia"/>
          <w:lang w:val="en-US" w:eastAsia="zh-CN"/>
        </w:rPr>
      </w:pPr>
      <w:r>
        <w:rPr>
          <w:rFonts w:hint="eastAsia"/>
          <w:b/>
          <w:bCs/>
          <w:sz w:val="24"/>
          <w:szCs w:val="32"/>
          <w:lang w:val="en-US" w:eastAsia="zh-CN"/>
        </w:rPr>
        <w:t>附件1：委托书</w:t>
      </w:r>
    </w:p>
    <w:tbl>
      <w:tblPr>
        <w:tblStyle w:val="3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noWrap w:val="0"/>
            <w:vAlign w:val="top"/>
          </w:tcPr>
          <w:p>
            <w:pPr>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5268595" cy="7190105"/>
                  <wp:effectExtent l="0" t="0" r="4445" b="3175"/>
                  <wp:docPr id="3" name="图片 3" descr="微信截图_2023092419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截图_20230924191426"/>
                          <pic:cNvPicPr>
                            <a:picLocks noChangeAspect="1"/>
                          </pic:cNvPicPr>
                        </pic:nvPicPr>
                        <pic:blipFill>
                          <a:blip r:embed="rId32"/>
                          <a:stretch>
                            <a:fillRect/>
                          </a:stretch>
                        </pic:blipFill>
                        <pic:spPr>
                          <a:xfrm>
                            <a:off x="0" y="0"/>
                            <a:ext cx="5268595" cy="7190105"/>
                          </a:xfrm>
                          <a:prstGeom prst="rect">
                            <a:avLst/>
                          </a:prstGeom>
                        </pic:spPr>
                      </pic:pic>
                    </a:graphicData>
                  </a:graphic>
                </wp:inline>
              </w:drawing>
            </w:r>
          </w:p>
        </w:tc>
      </w:tr>
    </w:tbl>
    <w:p>
      <w:pPr>
        <w:sectPr>
          <w:pgSz w:w="11906" w:h="16838"/>
          <w:pgMar w:top="1440" w:right="1800" w:bottom="1440" w:left="1800" w:header="851" w:footer="992" w:gutter="0"/>
          <w:cols w:space="720" w:num="1"/>
          <w:docGrid w:type="lines" w:linePitch="312" w:charSpace="0"/>
        </w:sectPr>
      </w:pPr>
    </w:p>
    <w:p>
      <w:pPr>
        <w:rPr>
          <w:rFonts w:hint="eastAsia"/>
          <w:b/>
          <w:bCs/>
          <w:sz w:val="24"/>
          <w:szCs w:val="32"/>
          <w:lang w:val="en-US" w:eastAsia="zh-CN"/>
        </w:rPr>
      </w:pPr>
      <w:r>
        <w:rPr>
          <w:rFonts w:hint="eastAsia"/>
          <w:b/>
          <w:bCs/>
          <w:sz w:val="24"/>
          <w:szCs w:val="32"/>
          <w:lang w:val="en-US" w:eastAsia="zh-CN"/>
        </w:rPr>
        <w:t>附件2：立项文件</w:t>
      </w:r>
    </w:p>
    <w:p>
      <w:pPr>
        <w:pStyle w:val="2"/>
        <w:rPr>
          <w:rFonts w:hint="eastAsia"/>
          <w:lang w:val="en-US" w:eastAsia="zh-CN"/>
        </w:rPr>
      </w:pPr>
      <w:r>
        <w:rPr>
          <w:rFonts w:hint="eastAsia"/>
          <w:lang w:val="en-US" w:eastAsia="zh-CN"/>
        </w:rPr>
        <w:drawing>
          <wp:inline distT="0" distB="0" distL="114300" distR="114300">
            <wp:extent cx="4968240" cy="6637020"/>
            <wp:effectExtent l="0" t="0" r="0" b="7620"/>
            <wp:docPr id="30" name="图片 30" descr="微信截图_202309241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截图_20230924120504"/>
                    <pic:cNvPicPr>
                      <a:picLocks noChangeAspect="1"/>
                    </pic:cNvPicPr>
                  </pic:nvPicPr>
                  <pic:blipFill>
                    <a:blip r:embed="rId33"/>
                    <a:stretch>
                      <a:fillRect/>
                    </a:stretch>
                  </pic:blipFill>
                  <pic:spPr>
                    <a:xfrm>
                      <a:off x="0" y="0"/>
                      <a:ext cx="4968240" cy="6637020"/>
                    </a:xfrm>
                    <a:prstGeom prst="rect">
                      <a:avLst/>
                    </a:prstGeom>
                  </pic:spPr>
                </pic:pic>
              </a:graphicData>
            </a:graphic>
          </wp:inline>
        </w:drawing>
      </w:r>
    </w:p>
    <w:tbl>
      <w:tblPr>
        <w:tblStyle w:val="3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64" w:hRule="atLeast"/>
        </w:trPr>
        <w:tc>
          <w:tcPr>
            <w:tcW w:w="8522" w:type="dxa"/>
            <w:noWrap w:val="0"/>
            <w:vAlign w:val="top"/>
          </w:tcPr>
          <w:p>
            <w:pPr>
              <w:ind w:left="0" w:leftChars="0" w:firstLine="0" w:firstLineChars="0"/>
              <w:jc w:val="both"/>
              <w:rPr>
                <w:rFonts w:hint="default"/>
                <w:b/>
                <w:bCs/>
                <w:sz w:val="24"/>
                <w:szCs w:val="32"/>
                <w:vertAlign w:val="baseline"/>
                <w:lang w:val="en-US" w:eastAsia="zh-CN"/>
              </w:rPr>
            </w:pPr>
            <w:r>
              <w:rPr>
                <w:rFonts w:hint="default"/>
                <w:b/>
                <w:bCs/>
                <w:sz w:val="24"/>
                <w:szCs w:val="32"/>
                <w:vertAlign w:val="baseline"/>
                <w:lang w:val="en-US" w:eastAsia="zh-CN"/>
              </w:rPr>
              <w:drawing>
                <wp:inline distT="0" distB="0" distL="114300" distR="114300">
                  <wp:extent cx="5229225" cy="7086600"/>
                  <wp:effectExtent l="0" t="0" r="13335" b="0"/>
                  <wp:docPr id="31" name="图片 31" descr="微信截图_2023092412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截图_20230924120611"/>
                          <pic:cNvPicPr>
                            <a:picLocks noChangeAspect="1"/>
                          </pic:cNvPicPr>
                        </pic:nvPicPr>
                        <pic:blipFill>
                          <a:blip r:embed="rId34"/>
                          <a:stretch>
                            <a:fillRect/>
                          </a:stretch>
                        </pic:blipFill>
                        <pic:spPr>
                          <a:xfrm>
                            <a:off x="0" y="0"/>
                            <a:ext cx="5229225" cy="7086600"/>
                          </a:xfrm>
                          <a:prstGeom prst="rect">
                            <a:avLst/>
                          </a:prstGeom>
                        </pic:spPr>
                      </pic:pic>
                    </a:graphicData>
                  </a:graphic>
                </wp:inline>
              </w:drawing>
            </w:r>
          </w:p>
        </w:tc>
      </w:tr>
    </w:tbl>
    <w:p>
      <w:pPr>
        <w:rPr>
          <w:rFonts w:hint="eastAsia"/>
          <w:b/>
          <w:bCs/>
          <w:sz w:val="24"/>
          <w:szCs w:val="32"/>
          <w:lang w:val="en-US" w:eastAsia="zh-CN"/>
        </w:rPr>
      </w:pPr>
      <w:r>
        <w:rPr>
          <w:rFonts w:hint="eastAsia"/>
          <w:b/>
          <w:bCs/>
          <w:sz w:val="24"/>
          <w:szCs w:val="32"/>
          <w:lang w:val="en-US" w:eastAsia="zh-CN"/>
        </w:rPr>
        <w:t>附件3：营业执照</w:t>
      </w:r>
    </w:p>
    <w:p>
      <w:pPr>
        <w:pStyle w:val="3"/>
        <w:spacing w:line="240" w:lineRule="auto"/>
        <w:ind w:left="0" w:leftChars="0" w:firstLine="0" w:firstLineChars="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6196965" cy="4997450"/>
            <wp:effectExtent l="0" t="0" r="5715" b="1270"/>
            <wp:docPr id="6" name="图片 6" descr="微信截图_2023092419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截图_20230924191439"/>
                    <pic:cNvPicPr>
                      <a:picLocks noChangeAspect="1"/>
                    </pic:cNvPicPr>
                  </pic:nvPicPr>
                  <pic:blipFill>
                    <a:blip r:embed="rId35"/>
                    <a:stretch>
                      <a:fillRect/>
                    </a:stretch>
                  </pic:blipFill>
                  <pic:spPr>
                    <a:xfrm>
                      <a:off x="0" y="0"/>
                      <a:ext cx="6196965" cy="4997450"/>
                    </a:xfrm>
                    <a:prstGeom prst="rect">
                      <a:avLst/>
                    </a:prstGeom>
                  </pic:spPr>
                </pic:pic>
              </a:graphicData>
            </a:graphic>
          </wp:inline>
        </w:drawing>
      </w:r>
    </w:p>
    <w:sectPr>
      <w:footerReference r:id="rId12"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ms Rmn">
    <w:altName w:val="Segoe Print"/>
    <w:panose1 w:val="020B0604020202020204"/>
    <w:charset w:val="00"/>
    <w:family w:val="roman"/>
    <w:pitch w:val="default"/>
    <w:sig w:usb0="00000000" w:usb1="00000000" w:usb2="00000000" w:usb3="00000000" w:csb0="00000001"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PMingLiU">
    <w:panose1 w:val="02020500000000000000"/>
    <w:charset w:val="88"/>
    <w:family w:val="auto"/>
    <w:pitch w:val="default"/>
    <w:sig w:usb0="A00002FF" w:usb1="28CFFCFA" w:usb2="00000016" w:usb3="00000000" w:csb0="00100001" w:csb1="00000000"/>
  </w:font>
  <w:font w:name="华文仿宋">
    <w:altName w:val="仿宋"/>
    <w:panose1 w:val="02010600040101010101"/>
    <w:charset w:val="86"/>
    <w:family w:val="auto"/>
    <w:pitch w:val="default"/>
    <w:sig w:usb0="00000000" w:usb1="0000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Verdana">
    <w:panose1 w:val="020B0604030504040204"/>
    <w:charset w:val="00"/>
    <w:family w:val="swiss"/>
    <w:pitch w:val="default"/>
    <w:sig w:usb0="A10006FF" w:usb1="4000205B" w:usb2="00000010" w:usb3="00000000" w:csb0="2000019F" w:csb1="00000000"/>
  </w:font>
  <w:font w:name="方正小标宋_GBK">
    <w:panose1 w:val="03000509000000000000"/>
    <w:charset w:val="86"/>
    <w:family w:val="script"/>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Arial">
    <w:panose1 w:val="020B0604020202020204"/>
    <w:charset w:val="00"/>
    <w:family w:val="auto"/>
    <w:pitch w:val="default"/>
    <w:sig w:usb0="E0002AFF" w:usb1="C0007843" w:usb2="00000009" w:usb3="00000000" w:csb0="400001FF" w:csb1="FFFF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ind w:firstLine="560"/>
      <w:rPr>
        <w:rStyle w:val="38"/>
        <w:rFonts w:ascii="宋体" w:hAnsi="宋体"/>
        <w:sz w:val="28"/>
        <w:szCs w:val="28"/>
      </w:rPr>
    </w:pPr>
    <w:r>
      <w:rPr>
        <w:rStyle w:val="38"/>
        <w:rFonts w:hint="eastAsia" w:ascii="宋体" w:hAnsi="宋体"/>
        <w:sz w:val="28"/>
        <w:szCs w:val="28"/>
      </w:rPr>
      <w:t>—</w:t>
    </w:r>
    <w:r>
      <w:rPr>
        <w:rStyle w:val="38"/>
        <w:rFonts w:hint="eastAsia" w:ascii="宋体" w:hAnsi="宋体"/>
        <w:sz w:val="20"/>
      </w:rPr>
      <w:t xml:space="preserve">  </w:t>
    </w:r>
    <w:r>
      <w:rPr>
        <w:rStyle w:val="38"/>
        <w:rFonts w:ascii="宋体" w:hAnsi="宋体"/>
        <w:sz w:val="26"/>
        <w:szCs w:val="26"/>
      </w:rPr>
      <w:fldChar w:fldCharType="begin"/>
    </w:r>
    <w:r>
      <w:rPr>
        <w:rStyle w:val="38"/>
        <w:rFonts w:ascii="宋体" w:hAnsi="宋体"/>
        <w:sz w:val="26"/>
        <w:szCs w:val="26"/>
      </w:rPr>
      <w:instrText xml:space="preserve">PAGE  </w:instrText>
    </w:r>
    <w:r>
      <w:rPr>
        <w:rStyle w:val="38"/>
        <w:rFonts w:ascii="宋体" w:hAnsi="宋体"/>
        <w:sz w:val="26"/>
        <w:szCs w:val="26"/>
      </w:rPr>
      <w:fldChar w:fldCharType="separate"/>
    </w:r>
    <w:r>
      <w:rPr>
        <w:rStyle w:val="38"/>
        <w:rFonts w:ascii="宋体" w:hAnsi="宋体"/>
        <w:sz w:val="26"/>
        <w:szCs w:val="26"/>
      </w:rPr>
      <w:t>1</w:t>
    </w:r>
    <w:r>
      <w:rPr>
        <w:rStyle w:val="38"/>
        <w:rFonts w:ascii="宋体" w:hAnsi="宋体"/>
        <w:sz w:val="26"/>
        <w:szCs w:val="26"/>
      </w:rPr>
      <w:fldChar w:fldCharType="end"/>
    </w:r>
    <w:r>
      <w:rPr>
        <w:rStyle w:val="38"/>
        <w:rFonts w:hint="eastAsia" w:ascii="宋体" w:hAnsi="宋体"/>
        <w:sz w:val="20"/>
      </w:rPr>
      <w:t xml:space="preserve">  </w:t>
    </w:r>
    <w:r>
      <w:rPr>
        <w:rStyle w:val="38"/>
        <w:rFonts w:hint="eastAsia" w:ascii="宋体" w:hAnsi="宋体"/>
        <w:sz w:val="28"/>
        <w:szCs w:val="28"/>
      </w:rPr>
      <w:t>—</w:t>
    </w:r>
  </w:p>
  <w:p>
    <w:pPr>
      <w:pStyle w:val="2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center" w:y="1"/>
      <w:ind w:firstLine="360"/>
      <w:rPr>
        <w:rStyle w:val="38"/>
      </w:rPr>
    </w:pPr>
    <w:r>
      <w:fldChar w:fldCharType="begin"/>
    </w:r>
    <w:r>
      <w:rPr>
        <w:rStyle w:val="38"/>
      </w:rPr>
      <w:instrText xml:space="preserve">PAGE  </w:instrText>
    </w:r>
    <w:r>
      <w:fldChar w:fldCharType="end"/>
    </w:r>
  </w:p>
  <w:p>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outside" w:y="1"/>
      <w:ind w:firstLine="560"/>
      <w:rPr>
        <w:rStyle w:val="38"/>
        <w:rFonts w:ascii="宋体" w:hAnsi="宋体"/>
        <w:sz w:val="28"/>
        <w:szCs w:val="28"/>
      </w:rPr>
    </w:pPr>
    <w:r>
      <w:rPr>
        <w:rStyle w:val="38"/>
        <w:rFonts w:hint="eastAsia" w:ascii="宋体" w:hAnsi="宋体"/>
        <w:sz w:val="28"/>
        <w:szCs w:val="28"/>
      </w:rPr>
      <w:t>—</w:t>
    </w:r>
    <w:r>
      <w:rPr>
        <w:rStyle w:val="38"/>
        <w:rFonts w:hint="eastAsia" w:ascii="宋体" w:hAnsi="宋体"/>
        <w:sz w:val="20"/>
      </w:rPr>
      <w:t xml:space="preserve">  </w:t>
    </w:r>
    <w:r>
      <w:rPr>
        <w:rStyle w:val="38"/>
        <w:rFonts w:ascii="宋体" w:hAnsi="宋体"/>
        <w:sz w:val="26"/>
        <w:szCs w:val="26"/>
      </w:rPr>
      <w:fldChar w:fldCharType="begin"/>
    </w:r>
    <w:r>
      <w:rPr>
        <w:rStyle w:val="38"/>
        <w:rFonts w:ascii="宋体" w:hAnsi="宋体"/>
        <w:sz w:val="26"/>
        <w:szCs w:val="26"/>
      </w:rPr>
      <w:instrText xml:space="preserve">PAGE  </w:instrText>
    </w:r>
    <w:r>
      <w:rPr>
        <w:rStyle w:val="38"/>
        <w:rFonts w:ascii="宋体" w:hAnsi="宋体"/>
        <w:sz w:val="26"/>
        <w:szCs w:val="26"/>
      </w:rPr>
      <w:fldChar w:fldCharType="separate"/>
    </w:r>
    <w:r>
      <w:rPr>
        <w:rStyle w:val="38"/>
        <w:rFonts w:ascii="宋体" w:hAnsi="宋体"/>
        <w:sz w:val="26"/>
        <w:szCs w:val="26"/>
      </w:rPr>
      <w:t>51</w:t>
    </w:r>
    <w:r>
      <w:rPr>
        <w:rStyle w:val="38"/>
        <w:rFonts w:ascii="宋体" w:hAnsi="宋体"/>
        <w:sz w:val="26"/>
        <w:szCs w:val="26"/>
      </w:rPr>
      <w:fldChar w:fldCharType="end"/>
    </w:r>
    <w:r>
      <w:rPr>
        <w:rStyle w:val="38"/>
        <w:rFonts w:hint="eastAsia" w:ascii="宋体" w:hAnsi="宋体"/>
        <w:sz w:val="20"/>
      </w:rPr>
      <w:t xml:space="preserve">  </w:t>
    </w:r>
    <w:r>
      <w:rPr>
        <w:rStyle w:val="38"/>
        <w:rFonts w:hint="eastAsia" w:ascii="宋体" w:hAnsi="宋体"/>
        <w:sz w:val="28"/>
        <w:szCs w:val="28"/>
      </w:rPr>
      <w:t>—</w:t>
    </w:r>
  </w:p>
  <w:p>
    <w:pPr>
      <w:pStyle w:val="22"/>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H7t3o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pCiWYKOzr9+H76+fv06xuBDgC11s/gt7HwDN0702HRg95DGefu&#10;KqfijYkI7ID6eIFXdIHwGDSdTKc5TBy24YH82VO4dT68F0aRKBTUYX8JVnZY+9C7Di6xmjarRsq0&#10;Q6lJW9Drq7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H7t3oVAgAAFQQAAA4AAAAAAAAA&#10;AQAgAAAAHwEAAGRycy9lMm9Eb2MueG1sUEsFBgAAAAAGAAYAWQEAAKYFAAAAAA==&#10;">
              <v:fill on="f" focussize="0,0"/>
              <v:stroke on="f" weight="0.5pt"/>
              <v:imagedata o:title=""/>
              <o:lock v:ext="edit" aspectratio="f"/>
              <v:textbox inset="0mm,0mm,0mm,0mm" style="mso-fit-shape-to-text:t;">
                <w:txbxContent>
                  <w:p>
                    <w:pPr>
                      <w:pStyle w:val="22"/>
                    </w:pPr>
                    <w:r>
                      <w:fldChar w:fldCharType="begin"/>
                    </w:r>
                    <w:r>
                      <w:instrText xml:space="preserve"> PAGE  \* MERGEFORMAT </w:instrText>
                    </w:r>
                    <w:r>
                      <w:fldChar w:fldCharType="separate"/>
                    </w:r>
                    <w:r>
                      <w:t>42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F0587CF"/>
    <w:multiLevelType w:val="singleLevel"/>
    <w:tmpl w:val="9F0587CF"/>
    <w:lvl w:ilvl="0" w:tentative="0">
      <w:start w:val="1"/>
      <w:numFmt w:val="decimal"/>
      <w:suff w:val="nothing"/>
      <w:lvlText w:val="%1、"/>
      <w:lvlJc w:val="left"/>
      <w:pPr>
        <w:ind w:left="-2"/>
      </w:pPr>
    </w:lvl>
  </w:abstractNum>
  <w:abstractNum w:abstractNumId="1">
    <w:nsid w:val="DE3678DF"/>
    <w:multiLevelType w:val="singleLevel"/>
    <w:tmpl w:val="DE3678DF"/>
    <w:lvl w:ilvl="0" w:tentative="0">
      <w:start w:val="1"/>
      <w:numFmt w:val="bullet"/>
      <w:pStyle w:val="18"/>
      <w:lvlText w:val=""/>
      <w:lvlJc w:val="left"/>
      <w:pPr>
        <w:tabs>
          <w:tab w:val="left" w:pos="2040"/>
        </w:tabs>
        <w:ind w:left="2040" w:hanging="360"/>
      </w:pPr>
      <w:rPr>
        <w:rFonts w:hint="default" w:ascii="Wingdings" w:hAnsi="Wingdings"/>
      </w:rPr>
    </w:lvl>
  </w:abstractNum>
  <w:abstractNum w:abstractNumId="2">
    <w:nsid w:val="E85A6C83"/>
    <w:multiLevelType w:val="singleLevel"/>
    <w:tmpl w:val="E85A6C83"/>
    <w:lvl w:ilvl="0" w:tentative="0">
      <w:start w:val="2"/>
      <w:numFmt w:val="decimal"/>
      <w:suff w:val="nothing"/>
      <w:lvlText w:val="%1、"/>
      <w:lvlJc w:val="left"/>
    </w:lvl>
  </w:abstractNum>
  <w:abstractNum w:abstractNumId="3">
    <w:nsid w:val="F81B3892"/>
    <w:multiLevelType w:val="singleLevel"/>
    <w:tmpl w:val="F81B3892"/>
    <w:lvl w:ilvl="0" w:tentative="0">
      <w:start w:val="3"/>
      <w:numFmt w:val="decimal"/>
      <w:suff w:val="nothing"/>
      <w:lvlText w:val="（%1）"/>
      <w:lvlJc w:val="left"/>
    </w:lvl>
  </w:abstractNum>
  <w:abstractNum w:abstractNumId="4">
    <w:nsid w:val="3056E2E1"/>
    <w:multiLevelType w:val="singleLevel"/>
    <w:tmpl w:val="3056E2E1"/>
    <w:lvl w:ilvl="0" w:tentative="0">
      <w:start w:val="1"/>
      <w:numFmt w:val="decimal"/>
      <w:suff w:val="nothing"/>
      <w:lvlText w:val="%1、"/>
      <w:lvlJc w:val="left"/>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jM2FkNDkwZDlmZmUyY2ZjY2MxYzJhYmU5OGNlZWIifQ=="/>
  </w:docVars>
  <w:rsids>
    <w:rsidRoot w:val="00172A27"/>
    <w:rsid w:val="000007C3"/>
    <w:rsid w:val="00001D60"/>
    <w:rsid w:val="0000571F"/>
    <w:rsid w:val="00005C04"/>
    <w:rsid w:val="000060B3"/>
    <w:rsid w:val="0000773C"/>
    <w:rsid w:val="00007BF2"/>
    <w:rsid w:val="00010D97"/>
    <w:rsid w:val="000125FB"/>
    <w:rsid w:val="00015D74"/>
    <w:rsid w:val="00016DB7"/>
    <w:rsid w:val="0001766E"/>
    <w:rsid w:val="00021F31"/>
    <w:rsid w:val="0002315B"/>
    <w:rsid w:val="000269B7"/>
    <w:rsid w:val="00026B5B"/>
    <w:rsid w:val="00031D97"/>
    <w:rsid w:val="0003261A"/>
    <w:rsid w:val="000334DE"/>
    <w:rsid w:val="00033B05"/>
    <w:rsid w:val="00034C13"/>
    <w:rsid w:val="00035287"/>
    <w:rsid w:val="0003636A"/>
    <w:rsid w:val="00040356"/>
    <w:rsid w:val="00040433"/>
    <w:rsid w:val="00040950"/>
    <w:rsid w:val="00040BF2"/>
    <w:rsid w:val="00041F79"/>
    <w:rsid w:val="00042F55"/>
    <w:rsid w:val="0004364B"/>
    <w:rsid w:val="00044F5E"/>
    <w:rsid w:val="00046737"/>
    <w:rsid w:val="00046AB8"/>
    <w:rsid w:val="00054367"/>
    <w:rsid w:val="00055A97"/>
    <w:rsid w:val="00057313"/>
    <w:rsid w:val="00057CED"/>
    <w:rsid w:val="00060546"/>
    <w:rsid w:val="00061B1F"/>
    <w:rsid w:val="00062145"/>
    <w:rsid w:val="000638D0"/>
    <w:rsid w:val="00064920"/>
    <w:rsid w:val="0006656E"/>
    <w:rsid w:val="00066DB7"/>
    <w:rsid w:val="00070A63"/>
    <w:rsid w:val="00070B4B"/>
    <w:rsid w:val="00072018"/>
    <w:rsid w:val="00072183"/>
    <w:rsid w:val="00072BCB"/>
    <w:rsid w:val="000733C4"/>
    <w:rsid w:val="00073782"/>
    <w:rsid w:val="00074783"/>
    <w:rsid w:val="000749E3"/>
    <w:rsid w:val="000753DA"/>
    <w:rsid w:val="00075B45"/>
    <w:rsid w:val="00080643"/>
    <w:rsid w:val="0008070B"/>
    <w:rsid w:val="000810AC"/>
    <w:rsid w:val="00081A02"/>
    <w:rsid w:val="00082231"/>
    <w:rsid w:val="000843E0"/>
    <w:rsid w:val="00085DA3"/>
    <w:rsid w:val="00092D38"/>
    <w:rsid w:val="00093553"/>
    <w:rsid w:val="0009377B"/>
    <w:rsid w:val="0009408D"/>
    <w:rsid w:val="00095807"/>
    <w:rsid w:val="00095C54"/>
    <w:rsid w:val="00096AF8"/>
    <w:rsid w:val="00097C6C"/>
    <w:rsid w:val="00097DB3"/>
    <w:rsid w:val="000A20C9"/>
    <w:rsid w:val="000A4C72"/>
    <w:rsid w:val="000A7C97"/>
    <w:rsid w:val="000B058F"/>
    <w:rsid w:val="000B2198"/>
    <w:rsid w:val="000B37DB"/>
    <w:rsid w:val="000B397F"/>
    <w:rsid w:val="000B3BC5"/>
    <w:rsid w:val="000B3D49"/>
    <w:rsid w:val="000B4467"/>
    <w:rsid w:val="000B4DB9"/>
    <w:rsid w:val="000B70D9"/>
    <w:rsid w:val="000C07E8"/>
    <w:rsid w:val="000C09AC"/>
    <w:rsid w:val="000C3513"/>
    <w:rsid w:val="000C376F"/>
    <w:rsid w:val="000C4730"/>
    <w:rsid w:val="000C5D26"/>
    <w:rsid w:val="000C602E"/>
    <w:rsid w:val="000C61E6"/>
    <w:rsid w:val="000C767F"/>
    <w:rsid w:val="000C7F85"/>
    <w:rsid w:val="000D0529"/>
    <w:rsid w:val="000D1ED3"/>
    <w:rsid w:val="000D3905"/>
    <w:rsid w:val="000D5A44"/>
    <w:rsid w:val="000D605F"/>
    <w:rsid w:val="000D6A17"/>
    <w:rsid w:val="000D6E1E"/>
    <w:rsid w:val="000E0EEB"/>
    <w:rsid w:val="000E2A11"/>
    <w:rsid w:val="000E2BD0"/>
    <w:rsid w:val="000E3ED2"/>
    <w:rsid w:val="000E434E"/>
    <w:rsid w:val="000E503E"/>
    <w:rsid w:val="000F3356"/>
    <w:rsid w:val="000F37FC"/>
    <w:rsid w:val="000F48E9"/>
    <w:rsid w:val="000F6D5E"/>
    <w:rsid w:val="00101191"/>
    <w:rsid w:val="00102B45"/>
    <w:rsid w:val="00102B4B"/>
    <w:rsid w:val="001038ED"/>
    <w:rsid w:val="00103D6E"/>
    <w:rsid w:val="00105A51"/>
    <w:rsid w:val="0011423E"/>
    <w:rsid w:val="0011518A"/>
    <w:rsid w:val="001153F4"/>
    <w:rsid w:val="00116C22"/>
    <w:rsid w:val="00120DE3"/>
    <w:rsid w:val="00121434"/>
    <w:rsid w:val="00121514"/>
    <w:rsid w:val="0012670B"/>
    <w:rsid w:val="00127474"/>
    <w:rsid w:val="001304EA"/>
    <w:rsid w:val="00130D4C"/>
    <w:rsid w:val="001311DE"/>
    <w:rsid w:val="00131DFF"/>
    <w:rsid w:val="00131F42"/>
    <w:rsid w:val="001357F1"/>
    <w:rsid w:val="00140F57"/>
    <w:rsid w:val="00140F64"/>
    <w:rsid w:val="00140FA8"/>
    <w:rsid w:val="001426A0"/>
    <w:rsid w:val="00142FEB"/>
    <w:rsid w:val="00143883"/>
    <w:rsid w:val="00143A2D"/>
    <w:rsid w:val="00145A41"/>
    <w:rsid w:val="001514E7"/>
    <w:rsid w:val="00151675"/>
    <w:rsid w:val="001522E0"/>
    <w:rsid w:val="001541A5"/>
    <w:rsid w:val="00154BAF"/>
    <w:rsid w:val="001553A6"/>
    <w:rsid w:val="00157435"/>
    <w:rsid w:val="001578B0"/>
    <w:rsid w:val="00157A3C"/>
    <w:rsid w:val="00157BEF"/>
    <w:rsid w:val="0016074A"/>
    <w:rsid w:val="001611AF"/>
    <w:rsid w:val="00161B92"/>
    <w:rsid w:val="00161E2D"/>
    <w:rsid w:val="00162AF4"/>
    <w:rsid w:val="00163055"/>
    <w:rsid w:val="001636D4"/>
    <w:rsid w:val="00164957"/>
    <w:rsid w:val="001675E6"/>
    <w:rsid w:val="00167B52"/>
    <w:rsid w:val="00170EAF"/>
    <w:rsid w:val="00172A80"/>
    <w:rsid w:val="0017419B"/>
    <w:rsid w:val="00174766"/>
    <w:rsid w:val="0017504D"/>
    <w:rsid w:val="00175CF1"/>
    <w:rsid w:val="0017671A"/>
    <w:rsid w:val="0017693E"/>
    <w:rsid w:val="00177422"/>
    <w:rsid w:val="0017757C"/>
    <w:rsid w:val="00177784"/>
    <w:rsid w:val="0018068C"/>
    <w:rsid w:val="001810BF"/>
    <w:rsid w:val="00181277"/>
    <w:rsid w:val="00184590"/>
    <w:rsid w:val="001845CE"/>
    <w:rsid w:val="001870D1"/>
    <w:rsid w:val="0018781E"/>
    <w:rsid w:val="0019077B"/>
    <w:rsid w:val="0019262D"/>
    <w:rsid w:val="00194322"/>
    <w:rsid w:val="00194BF3"/>
    <w:rsid w:val="00195AC9"/>
    <w:rsid w:val="00197541"/>
    <w:rsid w:val="001A0A30"/>
    <w:rsid w:val="001A116A"/>
    <w:rsid w:val="001A1B35"/>
    <w:rsid w:val="001A296F"/>
    <w:rsid w:val="001A2B43"/>
    <w:rsid w:val="001A353B"/>
    <w:rsid w:val="001A402D"/>
    <w:rsid w:val="001A455D"/>
    <w:rsid w:val="001A48A2"/>
    <w:rsid w:val="001A637D"/>
    <w:rsid w:val="001A6DCE"/>
    <w:rsid w:val="001A6F61"/>
    <w:rsid w:val="001B07E2"/>
    <w:rsid w:val="001B0A89"/>
    <w:rsid w:val="001B1056"/>
    <w:rsid w:val="001B19B4"/>
    <w:rsid w:val="001B1F22"/>
    <w:rsid w:val="001B4FAE"/>
    <w:rsid w:val="001B696B"/>
    <w:rsid w:val="001B72B8"/>
    <w:rsid w:val="001B7C3A"/>
    <w:rsid w:val="001C0B50"/>
    <w:rsid w:val="001C18A3"/>
    <w:rsid w:val="001C3915"/>
    <w:rsid w:val="001C5EC8"/>
    <w:rsid w:val="001C692A"/>
    <w:rsid w:val="001C69B3"/>
    <w:rsid w:val="001C6A72"/>
    <w:rsid w:val="001D263E"/>
    <w:rsid w:val="001D328B"/>
    <w:rsid w:val="001D3A4D"/>
    <w:rsid w:val="001D3CB8"/>
    <w:rsid w:val="001D3CCC"/>
    <w:rsid w:val="001D45EC"/>
    <w:rsid w:val="001D4A5A"/>
    <w:rsid w:val="001D5595"/>
    <w:rsid w:val="001D60BC"/>
    <w:rsid w:val="001D7874"/>
    <w:rsid w:val="001D7F22"/>
    <w:rsid w:val="001E0F1A"/>
    <w:rsid w:val="001E41DE"/>
    <w:rsid w:val="001E44D3"/>
    <w:rsid w:val="001E44F0"/>
    <w:rsid w:val="001E4D2D"/>
    <w:rsid w:val="001E4DB6"/>
    <w:rsid w:val="001E7461"/>
    <w:rsid w:val="001F0F17"/>
    <w:rsid w:val="001F15B3"/>
    <w:rsid w:val="001F1A59"/>
    <w:rsid w:val="001F2D40"/>
    <w:rsid w:val="001F3347"/>
    <w:rsid w:val="001F3A0D"/>
    <w:rsid w:val="001F46AC"/>
    <w:rsid w:val="001F4E02"/>
    <w:rsid w:val="001F68B0"/>
    <w:rsid w:val="001F69E4"/>
    <w:rsid w:val="00200548"/>
    <w:rsid w:val="0020107A"/>
    <w:rsid w:val="00207202"/>
    <w:rsid w:val="00210EAA"/>
    <w:rsid w:val="00212223"/>
    <w:rsid w:val="00212598"/>
    <w:rsid w:val="002125B4"/>
    <w:rsid w:val="002139A8"/>
    <w:rsid w:val="00214427"/>
    <w:rsid w:val="00215008"/>
    <w:rsid w:val="002155B8"/>
    <w:rsid w:val="00221081"/>
    <w:rsid w:val="00222AC7"/>
    <w:rsid w:val="00224839"/>
    <w:rsid w:val="002249B2"/>
    <w:rsid w:val="00224F9E"/>
    <w:rsid w:val="00225D33"/>
    <w:rsid w:val="00226574"/>
    <w:rsid w:val="00227108"/>
    <w:rsid w:val="002278EC"/>
    <w:rsid w:val="0023280E"/>
    <w:rsid w:val="00233DFF"/>
    <w:rsid w:val="002377D1"/>
    <w:rsid w:val="00237CDA"/>
    <w:rsid w:val="00240842"/>
    <w:rsid w:val="00241127"/>
    <w:rsid w:val="00242B44"/>
    <w:rsid w:val="00242B5F"/>
    <w:rsid w:val="00245170"/>
    <w:rsid w:val="00245929"/>
    <w:rsid w:val="00246313"/>
    <w:rsid w:val="00250190"/>
    <w:rsid w:val="002506BC"/>
    <w:rsid w:val="0025370F"/>
    <w:rsid w:val="00254345"/>
    <w:rsid w:val="002546B4"/>
    <w:rsid w:val="00255AE6"/>
    <w:rsid w:val="00256919"/>
    <w:rsid w:val="00256B85"/>
    <w:rsid w:val="002623EA"/>
    <w:rsid w:val="00263744"/>
    <w:rsid w:val="00263980"/>
    <w:rsid w:val="00264557"/>
    <w:rsid w:val="00265B74"/>
    <w:rsid w:val="0026665B"/>
    <w:rsid w:val="00267FC0"/>
    <w:rsid w:val="00270A57"/>
    <w:rsid w:val="00271565"/>
    <w:rsid w:val="002722CC"/>
    <w:rsid w:val="00274246"/>
    <w:rsid w:val="00276495"/>
    <w:rsid w:val="0027691B"/>
    <w:rsid w:val="00276ABF"/>
    <w:rsid w:val="00277E98"/>
    <w:rsid w:val="002805AB"/>
    <w:rsid w:val="00280C65"/>
    <w:rsid w:val="00282BE0"/>
    <w:rsid w:val="00284204"/>
    <w:rsid w:val="00284F76"/>
    <w:rsid w:val="00285337"/>
    <w:rsid w:val="00286762"/>
    <w:rsid w:val="00286E85"/>
    <w:rsid w:val="002912DA"/>
    <w:rsid w:val="00291773"/>
    <w:rsid w:val="00292D4B"/>
    <w:rsid w:val="0029361C"/>
    <w:rsid w:val="00293D64"/>
    <w:rsid w:val="00295008"/>
    <w:rsid w:val="002A0BA9"/>
    <w:rsid w:val="002A168C"/>
    <w:rsid w:val="002A34A4"/>
    <w:rsid w:val="002A3DC7"/>
    <w:rsid w:val="002A3E14"/>
    <w:rsid w:val="002A46F4"/>
    <w:rsid w:val="002A65CD"/>
    <w:rsid w:val="002A662E"/>
    <w:rsid w:val="002B15C7"/>
    <w:rsid w:val="002B3665"/>
    <w:rsid w:val="002B49E2"/>
    <w:rsid w:val="002B7B00"/>
    <w:rsid w:val="002B7C44"/>
    <w:rsid w:val="002C026F"/>
    <w:rsid w:val="002C06DE"/>
    <w:rsid w:val="002C0CAD"/>
    <w:rsid w:val="002C1FFD"/>
    <w:rsid w:val="002C243A"/>
    <w:rsid w:val="002C2B17"/>
    <w:rsid w:val="002C445F"/>
    <w:rsid w:val="002C69DF"/>
    <w:rsid w:val="002C6AC4"/>
    <w:rsid w:val="002D24FF"/>
    <w:rsid w:val="002D30E8"/>
    <w:rsid w:val="002D3DD0"/>
    <w:rsid w:val="002D490E"/>
    <w:rsid w:val="002E1E07"/>
    <w:rsid w:val="002E1F3A"/>
    <w:rsid w:val="002E26C9"/>
    <w:rsid w:val="002E298A"/>
    <w:rsid w:val="002E3C48"/>
    <w:rsid w:val="002E6967"/>
    <w:rsid w:val="002E7171"/>
    <w:rsid w:val="002F17A4"/>
    <w:rsid w:val="002F1A99"/>
    <w:rsid w:val="002F23E4"/>
    <w:rsid w:val="002F389C"/>
    <w:rsid w:val="002F4142"/>
    <w:rsid w:val="002F718A"/>
    <w:rsid w:val="00301978"/>
    <w:rsid w:val="0030332C"/>
    <w:rsid w:val="003051C2"/>
    <w:rsid w:val="00305209"/>
    <w:rsid w:val="00305C97"/>
    <w:rsid w:val="003073C9"/>
    <w:rsid w:val="00307E1E"/>
    <w:rsid w:val="003115E8"/>
    <w:rsid w:val="003119E8"/>
    <w:rsid w:val="00312296"/>
    <w:rsid w:val="0031276E"/>
    <w:rsid w:val="0031380E"/>
    <w:rsid w:val="00314F0E"/>
    <w:rsid w:val="00315DC7"/>
    <w:rsid w:val="00321249"/>
    <w:rsid w:val="00321D8E"/>
    <w:rsid w:val="00323795"/>
    <w:rsid w:val="00324BBA"/>
    <w:rsid w:val="0032541B"/>
    <w:rsid w:val="00325928"/>
    <w:rsid w:val="0032784F"/>
    <w:rsid w:val="00327F52"/>
    <w:rsid w:val="00330834"/>
    <w:rsid w:val="0033227E"/>
    <w:rsid w:val="0033276E"/>
    <w:rsid w:val="00332863"/>
    <w:rsid w:val="00332AC0"/>
    <w:rsid w:val="0033684D"/>
    <w:rsid w:val="00337B42"/>
    <w:rsid w:val="00341B42"/>
    <w:rsid w:val="0034348F"/>
    <w:rsid w:val="003445AC"/>
    <w:rsid w:val="00345FC3"/>
    <w:rsid w:val="0034724C"/>
    <w:rsid w:val="00347404"/>
    <w:rsid w:val="003510AD"/>
    <w:rsid w:val="0035250B"/>
    <w:rsid w:val="003530C5"/>
    <w:rsid w:val="00354265"/>
    <w:rsid w:val="00355ADA"/>
    <w:rsid w:val="00356653"/>
    <w:rsid w:val="00356709"/>
    <w:rsid w:val="0035743F"/>
    <w:rsid w:val="00357BE2"/>
    <w:rsid w:val="00357EE7"/>
    <w:rsid w:val="00360C1D"/>
    <w:rsid w:val="0036126C"/>
    <w:rsid w:val="0036170C"/>
    <w:rsid w:val="00362D00"/>
    <w:rsid w:val="00362EB8"/>
    <w:rsid w:val="00366A4D"/>
    <w:rsid w:val="00366E0F"/>
    <w:rsid w:val="00370AA9"/>
    <w:rsid w:val="00372085"/>
    <w:rsid w:val="00372932"/>
    <w:rsid w:val="0037312D"/>
    <w:rsid w:val="0037339E"/>
    <w:rsid w:val="0037409F"/>
    <w:rsid w:val="00374BDB"/>
    <w:rsid w:val="0037628D"/>
    <w:rsid w:val="00380A5C"/>
    <w:rsid w:val="0038175E"/>
    <w:rsid w:val="00381A72"/>
    <w:rsid w:val="003820A7"/>
    <w:rsid w:val="00382EFA"/>
    <w:rsid w:val="003834BF"/>
    <w:rsid w:val="00384676"/>
    <w:rsid w:val="003854ED"/>
    <w:rsid w:val="00386ED9"/>
    <w:rsid w:val="003870AF"/>
    <w:rsid w:val="00387553"/>
    <w:rsid w:val="00390857"/>
    <w:rsid w:val="003912EC"/>
    <w:rsid w:val="00392EE6"/>
    <w:rsid w:val="003957A9"/>
    <w:rsid w:val="00395B90"/>
    <w:rsid w:val="003A0558"/>
    <w:rsid w:val="003A0E24"/>
    <w:rsid w:val="003A25E4"/>
    <w:rsid w:val="003A4BF3"/>
    <w:rsid w:val="003A50FD"/>
    <w:rsid w:val="003A586F"/>
    <w:rsid w:val="003A6052"/>
    <w:rsid w:val="003A7CAF"/>
    <w:rsid w:val="003B0913"/>
    <w:rsid w:val="003B1215"/>
    <w:rsid w:val="003B1251"/>
    <w:rsid w:val="003B420D"/>
    <w:rsid w:val="003B5270"/>
    <w:rsid w:val="003B5784"/>
    <w:rsid w:val="003B62A7"/>
    <w:rsid w:val="003B7178"/>
    <w:rsid w:val="003B7601"/>
    <w:rsid w:val="003B766E"/>
    <w:rsid w:val="003C0A2A"/>
    <w:rsid w:val="003C0F65"/>
    <w:rsid w:val="003C311F"/>
    <w:rsid w:val="003C3538"/>
    <w:rsid w:val="003C45A3"/>
    <w:rsid w:val="003C614D"/>
    <w:rsid w:val="003C6C16"/>
    <w:rsid w:val="003C75D6"/>
    <w:rsid w:val="003C79BA"/>
    <w:rsid w:val="003D0E76"/>
    <w:rsid w:val="003D106B"/>
    <w:rsid w:val="003D1E80"/>
    <w:rsid w:val="003D3286"/>
    <w:rsid w:val="003D4D78"/>
    <w:rsid w:val="003D7647"/>
    <w:rsid w:val="003D794D"/>
    <w:rsid w:val="003E0FF4"/>
    <w:rsid w:val="003E21C4"/>
    <w:rsid w:val="003E2DCD"/>
    <w:rsid w:val="003E3058"/>
    <w:rsid w:val="003E306B"/>
    <w:rsid w:val="003E4281"/>
    <w:rsid w:val="003E43EC"/>
    <w:rsid w:val="003E454E"/>
    <w:rsid w:val="003E58F3"/>
    <w:rsid w:val="003E5AE5"/>
    <w:rsid w:val="003E6F82"/>
    <w:rsid w:val="003E76A9"/>
    <w:rsid w:val="003F0520"/>
    <w:rsid w:val="003F0809"/>
    <w:rsid w:val="003F1798"/>
    <w:rsid w:val="003F2218"/>
    <w:rsid w:val="003F2AF2"/>
    <w:rsid w:val="003F522E"/>
    <w:rsid w:val="003F56E7"/>
    <w:rsid w:val="003F6A8C"/>
    <w:rsid w:val="003F755C"/>
    <w:rsid w:val="0040228D"/>
    <w:rsid w:val="00403F55"/>
    <w:rsid w:val="00405801"/>
    <w:rsid w:val="0040648F"/>
    <w:rsid w:val="00406F01"/>
    <w:rsid w:val="00407233"/>
    <w:rsid w:val="004075F6"/>
    <w:rsid w:val="00410108"/>
    <w:rsid w:val="00410A2C"/>
    <w:rsid w:val="004114BC"/>
    <w:rsid w:val="00412F90"/>
    <w:rsid w:val="004158C2"/>
    <w:rsid w:val="004164A0"/>
    <w:rsid w:val="00416D50"/>
    <w:rsid w:val="00416FD5"/>
    <w:rsid w:val="00417772"/>
    <w:rsid w:val="00420E6A"/>
    <w:rsid w:val="00421362"/>
    <w:rsid w:val="00423E00"/>
    <w:rsid w:val="004251B0"/>
    <w:rsid w:val="00425A9E"/>
    <w:rsid w:val="00426D6B"/>
    <w:rsid w:val="0042750C"/>
    <w:rsid w:val="00427577"/>
    <w:rsid w:val="00431E6C"/>
    <w:rsid w:val="00432DD0"/>
    <w:rsid w:val="0043319F"/>
    <w:rsid w:val="004336DE"/>
    <w:rsid w:val="00433CE7"/>
    <w:rsid w:val="004370BF"/>
    <w:rsid w:val="00437E8B"/>
    <w:rsid w:val="0044085B"/>
    <w:rsid w:val="004410CB"/>
    <w:rsid w:val="00442192"/>
    <w:rsid w:val="004431C5"/>
    <w:rsid w:val="00443242"/>
    <w:rsid w:val="004439B4"/>
    <w:rsid w:val="004467C9"/>
    <w:rsid w:val="004476E7"/>
    <w:rsid w:val="00447738"/>
    <w:rsid w:val="004478F0"/>
    <w:rsid w:val="00447D89"/>
    <w:rsid w:val="00451180"/>
    <w:rsid w:val="00451E0B"/>
    <w:rsid w:val="00452738"/>
    <w:rsid w:val="0045592D"/>
    <w:rsid w:val="00455A44"/>
    <w:rsid w:val="00456091"/>
    <w:rsid w:val="00456C53"/>
    <w:rsid w:val="00457868"/>
    <w:rsid w:val="00457B78"/>
    <w:rsid w:val="00460FD5"/>
    <w:rsid w:val="0046183E"/>
    <w:rsid w:val="004618D7"/>
    <w:rsid w:val="00463AD0"/>
    <w:rsid w:val="004644E4"/>
    <w:rsid w:val="00464746"/>
    <w:rsid w:val="004648D7"/>
    <w:rsid w:val="00466321"/>
    <w:rsid w:val="004708D7"/>
    <w:rsid w:val="00470F5C"/>
    <w:rsid w:val="00473397"/>
    <w:rsid w:val="0047420B"/>
    <w:rsid w:val="00475173"/>
    <w:rsid w:val="00476389"/>
    <w:rsid w:val="004774DA"/>
    <w:rsid w:val="00480936"/>
    <w:rsid w:val="00481359"/>
    <w:rsid w:val="00482A38"/>
    <w:rsid w:val="00484B9B"/>
    <w:rsid w:val="004855F6"/>
    <w:rsid w:val="0048661E"/>
    <w:rsid w:val="004876D7"/>
    <w:rsid w:val="0049136B"/>
    <w:rsid w:val="00491F1A"/>
    <w:rsid w:val="004920DF"/>
    <w:rsid w:val="00493566"/>
    <w:rsid w:val="00493AA8"/>
    <w:rsid w:val="00494203"/>
    <w:rsid w:val="00494670"/>
    <w:rsid w:val="004948EE"/>
    <w:rsid w:val="00496800"/>
    <w:rsid w:val="004A06F9"/>
    <w:rsid w:val="004A0D41"/>
    <w:rsid w:val="004A1DC8"/>
    <w:rsid w:val="004A23AC"/>
    <w:rsid w:val="004A2BD1"/>
    <w:rsid w:val="004A313A"/>
    <w:rsid w:val="004A3823"/>
    <w:rsid w:val="004A3EC6"/>
    <w:rsid w:val="004A51E6"/>
    <w:rsid w:val="004A5DE1"/>
    <w:rsid w:val="004A607B"/>
    <w:rsid w:val="004A7245"/>
    <w:rsid w:val="004A7BF8"/>
    <w:rsid w:val="004A7D72"/>
    <w:rsid w:val="004B3840"/>
    <w:rsid w:val="004B3FC3"/>
    <w:rsid w:val="004B5AE4"/>
    <w:rsid w:val="004B730C"/>
    <w:rsid w:val="004B7726"/>
    <w:rsid w:val="004C0051"/>
    <w:rsid w:val="004C2079"/>
    <w:rsid w:val="004C3435"/>
    <w:rsid w:val="004C4930"/>
    <w:rsid w:val="004C4D91"/>
    <w:rsid w:val="004C5638"/>
    <w:rsid w:val="004D0D08"/>
    <w:rsid w:val="004D1DEA"/>
    <w:rsid w:val="004D285B"/>
    <w:rsid w:val="004D3196"/>
    <w:rsid w:val="004D3CA6"/>
    <w:rsid w:val="004E05A5"/>
    <w:rsid w:val="004E1EF3"/>
    <w:rsid w:val="004E2037"/>
    <w:rsid w:val="004E21D3"/>
    <w:rsid w:val="004E2A17"/>
    <w:rsid w:val="004E2C1C"/>
    <w:rsid w:val="004E3B52"/>
    <w:rsid w:val="004E63FF"/>
    <w:rsid w:val="004E6946"/>
    <w:rsid w:val="004F061A"/>
    <w:rsid w:val="004F0C70"/>
    <w:rsid w:val="004F1590"/>
    <w:rsid w:val="004F1AD8"/>
    <w:rsid w:val="004F3791"/>
    <w:rsid w:val="004F3A41"/>
    <w:rsid w:val="004F48CD"/>
    <w:rsid w:val="004F67C9"/>
    <w:rsid w:val="004F7C3C"/>
    <w:rsid w:val="005003DA"/>
    <w:rsid w:val="00501276"/>
    <w:rsid w:val="0050139B"/>
    <w:rsid w:val="00501ABB"/>
    <w:rsid w:val="00501ACD"/>
    <w:rsid w:val="0050236F"/>
    <w:rsid w:val="00502FE2"/>
    <w:rsid w:val="00503578"/>
    <w:rsid w:val="005039CB"/>
    <w:rsid w:val="00504222"/>
    <w:rsid w:val="0050558F"/>
    <w:rsid w:val="00506286"/>
    <w:rsid w:val="005070C1"/>
    <w:rsid w:val="00507C3C"/>
    <w:rsid w:val="00510813"/>
    <w:rsid w:val="00511990"/>
    <w:rsid w:val="00511DE0"/>
    <w:rsid w:val="0051240D"/>
    <w:rsid w:val="00512AA4"/>
    <w:rsid w:val="005138C4"/>
    <w:rsid w:val="00514870"/>
    <w:rsid w:val="00514B9B"/>
    <w:rsid w:val="0051556C"/>
    <w:rsid w:val="00515CD4"/>
    <w:rsid w:val="00517A05"/>
    <w:rsid w:val="00517DD2"/>
    <w:rsid w:val="00517F02"/>
    <w:rsid w:val="00520924"/>
    <w:rsid w:val="005218FA"/>
    <w:rsid w:val="00522587"/>
    <w:rsid w:val="0052310C"/>
    <w:rsid w:val="00524303"/>
    <w:rsid w:val="00524E7E"/>
    <w:rsid w:val="005258A2"/>
    <w:rsid w:val="00525B32"/>
    <w:rsid w:val="005278C9"/>
    <w:rsid w:val="00527E34"/>
    <w:rsid w:val="005401AE"/>
    <w:rsid w:val="00542E07"/>
    <w:rsid w:val="00543180"/>
    <w:rsid w:val="005439E9"/>
    <w:rsid w:val="005444EB"/>
    <w:rsid w:val="005450E2"/>
    <w:rsid w:val="00545424"/>
    <w:rsid w:val="00546747"/>
    <w:rsid w:val="00547BF2"/>
    <w:rsid w:val="00550900"/>
    <w:rsid w:val="00550ED0"/>
    <w:rsid w:val="00553A86"/>
    <w:rsid w:val="00554048"/>
    <w:rsid w:val="005548A1"/>
    <w:rsid w:val="00554A7B"/>
    <w:rsid w:val="0055572C"/>
    <w:rsid w:val="00555F71"/>
    <w:rsid w:val="0055658D"/>
    <w:rsid w:val="00557129"/>
    <w:rsid w:val="00557992"/>
    <w:rsid w:val="0056106A"/>
    <w:rsid w:val="00561200"/>
    <w:rsid w:val="0056298F"/>
    <w:rsid w:val="00563CAF"/>
    <w:rsid w:val="00566B1F"/>
    <w:rsid w:val="005720AE"/>
    <w:rsid w:val="00572126"/>
    <w:rsid w:val="005727D3"/>
    <w:rsid w:val="005761A0"/>
    <w:rsid w:val="00577C3A"/>
    <w:rsid w:val="005816A2"/>
    <w:rsid w:val="00584A8E"/>
    <w:rsid w:val="0059002B"/>
    <w:rsid w:val="00591CF5"/>
    <w:rsid w:val="00591FE1"/>
    <w:rsid w:val="00592385"/>
    <w:rsid w:val="00594322"/>
    <w:rsid w:val="005947A8"/>
    <w:rsid w:val="00594D77"/>
    <w:rsid w:val="00596162"/>
    <w:rsid w:val="00596809"/>
    <w:rsid w:val="005969E4"/>
    <w:rsid w:val="005A06B7"/>
    <w:rsid w:val="005A1421"/>
    <w:rsid w:val="005A1759"/>
    <w:rsid w:val="005A1812"/>
    <w:rsid w:val="005A3BA8"/>
    <w:rsid w:val="005A3CA5"/>
    <w:rsid w:val="005A4F00"/>
    <w:rsid w:val="005A68A7"/>
    <w:rsid w:val="005B185E"/>
    <w:rsid w:val="005B25A9"/>
    <w:rsid w:val="005B26E9"/>
    <w:rsid w:val="005B47B2"/>
    <w:rsid w:val="005B55D3"/>
    <w:rsid w:val="005C1DC0"/>
    <w:rsid w:val="005C1EE5"/>
    <w:rsid w:val="005C41AA"/>
    <w:rsid w:val="005C4376"/>
    <w:rsid w:val="005C59A8"/>
    <w:rsid w:val="005C686A"/>
    <w:rsid w:val="005C7A5E"/>
    <w:rsid w:val="005D0234"/>
    <w:rsid w:val="005D1428"/>
    <w:rsid w:val="005D21B5"/>
    <w:rsid w:val="005D28EC"/>
    <w:rsid w:val="005D36AB"/>
    <w:rsid w:val="005D43A3"/>
    <w:rsid w:val="005D4471"/>
    <w:rsid w:val="005D638B"/>
    <w:rsid w:val="005D6CBD"/>
    <w:rsid w:val="005D7526"/>
    <w:rsid w:val="005D7DEE"/>
    <w:rsid w:val="005E14B2"/>
    <w:rsid w:val="005E2888"/>
    <w:rsid w:val="005E490E"/>
    <w:rsid w:val="005E79E9"/>
    <w:rsid w:val="005F0939"/>
    <w:rsid w:val="005F128E"/>
    <w:rsid w:val="005F2F0E"/>
    <w:rsid w:val="005F415B"/>
    <w:rsid w:val="005F4961"/>
    <w:rsid w:val="005F60B4"/>
    <w:rsid w:val="005F6B1B"/>
    <w:rsid w:val="005F7C21"/>
    <w:rsid w:val="005F7D57"/>
    <w:rsid w:val="0060720A"/>
    <w:rsid w:val="006111FD"/>
    <w:rsid w:val="00613466"/>
    <w:rsid w:val="00613881"/>
    <w:rsid w:val="00615963"/>
    <w:rsid w:val="00616E7A"/>
    <w:rsid w:val="006170DA"/>
    <w:rsid w:val="00617853"/>
    <w:rsid w:val="00617CC3"/>
    <w:rsid w:val="006205FF"/>
    <w:rsid w:val="006231CF"/>
    <w:rsid w:val="00630CE9"/>
    <w:rsid w:val="0063186A"/>
    <w:rsid w:val="00632851"/>
    <w:rsid w:val="00632BBA"/>
    <w:rsid w:val="00632F3A"/>
    <w:rsid w:val="00633C66"/>
    <w:rsid w:val="00633F6B"/>
    <w:rsid w:val="00634E7C"/>
    <w:rsid w:val="006353DD"/>
    <w:rsid w:val="006377A6"/>
    <w:rsid w:val="00637A3D"/>
    <w:rsid w:val="006411EF"/>
    <w:rsid w:val="0064192F"/>
    <w:rsid w:val="00642950"/>
    <w:rsid w:val="00644F3B"/>
    <w:rsid w:val="00645F7A"/>
    <w:rsid w:val="006464B8"/>
    <w:rsid w:val="006475EF"/>
    <w:rsid w:val="00647F37"/>
    <w:rsid w:val="006523A1"/>
    <w:rsid w:val="0065447B"/>
    <w:rsid w:val="00655C9F"/>
    <w:rsid w:val="00660B9C"/>
    <w:rsid w:val="00660DCF"/>
    <w:rsid w:val="00662212"/>
    <w:rsid w:val="0066234B"/>
    <w:rsid w:val="0066367B"/>
    <w:rsid w:val="00671A28"/>
    <w:rsid w:val="00671D14"/>
    <w:rsid w:val="00672AA8"/>
    <w:rsid w:val="006748B8"/>
    <w:rsid w:val="00675B8E"/>
    <w:rsid w:val="00675CEB"/>
    <w:rsid w:val="006764DD"/>
    <w:rsid w:val="0067692F"/>
    <w:rsid w:val="00676D33"/>
    <w:rsid w:val="006775C3"/>
    <w:rsid w:val="00682C8E"/>
    <w:rsid w:val="00685BD1"/>
    <w:rsid w:val="00686256"/>
    <w:rsid w:val="00686686"/>
    <w:rsid w:val="0069193F"/>
    <w:rsid w:val="0069290A"/>
    <w:rsid w:val="00692A84"/>
    <w:rsid w:val="006953C2"/>
    <w:rsid w:val="006955D7"/>
    <w:rsid w:val="00695601"/>
    <w:rsid w:val="00695A12"/>
    <w:rsid w:val="0069775A"/>
    <w:rsid w:val="00697813"/>
    <w:rsid w:val="006A09B0"/>
    <w:rsid w:val="006A3EE8"/>
    <w:rsid w:val="006A47E3"/>
    <w:rsid w:val="006A50EA"/>
    <w:rsid w:val="006A52D9"/>
    <w:rsid w:val="006A72BF"/>
    <w:rsid w:val="006B03F2"/>
    <w:rsid w:val="006B150B"/>
    <w:rsid w:val="006B1B96"/>
    <w:rsid w:val="006B37DC"/>
    <w:rsid w:val="006B4F68"/>
    <w:rsid w:val="006B65F5"/>
    <w:rsid w:val="006B7885"/>
    <w:rsid w:val="006C0592"/>
    <w:rsid w:val="006C0ADC"/>
    <w:rsid w:val="006C1E6A"/>
    <w:rsid w:val="006C1F45"/>
    <w:rsid w:val="006C1F85"/>
    <w:rsid w:val="006C2082"/>
    <w:rsid w:val="006C272E"/>
    <w:rsid w:val="006C5479"/>
    <w:rsid w:val="006C5796"/>
    <w:rsid w:val="006C5B71"/>
    <w:rsid w:val="006C60C4"/>
    <w:rsid w:val="006C731B"/>
    <w:rsid w:val="006C7ADE"/>
    <w:rsid w:val="006D05D7"/>
    <w:rsid w:val="006D1048"/>
    <w:rsid w:val="006D13B5"/>
    <w:rsid w:val="006D1640"/>
    <w:rsid w:val="006D194C"/>
    <w:rsid w:val="006D1A1A"/>
    <w:rsid w:val="006D24FB"/>
    <w:rsid w:val="006D2B74"/>
    <w:rsid w:val="006D3885"/>
    <w:rsid w:val="006D3D07"/>
    <w:rsid w:val="006D3DCD"/>
    <w:rsid w:val="006D3FE7"/>
    <w:rsid w:val="006D65B9"/>
    <w:rsid w:val="006D65F9"/>
    <w:rsid w:val="006E0B6F"/>
    <w:rsid w:val="006E12FF"/>
    <w:rsid w:val="006E16AA"/>
    <w:rsid w:val="006E1B22"/>
    <w:rsid w:val="006E53BF"/>
    <w:rsid w:val="006E5659"/>
    <w:rsid w:val="006E607E"/>
    <w:rsid w:val="006E6355"/>
    <w:rsid w:val="006E65DF"/>
    <w:rsid w:val="006F2BD4"/>
    <w:rsid w:val="006F4543"/>
    <w:rsid w:val="006F4761"/>
    <w:rsid w:val="006F4B6C"/>
    <w:rsid w:val="006F50CF"/>
    <w:rsid w:val="0070121A"/>
    <w:rsid w:val="00701851"/>
    <w:rsid w:val="00702D26"/>
    <w:rsid w:val="00703A66"/>
    <w:rsid w:val="00703B02"/>
    <w:rsid w:val="00704613"/>
    <w:rsid w:val="007047C5"/>
    <w:rsid w:val="00706C5D"/>
    <w:rsid w:val="00707F30"/>
    <w:rsid w:val="00710A88"/>
    <w:rsid w:val="007110BF"/>
    <w:rsid w:val="0071230A"/>
    <w:rsid w:val="0071362C"/>
    <w:rsid w:val="00713C6A"/>
    <w:rsid w:val="00717DFF"/>
    <w:rsid w:val="007215CB"/>
    <w:rsid w:val="007224F9"/>
    <w:rsid w:val="0072282B"/>
    <w:rsid w:val="00724CDB"/>
    <w:rsid w:val="0073102F"/>
    <w:rsid w:val="00732922"/>
    <w:rsid w:val="00733D46"/>
    <w:rsid w:val="00735052"/>
    <w:rsid w:val="0073734B"/>
    <w:rsid w:val="00737DFB"/>
    <w:rsid w:val="0074001F"/>
    <w:rsid w:val="00742401"/>
    <w:rsid w:val="007426D6"/>
    <w:rsid w:val="00742B04"/>
    <w:rsid w:val="007430FE"/>
    <w:rsid w:val="00747FC1"/>
    <w:rsid w:val="00750655"/>
    <w:rsid w:val="0075162E"/>
    <w:rsid w:val="00754034"/>
    <w:rsid w:val="00756010"/>
    <w:rsid w:val="00756435"/>
    <w:rsid w:val="00756488"/>
    <w:rsid w:val="00756556"/>
    <w:rsid w:val="00756859"/>
    <w:rsid w:val="00756919"/>
    <w:rsid w:val="007601B3"/>
    <w:rsid w:val="007609EB"/>
    <w:rsid w:val="007618C4"/>
    <w:rsid w:val="0076310B"/>
    <w:rsid w:val="0076539F"/>
    <w:rsid w:val="00765AEC"/>
    <w:rsid w:val="00766794"/>
    <w:rsid w:val="00766CEB"/>
    <w:rsid w:val="007676F5"/>
    <w:rsid w:val="00767953"/>
    <w:rsid w:val="00767980"/>
    <w:rsid w:val="00767F8B"/>
    <w:rsid w:val="00770B19"/>
    <w:rsid w:val="00772EE5"/>
    <w:rsid w:val="007733AA"/>
    <w:rsid w:val="007737A2"/>
    <w:rsid w:val="0077463F"/>
    <w:rsid w:val="00774727"/>
    <w:rsid w:val="007761BA"/>
    <w:rsid w:val="0077622C"/>
    <w:rsid w:val="007801CF"/>
    <w:rsid w:val="007806A9"/>
    <w:rsid w:val="0078115E"/>
    <w:rsid w:val="0078173B"/>
    <w:rsid w:val="007818DC"/>
    <w:rsid w:val="00781BB6"/>
    <w:rsid w:val="007836EA"/>
    <w:rsid w:val="0078483C"/>
    <w:rsid w:val="00784CDA"/>
    <w:rsid w:val="00786029"/>
    <w:rsid w:val="00786CC6"/>
    <w:rsid w:val="007906C4"/>
    <w:rsid w:val="00790A05"/>
    <w:rsid w:val="0079183E"/>
    <w:rsid w:val="00791E50"/>
    <w:rsid w:val="00792510"/>
    <w:rsid w:val="007940EA"/>
    <w:rsid w:val="00794E3E"/>
    <w:rsid w:val="0079503D"/>
    <w:rsid w:val="007967E8"/>
    <w:rsid w:val="00797A74"/>
    <w:rsid w:val="007A03AB"/>
    <w:rsid w:val="007A06BC"/>
    <w:rsid w:val="007A20A2"/>
    <w:rsid w:val="007A2170"/>
    <w:rsid w:val="007A22BF"/>
    <w:rsid w:val="007A3323"/>
    <w:rsid w:val="007A45CD"/>
    <w:rsid w:val="007A4AB0"/>
    <w:rsid w:val="007A55E5"/>
    <w:rsid w:val="007A5967"/>
    <w:rsid w:val="007A59DA"/>
    <w:rsid w:val="007A5C65"/>
    <w:rsid w:val="007A6D09"/>
    <w:rsid w:val="007A7514"/>
    <w:rsid w:val="007A78E6"/>
    <w:rsid w:val="007B114D"/>
    <w:rsid w:val="007B11C9"/>
    <w:rsid w:val="007B3BDB"/>
    <w:rsid w:val="007B3C62"/>
    <w:rsid w:val="007B5132"/>
    <w:rsid w:val="007B72B8"/>
    <w:rsid w:val="007B7A58"/>
    <w:rsid w:val="007C02C1"/>
    <w:rsid w:val="007C0B22"/>
    <w:rsid w:val="007C20A6"/>
    <w:rsid w:val="007C21B5"/>
    <w:rsid w:val="007C33D2"/>
    <w:rsid w:val="007C41A8"/>
    <w:rsid w:val="007C5D8D"/>
    <w:rsid w:val="007D101B"/>
    <w:rsid w:val="007D1AF9"/>
    <w:rsid w:val="007D3130"/>
    <w:rsid w:val="007D4B3F"/>
    <w:rsid w:val="007D71CC"/>
    <w:rsid w:val="007D7E56"/>
    <w:rsid w:val="007E352C"/>
    <w:rsid w:val="007E3FD9"/>
    <w:rsid w:val="007E4BD2"/>
    <w:rsid w:val="007E5114"/>
    <w:rsid w:val="007E5CE6"/>
    <w:rsid w:val="007E661F"/>
    <w:rsid w:val="007E7215"/>
    <w:rsid w:val="007E7240"/>
    <w:rsid w:val="007E77F2"/>
    <w:rsid w:val="007F1A91"/>
    <w:rsid w:val="007F2099"/>
    <w:rsid w:val="007F2436"/>
    <w:rsid w:val="007F30B0"/>
    <w:rsid w:val="007F32C9"/>
    <w:rsid w:val="007F607E"/>
    <w:rsid w:val="007F6FBA"/>
    <w:rsid w:val="00801393"/>
    <w:rsid w:val="00801AEE"/>
    <w:rsid w:val="00802AB3"/>
    <w:rsid w:val="00802C37"/>
    <w:rsid w:val="00802F88"/>
    <w:rsid w:val="00803C86"/>
    <w:rsid w:val="008044C6"/>
    <w:rsid w:val="008045D4"/>
    <w:rsid w:val="0080460C"/>
    <w:rsid w:val="00805F6D"/>
    <w:rsid w:val="00807648"/>
    <w:rsid w:val="00810209"/>
    <w:rsid w:val="00810BF0"/>
    <w:rsid w:val="0081275B"/>
    <w:rsid w:val="0081293E"/>
    <w:rsid w:val="00813D94"/>
    <w:rsid w:val="00815465"/>
    <w:rsid w:val="008175F5"/>
    <w:rsid w:val="008176AE"/>
    <w:rsid w:val="00817E9A"/>
    <w:rsid w:val="00821365"/>
    <w:rsid w:val="0082265B"/>
    <w:rsid w:val="00822783"/>
    <w:rsid w:val="008236FA"/>
    <w:rsid w:val="00824590"/>
    <w:rsid w:val="00825725"/>
    <w:rsid w:val="0083058D"/>
    <w:rsid w:val="008306BD"/>
    <w:rsid w:val="00831A80"/>
    <w:rsid w:val="00831F41"/>
    <w:rsid w:val="008328E2"/>
    <w:rsid w:val="00833605"/>
    <w:rsid w:val="00833743"/>
    <w:rsid w:val="008340A4"/>
    <w:rsid w:val="008354AA"/>
    <w:rsid w:val="008361BA"/>
    <w:rsid w:val="008367EB"/>
    <w:rsid w:val="008378D0"/>
    <w:rsid w:val="008407EB"/>
    <w:rsid w:val="0084305A"/>
    <w:rsid w:val="008437B9"/>
    <w:rsid w:val="0085652D"/>
    <w:rsid w:val="0085714F"/>
    <w:rsid w:val="0085740A"/>
    <w:rsid w:val="008607D1"/>
    <w:rsid w:val="00860EB1"/>
    <w:rsid w:val="0086190D"/>
    <w:rsid w:val="00862665"/>
    <w:rsid w:val="00862B8D"/>
    <w:rsid w:val="00867475"/>
    <w:rsid w:val="00867CE3"/>
    <w:rsid w:val="00867D98"/>
    <w:rsid w:val="0087135F"/>
    <w:rsid w:val="00872D94"/>
    <w:rsid w:val="00874B43"/>
    <w:rsid w:val="008765D5"/>
    <w:rsid w:val="00877362"/>
    <w:rsid w:val="00877F01"/>
    <w:rsid w:val="00880364"/>
    <w:rsid w:val="00881EFA"/>
    <w:rsid w:val="00881F68"/>
    <w:rsid w:val="0088256D"/>
    <w:rsid w:val="00885BB1"/>
    <w:rsid w:val="008908D0"/>
    <w:rsid w:val="00891269"/>
    <w:rsid w:val="00891592"/>
    <w:rsid w:val="00891E5B"/>
    <w:rsid w:val="00891E9E"/>
    <w:rsid w:val="008924AC"/>
    <w:rsid w:val="00892C61"/>
    <w:rsid w:val="0089366C"/>
    <w:rsid w:val="00893EB1"/>
    <w:rsid w:val="00893F3D"/>
    <w:rsid w:val="008941BF"/>
    <w:rsid w:val="00895200"/>
    <w:rsid w:val="00895209"/>
    <w:rsid w:val="00897EC9"/>
    <w:rsid w:val="008A0D00"/>
    <w:rsid w:val="008A170C"/>
    <w:rsid w:val="008A2F68"/>
    <w:rsid w:val="008A35A9"/>
    <w:rsid w:val="008A3FE9"/>
    <w:rsid w:val="008A4271"/>
    <w:rsid w:val="008A4520"/>
    <w:rsid w:val="008A478F"/>
    <w:rsid w:val="008A4B80"/>
    <w:rsid w:val="008A4C0E"/>
    <w:rsid w:val="008A67B8"/>
    <w:rsid w:val="008A69B5"/>
    <w:rsid w:val="008A7968"/>
    <w:rsid w:val="008A7E34"/>
    <w:rsid w:val="008B1098"/>
    <w:rsid w:val="008B15EF"/>
    <w:rsid w:val="008B1CFD"/>
    <w:rsid w:val="008B3488"/>
    <w:rsid w:val="008B40E5"/>
    <w:rsid w:val="008B4FA6"/>
    <w:rsid w:val="008B5282"/>
    <w:rsid w:val="008B5C7E"/>
    <w:rsid w:val="008B71F0"/>
    <w:rsid w:val="008B7C17"/>
    <w:rsid w:val="008C2D01"/>
    <w:rsid w:val="008C2EDE"/>
    <w:rsid w:val="008C40E6"/>
    <w:rsid w:val="008C546D"/>
    <w:rsid w:val="008C5B1A"/>
    <w:rsid w:val="008D0118"/>
    <w:rsid w:val="008D0F7A"/>
    <w:rsid w:val="008D10FC"/>
    <w:rsid w:val="008D2868"/>
    <w:rsid w:val="008D3198"/>
    <w:rsid w:val="008D3703"/>
    <w:rsid w:val="008D4E1D"/>
    <w:rsid w:val="008D54A5"/>
    <w:rsid w:val="008D5E2B"/>
    <w:rsid w:val="008D68E4"/>
    <w:rsid w:val="008D78B2"/>
    <w:rsid w:val="008E0506"/>
    <w:rsid w:val="008E0CFF"/>
    <w:rsid w:val="008E1709"/>
    <w:rsid w:val="008E1DB2"/>
    <w:rsid w:val="008E2540"/>
    <w:rsid w:val="008E3602"/>
    <w:rsid w:val="008E4349"/>
    <w:rsid w:val="008E5D6B"/>
    <w:rsid w:val="008E6048"/>
    <w:rsid w:val="008E61DF"/>
    <w:rsid w:val="008E76F0"/>
    <w:rsid w:val="008F14F4"/>
    <w:rsid w:val="008F15FE"/>
    <w:rsid w:val="008F16EE"/>
    <w:rsid w:val="008F2BAF"/>
    <w:rsid w:val="008F2D29"/>
    <w:rsid w:val="008F318F"/>
    <w:rsid w:val="008F5187"/>
    <w:rsid w:val="008F60A3"/>
    <w:rsid w:val="008F60D8"/>
    <w:rsid w:val="008F6548"/>
    <w:rsid w:val="00900B12"/>
    <w:rsid w:val="00900B1D"/>
    <w:rsid w:val="00900EA2"/>
    <w:rsid w:val="009010DE"/>
    <w:rsid w:val="00901CA6"/>
    <w:rsid w:val="00902727"/>
    <w:rsid w:val="00903067"/>
    <w:rsid w:val="0090312B"/>
    <w:rsid w:val="009044EB"/>
    <w:rsid w:val="00905937"/>
    <w:rsid w:val="0090656A"/>
    <w:rsid w:val="009066AA"/>
    <w:rsid w:val="0090713B"/>
    <w:rsid w:val="009078A0"/>
    <w:rsid w:val="0091106E"/>
    <w:rsid w:val="00914114"/>
    <w:rsid w:val="0091736D"/>
    <w:rsid w:val="00922CD1"/>
    <w:rsid w:val="00922E12"/>
    <w:rsid w:val="009234EF"/>
    <w:rsid w:val="0092387F"/>
    <w:rsid w:val="0092774A"/>
    <w:rsid w:val="0093037A"/>
    <w:rsid w:val="00931766"/>
    <w:rsid w:val="00931C61"/>
    <w:rsid w:val="00932768"/>
    <w:rsid w:val="0093388A"/>
    <w:rsid w:val="0093634D"/>
    <w:rsid w:val="00937BDC"/>
    <w:rsid w:val="00940522"/>
    <w:rsid w:val="0094154D"/>
    <w:rsid w:val="00944B47"/>
    <w:rsid w:val="00945244"/>
    <w:rsid w:val="00946EEA"/>
    <w:rsid w:val="00947D7F"/>
    <w:rsid w:val="0095076D"/>
    <w:rsid w:val="0095155F"/>
    <w:rsid w:val="00952105"/>
    <w:rsid w:val="009522EF"/>
    <w:rsid w:val="00952706"/>
    <w:rsid w:val="009540F9"/>
    <w:rsid w:val="0095434A"/>
    <w:rsid w:val="00954429"/>
    <w:rsid w:val="009563CE"/>
    <w:rsid w:val="00957C2C"/>
    <w:rsid w:val="00960BAF"/>
    <w:rsid w:val="00961134"/>
    <w:rsid w:val="0096120D"/>
    <w:rsid w:val="00964688"/>
    <w:rsid w:val="00964A6E"/>
    <w:rsid w:val="00970987"/>
    <w:rsid w:val="00973142"/>
    <w:rsid w:val="009732D5"/>
    <w:rsid w:val="009741F8"/>
    <w:rsid w:val="00976328"/>
    <w:rsid w:val="0097680D"/>
    <w:rsid w:val="00976928"/>
    <w:rsid w:val="00976DF0"/>
    <w:rsid w:val="00977160"/>
    <w:rsid w:val="009775AC"/>
    <w:rsid w:val="009808BD"/>
    <w:rsid w:val="00982086"/>
    <w:rsid w:val="00982438"/>
    <w:rsid w:val="009829C0"/>
    <w:rsid w:val="009830D2"/>
    <w:rsid w:val="00983F9F"/>
    <w:rsid w:val="0098404C"/>
    <w:rsid w:val="00985283"/>
    <w:rsid w:val="0098552D"/>
    <w:rsid w:val="00985989"/>
    <w:rsid w:val="009860EF"/>
    <w:rsid w:val="00987621"/>
    <w:rsid w:val="009909DF"/>
    <w:rsid w:val="00991D20"/>
    <w:rsid w:val="0099267D"/>
    <w:rsid w:val="00995686"/>
    <w:rsid w:val="00995992"/>
    <w:rsid w:val="00997B7C"/>
    <w:rsid w:val="009A03E5"/>
    <w:rsid w:val="009A06F8"/>
    <w:rsid w:val="009A0F3B"/>
    <w:rsid w:val="009A0FEA"/>
    <w:rsid w:val="009A1BB4"/>
    <w:rsid w:val="009A2628"/>
    <w:rsid w:val="009A3200"/>
    <w:rsid w:val="009A324D"/>
    <w:rsid w:val="009A502A"/>
    <w:rsid w:val="009A536B"/>
    <w:rsid w:val="009A585F"/>
    <w:rsid w:val="009A6CFC"/>
    <w:rsid w:val="009B0897"/>
    <w:rsid w:val="009B0F36"/>
    <w:rsid w:val="009B209F"/>
    <w:rsid w:val="009B2747"/>
    <w:rsid w:val="009B28E0"/>
    <w:rsid w:val="009B3055"/>
    <w:rsid w:val="009B4D95"/>
    <w:rsid w:val="009B6617"/>
    <w:rsid w:val="009B6F0D"/>
    <w:rsid w:val="009B75E8"/>
    <w:rsid w:val="009B7BD9"/>
    <w:rsid w:val="009C0252"/>
    <w:rsid w:val="009C0C19"/>
    <w:rsid w:val="009C3641"/>
    <w:rsid w:val="009C3ED0"/>
    <w:rsid w:val="009C611A"/>
    <w:rsid w:val="009C7DD5"/>
    <w:rsid w:val="009D11B1"/>
    <w:rsid w:val="009D1A6B"/>
    <w:rsid w:val="009D1B64"/>
    <w:rsid w:val="009D26CB"/>
    <w:rsid w:val="009D32C2"/>
    <w:rsid w:val="009D409B"/>
    <w:rsid w:val="009D5BDB"/>
    <w:rsid w:val="009D6BE5"/>
    <w:rsid w:val="009E1929"/>
    <w:rsid w:val="009E1D06"/>
    <w:rsid w:val="009E227D"/>
    <w:rsid w:val="009E264A"/>
    <w:rsid w:val="009E3C2E"/>
    <w:rsid w:val="009E5019"/>
    <w:rsid w:val="009E52AA"/>
    <w:rsid w:val="009E59E0"/>
    <w:rsid w:val="009E7911"/>
    <w:rsid w:val="009F0FD6"/>
    <w:rsid w:val="009F3C06"/>
    <w:rsid w:val="009F432F"/>
    <w:rsid w:val="009F5518"/>
    <w:rsid w:val="009F6C54"/>
    <w:rsid w:val="00A00EB7"/>
    <w:rsid w:val="00A0240C"/>
    <w:rsid w:val="00A02C77"/>
    <w:rsid w:val="00A030EA"/>
    <w:rsid w:val="00A03E85"/>
    <w:rsid w:val="00A04EFD"/>
    <w:rsid w:val="00A04F1B"/>
    <w:rsid w:val="00A0501B"/>
    <w:rsid w:val="00A06888"/>
    <w:rsid w:val="00A07368"/>
    <w:rsid w:val="00A1085C"/>
    <w:rsid w:val="00A12992"/>
    <w:rsid w:val="00A14947"/>
    <w:rsid w:val="00A15ED9"/>
    <w:rsid w:val="00A16A4C"/>
    <w:rsid w:val="00A1705B"/>
    <w:rsid w:val="00A20A73"/>
    <w:rsid w:val="00A23AEF"/>
    <w:rsid w:val="00A26EDA"/>
    <w:rsid w:val="00A324F3"/>
    <w:rsid w:val="00A32A83"/>
    <w:rsid w:val="00A32CA3"/>
    <w:rsid w:val="00A343C1"/>
    <w:rsid w:val="00A35C39"/>
    <w:rsid w:val="00A368DB"/>
    <w:rsid w:val="00A36DCE"/>
    <w:rsid w:val="00A412CA"/>
    <w:rsid w:val="00A41B96"/>
    <w:rsid w:val="00A423AA"/>
    <w:rsid w:val="00A43AE7"/>
    <w:rsid w:val="00A46576"/>
    <w:rsid w:val="00A46C7F"/>
    <w:rsid w:val="00A5025F"/>
    <w:rsid w:val="00A5035C"/>
    <w:rsid w:val="00A51B76"/>
    <w:rsid w:val="00A534A5"/>
    <w:rsid w:val="00A53EC6"/>
    <w:rsid w:val="00A55C0F"/>
    <w:rsid w:val="00A56911"/>
    <w:rsid w:val="00A60063"/>
    <w:rsid w:val="00A60276"/>
    <w:rsid w:val="00A606A9"/>
    <w:rsid w:val="00A62558"/>
    <w:rsid w:val="00A627FC"/>
    <w:rsid w:val="00A62EEB"/>
    <w:rsid w:val="00A63C3E"/>
    <w:rsid w:val="00A721AD"/>
    <w:rsid w:val="00A728CE"/>
    <w:rsid w:val="00A7325F"/>
    <w:rsid w:val="00A73DBF"/>
    <w:rsid w:val="00A75864"/>
    <w:rsid w:val="00A75CA2"/>
    <w:rsid w:val="00A77C8F"/>
    <w:rsid w:val="00A77D42"/>
    <w:rsid w:val="00A80180"/>
    <w:rsid w:val="00A81D9B"/>
    <w:rsid w:val="00A81E64"/>
    <w:rsid w:val="00A838E1"/>
    <w:rsid w:val="00A84A9F"/>
    <w:rsid w:val="00A84DC9"/>
    <w:rsid w:val="00A84EC1"/>
    <w:rsid w:val="00A84F6E"/>
    <w:rsid w:val="00A86DF7"/>
    <w:rsid w:val="00A8713F"/>
    <w:rsid w:val="00A9009D"/>
    <w:rsid w:val="00A90BA1"/>
    <w:rsid w:val="00A9492E"/>
    <w:rsid w:val="00A949A2"/>
    <w:rsid w:val="00A9693B"/>
    <w:rsid w:val="00A97A9A"/>
    <w:rsid w:val="00AA0671"/>
    <w:rsid w:val="00AA0B3E"/>
    <w:rsid w:val="00AA2361"/>
    <w:rsid w:val="00AA2531"/>
    <w:rsid w:val="00AA3347"/>
    <w:rsid w:val="00AA3A0E"/>
    <w:rsid w:val="00AA4972"/>
    <w:rsid w:val="00AA4AED"/>
    <w:rsid w:val="00AA4D8C"/>
    <w:rsid w:val="00AA721B"/>
    <w:rsid w:val="00AB1265"/>
    <w:rsid w:val="00AB1E09"/>
    <w:rsid w:val="00AB214A"/>
    <w:rsid w:val="00AB2440"/>
    <w:rsid w:val="00AB5330"/>
    <w:rsid w:val="00AB66DA"/>
    <w:rsid w:val="00AB7359"/>
    <w:rsid w:val="00AB7747"/>
    <w:rsid w:val="00AB7917"/>
    <w:rsid w:val="00AC14CE"/>
    <w:rsid w:val="00AC2A56"/>
    <w:rsid w:val="00AC3F3E"/>
    <w:rsid w:val="00AC5B94"/>
    <w:rsid w:val="00AD055E"/>
    <w:rsid w:val="00AD0F9C"/>
    <w:rsid w:val="00AD115A"/>
    <w:rsid w:val="00AD154F"/>
    <w:rsid w:val="00AD188A"/>
    <w:rsid w:val="00AD1A55"/>
    <w:rsid w:val="00AD1B7D"/>
    <w:rsid w:val="00AD2176"/>
    <w:rsid w:val="00AD2DED"/>
    <w:rsid w:val="00AD435A"/>
    <w:rsid w:val="00AD47A7"/>
    <w:rsid w:val="00AD49EB"/>
    <w:rsid w:val="00AD6DD4"/>
    <w:rsid w:val="00AD75BA"/>
    <w:rsid w:val="00AE05CE"/>
    <w:rsid w:val="00AE0C76"/>
    <w:rsid w:val="00AE2DB9"/>
    <w:rsid w:val="00AE4835"/>
    <w:rsid w:val="00AE4ADC"/>
    <w:rsid w:val="00AE73E3"/>
    <w:rsid w:val="00AF0265"/>
    <w:rsid w:val="00AF0CBF"/>
    <w:rsid w:val="00AF1F13"/>
    <w:rsid w:val="00AF2109"/>
    <w:rsid w:val="00AF257F"/>
    <w:rsid w:val="00AF33CF"/>
    <w:rsid w:val="00AF37D5"/>
    <w:rsid w:val="00AF4521"/>
    <w:rsid w:val="00AF4B20"/>
    <w:rsid w:val="00AF4D50"/>
    <w:rsid w:val="00AF5647"/>
    <w:rsid w:val="00AF6179"/>
    <w:rsid w:val="00AF62D3"/>
    <w:rsid w:val="00AF6EDA"/>
    <w:rsid w:val="00AF74EC"/>
    <w:rsid w:val="00AF78E5"/>
    <w:rsid w:val="00B01A74"/>
    <w:rsid w:val="00B035FF"/>
    <w:rsid w:val="00B04A49"/>
    <w:rsid w:val="00B04C3A"/>
    <w:rsid w:val="00B059C6"/>
    <w:rsid w:val="00B070B8"/>
    <w:rsid w:val="00B10BF4"/>
    <w:rsid w:val="00B11199"/>
    <w:rsid w:val="00B1295A"/>
    <w:rsid w:val="00B12F72"/>
    <w:rsid w:val="00B15D07"/>
    <w:rsid w:val="00B1718B"/>
    <w:rsid w:val="00B17303"/>
    <w:rsid w:val="00B17550"/>
    <w:rsid w:val="00B20A45"/>
    <w:rsid w:val="00B22C5C"/>
    <w:rsid w:val="00B22F5B"/>
    <w:rsid w:val="00B231BC"/>
    <w:rsid w:val="00B24F30"/>
    <w:rsid w:val="00B25070"/>
    <w:rsid w:val="00B3062A"/>
    <w:rsid w:val="00B30BE0"/>
    <w:rsid w:val="00B31ABF"/>
    <w:rsid w:val="00B3273C"/>
    <w:rsid w:val="00B33BE3"/>
    <w:rsid w:val="00B34279"/>
    <w:rsid w:val="00B371A6"/>
    <w:rsid w:val="00B40791"/>
    <w:rsid w:val="00B408CA"/>
    <w:rsid w:val="00B40CD6"/>
    <w:rsid w:val="00B41068"/>
    <w:rsid w:val="00B42ACA"/>
    <w:rsid w:val="00B44FC6"/>
    <w:rsid w:val="00B47EB7"/>
    <w:rsid w:val="00B51D02"/>
    <w:rsid w:val="00B53B5D"/>
    <w:rsid w:val="00B54BFE"/>
    <w:rsid w:val="00B55C0A"/>
    <w:rsid w:val="00B6055E"/>
    <w:rsid w:val="00B608E2"/>
    <w:rsid w:val="00B60FB4"/>
    <w:rsid w:val="00B6317D"/>
    <w:rsid w:val="00B6371B"/>
    <w:rsid w:val="00B653C8"/>
    <w:rsid w:val="00B65B48"/>
    <w:rsid w:val="00B65C7F"/>
    <w:rsid w:val="00B66ADE"/>
    <w:rsid w:val="00B67112"/>
    <w:rsid w:val="00B673B2"/>
    <w:rsid w:val="00B70C83"/>
    <w:rsid w:val="00B74857"/>
    <w:rsid w:val="00B748D6"/>
    <w:rsid w:val="00B749D4"/>
    <w:rsid w:val="00B7679B"/>
    <w:rsid w:val="00B7723F"/>
    <w:rsid w:val="00B8052E"/>
    <w:rsid w:val="00B80534"/>
    <w:rsid w:val="00B8082B"/>
    <w:rsid w:val="00B81310"/>
    <w:rsid w:val="00B8433C"/>
    <w:rsid w:val="00B84867"/>
    <w:rsid w:val="00B84E76"/>
    <w:rsid w:val="00B87491"/>
    <w:rsid w:val="00B903B2"/>
    <w:rsid w:val="00B927D2"/>
    <w:rsid w:val="00B9284D"/>
    <w:rsid w:val="00B92D34"/>
    <w:rsid w:val="00B932F1"/>
    <w:rsid w:val="00B95937"/>
    <w:rsid w:val="00B95AB3"/>
    <w:rsid w:val="00B97960"/>
    <w:rsid w:val="00BA1C5E"/>
    <w:rsid w:val="00BA1E08"/>
    <w:rsid w:val="00BA29E9"/>
    <w:rsid w:val="00BA4153"/>
    <w:rsid w:val="00BA6449"/>
    <w:rsid w:val="00BA672C"/>
    <w:rsid w:val="00BA6BD4"/>
    <w:rsid w:val="00BA7081"/>
    <w:rsid w:val="00BA7139"/>
    <w:rsid w:val="00BA7142"/>
    <w:rsid w:val="00BB1743"/>
    <w:rsid w:val="00BB1801"/>
    <w:rsid w:val="00BB237C"/>
    <w:rsid w:val="00BB41A3"/>
    <w:rsid w:val="00BB636D"/>
    <w:rsid w:val="00BB6FD8"/>
    <w:rsid w:val="00BC01E3"/>
    <w:rsid w:val="00BC1A16"/>
    <w:rsid w:val="00BC1BF6"/>
    <w:rsid w:val="00BC26BF"/>
    <w:rsid w:val="00BC32DC"/>
    <w:rsid w:val="00BC35B6"/>
    <w:rsid w:val="00BC69F6"/>
    <w:rsid w:val="00BC7A54"/>
    <w:rsid w:val="00BC7FC6"/>
    <w:rsid w:val="00BD06F7"/>
    <w:rsid w:val="00BD0986"/>
    <w:rsid w:val="00BD1B51"/>
    <w:rsid w:val="00BD2992"/>
    <w:rsid w:val="00BD31C9"/>
    <w:rsid w:val="00BD3E00"/>
    <w:rsid w:val="00BD403B"/>
    <w:rsid w:val="00BD4596"/>
    <w:rsid w:val="00BD6010"/>
    <w:rsid w:val="00BD6E3F"/>
    <w:rsid w:val="00BD7087"/>
    <w:rsid w:val="00BD7342"/>
    <w:rsid w:val="00BD7E16"/>
    <w:rsid w:val="00BE1405"/>
    <w:rsid w:val="00BE2ADC"/>
    <w:rsid w:val="00BE312D"/>
    <w:rsid w:val="00BE49E1"/>
    <w:rsid w:val="00BE50F6"/>
    <w:rsid w:val="00BE798E"/>
    <w:rsid w:val="00BF0E93"/>
    <w:rsid w:val="00BF1C20"/>
    <w:rsid w:val="00BF1FA7"/>
    <w:rsid w:val="00BF25E7"/>
    <w:rsid w:val="00BF36BD"/>
    <w:rsid w:val="00BF5366"/>
    <w:rsid w:val="00BF5F39"/>
    <w:rsid w:val="00BF5F8C"/>
    <w:rsid w:val="00C01052"/>
    <w:rsid w:val="00C02D55"/>
    <w:rsid w:val="00C032C8"/>
    <w:rsid w:val="00C03AE6"/>
    <w:rsid w:val="00C04017"/>
    <w:rsid w:val="00C041D2"/>
    <w:rsid w:val="00C10578"/>
    <w:rsid w:val="00C135BC"/>
    <w:rsid w:val="00C15C95"/>
    <w:rsid w:val="00C16FE3"/>
    <w:rsid w:val="00C17DE2"/>
    <w:rsid w:val="00C207E9"/>
    <w:rsid w:val="00C20C2C"/>
    <w:rsid w:val="00C21A2C"/>
    <w:rsid w:val="00C22348"/>
    <w:rsid w:val="00C233F8"/>
    <w:rsid w:val="00C24493"/>
    <w:rsid w:val="00C24FFF"/>
    <w:rsid w:val="00C2596A"/>
    <w:rsid w:val="00C264F9"/>
    <w:rsid w:val="00C27537"/>
    <w:rsid w:val="00C27705"/>
    <w:rsid w:val="00C27EAE"/>
    <w:rsid w:val="00C328FE"/>
    <w:rsid w:val="00C332C7"/>
    <w:rsid w:val="00C33507"/>
    <w:rsid w:val="00C3359B"/>
    <w:rsid w:val="00C35033"/>
    <w:rsid w:val="00C36CB8"/>
    <w:rsid w:val="00C37FEC"/>
    <w:rsid w:val="00C4347E"/>
    <w:rsid w:val="00C4409D"/>
    <w:rsid w:val="00C44E72"/>
    <w:rsid w:val="00C450A8"/>
    <w:rsid w:val="00C45A06"/>
    <w:rsid w:val="00C46A6E"/>
    <w:rsid w:val="00C47E5B"/>
    <w:rsid w:val="00C47E66"/>
    <w:rsid w:val="00C500C3"/>
    <w:rsid w:val="00C50BC0"/>
    <w:rsid w:val="00C519D1"/>
    <w:rsid w:val="00C51D19"/>
    <w:rsid w:val="00C52F06"/>
    <w:rsid w:val="00C52F62"/>
    <w:rsid w:val="00C5505E"/>
    <w:rsid w:val="00C55844"/>
    <w:rsid w:val="00C57B20"/>
    <w:rsid w:val="00C60885"/>
    <w:rsid w:val="00C6093A"/>
    <w:rsid w:val="00C6147B"/>
    <w:rsid w:val="00C61571"/>
    <w:rsid w:val="00C61A58"/>
    <w:rsid w:val="00C61E4B"/>
    <w:rsid w:val="00C6296C"/>
    <w:rsid w:val="00C63D56"/>
    <w:rsid w:val="00C64BFF"/>
    <w:rsid w:val="00C66BF5"/>
    <w:rsid w:val="00C66D41"/>
    <w:rsid w:val="00C67E2F"/>
    <w:rsid w:val="00C704E9"/>
    <w:rsid w:val="00C70AD1"/>
    <w:rsid w:val="00C711D1"/>
    <w:rsid w:val="00C736B8"/>
    <w:rsid w:val="00C74442"/>
    <w:rsid w:val="00C75A4A"/>
    <w:rsid w:val="00C763C9"/>
    <w:rsid w:val="00C7656C"/>
    <w:rsid w:val="00C76ECB"/>
    <w:rsid w:val="00C77ADC"/>
    <w:rsid w:val="00C80057"/>
    <w:rsid w:val="00C80AF8"/>
    <w:rsid w:val="00C80F8A"/>
    <w:rsid w:val="00C82232"/>
    <w:rsid w:val="00C82913"/>
    <w:rsid w:val="00C852D5"/>
    <w:rsid w:val="00C9268D"/>
    <w:rsid w:val="00C93CD9"/>
    <w:rsid w:val="00C94B4A"/>
    <w:rsid w:val="00C969D7"/>
    <w:rsid w:val="00C96E26"/>
    <w:rsid w:val="00C972B1"/>
    <w:rsid w:val="00C975BC"/>
    <w:rsid w:val="00CA011E"/>
    <w:rsid w:val="00CA120C"/>
    <w:rsid w:val="00CA17EF"/>
    <w:rsid w:val="00CA2CCE"/>
    <w:rsid w:val="00CA43FD"/>
    <w:rsid w:val="00CA4F86"/>
    <w:rsid w:val="00CA567F"/>
    <w:rsid w:val="00CA6807"/>
    <w:rsid w:val="00CA7EF8"/>
    <w:rsid w:val="00CB323A"/>
    <w:rsid w:val="00CB48CE"/>
    <w:rsid w:val="00CB5735"/>
    <w:rsid w:val="00CB5794"/>
    <w:rsid w:val="00CB58B1"/>
    <w:rsid w:val="00CB5C37"/>
    <w:rsid w:val="00CB6BC4"/>
    <w:rsid w:val="00CB74AE"/>
    <w:rsid w:val="00CC489B"/>
    <w:rsid w:val="00CC5422"/>
    <w:rsid w:val="00CC6DE1"/>
    <w:rsid w:val="00CD0F82"/>
    <w:rsid w:val="00CD2BCD"/>
    <w:rsid w:val="00CD31ED"/>
    <w:rsid w:val="00CD3A4C"/>
    <w:rsid w:val="00CD3ADF"/>
    <w:rsid w:val="00CD5F17"/>
    <w:rsid w:val="00CE10E9"/>
    <w:rsid w:val="00CE14E4"/>
    <w:rsid w:val="00CE16A5"/>
    <w:rsid w:val="00CE2202"/>
    <w:rsid w:val="00CE2910"/>
    <w:rsid w:val="00CE2937"/>
    <w:rsid w:val="00CE344A"/>
    <w:rsid w:val="00CE4696"/>
    <w:rsid w:val="00CE5393"/>
    <w:rsid w:val="00CF031A"/>
    <w:rsid w:val="00CF0A5C"/>
    <w:rsid w:val="00CF141B"/>
    <w:rsid w:val="00CF143F"/>
    <w:rsid w:val="00CF1C52"/>
    <w:rsid w:val="00CF24ED"/>
    <w:rsid w:val="00CF36BE"/>
    <w:rsid w:val="00CF3900"/>
    <w:rsid w:val="00CF49BD"/>
    <w:rsid w:val="00CF534E"/>
    <w:rsid w:val="00CF5F66"/>
    <w:rsid w:val="00CF6000"/>
    <w:rsid w:val="00CF7828"/>
    <w:rsid w:val="00D003F3"/>
    <w:rsid w:val="00D0064F"/>
    <w:rsid w:val="00D00666"/>
    <w:rsid w:val="00D01821"/>
    <w:rsid w:val="00D031B3"/>
    <w:rsid w:val="00D034A2"/>
    <w:rsid w:val="00D0364F"/>
    <w:rsid w:val="00D04125"/>
    <w:rsid w:val="00D04641"/>
    <w:rsid w:val="00D06834"/>
    <w:rsid w:val="00D11702"/>
    <w:rsid w:val="00D1376F"/>
    <w:rsid w:val="00D16A33"/>
    <w:rsid w:val="00D17C3F"/>
    <w:rsid w:val="00D20FA9"/>
    <w:rsid w:val="00D26F33"/>
    <w:rsid w:val="00D27017"/>
    <w:rsid w:val="00D27D71"/>
    <w:rsid w:val="00D308ED"/>
    <w:rsid w:val="00D3175F"/>
    <w:rsid w:val="00D31A38"/>
    <w:rsid w:val="00D320E0"/>
    <w:rsid w:val="00D33679"/>
    <w:rsid w:val="00D33CBF"/>
    <w:rsid w:val="00D35A90"/>
    <w:rsid w:val="00D36D86"/>
    <w:rsid w:val="00D427B2"/>
    <w:rsid w:val="00D428AA"/>
    <w:rsid w:val="00D42BDF"/>
    <w:rsid w:val="00D44ADB"/>
    <w:rsid w:val="00D462E8"/>
    <w:rsid w:val="00D50054"/>
    <w:rsid w:val="00D50A34"/>
    <w:rsid w:val="00D53EDE"/>
    <w:rsid w:val="00D53EFA"/>
    <w:rsid w:val="00D547F7"/>
    <w:rsid w:val="00D56043"/>
    <w:rsid w:val="00D606FC"/>
    <w:rsid w:val="00D61AC6"/>
    <w:rsid w:val="00D67903"/>
    <w:rsid w:val="00D71495"/>
    <w:rsid w:val="00D731C1"/>
    <w:rsid w:val="00D757C9"/>
    <w:rsid w:val="00D758BE"/>
    <w:rsid w:val="00D76FE1"/>
    <w:rsid w:val="00D77228"/>
    <w:rsid w:val="00D77F56"/>
    <w:rsid w:val="00D81758"/>
    <w:rsid w:val="00D832B7"/>
    <w:rsid w:val="00D854E0"/>
    <w:rsid w:val="00D862E5"/>
    <w:rsid w:val="00D86DBC"/>
    <w:rsid w:val="00D877E8"/>
    <w:rsid w:val="00D87A7F"/>
    <w:rsid w:val="00D903D1"/>
    <w:rsid w:val="00D910A9"/>
    <w:rsid w:val="00D9138F"/>
    <w:rsid w:val="00D92285"/>
    <w:rsid w:val="00D93A19"/>
    <w:rsid w:val="00D93FE0"/>
    <w:rsid w:val="00D940CB"/>
    <w:rsid w:val="00D94A7C"/>
    <w:rsid w:val="00D94E8C"/>
    <w:rsid w:val="00D94F59"/>
    <w:rsid w:val="00D95146"/>
    <w:rsid w:val="00D95896"/>
    <w:rsid w:val="00DA0C2A"/>
    <w:rsid w:val="00DA0E43"/>
    <w:rsid w:val="00DA1435"/>
    <w:rsid w:val="00DA1D6B"/>
    <w:rsid w:val="00DA3A1B"/>
    <w:rsid w:val="00DA43BD"/>
    <w:rsid w:val="00DA7BDB"/>
    <w:rsid w:val="00DA7E5E"/>
    <w:rsid w:val="00DB2983"/>
    <w:rsid w:val="00DB470A"/>
    <w:rsid w:val="00DB4ED6"/>
    <w:rsid w:val="00DB6090"/>
    <w:rsid w:val="00DB6A1B"/>
    <w:rsid w:val="00DC05CB"/>
    <w:rsid w:val="00DC1257"/>
    <w:rsid w:val="00DC31BB"/>
    <w:rsid w:val="00DC3866"/>
    <w:rsid w:val="00DC3DC0"/>
    <w:rsid w:val="00DC5B2B"/>
    <w:rsid w:val="00DC5D72"/>
    <w:rsid w:val="00DC6B4F"/>
    <w:rsid w:val="00DC6E07"/>
    <w:rsid w:val="00DD318D"/>
    <w:rsid w:val="00DD6D72"/>
    <w:rsid w:val="00DD6F02"/>
    <w:rsid w:val="00DD7080"/>
    <w:rsid w:val="00DD7A3D"/>
    <w:rsid w:val="00DD7D60"/>
    <w:rsid w:val="00DE1E6C"/>
    <w:rsid w:val="00DE33D2"/>
    <w:rsid w:val="00DE3A71"/>
    <w:rsid w:val="00DE6A52"/>
    <w:rsid w:val="00DF0C57"/>
    <w:rsid w:val="00DF2301"/>
    <w:rsid w:val="00DF2E12"/>
    <w:rsid w:val="00DF4832"/>
    <w:rsid w:val="00DF514A"/>
    <w:rsid w:val="00DF52C7"/>
    <w:rsid w:val="00DF6690"/>
    <w:rsid w:val="00DF6772"/>
    <w:rsid w:val="00DF6804"/>
    <w:rsid w:val="00E003BF"/>
    <w:rsid w:val="00E013B2"/>
    <w:rsid w:val="00E02256"/>
    <w:rsid w:val="00E02DA4"/>
    <w:rsid w:val="00E0358D"/>
    <w:rsid w:val="00E04323"/>
    <w:rsid w:val="00E04FCB"/>
    <w:rsid w:val="00E06134"/>
    <w:rsid w:val="00E06234"/>
    <w:rsid w:val="00E070A2"/>
    <w:rsid w:val="00E11B7F"/>
    <w:rsid w:val="00E1226C"/>
    <w:rsid w:val="00E14D97"/>
    <w:rsid w:val="00E16732"/>
    <w:rsid w:val="00E17CF5"/>
    <w:rsid w:val="00E200C0"/>
    <w:rsid w:val="00E20F80"/>
    <w:rsid w:val="00E215F8"/>
    <w:rsid w:val="00E21ADA"/>
    <w:rsid w:val="00E23D7E"/>
    <w:rsid w:val="00E24A85"/>
    <w:rsid w:val="00E25A86"/>
    <w:rsid w:val="00E2656A"/>
    <w:rsid w:val="00E2799E"/>
    <w:rsid w:val="00E30114"/>
    <w:rsid w:val="00E32313"/>
    <w:rsid w:val="00E36B37"/>
    <w:rsid w:val="00E36B3F"/>
    <w:rsid w:val="00E40428"/>
    <w:rsid w:val="00E412D0"/>
    <w:rsid w:val="00E41F52"/>
    <w:rsid w:val="00E433B8"/>
    <w:rsid w:val="00E44176"/>
    <w:rsid w:val="00E44C49"/>
    <w:rsid w:val="00E4508A"/>
    <w:rsid w:val="00E4592D"/>
    <w:rsid w:val="00E460B3"/>
    <w:rsid w:val="00E46A0F"/>
    <w:rsid w:val="00E50DB8"/>
    <w:rsid w:val="00E517A6"/>
    <w:rsid w:val="00E527E1"/>
    <w:rsid w:val="00E5310E"/>
    <w:rsid w:val="00E53B9E"/>
    <w:rsid w:val="00E53CBE"/>
    <w:rsid w:val="00E55FB6"/>
    <w:rsid w:val="00E56322"/>
    <w:rsid w:val="00E575D8"/>
    <w:rsid w:val="00E60982"/>
    <w:rsid w:val="00E625F2"/>
    <w:rsid w:val="00E62C62"/>
    <w:rsid w:val="00E64715"/>
    <w:rsid w:val="00E64954"/>
    <w:rsid w:val="00E65279"/>
    <w:rsid w:val="00E654C1"/>
    <w:rsid w:val="00E65D97"/>
    <w:rsid w:val="00E6733A"/>
    <w:rsid w:val="00E67F36"/>
    <w:rsid w:val="00E70E2E"/>
    <w:rsid w:val="00E7223D"/>
    <w:rsid w:val="00E72A5A"/>
    <w:rsid w:val="00E73354"/>
    <w:rsid w:val="00E77631"/>
    <w:rsid w:val="00E7778C"/>
    <w:rsid w:val="00E77ED1"/>
    <w:rsid w:val="00E80064"/>
    <w:rsid w:val="00E835B9"/>
    <w:rsid w:val="00E83820"/>
    <w:rsid w:val="00E8592D"/>
    <w:rsid w:val="00E8723A"/>
    <w:rsid w:val="00E90771"/>
    <w:rsid w:val="00E90E2B"/>
    <w:rsid w:val="00E91BDE"/>
    <w:rsid w:val="00E91C65"/>
    <w:rsid w:val="00E9211F"/>
    <w:rsid w:val="00E9242D"/>
    <w:rsid w:val="00E9385C"/>
    <w:rsid w:val="00E93A27"/>
    <w:rsid w:val="00E93DAB"/>
    <w:rsid w:val="00E9454F"/>
    <w:rsid w:val="00E949AB"/>
    <w:rsid w:val="00E97F0A"/>
    <w:rsid w:val="00EA06FA"/>
    <w:rsid w:val="00EA2A0C"/>
    <w:rsid w:val="00EA3996"/>
    <w:rsid w:val="00EA3F50"/>
    <w:rsid w:val="00EA487A"/>
    <w:rsid w:val="00EA4CA7"/>
    <w:rsid w:val="00EA5515"/>
    <w:rsid w:val="00EA6749"/>
    <w:rsid w:val="00EA6B43"/>
    <w:rsid w:val="00EB102E"/>
    <w:rsid w:val="00EB3787"/>
    <w:rsid w:val="00EB38A4"/>
    <w:rsid w:val="00EB4363"/>
    <w:rsid w:val="00EB4841"/>
    <w:rsid w:val="00EB5255"/>
    <w:rsid w:val="00EB5C47"/>
    <w:rsid w:val="00EB5CF6"/>
    <w:rsid w:val="00EB611E"/>
    <w:rsid w:val="00EC16E3"/>
    <w:rsid w:val="00EC33D0"/>
    <w:rsid w:val="00EC4415"/>
    <w:rsid w:val="00EC463C"/>
    <w:rsid w:val="00EC4EB6"/>
    <w:rsid w:val="00EC61AB"/>
    <w:rsid w:val="00EC7866"/>
    <w:rsid w:val="00ED0639"/>
    <w:rsid w:val="00ED0A2C"/>
    <w:rsid w:val="00ED21F7"/>
    <w:rsid w:val="00ED5D55"/>
    <w:rsid w:val="00ED6C2F"/>
    <w:rsid w:val="00ED7125"/>
    <w:rsid w:val="00ED754A"/>
    <w:rsid w:val="00EE05BA"/>
    <w:rsid w:val="00EE0B8B"/>
    <w:rsid w:val="00EE0E6A"/>
    <w:rsid w:val="00EE1A21"/>
    <w:rsid w:val="00EE24DC"/>
    <w:rsid w:val="00EE4D54"/>
    <w:rsid w:val="00EE555D"/>
    <w:rsid w:val="00EE6E67"/>
    <w:rsid w:val="00EE761A"/>
    <w:rsid w:val="00EE76F0"/>
    <w:rsid w:val="00EF0DF1"/>
    <w:rsid w:val="00EF11BA"/>
    <w:rsid w:val="00EF23FC"/>
    <w:rsid w:val="00EF344E"/>
    <w:rsid w:val="00EF3605"/>
    <w:rsid w:val="00EF3BD2"/>
    <w:rsid w:val="00EF4755"/>
    <w:rsid w:val="00EF7135"/>
    <w:rsid w:val="00F0036C"/>
    <w:rsid w:val="00F005CA"/>
    <w:rsid w:val="00F0079C"/>
    <w:rsid w:val="00F027DB"/>
    <w:rsid w:val="00F02AB7"/>
    <w:rsid w:val="00F03D59"/>
    <w:rsid w:val="00F101BF"/>
    <w:rsid w:val="00F118F2"/>
    <w:rsid w:val="00F128C5"/>
    <w:rsid w:val="00F14A7A"/>
    <w:rsid w:val="00F1644B"/>
    <w:rsid w:val="00F17A02"/>
    <w:rsid w:val="00F208D4"/>
    <w:rsid w:val="00F21255"/>
    <w:rsid w:val="00F22985"/>
    <w:rsid w:val="00F24285"/>
    <w:rsid w:val="00F27476"/>
    <w:rsid w:val="00F279D9"/>
    <w:rsid w:val="00F300FD"/>
    <w:rsid w:val="00F3383E"/>
    <w:rsid w:val="00F33C38"/>
    <w:rsid w:val="00F35DB2"/>
    <w:rsid w:val="00F4006E"/>
    <w:rsid w:val="00F406BA"/>
    <w:rsid w:val="00F41DBA"/>
    <w:rsid w:val="00F44888"/>
    <w:rsid w:val="00F46166"/>
    <w:rsid w:val="00F46522"/>
    <w:rsid w:val="00F465A7"/>
    <w:rsid w:val="00F46C79"/>
    <w:rsid w:val="00F47007"/>
    <w:rsid w:val="00F50B7C"/>
    <w:rsid w:val="00F50F83"/>
    <w:rsid w:val="00F53FA9"/>
    <w:rsid w:val="00F54DC9"/>
    <w:rsid w:val="00F550E6"/>
    <w:rsid w:val="00F56683"/>
    <w:rsid w:val="00F56698"/>
    <w:rsid w:val="00F575C5"/>
    <w:rsid w:val="00F61136"/>
    <w:rsid w:val="00F71560"/>
    <w:rsid w:val="00F74345"/>
    <w:rsid w:val="00F75410"/>
    <w:rsid w:val="00F7746E"/>
    <w:rsid w:val="00F80458"/>
    <w:rsid w:val="00F80A0A"/>
    <w:rsid w:val="00F82B19"/>
    <w:rsid w:val="00F82DC5"/>
    <w:rsid w:val="00F83B4F"/>
    <w:rsid w:val="00F84C9B"/>
    <w:rsid w:val="00F86359"/>
    <w:rsid w:val="00F86F28"/>
    <w:rsid w:val="00F90763"/>
    <w:rsid w:val="00F90957"/>
    <w:rsid w:val="00F9212D"/>
    <w:rsid w:val="00F93062"/>
    <w:rsid w:val="00F965DA"/>
    <w:rsid w:val="00F96EFB"/>
    <w:rsid w:val="00FA02C1"/>
    <w:rsid w:val="00FA3C0C"/>
    <w:rsid w:val="00FA406A"/>
    <w:rsid w:val="00FA43C6"/>
    <w:rsid w:val="00FA492D"/>
    <w:rsid w:val="00FA62D5"/>
    <w:rsid w:val="00FB1FC7"/>
    <w:rsid w:val="00FB4804"/>
    <w:rsid w:val="00FB4DD2"/>
    <w:rsid w:val="00FB503A"/>
    <w:rsid w:val="00FB516C"/>
    <w:rsid w:val="00FB7319"/>
    <w:rsid w:val="00FC03A8"/>
    <w:rsid w:val="00FC2418"/>
    <w:rsid w:val="00FC2DC8"/>
    <w:rsid w:val="00FC31C4"/>
    <w:rsid w:val="00FC4741"/>
    <w:rsid w:val="00FC5265"/>
    <w:rsid w:val="00FC670F"/>
    <w:rsid w:val="00FC7B90"/>
    <w:rsid w:val="00FD0236"/>
    <w:rsid w:val="00FD0900"/>
    <w:rsid w:val="00FD0B1D"/>
    <w:rsid w:val="00FD1883"/>
    <w:rsid w:val="00FD18F4"/>
    <w:rsid w:val="00FD35A9"/>
    <w:rsid w:val="00FD478F"/>
    <w:rsid w:val="00FD49A8"/>
    <w:rsid w:val="00FD49C0"/>
    <w:rsid w:val="00FD54DB"/>
    <w:rsid w:val="00FD619F"/>
    <w:rsid w:val="00FD65C8"/>
    <w:rsid w:val="00FD69D3"/>
    <w:rsid w:val="00FD7300"/>
    <w:rsid w:val="00FD7430"/>
    <w:rsid w:val="00FD7C2C"/>
    <w:rsid w:val="00FE0D20"/>
    <w:rsid w:val="00FE123D"/>
    <w:rsid w:val="00FE1548"/>
    <w:rsid w:val="00FE1566"/>
    <w:rsid w:val="00FE2791"/>
    <w:rsid w:val="00FE6171"/>
    <w:rsid w:val="00FF0224"/>
    <w:rsid w:val="00FF0B41"/>
    <w:rsid w:val="00FF202E"/>
    <w:rsid w:val="00FF368A"/>
    <w:rsid w:val="00FF535B"/>
    <w:rsid w:val="00FF61C3"/>
    <w:rsid w:val="00FF6DEA"/>
    <w:rsid w:val="00FF7D78"/>
    <w:rsid w:val="011626D2"/>
    <w:rsid w:val="011E5EF4"/>
    <w:rsid w:val="01290F7E"/>
    <w:rsid w:val="015D1E09"/>
    <w:rsid w:val="018F2BC3"/>
    <w:rsid w:val="01D16C13"/>
    <w:rsid w:val="01F82835"/>
    <w:rsid w:val="02051284"/>
    <w:rsid w:val="02120AC0"/>
    <w:rsid w:val="02697903"/>
    <w:rsid w:val="026B7AFB"/>
    <w:rsid w:val="026D59FC"/>
    <w:rsid w:val="028234A4"/>
    <w:rsid w:val="0285465D"/>
    <w:rsid w:val="029562D6"/>
    <w:rsid w:val="02CB5947"/>
    <w:rsid w:val="02F96569"/>
    <w:rsid w:val="03190D85"/>
    <w:rsid w:val="035A2C98"/>
    <w:rsid w:val="03EA7B21"/>
    <w:rsid w:val="044150EF"/>
    <w:rsid w:val="044C70AB"/>
    <w:rsid w:val="046F1565"/>
    <w:rsid w:val="049552BF"/>
    <w:rsid w:val="04F44914"/>
    <w:rsid w:val="051211AE"/>
    <w:rsid w:val="05567289"/>
    <w:rsid w:val="05824279"/>
    <w:rsid w:val="05D22059"/>
    <w:rsid w:val="05E974BE"/>
    <w:rsid w:val="05F83EAE"/>
    <w:rsid w:val="06220873"/>
    <w:rsid w:val="062416F2"/>
    <w:rsid w:val="063633D1"/>
    <w:rsid w:val="063E7D85"/>
    <w:rsid w:val="065A6563"/>
    <w:rsid w:val="065B20CC"/>
    <w:rsid w:val="070A6FF3"/>
    <w:rsid w:val="070B3EC8"/>
    <w:rsid w:val="07293586"/>
    <w:rsid w:val="07295285"/>
    <w:rsid w:val="07440DA5"/>
    <w:rsid w:val="07460B3F"/>
    <w:rsid w:val="07636392"/>
    <w:rsid w:val="07744CE3"/>
    <w:rsid w:val="07770C56"/>
    <w:rsid w:val="07B93C8A"/>
    <w:rsid w:val="07FB6BDB"/>
    <w:rsid w:val="08493EE1"/>
    <w:rsid w:val="084D3DE8"/>
    <w:rsid w:val="08D07A45"/>
    <w:rsid w:val="08D822AB"/>
    <w:rsid w:val="08DF37CE"/>
    <w:rsid w:val="08FD1976"/>
    <w:rsid w:val="092217DD"/>
    <w:rsid w:val="092C1016"/>
    <w:rsid w:val="092F476D"/>
    <w:rsid w:val="09343CF1"/>
    <w:rsid w:val="093A7294"/>
    <w:rsid w:val="099324B6"/>
    <w:rsid w:val="09B23C11"/>
    <w:rsid w:val="09E0068F"/>
    <w:rsid w:val="09E10052"/>
    <w:rsid w:val="09F4422A"/>
    <w:rsid w:val="09FE6118"/>
    <w:rsid w:val="0A263993"/>
    <w:rsid w:val="0A2D3AC2"/>
    <w:rsid w:val="0A536328"/>
    <w:rsid w:val="0A553D1E"/>
    <w:rsid w:val="0A892BC4"/>
    <w:rsid w:val="0AA755DF"/>
    <w:rsid w:val="0AB85EC7"/>
    <w:rsid w:val="0AC52D5E"/>
    <w:rsid w:val="0B120D44"/>
    <w:rsid w:val="0B131868"/>
    <w:rsid w:val="0B670A20"/>
    <w:rsid w:val="0B6F69F0"/>
    <w:rsid w:val="0B9F4A27"/>
    <w:rsid w:val="0BC47C2C"/>
    <w:rsid w:val="0BC5731A"/>
    <w:rsid w:val="0BD27BF6"/>
    <w:rsid w:val="0BF91683"/>
    <w:rsid w:val="0C175BFE"/>
    <w:rsid w:val="0C3B3C7D"/>
    <w:rsid w:val="0C5F7626"/>
    <w:rsid w:val="0C63323E"/>
    <w:rsid w:val="0C8E2713"/>
    <w:rsid w:val="0CA93FEE"/>
    <w:rsid w:val="0CAB2EAE"/>
    <w:rsid w:val="0CC162FD"/>
    <w:rsid w:val="0CD73737"/>
    <w:rsid w:val="0CD817DA"/>
    <w:rsid w:val="0CDF722D"/>
    <w:rsid w:val="0D2D1379"/>
    <w:rsid w:val="0D3F10D4"/>
    <w:rsid w:val="0D621C7D"/>
    <w:rsid w:val="0D835F05"/>
    <w:rsid w:val="0D8F0829"/>
    <w:rsid w:val="0DB870ED"/>
    <w:rsid w:val="0DD4689D"/>
    <w:rsid w:val="0E2773A0"/>
    <w:rsid w:val="0E6C21C7"/>
    <w:rsid w:val="0E73034D"/>
    <w:rsid w:val="0EB54233"/>
    <w:rsid w:val="0EEF019E"/>
    <w:rsid w:val="0F0D501A"/>
    <w:rsid w:val="0F13775A"/>
    <w:rsid w:val="0F1F77AB"/>
    <w:rsid w:val="0F5F45FE"/>
    <w:rsid w:val="0F6C193B"/>
    <w:rsid w:val="0F9A112B"/>
    <w:rsid w:val="0FC04F1D"/>
    <w:rsid w:val="0FE91A0F"/>
    <w:rsid w:val="106D2F64"/>
    <w:rsid w:val="108160EB"/>
    <w:rsid w:val="10B63710"/>
    <w:rsid w:val="10C422CA"/>
    <w:rsid w:val="10F10820"/>
    <w:rsid w:val="11047B09"/>
    <w:rsid w:val="110F7B9B"/>
    <w:rsid w:val="111C2F7A"/>
    <w:rsid w:val="11665CA1"/>
    <w:rsid w:val="116A5106"/>
    <w:rsid w:val="118258CF"/>
    <w:rsid w:val="1193257A"/>
    <w:rsid w:val="11980D24"/>
    <w:rsid w:val="11D34725"/>
    <w:rsid w:val="11F611FE"/>
    <w:rsid w:val="11F72B09"/>
    <w:rsid w:val="12023607"/>
    <w:rsid w:val="124512A8"/>
    <w:rsid w:val="127276C2"/>
    <w:rsid w:val="12BB18C5"/>
    <w:rsid w:val="12CA7DB7"/>
    <w:rsid w:val="12D135AD"/>
    <w:rsid w:val="1307444B"/>
    <w:rsid w:val="13951726"/>
    <w:rsid w:val="13B107C8"/>
    <w:rsid w:val="13CD5559"/>
    <w:rsid w:val="13F37300"/>
    <w:rsid w:val="143160FA"/>
    <w:rsid w:val="14396509"/>
    <w:rsid w:val="14BE5218"/>
    <w:rsid w:val="14DD2C3C"/>
    <w:rsid w:val="14F0383F"/>
    <w:rsid w:val="152B2D91"/>
    <w:rsid w:val="15773E96"/>
    <w:rsid w:val="15C67E74"/>
    <w:rsid w:val="16087E1D"/>
    <w:rsid w:val="16635F36"/>
    <w:rsid w:val="16762529"/>
    <w:rsid w:val="16884176"/>
    <w:rsid w:val="16904F5B"/>
    <w:rsid w:val="169F7433"/>
    <w:rsid w:val="16CE354F"/>
    <w:rsid w:val="16DF0AD7"/>
    <w:rsid w:val="17162AF4"/>
    <w:rsid w:val="173C4B1A"/>
    <w:rsid w:val="17542D05"/>
    <w:rsid w:val="17701D14"/>
    <w:rsid w:val="17735226"/>
    <w:rsid w:val="178B6D14"/>
    <w:rsid w:val="179A3B39"/>
    <w:rsid w:val="17AE3C6A"/>
    <w:rsid w:val="18341CE8"/>
    <w:rsid w:val="184A35AB"/>
    <w:rsid w:val="18563CFE"/>
    <w:rsid w:val="18817E11"/>
    <w:rsid w:val="189F624C"/>
    <w:rsid w:val="1969147D"/>
    <w:rsid w:val="19FA529A"/>
    <w:rsid w:val="1A16144D"/>
    <w:rsid w:val="1A1C66C0"/>
    <w:rsid w:val="1A265911"/>
    <w:rsid w:val="1A42393B"/>
    <w:rsid w:val="1A8430F6"/>
    <w:rsid w:val="1A8C35B6"/>
    <w:rsid w:val="1A9F75EF"/>
    <w:rsid w:val="1AAD45DE"/>
    <w:rsid w:val="1AC15A62"/>
    <w:rsid w:val="1AD00321"/>
    <w:rsid w:val="1ADC0AEE"/>
    <w:rsid w:val="1AF86107"/>
    <w:rsid w:val="1B046F80"/>
    <w:rsid w:val="1B3267B5"/>
    <w:rsid w:val="1B40161D"/>
    <w:rsid w:val="1B441859"/>
    <w:rsid w:val="1B502A2B"/>
    <w:rsid w:val="1B6606B1"/>
    <w:rsid w:val="1B7E2173"/>
    <w:rsid w:val="1B97283E"/>
    <w:rsid w:val="1B9A66AA"/>
    <w:rsid w:val="1BA06313"/>
    <w:rsid w:val="1BD2087A"/>
    <w:rsid w:val="1C2A7476"/>
    <w:rsid w:val="1C512504"/>
    <w:rsid w:val="1C5E7925"/>
    <w:rsid w:val="1C907DE2"/>
    <w:rsid w:val="1CCE580C"/>
    <w:rsid w:val="1CFD070F"/>
    <w:rsid w:val="1D092DE7"/>
    <w:rsid w:val="1D306ECF"/>
    <w:rsid w:val="1D355380"/>
    <w:rsid w:val="1D5F6196"/>
    <w:rsid w:val="1D6132A5"/>
    <w:rsid w:val="1D7B0238"/>
    <w:rsid w:val="1D8E56D5"/>
    <w:rsid w:val="1D940CFE"/>
    <w:rsid w:val="1DAC47A9"/>
    <w:rsid w:val="1E2E78B2"/>
    <w:rsid w:val="1E7A43DA"/>
    <w:rsid w:val="1E8E1792"/>
    <w:rsid w:val="1E9308FA"/>
    <w:rsid w:val="1ED61CF8"/>
    <w:rsid w:val="1EDC1197"/>
    <w:rsid w:val="1F3A0916"/>
    <w:rsid w:val="1F7F7C9A"/>
    <w:rsid w:val="1FA44479"/>
    <w:rsid w:val="1FB3254E"/>
    <w:rsid w:val="1FE7539E"/>
    <w:rsid w:val="1FFF5FCA"/>
    <w:rsid w:val="20564103"/>
    <w:rsid w:val="206155F1"/>
    <w:rsid w:val="20671BE0"/>
    <w:rsid w:val="20936194"/>
    <w:rsid w:val="20963CB8"/>
    <w:rsid w:val="20A81A1B"/>
    <w:rsid w:val="20B07FB6"/>
    <w:rsid w:val="20B646FB"/>
    <w:rsid w:val="20C30609"/>
    <w:rsid w:val="20CB536F"/>
    <w:rsid w:val="20E701EC"/>
    <w:rsid w:val="20EE0DB2"/>
    <w:rsid w:val="21122EAC"/>
    <w:rsid w:val="213B74B1"/>
    <w:rsid w:val="214F792B"/>
    <w:rsid w:val="215A2310"/>
    <w:rsid w:val="217952E8"/>
    <w:rsid w:val="21C317CD"/>
    <w:rsid w:val="21CE6197"/>
    <w:rsid w:val="21D62820"/>
    <w:rsid w:val="21DE318A"/>
    <w:rsid w:val="21E10036"/>
    <w:rsid w:val="21EF5B80"/>
    <w:rsid w:val="220869A5"/>
    <w:rsid w:val="22222DB4"/>
    <w:rsid w:val="22576990"/>
    <w:rsid w:val="226719F0"/>
    <w:rsid w:val="226934A4"/>
    <w:rsid w:val="22F47480"/>
    <w:rsid w:val="22FD3E27"/>
    <w:rsid w:val="230340D2"/>
    <w:rsid w:val="235070A5"/>
    <w:rsid w:val="236817F3"/>
    <w:rsid w:val="236A38FE"/>
    <w:rsid w:val="23AE693F"/>
    <w:rsid w:val="23BF3B44"/>
    <w:rsid w:val="23CC12DE"/>
    <w:rsid w:val="23DE1C48"/>
    <w:rsid w:val="23FF64F2"/>
    <w:rsid w:val="240210CD"/>
    <w:rsid w:val="24470C16"/>
    <w:rsid w:val="246B321A"/>
    <w:rsid w:val="24BF09F7"/>
    <w:rsid w:val="24C938AE"/>
    <w:rsid w:val="250814C4"/>
    <w:rsid w:val="251278E3"/>
    <w:rsid w:val="252D53FE"/>
    <w:rsid w:val="253634F0"/>
    <w:rsid w:val="253B452E"/>
    <w:rsid w:val="257F5A10"/>
    <w:rsid w:val="259A63AB"/>
    <w:rsid w:val="25A66D1B"/>
    <w:rsid w:val="25E55B0F"/>
    <w:rsid w:val="25EC2D81"/>
    <w:rsid w:val="2609674F"/>
    <w:rsid w:val="269D4BA5"/>
    <w:rsid w:val="26AB58C2"/>
    <w:rsid w:val="27231254"/>
    <w:rsid w:val="277057A2"/>
    <w:rsid w:val="284D369E"/>
    <w:rsid w:val="28551EE0"/>
    <w:rsid w:val="285A27E6"/>
    <w:rsid w:val="285E6FE6"/>
    <w:rsid w:val="28620159"/>
    <w:rsid w:val="2873443C"/>
    <w:rsid w:val="28801792"/>
    <w:rsid w:val="28820ADD"/>
    <w:rsid w:val="28D77716"/>
    <w:rsid w:val="28EC1B02"/>
    <w:rsid w:val="2904042D"/>
    <w:rsid w:val="290F294D"/>
    <w:rsid w:val="291247EE"/>
    <w:rsid w:val="29206EB8"/>
    <w:rsid w:val="29424E32"/>
    <w:rsid w:val="29595666"/>
    <w:rsid w:val="297F6885"/>
    <w:rsid w:val="29874881"/>
    <w:rsid w:val="298D4C90"/>
    <w:rsid w:val="299C775B"/>
    <w:rsid w:val="29B570DA"/>
    <w:rsid w:val="29E325E0"/>
    <w:rsid w:val="29F13CE2"/>
    <w:rsid w:val="2A13664C"/>
    <w:rsid w:val="2A2756FA"/>
    <w:rsid w:val="2A452503"/>
    <w:rsid w:val="2A84452C"/>
    <w:rsid w:val="2A9F7E25"/>
    <w:rsid w:val="2AC24F52"/>
    <w:rsid w:val="2ADE59ED"/>
    <w:rsid w:val="2AF4778E"/>
    <w:rsid w:val="2B053749"/>
    <w:rsid w:val="2B317641"/>
    <w:rsid w:val="2B617154"/>
    <w:rsid w:val="2B777722"/>
    <w:rsid w:val="2B871766"/>
    <w:rsid w:val="2BA936A8"/>
    <w:rsid w:val="2BDA5946"/>
    <w:rsid w:val="2BE43FAC"/>
    <w:rsid w:val="2C2D748B"/>
    <w:rsid w:val="2C315A5A"/>
    <w:rsid w:val="2C3A51F9"/>
    <w:rsid w:val="2C464019"/>
    <w:rsid w:val="2C4B1C25"/>
    <w:rsid w:val="2C772B59"/>
    <w:rsid w:val="2C9F5E1F"/>
    <w:rsid w:val="2CA84D10"/>
    <w:rsid w:val="2CC40A34"/>
    <w:rsid w:val="2CE26AB4"/>
    <w:rsid w:val="2D047A30"/>
    <w:rsid w:val="2D171E69"/>
    <w:rsid w:val="2D2F7082"/>
    <w:rsid w:val="2D8C0D05"/>
    <w:rsid w:val="2D9E56F5"/>
    <w:rsid w:val="2DF35506"/>
    <w:rsid w:val="2E667F96"/>
    <w:rsid w:val="2E8226AB"/>
    <w:rsid w:val="2E8A5BDA"/>
    <w:rsid w:val="2E9512DC"/>
    <w:rsid w:val="2EAE4D33"/>
    <w:rsid w:val="2EE2562F"/>
    <w:rsid w:val="2F035267"/>
    <w:rsid w:val="2FB0629A"/>
    <w:rsid w:val="2FD065E6"/>
    <w:rsid w:val="2FD96870"/>
    <w:rsid w:val="30142141"/>
    <w:rsid w:val="30432D56"/>
    <w:rsid w:val="304B0E8A"/>
    <w:rsid w:val="30580BC9"/>
    <w:rsid w:val="30997254"/>
    <w:rsid w:val="30BF439A"/>
    <w:rsid w:val="30D75064"/>
    <w:rsid w:val="310004EB"/>
    <w:rsid w:val="311E2ED7"/>
    <w:rsid w:val="315619EE"/>
    <w:rsid w:val="315C449C"/>
    <w:rsid w:val="31AF2660"/>
    <w:rsid w:val="31B82709"/>
    <w:rsid w:val="31C2278E"/>
    <w:rsid w:val="31D05482"/>
    <w:rsid w:val="32247F81"/>
    <w:rsid w:val="32400B34"/>
    <w:rsid w:val="32581E7C"/>
    <w:rsid w:val="329E6876"/>
    <w:rsid w:val="32A46AD2"/>
    <w:rsid w:val="32AA2E28"/>
    <w:rsid w:val="32DD0106"/>
    <w:rsid w:val="32DD57E2"/>
    <w:rsid w:val="33063A20"/>
    <w:rsid w:val="333015F2"/>
    <w:rsid w:val="334B6320"/>
    <w:rsid w:val="337C47C4"/>
    <w:rsid w:val="339B6F10"/>
    <w:rsid w:val="33D934D4"/>
    <w:rsid w:val="33E2133E"/>
    <w:rsid w:val="33FE2F6A"/>
    <w:rsid w:val="34047D66"/>
    <w:rsid w:val="34061B7E"/>
    <w:rsid w:val="340E07E5"/>
    <w:rsid w:val="34235BF7"/>
    <w:rsid w:val="34281DF6"/>
    <w:rsid w:val="344624DB"/>
    <w:rsid w:val="347A1CE9"/>
    <w:rsid w:val="347D49E7"/>
    <w:rsid w:val="34BA1728"/>
    <w:rsid w:val="35417CF1"/>
    <w:rsid w:val="355E1EDF"/>
    <w:rsid w:val="358C5FA8"/>
    <w:rsid w:val="35A51F56"/>
    <w:rsid w:val="35C15DF1"/>
    <w:rsid w:val="35CC3E4B"/>
    <w:rsid w:val="35CC7455"/>
    <w:rsid w:val="35DF2A95"/>
    <w:rsid w:val="35E05EB0"/>
    <w:rsid w:val="36074A7F"/>
    <w:rsid w:val="36162E9B"/>
    <w:rsid w:val="3627310D"/>
    <w:rsid w:val="367F73FD"/>
    <w:rsid w:val="36923549"/>
    <w:rsid w:val="36B75FBF"/>
    <w:rsid w:val="36BD0C45"/>
    <w:rsid w:val="371269AE"/>
    <w:rsid w:val="37417684"/>
    <w:rsid w:val="37802C12"/>
    <w:rsid w:val="37D744A7"/>
    <w:rsid w:val="37E00298"/>
    <w:rsid w:val="382956EF"/>
    <w:rsid w:val="38342E9A"/>
    <w:rsid w:val="385C2F82"/>
    <w:rsid w:val="386067AC"/>
    <w:rsid w:val="38B302F9"/>
    <w:rsid w:val="38DC7C8F"/>
    <w:rsid w:val="38F12CD3"/>
    <w:rsid w:val="38F139FA"/>
    <w:rsid w:val="38F94775"/>
    <w:rsid w:val="391D0A68"/>
    <w:rsid w:val="392971ED"/>
    <w:rsid w:val="392E2524"/>
    <w:rsid w:val="39325651"/>
    <w:rsid w:val="39870A03"/>
    <w:rsid w:val="39933DDE"/>
    <w:rsid w:val="39D60654"/>
    <w:rsid w:val="39E8638C"/>
    <w:rsid w:val="3A2D2571"/>
    <w:rsid w:val="3A375FD0"/>
    <w:rsid w:val="3A847723"/>
    <w:rsid w:val="3A872856"/>
    <w:rsid w:val="3AE3337B"/>
    <w:rsid w:val="3B237141"/>
    <w:rsid w:val="3B3763D1"/>
    <w:rsid w:val="3B416732"/>
    <w:rsid w:val="3B6806AD"/>
    <w:rsid w:val="3BAB3F4B"/>
    <w:rsid w:val="3BF70E8C"/>
    <w:rsid w:val="3C2F6E1E"/>
    <w:rsid w:val="3C3E602B"/>
    <w:rsid w:val="3C4F64BA"/>
    <w:rsid w:val="3C815256"/>
    <w:rsid w:val="3CDA245A"/>
    <w:rsid w:val="3CEB6DAA"/>
    <w:rsid w:val="3D1E06B7"/>
    <w:rsid w:val="3D4F4AAB"/>
    <w:rsid w:val="3D596096"/>
    <w:rsid w:val="3D5C7C6F"/>
    <w:rsid w:val="3D8B10E2"/>
    <w:rsid w:val="3D991D53"/>
    <w:rsid w:val="3DA037A5"/>
    <w:rsid w:val="3DA574F5"/>
    <w:rsid w:val="3DEE6D71"/>
    <w:rsid w:val="3DF23F61"/>
    <w:rsid w:val="3DF35F31"/>
    <w:rsid w:val="3E0B339F"/>
    <w:rsid w:val="3E7F248D"/>
    <w:rsid w:val="3EDA0523"/>
    <w:rsid w:val="3EED0FCC"/>
    <w:rsid w:val="3F057D64"/>
    <w:rsid w:val="3F204B9E"/>
    <w:rsid w:val="3F3A1A0F"/>
    <w:rsid w:val="3F475A0C"/>
    <w:rsid w:val="3F4F0F64"/>
    <w:rsid w:val="3F556F10"/>
    <w:rsid w:val="3F6F4B4A"/>
    <w:rsid w:val="3FEC2CD2"/>
    <w:rsid w:val="401B397E"/>
    <w:rsid w:val="401F7062"/>
    <w:rsid w:val="4055328D"/>
    <w:rsid w:val="407A6407"/>
    <w:rsid w:val="408E324B"/>
    <w:rsid w:val="40C71D46"/>
    <w:rsid w:val="40DD7DEC"/>
    <w:rsid w:val="41132370"/>
    <w:rsid w:val="41A83FBC"/>
    <w:rsid w:val="41C1379D"/>
    <w:rsid w:val="41C55588"/>
    <w:rsid w:val="41D323B3"/>
    <w:rsid w:val="41EC520B"/>
    <w:rsid w:val="4200449D"/>
    <w:rsid w:val="423A3BCC"/>
    <w:rsid w:val="424471F4"/>
    <w:rsid w:val="424E57D2"/>
    <w:rsid w:val="42847221"/>
    <w:rsid w:val="428A51D3"/>
    <w:rsid w:val="42B26C49"/>
    <w:rsid w:val="42D02A9F"/>
    <w:rsid w:val="4333122F"/>
    <w:rsid w:val="433A6FE6"/>
    <w:rsid w:val="433F136A"/>
    <w:rsid w:val="434541F7"/>
    <w:rsid w:val="43480868"/>
    <w:rsid w:val="43483E86"/>
    <w:rsid w:val="4350713C"/>
    <w:rsid w:val="4366105C"/>
    <w:rsid w:val="436653E0"/>
    <w:rsid w:val="43AB1630"/>
    <w:rsid w:val="43C4431A"/>
    <w:rsid w:val="43DE2931"/>
    <w:rsid w:val="43FC08AC"/>
    <w:rsid w:val="441F5D15"/>
    <w:rsid w:val="44393A9C"/>
    <w:rsid w:val="44526B9D"/>
    <w:rsid w:val="446B68BB"/>
    <w:rsid w:val="44A9270C"/>
    <w:rsid w:val="44B951CC"/>
    <w:rsid w:val="44C271FA"/>
    <w:rsid w:val="44CD14E0"/>
    <w:rsid w:val="44D124A4"/>
    <w:rsid w:val="44EA57AE"/>
    <w:rsid w:val="44EC4E8C"/>
    <w:rsid w:val="44F127D7"/>
    <w:rsid w:val="44F20B0B"/>
    <w:rsid w:val="44F3065E"/>
    <w:rsid w:val="45202F3B"/>
    <w:rsid w:val="452E5F4C"/>
    <w:rsid w:val="45612018"/>
    <w:rsid w:val="458946E9"/>
    <w:rsid w:val="45A33E32"/>
    <w:rsid w:val="45A47C0E"/>
    <w:rsid w:val="45CD2994"/>
    <w:rsid w:val="460518B0"/>
    <w:rsid w:val="463C3ED4"/>
    <w:rsid w:val="464A59BB"/>
    <w:rsid w:val="464B69A4"/>
    <w:rsid w:val="46577FD6"/>
    <w:rsid w:val="46D955A7"/>
    <w:rsid w:val="47133957"/>
    <w:rsid w:val="472530CC"/>
    <w:rsid w:val="4731715A"/>
    <w:rsid w:val="476E1671"/>
    <w:rsid w:val="478C62E1"/>
    <w:rsid w:val="47A07E0C"/>
    <w:rsid w:val="47B2219B"/>
    <w:rsid w:val="47F941DE"/>
    <w:rsid w:val="480C230D"/>
    <w:rsid w:val="48455675"/>
    <w:rsid w:val="4870272E"/>
    <w:rsid w:val="48C32870"/>
    <w:rsid w:val="48EB2585"/>
    <w:rsid w:val="49290AF3"/>
    <w:rsid w:val="4933371F"/>
    <w:rsid w:val="49413075"/>
    <w:rsid w:val="49420F02"/>
    <w:rsid w:val="49575A81"/>
    <w:rsid w:val="495D2929"/>
    <w:rsid w:val="49DC7715"/>
    <w:rsid w:val="49ED1B20"/>
    <w:rsid w:val="49F87B58"/>
    <w:rsid w:val="4A023139"/>
    <w:rsid w:val="4A3508FC"/>
    <w:rsid w:val="4A373B09"/>
    <w:rsid w:val="4A445F2E"/>
    <w:rsid w:val="4A45161A"/>
    <w:rsid w:val="4A734C5E"/>
    <w:rsid w:val="4A7420CD"/>
    <w:rsid w:val="4A7B576F"/>
    <w:rsid w:val="4A952A7D"/>
    <w:rsid w:val="4AA125B2"/>
    <w:rsid w:val="4ABB2ED0"/>
    <w:rsid w:val="4AC62318"/>
    <w:rsid w:val="4ADB756E"/>
    <w:rsid w:val="4ADD67C7"/>
    <w:rsid w:val="4AF561A9"/>
    <w:rsid w:val="4AFB026D"/>
    <w:rsid w:val="4B5A67FB"/>
    <w:rsid w:val="4B761EB6"/>
    <w:rsid w:val="4C14041B"/>
    <w:rsid w:val="4C141A26"/>
    <w:rsid w:val="4C2266ED"/>
    <w:rsid w:val="4C3950CB"/>
    <w:rsid w:val="4C4A0649"/>
    <w:rsid w:val="4C4E69B6"/>
    <w:rsid w:val="4C7E5ECA"/>
    <w:rsid w:val="4C876AA5"/>
    <w:rsid w:val="4C894D1E"/>
    <w:rsid w:val="4CC47BC0"/>
    <w:rsid w:val="4D091E79"/>
    <w:rsid w:val="4D0E00FB"/>
    <w:rsid w:val="4D176606"/>
    <w:rsid w:val="4DC14FD6"/>
    <w:rsid w:val="4DD454D1"/>
    <w:rsid w:val="4DE62077"/>
    <w:rsid w:val="4DE96AA2"/>
    <w:rsid w:val="4DEC4FB0"/>
    <w:rsid w:val="4DF74D1B"/>
    <w:rsid w:val="4E075D8A"/>
    <w:rsid w:val="4E451438"/>
    <w:rsid w:val="4E4C6D5F"/>
    <w:rsid w:val="4E742C27"/>
    <w:rsid w:val="4E8F764A"/>
    <w:rsid w:val="4EC00FAD"/>
    <w:rsid w:val="4EE87238"/>
    <w:rsid w:val="4F361B4A"/>
    <w:rsid w:val="4F552641"/>
    <w:rsid w:val="4F711779"/>
    <w:rsid w:val="4F941A4E"/>
    <w:rsid w:val="4F9843DC"/>
    <w:rsid w:val="4FC62A8C"/>
    <w:rsid w:val="4FCD59E8"/>
    <w:rsid w:val="4FE20F0D"/>
    <w:rsid w:val="4FE51552"/>
    <w:rsid w:val="4FFA0821"/>
    <w:rsid w:val="5016566D"/>
    <w:rsid w:val="50166222"/>
    <w:rsid w:val="50504C4B"/>
    <w:rsid w:val="505147EE"/>
    <w:rsid w:val="50707007"/>
    <w:rsid w:val="50874A7C"/>
    <w:rsid w:val="50992091"/>
    <w:rsid w:val="509C6E7C"/>
    <w:rsid w:val="50EF12FC"/>
    <w:rsid w:val="512870D4"/>
    <w:rsid w:val="5162104E"/>
    <w:rsid w:val="51FC7A34"/>
    <w:rsid w:val="52710175"/>
    <w:rsid w:val="52761D31"/>
    <w:rsid w:val="533522C1"/>
    <w:rsid w:val="539007BA"/>
    <w:rsid w:val="53A039CC"/>
    <w:rsid w:val="53A1505A"/>
    <w:rsid w:val="53D76D96"/>
    <w:rsid w:val="54063E08"/>
    <w:rsid w:val="543437E8"/>
    <w:rsid w:val="54C90416"/>
    <w:rsid w:val="54CE5BBF"/>
    <w:rsid w:val="54E5421B"/>
    <w:rsid w:val="54E67898"/>
    <w:rsid w:val="54F73313"/>
    <w:rsid w:val="54F80955"/>
    <w:rsid w:val="55197585"/>
    <w:rsid w:val="551C331B"/>
    <w:rsid w:val="55344B48"/>
    <w:rsid w:val="553B6EC7"/>
    <w:rsid w:val="554640B7"/>
    <w:rsid w:val="555170A7"/>
    <w:rsid w:val="5587536D"/>
    <w:rsid w:val="559B174B"/>
    <w:rsid w:val="559B6DDC"/>
    <w:rsid w:val="55B2764D"/>
    <w:rsid w:val="55C36469"/>
    <w:rsid w:val="55CD13F3"/>
    <w:rsid w:val="55CE0CF4"/>
    <w:rsid w:val="55D2287D"/>
    <w:rsid w:val="56004AD2"/>
    <w:rsid w:val="56674155"/>
    <w:rsid w:val="56B22A9C"/>
    <w:rsid w:val="56E46B3E"/>
    <w:rsid w:val="57064D1A"/>
    <w:rsid w:val="57092370"/>
    <w:rsid w:val="571E6B59"/>
    <w:rsid w:val="57B72A76"/>
    <w:rsid w:val="57C3426C"/>
    <w:rsid w:val="57CB12A5"/>
    <w:rsid w:val="57CE1F93"/>
    <w:rsid w:val="57E20F7C"/>
    <w:rsid w:val="57E5043B"/>
    <w:rsid w:val="581215DF"/>
    <w:rsid w:val="5817359A"/>
    <w:rsid w:val="588743D1"/>
    <w:rsid w:val="5887701A"/>
    <w:rsid w:val="58A53FFF"/>
    <w:rsid w:val="58AD1C1E"/>
    <w:rsid w:val="58B0146A"/>
    <w:rsid w:val="591E5E35"/>
    <w:rsid w:val="59256CC8"/>
    <w:rsid w:val="59891649"/>
    <w:rsid w:val="59C0439F"/>
    <w:rsid w:val="5A0233C6"/>
    <w:rsid w:val="5A207B96"/>
    <w:rsid w:val="5A3D40C0"/>
    <w:rsid w:val="5A8B6EC9"/>
    <w:rsid w:val="5A9E4B23"/>
    <w:rsid w:val="5ABE2233"/>
    <w:rsid w:val="5BDF5D95"/>
    <w:rsid w:val="5BE2212A"/>
    <w:rsid w:val="5BF266D9"/>
    <w:rsid w:val="5BF65F75"/>
    <w:rsid w:val="5BFE7528"/>
    <w:rsid w:val="5C642116"/>
    <w:rsid w:val="5CA854EC"/>
    <w:rsid w:val="5D4E247E"/>
    <w:rsid w:val="5D522D58"/>
    <w:rsid w:val="5DEE38D7"/>
    <w:rsid w:val="5DF05068"/>
    <w:rsid w:val="5E2467F1"/>
    <w:rsid w:val="5E32022D"/>
    <w:rsid w:val="5E5D5ADF"/>
    <w:rsid w:val="5E8A59E3"/>
    <w:rsid w:val="5EAC3900"/>
    <w:rsid w:val="5ED170E5"/>
    <w:rsid w:val="5F1A2B43"/>
    <w:rsid w:val="5F386EE4"/>
    <w:rsid w:val="5F5875E4"/>
    <w:rsid w:val="5FB837BB"/>
    <w:rsid w:val="5FD47316"/>
    <w:rsid w:val="5FE71EC3"/>
    <w:rsid w:val="602F443E"/>
    <w:rsid w:val="60602BF4"/>
    <w:rsid w:val="60854409"/>
    <w:rsid w:val="60CC405A"/>
    <w:rsid w:val="60D352F0"/>
    <w:rsid w:val="613B6A69"/>
    <w:rsid w:val="61432A46"/>
    <w:rsid w:val="61AD2007"/>
    <w:rsid w:val="61B74A96"/>
    <w:rsid w:val="61E215D8"/>
    <w:rsid w:val="621B3775"/>
    <w:rsid w:val="62364782"/>
    <w:rsid w:val="62501C5A"/>
    <w:rsid w:val="626D0F27"/>
    <w:rsid w:val="62787D0B"/>
    <w:rsid w:val="6291178B"/>
    <w:rsid w:val="62B120A4"/>
    <w:rsid w:val="62B87124"/>
    <w:rsid w:val="63094524"/>
    <w:rsid w:val="6394356A"/>
    <w:rsid w:val="63BC65F2"/>
    <w:rsid w:val="63C61B2C"/>
    <w:rsid w:val="63D40BE9"/>
    <w:rsid w:val="63DF17E8"/>
    <w:rsid w:val="64102431"/>
    <w:rsid w:val="6452297D"/>
    <w:rsid w:val="64A5243A"/>
    <w:rsid w:val="64A839A2"/>
    <w:rsid w:val="64F0297B"/>
    <w:rsid w:val="64F531DE"/>
    <w:rsid w:val="64FE0FE6"/>
    <w:rsid w:val="650B39CE"/>
    <w:rsid w:val="651421DA"/>
    <w:rsid w:val="65373578"/>
    <w:rsid w:val="65A12AF8"/>
    <w:rsid w:val="65E87868"/>
    <w:rsid w:val="65E95461"/>
    <w:rsid w:val="66664E35"/>
    <w:rsid w:val="667731CB"/>
    <w:rsid w:val="66803F86"/>
    <w:rsid w:val="66940081"/>
    <w:rsid w:val="66A31A8D"/>
    <w:rsid w:val="66D23143"/>
    <w:rsid w:val="66E660F2"/>
    <w:rsid w:val="66E8470E"/>
    <w:rsid w:val="671F124A"/>
    <w:rsid w:val="67453BEB"/>
    <w:rsid w:val="67510070"/>
    <w:rsid w:val="675A670B"/>
    <w:rsid w:val="677A33C6"/>
    <w:rsid w:val="67A163DB"/>
    <w:rsid w:val="67C745B4"/>
    <w:rsid w:val="67CE277E"/>
    <w:rsid w:val="680A0C6A"/>
    <w:rsid w:val="68171BE1"/>
    <w:rsid w:val="681F6961"/>
    <w:rsid w:val="68610A2F"/>
    <w:rsid w:val="68805514"/>
    <w:rsid w:val="68C0100B"/>
    <w:rsid w:val="68D71B70"/>
    <w:rsid w:val="69316E2F"/>
    <w:rsid w:val="694C7647"/>
    <w:rsid w:val="694E2071"/>
    <w:rsid w:val="69757326"/>
    <w:rsid w:val="69766163"/>
    <w:rsid w:val="697A3B33"/>
    <w:rsid w:val="69D44760"/>
    <w:rsid w:val="69FA4268"/>
    <w:rsid w:val="6A1D49BE"/>
    <w:rsid w:val="6A520EC7"/>
    <w:rsid w:val="6A694D9B"/>
    <w:rsid w:val="6ABD4734"/>
    <w:rsid w:val="6AE7325D"/>
    <w:rsid w:val="6AF87E20"/>
    <w:rsid w:val="6B004232"/>
    <w:rsid w:val="6B2A62D8"/>
    <w:rsid w:val="6B322639"/>
    <w:rsid w:val="6B645143"/>
    <w:rsid w:val="6BB26432"/>
    <w:rsid w:val="6BE824E7"/>
    <w:rsid w:val="6C185FE3"/>
    <w:rsid w:val="6C1C31B8"/>
    <w:rsid w:val="6C636C38"/>
    <w:rsid w:val="6CA958FC"/>
    <w:rsid w:val="6D6830E8"/>
    <w:rsid w:val="6DB04236"/>
    <w:rsid w:val="6DB34098"/>
    <w:rsid w:val="6DB545B6"/>
    <w:rsid w:val="6DE02FB4"/>
    <w:rsid w:val="6E0F01DA"/>
    <w:rsid w:val="6E514CED"/>
    <w:rsid w:val="6E714468"/>
    <w:rsid w:val="6EAD38D3"/>
    <w:rsid w:val="6EB563D5"/>
    <w:rsid w:val="6EB8009F"/>
    <w:rsid w:val="6ECF0F26"/>
    <w:rsid w:val="6ED92677"/>
    <w:rsid w:val="6F1A3811"/>
    <w:rsid w:val="6F225983"/>
    <w:rsid w:val="6F251E2C"/>
    <w:rsid w:val="6FE45201"/>
    <w:rsid w:val="6FFC5590"/>
    <w:rsid w:val="703E098B"/>
    <w:rsid w:val="706D1DD0"/>
    <w:rsid w:val="70856B87"/>
    <w:rsid w:val="70B07C3A"/>
    <w:rsid w:val="70D524B6"/>
    <w:rsid w:val="70D527EE"/>
    <w:rsid w:val="70EB69F7"/>
    <w:rsid w:val="70F96E79"/>
    <w:rsid w:val="712B7AB0"/>
    <w:rsid w:val="715B5300"/>
    <w:rsid w:val="716D3EBC"/>
    <w:rsid w:val="71810C1C"/>
    <w:rsid w:val="719E4ADE"/>
    <w:rsid w:val="71C74C76"/>
    <w:rsid w:val="71D27F8A"/>
    <w:rsid w:val="71DD0107"/>
    <w:rsid w:val="71E82A49"/>
    <w:rsid w:val="71EE4BEB"/>
    <w:rsid w:val="722244C6"/>
    <w:rsid w:val="724265FE"/>
    <w:rsid w:val="72553024"/>
    <w:rsid w:val="726123EB"/>
    <w:rsid w:val="72851174"/>
    <w:rsid w:val="72AC52D6"/>
    <w:rsid w:val="72D306DE"/>
    <w:rsid w:val="72DC0DF2"/>
    <w:rsid w:val="72E4482B"/>
    <w:rsid w:val="72E47F9B"/>
    <w:rsid w:val="73122968"/>
    <w:rsid w:val="731F5D5E"/>
    <w:rsid w:val="7323164A"/>
    <w:rsid w:val="73845E7D"/>
    <w:rsid w:val="738F632D"/>
    <w:rsid w:val="73B2004D"/>
    <w:rsid w:val="73C51AD5"/>
    <w:rsid w:val="7403215E"/>
    <w:rsid w:val="741E793C"/>
    <w:rsid w:val="742A3E19"/>
    <w:rsid w:val="745E3944"/>
    <w:rsid w:val="74604CCB"/>
    <w:rsid w:val="746162E8"/>
    <w:rsid w:val="74940DE1"/>
    <w:rsid w:val="74CA6A3F"/>
    <w:rsid w:val="75034070"/>
    <w:rsid w:val="75644ADD"/>
    <w:rsid w:val="75963015"/>
    <w:rsid w:val="75C725AC"/>
    <w:rsid w:val="76260DA2"/>
    <w:rsid w:val="7635099D"/>
    <w:rsid w:val="763D507E"/>
    <w:rsid w:val="76541068"/>
    <w:rsid w:val="76622378"/>
    <w:rsid w:val="768B2B12"/>
    <w:rsid w:val="76F31ABD"/>
    <w:rsid w:val="76FC01EC"/>
    <w:rsid w:val="77141E12"/>
    <w:rsid w:val="7746585B"/>
    <w:rsid w:val="77476464"/>
    <w:rsid w:val="77762421"/>
    <w:rsid w:val="77935205"/>
    <w:rsid w:val="77B56B1F"/>
    <w:rsid w:val="77D24236"/>
    <w:rsid w:val="780F09F4"/>
    <w:rsid w:val="788A6E63"/>
    <w:rsid w:val="78A90480"/>
    <w:rsid w:val="78A97295"/>
    <w:rsid w:val="78F94CF3"/>
    <w:rsid w:val="78F957A1"/>
    <w:rsid w:val="79416E09"/>
    <w:rsid w:val="79632B78"/>
    <w:rsid w:val="79AE6327"/>
    <w:rsid w:val="79B06543"/>
    <w:rsid w:val="7A364017"/>
    <w:rsid w:val="7A3D4831"/>
    <w:rsid w:val="7A7354D5"/>
    <w:rsid w:val="7A775DC9"/>
    <w:rsid w:val="7A8265E1"/>
    <w:rsid w:val="7A9C7EC8"/>
    <w:rsid w:val="7B133C33"/>
    <w:rsid w:val="7B1B50AA"/>
    <w:rsid w:val="7B260F9A"/>
    <w:rsid w:val="7B3926C3"/>
    <w:rsid w:val="7B4D2F57"/>
    <w:rsid w:val="7B514E52"/>
    <w:rsid w:val="7B686D42"/>
    <w:rsid w:val="7B841746"/>
    <w:rsid w:val="7B914DF5"/>
    <w:rsid w:val="7B9C3B6C"/>
    <w:rsid w:val="7B9F7035"/>
    <w:rsid w:val="7BA93249"/>
    <w:rsid w:val="7BB65E2E"/>
    <w:rsid w:val="7C6C5AC7"/>
    <w:rsid w:val="7C7B0D2C"/>
    <w:rsid w:val="7C9F6277"/>
    <w:rsid w:val="7CB45EAB"/>
    <w:rsid w:val="7CC6544B"/>
    <w:rsid w:val="7D0239FF"/>
    <w:rsid w:val="7D301A54"/>
    <w:rsid w:val="7D5E40CD"/>
    <w:rsid w:val="7D7C5E40"/>
    <w:rsid w:val="7D823D52"/>
    <w:rsid w:val="7DA77C5D"/>
    <w:rsid w:val="7DAA5413"/>
    <w:rsid w:val="7DCD56F2"/>
    <w:rsid w:val="7DE06B53"/>
    <w:rsid w:val="7DE22E11"/>
    <w:rsid w:val="7E374D98"/>
    <w:rsid w:val="7E457BFA"/>
    <w:rsid w:val="7EE724FF"/>
    <w:rsid w:val="7F001CE7"/>
    <w:rsid w:val="7F0C421B"/>
    <w:rsid w:val="7F163328"/>
    <w:rsid w:val="7F182394"/>
    <w:rsid w:val="7F5D3C8B"/>
    <w:rsid w:val="7FC07E3F"/>
    <w:rsid w:val="7FC9210C"/>
    <w:rsid w:val="7FC977A8"/>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qFormat="1" w:unhideWhenUsed="0" w:uiPriority="99"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name="Title" w:locked="1"/>
    <w:lsdException w:unhideWhenUsed="0" w:uiPriority="0" w:semiHidden="0" w:name="Closing" w:locked="1"/>
    <w:lsdException w:qFormat="1"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qFormat="1"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99" w:semiHidden="0" w:name="Block Text" w:locked="1"/>
    <w:lsdException w:qFormat="1" w:uiPriority="99" w:semiHidden="0" w:name="Hyperlink" w:locked="1"/>
    <w:lsdException w:qFormat="1" w:unhideWhenUsed="0" w:uiPriority="0" w:semiHidden="0" w:name="FollowedHyperlink" w:locked="1"/>
    <w:lsdException w:qFormat="1" w:unhideWhenUsed="0" w:uiPriority="0" w:name="Strong" w:locked="1"/>
    <w:lsdException w:qFormat="1" w:unhideWhenUsed="0" w:uiPriority="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semiHidden="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39"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4">
    <w:name w:val="heading 1"/>
    <w:basedOn w:val="1"/>
    <w:next w:val="1"/>
    <w:qFormat/>
    <w:locked/>
    <w:uiPriority w:val="0"/>
    <w:pPr>
      <w:keepNext/>
      <w:overflowPunct w:val="0"/>
      <w:snapToGrid w:val="0"/>
      <w:spacing w:before="120" w:after="160"/>
      <w:ind w:firstLine="0" w:firstLineChars="0"/>
      <w:outlineLvl w:val="0"/>
    </w:pPr>
    <w:rPr>
      <w:b/>
      <w:bCs/>
      <w:color w:val="000000"/>
      <w:kern w:val="44"/>
      <w:sz w:val="28"/>
      <w:szCs w:val="30"/>
    </w:rPr>
  </w:style>
  <w:style w:type="paragraph" w:styleId="5">
    <w:name w:val="heading 2"/>
    <w:basedOn w:val="1"/>
    <w:next w:val="1"/>
    <w:link w:val="64"/>
    <w:qFormat/>
    <w:locked/>
    <w:uiPriority w:val="0"/>
    <w:pPr>
      <w:keepNext/>
      <w:keepLines/>
      <w:spacing w:before="120" w:after="120"/>
      <w:ind w:firstLine="0" w:firstLineChars="0"/>
      <w:outlineLvl w:val="1"/>
    </w:pPr>
    <w:rPr>
      <w:b/>
      <w:bCs/>
      <w:szCs w:val="32"/>
    </w:rPr>
  </w:style>
  <w:style w:type="paragraph" w:styleId="6">
    <w:name w:val="heading 3"/>
    <w:basedOn w:val="1"/>
    <w:next w:val="1"/>
    <w:link w:val="65"/>
    <w:qFormat/>
    <w:locked/>
    <w:uiPriority w:val="0"/>
    <w:pPr>
      <w:keepNext/>
      <w:keepLines/>
      <w:outlineLvl w:val="2"/>
    </w:pPr>
    <w:rPr>
      <w:bCs/>
      <w:szCs w:val="32"/>
    </w:rPr>
  </w:style>
  <w:style w:type="paragraph" w:styleId="7">
    <w:name w:val="heading 4"/>
    <w:basedOn w:val="1"/>
    <w:next w:val="1"/>
    <w:qFormat/>
    <w:locked/>
    <w:uiPriority w:val="0"/>
    <w:pPr>
      <w:keepNext/>
      <w:keepLines/>
      <w:tabs>
        <w:tab w:val="left" w:pos="0"/>
      </w:tabs>
      <w:outlineLvl w:val="3"/>
    </w:pPr>
    <w:rPr>
      <w:rFonts w:ascii="黑体" w:hAnsi="黑体" w:eastAsia="黑体"/>
      <w:szCs w:val="20"/>
    </w:rPr>
  </w:style>
  <w:style w:type="character" w:default="1" w:styleId="37">
    <w:name w:val="Default Paragraph Font"/>
    <w:unhideWhenUsed/>
    <w:qFormat/>
    <w:uiPriority w:val="1"/>
  </w:style>
  <w:style w:type="table" w:default="1" w:styleId="35">
    <w:name w:val="Normal Table"/>
    <w:unhideWhenUsed/>
    <w:qFormat/>
    <w:uiPriority w:val="99"/>
    <w:tblPr>
      <w:tblLayout w:type="fixed"/>
      <w:tblCellMar>
        <w:top w:w="0" w:type="dxa"/>
        <w:left w:w="108" w:type="dxa"/>
        <w:bottom w:w="0" w:type="dxa"/>
        <w:right w:w="108" w:type="dxa"/>
      </w:tblCellMar>
    </w:tblPr>
  </w:style>
  <w:style w:type="paragraph" w:styleId="2">
    <w:name w:val="Body Text"/>
    <w:basedOn w:val="1"/>
    <w:next w:val="3"/>
    <w:link w:val="52"/>
    <w:qFormat/>
    <w:uiPriority w:val="0"/>
    <w:pPr>
      <w:widowControl/>
      <w:snapToGrid w:val="0"/>
      <w:spacing w:before="60" w:after="160" w:line="259" w:lineRule="auto"/>
      <w:ind w:right="113"/>
    </w:pPr>
    <w:rPr>
      <w:kern w:val="0"/>
      <w:sz w:val="18"/>
      <w:szCs w:val="20"/>
    </w:rPr>
  </w:style>
  <w:style w:type="paragraph" w:customStyle="1" w:styleId="3">
    <w:name w:val="Body Text 21"/>
    <w:basedOn w:val="1"/>
    <w:qFormat/>
    <w:uiPriority w:val="0"/>
    <w:pPr>
      <w:autoSpaceDE w:val="0"/>
      <w:autoSpaceDN w:val="0"/>
      <w:adjustRightInd w:val="0"/>
      <w:spacing w:line="480" w:lineRule="exact"/>
      <w:ind w:firstLine="540"/>
      <w:textAlignment w:val="baseline"/>
    </w:pPr>
    <w:rPr>
      <w:rFonts w:ascii="宋体" w:hAnsi="Tms Rmn"/>
      <w:kern w:val="0"/>
      <w:sz w:val="24"/>
      <w:szCs w:val="20"/>
    </w:rPr>
  </w:style>
  <w:style w:type="paragraph" w:styleId="8">
    <w:name w:val="Normal Indent"/>
    <w:basedOn w:val="1"/>
    <w:next w:val="9"/>
    <w:qFormat/>
    <w:locked/>
    <w:uiPriority w:val="0"/>
    <w:pPr>
      <w:ind w:firstLine="420"/>
    </w:pPr>
  </w:style>
  <w:style w:type="paragraph" w:customStyle="1" w:styleId="9">
    <w:name w:val="Char Char Char Char Char Char Char Char Char1 Char"/>
    <w:basedOn w:val="1"/>
    <w:qFormat/>
    <w:uiPriority w:val="0"/>
    <w:pPr>
      <w:spacing w:line="360" w:lineRule="auto"/>
      <w:ind w:firstLine="200" w:firstLineChars="200"/>
    </w:pPr>
    <w:rPr>
      <w:rFonts w:hAnsi="宋体" w:cs="宋体"/>
      <w:spacing w:val="0"/>
      <w:sz w:val="24"/>
      <w:szCs w:val="24"/>
    </w:rPr>
  </w:style>
  <w:style w:type="paragraph" w:styleId="10">
    <w:name w:val="caption"/>
    <w:basedOn w:val="1"/>
    <w:next w:val="1"/>
    <w:qFormat/>
    <w:locked/>
    <w:uiPriority w:val="35"/>
    <w:pPr>
      <w:ind w:firstLine="0" w:firstLineChars="0"/>
      <w:jc w:val="center"/>
    </w:pPr>
    <w:rPr>
      <w:b/>
      <w:szCs w:val="20"/>
    </w:rPr>
  </w:style>
  <w:style w:type="paragraph" w:styleId="11">
    <w:name w:val="annotation text"/>
    <w:basedOn w:val="1"/>
    <w:link w:val="53"/>
    <w:semiHidden/>
    <w:qFormat/>
    <w:uiPriority w:val="0"/>
    <w:pPr>
      <w:jc w:val="left"/>
    </w:pPr>
    <w:rPr>
      <w:kern w:val="0"/>
      <w:szCs w:val="20"/>
    </w:rPr>
  </w:style>
  <w:style w:type="paragraph" w:styleId="12">
    <w:name w:val="Body Text 3"/>
    <w:basedOn w:val="1"/>
    <w:unhideWhenUsed/>
    <w:qFormat/>
    <w:locked/>
    <w:uiPriority w:val="0"/>
    <w:pPr>
      <w:jc w:val="center"/>
    </w:pPr>
    <w:rPr>
      <w:rFonts w:ascii="仿宋_GB2312" w:eastAsia="仿宋_GB2312"/>
      <w:sz w:val="28"/>
      <w:szCs w:val="20"/>
    </w:rPr>
  </w:style>
  <w:style w:type="paragraph" w:styleId="13">
    <w:name w:val="Body Text Indent"/>
    <w:basedOn w:val="1"/>
    <w:next w:val="14"/>
    <w:link w:val="61"/>
    <w:qFormat/>
    <w:uiPriority w:val="0"/>
    <w:pPr>
      <w:spacing w:after="120"/>
      <w:ind w:left="420" w:leftChars="200"/>
    </w:pPr>
    <w:rPr>
      <w:kern w:val="0"/>
      <w:szCs w:val="20"/>
    </w:rPr>
  </w:style>
  <w:style w:type="paragraph" w:styleId="14">
    <w:name w:val="Body Text First Indent 2"/>
    <w:basedOn w:val="1"/>
    <w:next w:val="2"/>
    <w:qFormat/>
    <w:locked/>
    <w:uiPriority w:val="0"/>
    <w:pPr>
      <w:ind w:firstLine="420"/>
    </w:pPr>
    <w:rPr>
      <w:sz w:val="21"/>
    </w:rPr>
  </w:style>
  <w:style w:type="paragraph" w:styleId="15">
    <w:name w:val="Block Text"/>
    <w:basedOn w:val="1"/>
    <w:qFormat/>
    <w:locked/>
    <w:uiPriority w:val="99"/>
    <w:pPr>
      <w:spacing w:line="480" w:lineRule="exact"/>
      <w:ind w:left="-125" w:right="-56" w:firstLine="570"/>
    </w:pPr>
    <w:rPr>
      <w:sz w:val="28"/>
    </w:rPr>
  </w:style>
  <w:style w:type="paragraph" w:styleId="16">
    <w:name w:val="Plain Text"/>
    <w:basedOn w:val="1"/>
    <w:next w:val="17"/>
    <w:qFormat/>
    <w:locked/>
    <w:uiPriority w:val="0"/>
    <w:rPr>
      <w:rFonts w:ascii="宋体" w:hAnsi="Courier New" w:eastAsia="仿宋_GB2312"/>
      <w:sz w:val="28"/>
    </w:rPr>
  </w:style>
  <w:style w:type="paragraph" w:styleId="17">
    <w:name w:val="Signature"/>
    <w:basedOn w:val="1"/>
    <w:qFormat/>
    <w:locked/>
    <w:uiPriority w:val="0"/>
    <w:pPr>
      <w:ind w:left="100" w:leftChars="2100"/>
    </w:pPr>
    <w:rPr>
      <w:sz w:val="21"/>
      <w:szCs w:val="24"/>
    </w:rPr>
  </w:style>
  <w:style w:type="paragraph" w:styleId="18">
    <w:name w:val="List Bullet 5"/>
    <w:basedOn w:val="1"/>
    <w:qFormat/>
    <w:locked/>
    <w:uiPriority w:val="0"/>
    <w:pPr>
      <w:numPr>
        <w:ilvl w:val="0"/>
        <w:numId w:val="1"/>
      </w:numPr>
    </w:pPr>
  </w:style>
  <w:style w:type="paragraph" w:styleId="19">
    <w:name w:val="Date"/>
    <w:basedOn w:val="1"/>
    <w:next w:val="1"/>
    <w:link w:val="48"/>
    <w:qFormat/>
    <w:uiPriority w:val="0"/>
    <w:pPr>
      <w:ind w:left="100" w:leftChars="2500"/>
    </w:pPr>
    <w:rPr>
      <w:kern w:val="0"/>
      <w:szCs w:val="20"/>
    </w:rPr>
  </w:style>
  <w:style w:type="paragraph" w:styleId="20">
    <w:name w:val="Body Text Indent 2"/>
    <w:basedOn w:val="1"/>
    <w:qFormat/>
    <w:locked/>
    <w:uiPriority w:val="0"/>
    <w:pPr>
      <w:spacing w:line="560" w:lineRule="exact"/>
      <w:ind w:firstLine="573"/>
    </w:pPr>
    <w:rPr>
      <w:rFonts w:ascii="宋体" w:hAnsi="宋体"/>
      <w:sz w:val="28"/>
    </w:rPr>
  </w:style>
  <w:style w:type="paragraph" w:styleId="21">
    <w:name w:val="Balloon Text"/>
    <w:basedOn w:val="1"/>
    <w:link w:val="57"/>
    <w:semiHidden/>
    <w:qFormat/>
    <w:uiPriority w:val="0"/>
    <w:rPr>
      <w:kern w:val="0"/>
      <w:sz w:val="18"/>
      <w:szCs w:val="20"/>
    </w:rPr>
  </w:style>
  <w:style w:type="paragraph" w:styleId="22">
    <w:name w:val="footer"/>
    <w:basedOn w:val="1"/>
    <w:link w:val="47"/>
    <w:qFormat/>
    <w:uiPriority w:val="99"/>
    <w:pPr>
      <w:tabs>
        <w:tab w:val="center" w:pos="4153"/>
        <w:tab w:val="right" w:pos="8306"/>
      </w:tabs>
      <w:snapToGrid w:val="0"/>
      <w:jc w:val="left"/>
    </w:pPr>
    <w:rPr>
      <w:kern w:val="0"/>
      <w:sz w:val="18"/>
      <w:szCs w:val="20"/>
    </w:rPr>
  </w:style>
  <w:style w:type="paragraph" w:styleId="23">
    <w:name w:val="header"/>
    <w:basedOn w:val="1"/>
    <w:next w:val="1"/>
    <w:link w:val="59"/>
    <w:qFormat/>
    <w:uiPriority w:val="0"/>
    <w:pPr>
      <w:pBdr>
        <w:bottom w:val="single" w:color="auto" w:sz="6" w:space="1"/>
      </w:pBdr>
      <w:tabs>
        <w:tab w:val="center" w:pos="4153"/>
        <w:tab w:val="right" w:pos="8306"/>
      </w:tabs>
      <w:snapToGrid w:val="0"/>
      <w:jc w:val="center"/>
    </w:pPr>
    <w:rPr>
      <w:kern w:val="0"/>
      <w:sz w:val="18"/>
      <w:szCs w:val="20"/>
    </w:rPr>
  </w:style>
  <w:style w:type="paragraph" w:styleId="24">
    <w:name w:val="List"/>
    <w:basedOn w:val="1"/>
    <w:next w:val="25"/>
    <w:unhideWhenUsed/>
    <w:qFormat/>
    <w:locked/>
    <w:uiPriority w:val="99"/>
    <w:pPr>
      <w:ind w:left="200" w:hanging="200" w:hangingChars="200"/>
      <w:contextualSpacing/>
    </w:pPr>
  </w:style>
  <w:style w:type="paragraph" w:customStyle="1" w:styleId="25">
    <w:name w:val="Default"/>
    <w:basedOn w:val="26"/>
    <w:next w:val="1"/>
    <w:qFormat/>
    <w:uiPriority w:val="0"/>
    <w:pPr>
      <w:widowControl w:val="0"/>
      <w:tabs>
        <w:tab w:val="left" w:pos="1845"/>
      </w:tabs>
      <w:autoSpaceDE w:val="0"/>
      <w:autoSpaceDN w:val="0"/>
      <w:adjustRightInd w:val="0"/>
      <w:spacing w:line="360" w:lineRule="auto"/>
      <w:jc w:val="both"/>
    </w:pPr>
    <w:rPr>
      <w:rFonts w:ascii="Times New Roman" w:hAnsi="Times New Roman" w:eastAsia="宋体" w:cs="Times New Roman"/>
      <w:color w:val="000000"/>
      <w:sz w:val="24"/>
      <w:szCs w:val="24"/>
      <w:lang w:val="en-US" w:eastAsia="zh-CN" w:bidi="ar-SA"/>
    </w:rPr>
  </w:style>
  <w:style w:type="paragraph" w:customStyle="1" w:styleId="26">
    <w:name w:val="1 表头"/>
    <w:basedOn w:val="1"/>
    <w:qFormat/>
    <w:uiPriority w:val="0"/>
    <w:pPr>
      <w:adjustRightInd w:val="0"/>
      <w:snapToGrid w:val="0"/>
      <w:spacing w:line="240" w:lineRule="auto"/>
      <w:ind w:firstLine="0" w:firstLineChars="0"/>
      <w:jc w:val="center"/>
    </w:pPr>
    <w:rPr>
      <w:b/>
      <w:color w:val="000000"/>
      <w:sz w:val="21"/>
    </w:rPr>
  </w:style>
  <w:style w:type="paragraph" w:styleId="27">
    <w:name w:val="toc 2"/>
    <w:basedOn w:val="1"/>
    <w:next w:val="1"/>
    <w:qFormat/>
    <w:locked/>
    <w:uiPriority w:val="0"/>
    <w:pPr>
      <w:ind w:left="360" w:leftChars="150" w:firstLine="0" w:firstLineChars="0"/>
    </w:pPr>
  </w:style>
  <w:style w:type="paragraph" w:styleId="28">
    <w:name w:val="Body Text 2"/>
    <w:basedOn w:val="1"/>
    <w:qFormat/>
    <w:locked/>
    <w:uiPriority w:val="0"/>
    <w:rPr>
      <w:sz w:val="13"/>
    </w:rPr>
  </w:style>
  <w:style w:type="paragraph" w:styleId="29">
    <w:name w:val="List 4"/>
    <w:basedOn w:val="1"/>
    <w:qFormat/>
    <w:locked/>
    <w:uiPriority w:val="99"/>
    <w:pPr>
      <w:ind w:left="100" w:leftChars="600" w:hanging="200" w:hangingChars="200"/>
      <w:contextualSpacing/>
    </w:pPr>
  </w:style>
  <w:style w:type="paragraph" w:styleId="30">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1">
    <w:name w:val="Normal (Web)"/>
    <w:basedOn w:val="1"/>
    <w:link w:val="50"/>
    <w:qFormat/>
    <w:uiPriority w:val="0"/>
    <w:pPr>
      <w:widowControl/>
      <w:spacing w:before="100" w:beforeAutospacing="1" w:after="100" w:afterAutospacing="1"/>
      <w:jc w:val="left"/>
    </w:pPr>
    <w:rPr>
      <w:rFonts w:ascii="宋体" w:hAnsi="宋体"/>
      <w:kern w:val="0"/>
      <w:szCs w:val="20"/>
    </w:rPr>
  </w:style>
  <w:style w:type="paragraph" w:styleId="32">
    <w:name w:val="Title"/>
    <w:basedOn w:val="1"/>
    <w:next w:val="1"/>
    <w:semiHidden/>
    <w:qFormat/>
    <w:locked/>
    <w:uiPriority w:val="0"/>
    <w:pPr>
      <w:autoSpaceDE w:val="0"/>
      <w:spacing w:beforeLines="50" w:after="60" w:line="312" w:lineRule="auto"/>
      <w:ind w:firstLine="200" w:firstLineChars="200"/>
      <w:jc w:val="center"/>
      <w:textAlignment w:val="baseline"/>
      <w:outlineLvl w:val="0"/>
    </w:pPr>
    <w:rPr>
      <w:rFonts w:ascii="Cambria" w:hAnsi="Cambria"/>
      <w:b/>
      <w:bCs/>
      <w:kern w:val="0"/>
      <w:sz w:val="32"/>
      <w:szCs w:val="32"/>
    </w:rPr>
  </w:style>
  <w:style w:type="paragraph" w:styleId="33">
    <w:name w:val="annotation subject"/>
    <w:basedOn w:val="11"/>
    <w:next w:val="11"/>
    <w:link w:val="58"/>
    <w:semiHidden/>
    <w:qFormat/>
    <w:uiPriority w:val="0"/>
    <w:rPr>
      <w:b/>
    </w:rPr>
  </w:style>
  <w:style w:type="paragraph" w:styleId="34">
    <w:name w:val="Body Text First Indent"/>
    <w:basedOn w:val="2"/>
    <w:qFormat/>
    <w:locked/>
    <w:uiPriority w:val="0"/>
    <w:pPr>
      <w:widowControl w:val="0"/>
      <w:spacing w:after="120"/>
      <w:ind w:firstLine="420" w:firstLineChars="100"/>
    </w:pPr>
    <w:rPr>
      <w:kern w:val="2"/>
      <w:szCs w:val="24"/>
    </w:rPr>
  </w:style>
  <w:style w:type="table" w:styleId="36">
    <w:name w:val="Table Grid"/>
    <w:basedOn w:val="3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38">
    <w:name w:val="page number"/>
    <w:basedOn w:val="37"/>
    <w:qFormat/>
    <w:locked/>
    <w:uiPriority w:val="0"/>
  </w:style>
  <w:style w:type="character" w:styleId="39">
    <w:name w:val="FollowedHyperlink"/>
    <w:basedOn w:val="37"/>
    <w:qFormat/>
    <w:locked/>
    <w:uiPriority w:val="0"/>
    <w:rPr>
      <w:color w:val="333333"/>
      <w:u w:val="none"/>
    </w:rPr>
  </w:style>
  <w:style w:type="character" w:styleId="40">
    <w:name w:val="Hyperlink"/>
    <w:basedOn w:val="37"/>
    <w:unhideWhenUsed/>
    <w:qFormat/>
    <w:locked/>
    <w:uiPriority w:val="99"/>
    <w:rPr>
      <w:color w:val="0000FF"/>
      <w:u w:val="single"/>
    </w:rPr>
  </w:style>
  <w:style w:type="character" w:styleId="41">
    <w:name w:val="annotation reference"/>
    <w:semiHidden/>
    <w:qFormat/>
    <w:uiPriority w:val="0"/>
    <w:rPr>
      <w:sz w:val="21"/>
    </w:rPr>
  </w:style>
  <w:style w:type="paragraph" w:customStyle="1" w:styleId="42">
    <w:name w:val="样式 首行缩进:  2 字符1"/>
    <w:basedOn w:val="1"/>
    <w:qFormat/>
    <w:uiPriority w:val="0"/>
    <w:pPr>
      <w:spacing w:line="360" w:lineRule="auto"/>
      <w:ind w:firstLine="200" w:firstLineChars="200"/>
    </w:pPr>
    <w:rPr>
      <w:rFonts w:cs="宋体"/>
      <w:sz w:val="24"/>
      <w:szCs w:val="20"/>
    </w:rPr>
  </w:style>
  <w:style w:type="paragraph" w:customStyle="1" w:styleId="43">
    <w:name w:val="表格内"/>
    <w:basedOn w:val="1"/>
    <w:qFormat/>
    <w:uiPriority w:val="0"/>
    <w:pPr>
      <w:spacing w:line="360" w:lineRule="exact"/>
      <w:jc w:val="center"/>
    </w:pPr>
    <w:rPr>
      <w:rFonts w:ascii="Times New Roman" w:hAnsi="Times New Roman" w:cs="Times New Roman"/>
      <w:snapToGrid w:val="0"/>
      <w:szCs w:val="21"/>
    </w:rPr>
  </w:style>
  <w:style w:type="paragraph" w:customStyle="1" w:styleId="44">
    <w:name w:val="纯文本1"/>
    <w:qFormat/>
    <w:uiPriority w:val="0"/>
    <w:pPr>
      <w:widowControl w:val="0"/>
      <w:tabs>
        <w:tab w:val="left" w:pos="1845"/>
      </w:tabs>
      <w:spacing w:line="240" w:lineRule="exact"/>
      <w:jc w:val="center"/>
    </w:pPr>
    <w:rPr>
      <w:rFonts w:ascii="Calibri" w:hAnsi="Calibri" w:eastAsia="宋体" w:cs="Times New Roman"/>
      <w:kern w:val="2"/>
      <w:sz w:val="18"/>
      <w:szCs w:val="24"/>
      <w:lang w:val="en-US" w:eastAsia="zh-CN" w:bidi="ar-SA"/>
    </w:rPr>
  </w:style>
  <w:style w:type="paragraph" w:customStyle="1" w:styleId="45">
    <w:name w:val="表头"/>
    <w:basedOn w:val="8"/>
    <w:next w:val="1"/>
    <w:qFormat/>
    <w:uiPriority w:val="0"/>
    <w:pPr>
      <w:ind w:firstLine="0" w:firstLineChars="0"/>
      <w:jc w:val="center"/>
    </w:pPr>
    <w:rPr>
      <w:rFonts w:eastAsia="Times New Roman"/>
      <w:sz w:val="21"/>
    </w:rPr>
  </w:style>
  <w:style w:type="paragraph" w:customStyle="1" w:styleId="46">
    <w:name w:val="样式 正文缩进正文缩进2正文缩进 Char Char正文缩进 Char Char Char Char正文缩进 Char ..."/>
    <w:basedOn w:val="8"/>
    <w:qFormat/>
    <w:uiPriority w:val="0"/>
    <w:pPr>
      <w:spacing w:line="360" w:lineRule="auto"/>
      <w:ind w:firstLine="200"/>
    </w:pPr>
    <w:rPr>
      <w:rFonts w:cs="宋体"/>
      <w:sz w:val="24"/>
    </w:rPr>
  </w:style>
  <w:style w:type="character" w:customStyle="1" w:styleId="47">
    <w:name w:val="页脚 Char"/>
    <w:link w:val="22"/>
    <w:qFormat/>
    <w:locked/>
    <w:uiPriority w:val="99"/>
    <w:rPr>
      <w:sz w:val="18"/>
    </w:rPr>
  </w:style>
  <w:style w:type="character" w:customStyle="1" w:styleId="48">
    <w:name w:val="日期 Char"/>
    <w:link w:val="19"/>
    <w:qFormat/>
    <w:locked/>
    <w:uiPriority w:val="0"/>
    <w:rPr>
      <w:rFonts w:ascii="Times New Roman" w:hAnsi="Times New Roman" w:eastAsia="宋体"/>
      <w:sz w:val="24"/>
    </w:rPr>
  </w:style>
  <w:style w:type="character" w:customStyle="1" w:styleId="49">
    <w:name w:val="页脚 字符"/>
    <w:basedOn w:val="37"/>
    <w:qFormat/>
    <w:uiPriority w:val="99"/>
  </w:style>
  <w:style w:type="character" w:customStyle="1" w:styleId="50">
    <w:name w:val="普通(网站) Char"/>
    <w:link w:val="31"/>
    <w:qFormat/>
    <w:locked/>
    <w:uiPriority w:val="0"/>
    <w:rPr>
      <w:rFonts w:ascii="宋体" w:hAnsi="宋体" w:eastAsia="宋体"/>
      <w:sz w:val="24"/>
    </w:rPr>
  </w:style>
  <w:style w:type="character" w:customStyle="1" w:styleId="51">
    <w:name w:val="正文文本 字符1"/>
    <w:semiHidden/>
    <w:qFormat/>
    <w:uiPriority w:val="0"/>
    <w:rPr>
      <w:rFonts w:ascii="Times New Roman" w:hAnsi="Times New Roman" w:eastAsia="宋体"/>
      <w:sz w:val="24"/>
    </w:rPr>
  </w:style>
  <w:style w:type="character" w:customStyle="1" w:styleId="52">
    <w:name w:val="正文文本 Char"/>
    <w:link w:val="2"/>
    <w:qFormat/>
    <w:locked/>
    <w:uiPriority w:val="0"/>
    <w:rPr>
      <w:sz w:val="18"/>
    </w:rPr>
  </w:style>
  <w:style w:type="character" w:customStyle="1" w:styleId="53">
    <w:name w:val="批注文字 Char"/>
    <w:link w:val="11"/>
    <w:qFormat/>
    <w:locked/>
    <w:uiPriority w:val="0"/>
    <w:rPr>
      <w:rFonts w:ascii="Times New Roman" w:hAnsi="Times New Roman" w:eastAsia="宋体"/>
      <w:sz w:val="24"/>
    </w:rPr>
  </w:style>
  <w:style w:type="character" w:customStyle="1" w:styleId="54">
    <w:name w:val="表格 Char"/>
    <w:link w:val="55"/>
    <w:qFormat/>
    <w:locked/>
    <w:uiPriority w:val="0"/>
    <w:rPr>
      <w:rFonts w:ascii="宋体"/>
      <w:sz w:val="21"/>
    </w:rPr>
  </w:style>
  <w:style w:type="paragraph" w:customStyle="1" w:styleId="55">
    <w:name w:val="表格"/>
    <w:basedOn w:val="31"/>
    <w:next w:val="1"/>
    <w:link w:val="54"/>
    <w:qFormat/>
    <w:uiPriority w:val="0"/>
    <w:pPr>
      <w:adjustRightInd w:val="0"/>
      <w:snapToGrid w:val="0"/>
      <w:spacing w:beforeLines="10" w:afterLines="10" w:line="259" w:lineRule="auto"/>
      <w:jc w:val="center"/>
    </w:pPr>
    <w:rPr>
      <w:rFonts w:ascii="宋体"/>
      <w:kern w:val="0"/>
      <w:szCs w:val="20"/>
    </w:rPr>
  </w:style>
  <w:style w:type="character" w:customStyle="1" w:styleId="56">
    <w:name w:val="日期 字符"/>
    <w:semiHidden/>
    <w:qFormat/>
    <w:uiPriority w:val="0"/>
    <w:rPr>
      <w:rFonts w:ascii="Times New Roman" w:hAnsi="Times New Roman" w:eastAsia="宋体"/>
      <w:sz w:val="24"/>
    </w:rPr>
  </w:style>
  <w:style w:type="character" w:customStyle="1" w:styleId="57">
    <w:name w:val="批注框文本 Char"/>
    <w:link w:val="21"/>
    <w:semiHidden/>
    <w:qFormat/>
    <w:locked/>
    <w:uiPriority w:val="0"/>
    <w:rPr>
      <w:rFonts w:ascii="Times New Roman" w:hAnsi="Times New Roman" w:eastAsia="宋体"/>
      <w:sz w:val="18"/>
    </w:rPr>
  </w:style>
  <w:style w:type="character" w:customStyle="1" w:styleId="58">
    <w:name w:val="批注主题 Char"/>
    <w:link w:val="33"/>
    <w:semiHidden/>
    <w:qFormat/>
    <w:locked/>
    <w:uiPriority w:val="0"/>
    <w:rPr>
      <w:rFonts w:ascii="Times New Roman" w:hAnsi="Times New Roman" w:eastAsia="宋体"/>
      <w:b/>
      <w:kern w:val="2"/>
      <w:sz w:val="24"/>
    </w:rPr>
  </w:style>
  <w:style w:type="character" w:customStyle="1" w:styleId="59">
    <w:name w:val="页眉 Char"/>
    <w:link w:val="23"/>
    <w:qFormat/>
    <w:locked/>
    <w:uiPriority w:val="0"/>
    <w:rPr>
      <w:sz w:val="18"/>
    </w:rPr>
  </w:style>
  <w:style w:type="character" w:customStyle="1" w:styleId="60">
    <w:name w:val="批注文字 字符1"/>
    <w:semiHidden/>
    <w:qFormat/>
    <w:uiPriority w:val="0"/>
    <w:rPr>
      <w:rFonts w:ascii="Times New Roman" w:hAnsi="Times New Roman" w:eastAsia="宋体"/>
      <w:sz w:val="24"/>
    </w:rPr>
  </w:style>
  <w:style w:type="character" w:customStyle="1" w:styleId="61">
    <w:name w:val="正文文本缩进 Char"/>
    <w:link w:val="13"/>
    <w:semiHidden/>
    <w:qFormat/>
    <w:locked/>
    <w:uiPriority w:val="0"/>
    <w:rPr>
      <w:rFonts w:ascii="Times New Roman" w:hAnsi="Times New Roman" w:eastAsia="宋体"/>
      <w:sz w:val="24"/>
    </w:rPr>
  </w:style>
  <w:style w:type="paragraph" w:customStyle="1" w:styleId="6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3">
    <w:name w:val="普通(网站)2"/>
    <w:basedOn w:val="1"/>
    <w:qFormat/>
    <w:uiPriority w:val="0"/>
    <w:pPr>
      <w:widowControl/>
      <w:spacing w:before="100" w:beforeAutospacing="1" w:after="100" w:afterAutospacing="1"/>
      <w:jc w:val="left"/>
    </w:pPr>
    <w:rPr>
      <w:rFonts w:ascii="宋体" w:hAnsi="宋体"/>
      <w:szCs w:val="20"/>
    </w:rPr>
  </w:style>
  <w:style w:type="character" w:customStyle="1" w:styleId="64">
    <w:name w:val="标题 2 Char"/>
    <w:link w:val="5"/>
    <w:qFormat/>
    <w:uiPriority w:val="0"/>
    <w:rPr>
      <w:rFonts w:cs="Times New Roman"/>
      <w:b/>
      <w:bCs/>
      <w:kern w:val="2"/>
      <w:sz w:val="24"/>
      <w:szCs w:val="32"/>
    </w:rPr>
  </w:style>
  <w:style w:type="character" w:customStyle="1" w:styleId="65">
    <w:name w:val="标题 3 Char"/>
    <w:link w:val="6"/>
    <w:qFormat/>
    <w:uiPriority w:val="0"/>
    <w:rPr>
      <w:bCs/>
      <w:kern w:val="2"/>
      <w:sz w:val="24"/>
      <w:szCs w:val="32"/>
    </w:rPr>
  </w:style>
  <w:style w:type="character" w:customStyle="1" w:styleId="66">
    <w:name w:val="标题 2 字符"/>
    <w:qFormat/>
    <w:uiPriority w:val="0"/>
    <w:rPr>
      <w:b/>
      <w:bCs/>
      <w:kern w:val="2"/>
      <w:sz w:val="24"/>
      <w:szCs w:val="32"/>
    </w:rPr>
  </w:style>
  <w:style w:type="paragraph" w:customStyle="1" w:styleId="67">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68">
    <w:name w:val="Table Paragraph"/>
    <w:basedOn w:val="1"/>
    <w:qFormat/>
    <w:uiPriority w:val="1"/>
    <w:pPr>
      <w:jc w:val="center"/>
    </w:pPr>
    <w:rPr>
      <w:rFonts w:ascii="宋体" w:hAnsi="宋体" w:cs="宋体"/>
      <w:lang w:val="zh-CN" w:bidi="zh-CN"/>
    </w:rPr>
  </w:style>
  <w:style w:type="paragraph" w:customStyle="1" w:styleId="69">
    <w:name w:val="xl74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Courier New" w:hAnsi="Courier New" w:eastAsia="Arial Unicode MS"/>
      <w:kern w:val="0"/>
    </w:rPr>
  </w:style>
  <w:style w:type="paragraph" w:customStyle="1" w:styleId="70">
    <w:name w:val="表格内文字"/>
    <w:basedOn w:val="1"/>
    <w:qFormat/>
    <w:uiPriority w:val="0"/>
    <w:pPr>
      <w:tabs>
        <w:tab w:val="left" w:pos="0"/>
      </w:tabs>
      <w:snapToGrid w:val="0"/>
      <w:jc w:val="center"/>
    </w:pPr>
    <w:rPr>
      <w:rFonts w:ascii="仿宋_GB2312" w:eastAsia="仿宋_GB2312"/>
      <w:spacing w:val="4"/>
      <w:kern w:val="18"/>
    </w:rPr>
  </w:style>
  <w:style w:type="paragraph" w:customStyle="1" w:styleId="71">
    <w:name w:val="正文01"/>
    <w:basedOn w:val="1"/>
    <w:qFormat/>
    <w:uiPriority w:val="0"/>
    <w:pPr>
      <w:spacing w:before="60" w:line="460" w:lineRule="exact"/>
    </w:pPr>
    <w:rPr>
      <w:bCs/>
    </w:rPr>
  </w:style>
  <w:style w:type="paragraph" w:customStyle="1" w:styleId="72">
    <w:name w:val="表"/>
    <w:basedOn w:val="1"/>
    <w:qFormat/>
    <w:uiPriority w:val="0"/>
    <w:pPr>
      <w:snapToGrid w:val="0"/>
      <w:jc w:val="center"/>
    </w:pPr>
  </w:style>
  <w:style w:type="character" w:customStyle="1" w:styleId="73">
    <w:name w:val="Body text|2 + Spacing 0 pt"/>
    <w:basedOn w:val="74"/>
    <w:unhideWhenUsed/>
    <w:qFormat/>
    <w:uiPriority w:val="0"/>
    <w:rPr>
      <w:rFonts w:ascii="PMingLiU" w:hAnsi="PMingLiU" w:eastAsia="PMingLiU" w:cs="PMingLiU"/>
      <w:color w:val="000000"/>
      <w:spacing w:val="0"/>
      <w:w w:val="100"/>
      <w:position w:val="0"/>
      <w:sz w:val="22"/>
      <w:szCs w:val="22"/>
      <w:u w:val="none"/>
      <w:lang w:val="zh-CN" w:eastAsia="zh-CN" w:bidi="zh-CN"/>
    </w:rPr>
  </w:style>
  <w:style w:type="character" w:customStyle="1" w:styleId="74">
    <w:name w:val="Body text|2_"/>
    <w:basedOn w:val="37"/>
    <w:link w:val="75"/>
    <w:qFormat/>
    <w:uiPriority w:val="0"/>
    <w:rPr>
      <w:rFonts w:ascii="PMingLiU" w:hAnsi="PMingLiU" w:eastAsia="PMingLiU" w:cs="PMingLiU"/>
      <w:spacing w:val="10"/>
      <w:sz w:val="22"/>
      <w:szCs w:val="22"/>
      <w:u w:val="none"/>
    </w:rPr>
  </w:style>
  <w:style w:type="paragraph" w:customStyle="1" w:styleId="75">
    <w:name w:val="Body text|221"/>
    <w:basedOn w:val="1"/>
    <w:link w:val="74"/>
    <w:qFormat/>
    <w:uiPriority w:val="0"/>
    <w:pPr>
      <w:shd w:val="clear" w:color="auto" w:fill="FFFFFF"/>
      <w:spacing w:before="240" w:line="451" w:lineRule="exact"/>
      <w:ind w:hanging="620"/>
      <w:jc w:val="distribute"/>
    </w:pPr>
    <w:rPr>
      <w:rFonts w:ascii="PMingLiU" w:hAnsi="PMingLiU" w:eastAsia="PMingLiU" w:cs="PMingLiU"/>
      <w:spacing w:val="10"/>
      <w:sz w:val="22"/>
      <w:szCs w:val="22"/>
    </w:rPr>
  </w:style>
  <w:style w:type="paragraph" w:customStyle="1" w:styleId="76">
    <w:name w:val="中文报告书样式"/>
    <w:basedOn w:val="1"/>
    <w:qFormat/>
    <w:uiPriority w:val="0"/>
    <w:pPr>
      <w:adjustRightInd w:val="0"/>
      <w:spacing w:line="480" w:lineRule="atLeast"/>
      <w:ind w:firstLine="482"/>
      <w:textAlignment w:val="baseline"/>
    </w:pPr>
    <w:rPr>
      <w:kern w:val="24"/>
      <w:szCs w:val="20"/>
    </w:rPr>
  </w:style>
  <w:style w:type="paragraph" w:customStyle="1" w:styleId="77">
    <w:name w:val="正文A"/>
    <w:basedOn w:val="78"/>
    <w:qFormat/>
    <w:uiPriority w:val="0"/>
    <w:rPr>
      <w:rFonts w:ascii="Times New Roman" w:hAnsi="Times New Roman"/>
    </w:rPr>
  </w:style>
  <w:style w:type="paragraph" w:customStyle="1" w:styleId="78">
    <w:name w:val="正文!!!!!!!!!!!"/>
    <w:basedOn w:val="79"/>
    <w:qFormat/>
    <w:uiPriority w:val="0"/>
    <w:pPr>
      <w:ind w:firstLine="480"/>
    </w:pPr>
    <w:rPr>
      <w:rFonts w:ascii="华文仿宋" w:hAnsi="华文仿宋" w:eastAsia="华文仿宋" w:cs="华文仿宋"/>
    </w:rPr>
  </w:style>
  <w:style w:type="paragraph" w:customStyle="1" w:styleId="79">
    <w:name w:val="正文 楷体"/>
    <w:basedOn w:val="1"/>
    <w:qFormat/>
    <w:uiPriority w:val="0"/>
    <w:pPr>
      <w:spacing w:line="500" w:lineRule="exact"/>
    </w:pPr>
    <w:rPr>
      <w:rFonts w:ascii="楷体_GB2312" w:hAnsi="楷体_GB2312" w:eastAsia="楷体_GB2312" w:cs="宋体"/>
    </w:rPr>
  </w:style>
  <w:style w:type="paragraph" w:customStyle="1" w:styleId="80">
    <w:name w:val="标题三A"/>
    <w:basedOn w:val="6"/>
    <w:qFormat/>
    <w:uiPriority w:val="0"/>
    <w:pPr>
      <w:keepNext w:val="0"/>
      <w:keepLines w:val="0"/>
      <w:spacing w:line="500" w:lineRule="exact"/>
    </w:pPr>
    <w:rPr>
      <w:sz w:val="28"/>
      <w:szCs w:val="28"/>
    </w:rPr>
  </w:style>
  <w:style w:type="paragraph" w:customStyle="1" w:styleId="81">
    <w:name w:val="表内字"/>
    <w:basedOn w:val="1"/>
    <w:qFormat/>
    <w:uiPriority w:val="0"/>
    <w:pPr>
      <w:jc w:val="center"/>
    </w:pPr>
    <w:rPr>
      <w:kern w:val="0"/>
    </w:rPr>
  </w:style>
  <w:style w:type="paragraph" w:customStyle="1" w:styleId="82">
    <w:name w:val="正文格式"/>
    <w:basedOn w:val="34"/>
    <w:qFormat/>
    <w:uiPriority w:val="0"/>
    <w:pPr>
      <w:spacing w:after="0" w:line="360" w:lineRule="auto"/>
      <w:ind w:firstLine="200" w:firstLineChars="200"/>
    </w:pPr>
    <w:rPr>
      <w:rFonts w:ascii="宋体"/>
      <w:sz w:val="24"/>
    </w:rPr>
  </w:style>
  <w:style w:type="paragraph" w:customStyle="1" w:styleId="83">
    <w:name w:val="正文内容"/>
    <w:basedOn w:val="1"/>
    <w:qFormat/>
    <w:uiPriority w:val="0"/>
    <w:pPr>
      <w:adjustRightInd w:val="0"/>
      <w:snapToGrid w:val="0"/>
      <w:spacing w:line="360" w:lineRule="auto"/>
      <w:ind w:firstLine="560" w:firstLineChars="200"/>
    </w:pPr>
    <w:rPr>
      <w:rFonts w:ascii="Times New Roman" w:hAnsi="Times New Roman" w:eastAsia="仿宋_GB2312"/>
      <w:color w:val="000000"/>
      <w:sz w:val="28"/>
      <w:szCs w:val="30"/>
    </w:rPr>
  </w:style>
  <w:style w:type="paragraph" w:customStyle="1" w:styleId="84">
    <w:name w:val="List Paragraph"/>
    <w:basedOn w:val="1"/>
    <w:qFormat/>
    <w:uiPriority w:val="99"/>
    <w:pPr>
      <w:ind w:firstLine="420" w:firstLineChars="200"/>
    </w:pPr>
  </w:style>
  <w:style w:type="character" w:customStyle="1" w:styleId="85">
    <w:name w:val="正文文本8"/>
    <w:qFormat/>
    <w:uiPriority w:val="0"/>
    <w:rPr>
      <w:rFonts w:ascii="MingLiU" w:hAnsi="MingLiU" w:eastAsia="MingLiU" w:cs="MingLiU"/>
      <w:color w:val="000000"/>
      <w:spacing w:val="12"/>
      <w:w w:val="100"/>
      <w:position w:val="0"/>
      <w:sz w:val="21"/>
      <w:szCs w:val="21"/>
      <w:u w:val="none"/>
      <w:lang w:val="zh-TW"/>
    </w:rPr>
  </w:style>
  <w:style w:type="paragraph" w:customStyle="1" w:styleId="86">
    <w:name w:val="Char"/>
    <w:basedOn w:val="1"/>
    <w:qFormat/>
    <w:uiPriority w:val="0"/>
    <w:pPr>
      <w:spacing w:line="240" w:lineRule="auto"/>
      <w:ind w:firstLine="0" w:firstLineChars="0"/>
      <w:jc w:val="both"/>
    </w:pPr>
    <w:rPr>
      <w:rFonts w:ascii="宋体" w:hAnsi="宋体"/>
      <w:color w:val="auto"/>
    </w:rPr>
  </w:style>
  <w:style w:type="paragraph" w:customStyle="1" w:styleId="87">
    <w:name w:val="文本"/>
    <w:basedOn w:val="1"/>
    <w:qFormat/>
    <w:uiPriority w:val="0"/>
    <w:pPr>
      <w:adjustRightInd w:val="0"/>
      <w:snapToGrid w:val="0"/>
      <w:spacing w:line="360" w:lineRule="auto"/>
      <w:ind w:firstLine="480" w:firstLineChars="200"/>
      <w:jc w:val="left"/>
    </w:pPr>
    <w:rPr>
      <w:sz w:val="24"/>
    </w:rPr>
  </w:style>
  <w:style w:type="paragraph" w:customStyle="1" w:styleId="88">
    <w:name w:val="正文-ls"/>
    <w:basedOn w:val="1"/>
    <w:qFormat/>
    <w:uiPriority w:val="0"/>
    <w:pPr>
      <w:widowControl/>
      <w:spacing w:line="360" w:lineRule="auto"/>
      <w:ind w:firstLine="200" w:firstLineChars="200"/>
      <w:jc w:val="left"/>
    </w:pPr>
    <w:rPr>
      <w:rFonts w:hAnsi="宋体" w:cs="宋体"/>
      <w:sz w:val="24"/>
      <w:szCs w:val="20"/>
    </w:rPr>
  </w:style>
  <w:style w:type="paragraph" w:customStyle="1" w:styleId="89">
    <w:name w:val="表头A"/>
    <w:basedOn w:val="45"/>
    <w:qFormat/>
    <w:uiPriority w:val="0"/>
    <w:pPr>
      <w:widowControl w:val="0"/>
      <w:spacing w:line="400" w:lineRule="exact"/>
    </w:pPr>
    <w:rPr>
      <w:rFonts w:ascii="华文仿宋" w:hAnsi="华文仿宋" w:eastAsia="华文仿宋"/>
    </w:rPr>
  </w:style>
  <w:style w:type="paragraph" w:customStyle="1" w:styleId="90">
    <w:name w:val="表+五号"/>
    <w:basedOn w:val="1"/>
    <w:qFormat/>
    <w:uiPriority w:val="0"/>
    <w:rPr>
      <w:szCs w:val="28"/>
    </w:rPr>
  </w:style>
  <w:style w:type="paragraph" w:customStyle="1" w:styleId="91">
    <w:name w:val="表格内容"/>
    <w:basedOn w:val="92"/>
    <w:next w:val="1"/>
    <w:qFormat/>
    <w:uiPriority w:val="0"/>
    <w:pPr>
      <w:autoSpaceDE w:val="0"/>
      <w:autoSpaceDN w:val="0"/>
      <w:adjustRightInd w:val="0"/>
      <w:jc w:val="center"/>
      <w:textAlignment w:val="center"/>
    </w:pPr>
    <w:rPr>
      <w:kern w:val="0"/>
      <w:szCs w:val="21"/>
    </w:rPr>
  </w:style>
  <w:style w:type="paragraph" w:customStyle="1" w:styleId="92">
    <w:name w:val="正文1"/>
    <w:basedOn w:val="1"/>
    <w:next w:val="1"/>
    <w:qFormat/>
    <w:uiPriority w:val="0"/>
    <w:pPr>
      <w:spacing w:line="360" w:lineRule="auto"/>
      <w:jc w:val="left"/>
    </w:pPr>
    <w:rPr>
      <w:rFonts w:ascii="宋体" w:hAnsi="宋体"/>
      <w:color w:val="000000"/>
      <w:sz w:val="24"/>
      <w:szCs w:val="30"/>
      <w:lang w:bidi="he-IL"/>
    </w:rPr>
  </w:style>
  <w:style w:type="paragraph" w:customStyle="1" w:styleId="93">
    <w:name w:val="表格内容1"/>
    <w:basedOn w:val="1"/>
    <w:qFormat/>
    <w:uiPriority w:val="0"/>
    <w:pPr>
      <w:widowControl/>
      <w:jc w:val="center"/>
    </w:pPr>
    <w:rPr>
      <w:color w:val="000000"/>
      <w:kern w:val="0"/>
      <w:szCs w:val="21"/>
    </w:rPr>
  </w:style>
  <w:style w:type="paragraph" w:customStyle="1" w:styleId="94">
    <w:name w:val="表格文字样式14"/>
    <w:basedOn w:val="95"/>
    <w:qFormat/>
    <w:uiPriority w:val="0"/>
    <w:pPr>
      <w:overflowPunct w:val="0"/>
      <w:autoSpaceDE/>
      <w:autoSpaceDN/>
      <w:spacing w:line="240" w:lineRule="auto"/>
      <w:textAlignment w:val="auto"/>
    </w:pPr>
    <w:rPr>
      <w:rFonts w:ascii="宋体" w:hAnsi="宋体"/>
      <w:bCs/>
      <w:snapToGrid w:val="0"/>
      <w:szCs w:val="21"/>
    </w:rPr>
  </w:style>
  <w:style w:type="paragraph" w:customStyle="1" w:styleId="95">
    <w:name w:val="表格标题"/>
    <w:basedOn w:val="45"/>
    <w:next w:val="2"/>
    <w:qFormat/>
    <w:uiPriority w:val="0"/>
    <w:pPr>
      <w:autoSpaceDE w:val="0"/>
      <w:autoSpaceDN w:val="0"/>
      <w:adjustRightInd w:val="0"/>
      <w:snapToGrid w:val="0"/>
      <w:jc w:val="center"/>
      <w:textAlignment w:val="baseline"/>
    </w:pPr>
    <w:rPr>
      <w:kern w:val="0"/>
    </w:rPr>
  </w:style>
  <w:style w:type="paragraph" w:customStyle="1" w:styleId="96">
    <w:name w:val="标题四A"/>
    <w:basedOn w:val="1"/>
    <w:qFormat/>
    <w:uiPriority w:val="0"/>
    <w:pPr>
      <w:spacing w:line="500" w:lineRule="exact"/>
      <w:outlineLvl w:val="3"/>
    </w:pPr>
    <w:rPr>
      <w:b/>
      <w:kern w:val="0"/>
      <w:sz w:val="24"/>
      <w:szCs w:val="24"/>
    </w:rPr>
  </w:style>
  <w:style w:type="paragraph" w:customStyle="1" w:styleId="97">
    <w:name w:val="填表4小中单倍行距"/>
    <w:basedOn w:val="1"/>
    <w:qFormat/>
    <w:uiPriority w:val="0"/>
    <w:pPr>
      <w:widowControl/>
      <w:snapToGrid w:val="0"/>
      <w:spacing w:line="360" w:lineRule="auto"/>
      <w:ind w:firstLine="200" w:firstLineChars="200"/>
      <w:jc w:val="center"/>
    </w:pPr>
    <w:rPr>
      <w:rFonts w:ascii="宋体"/>
      <w:sz w:val="24"/>
      <w:szCs w:val="20"/>
    </w:rPr>
  </w:style>
  <w:style w:type="paragraph" w:customStyle="1" w:styleId="98">
    <w:name w:val="正文上标题F4"/>
    <w:basedOn w:val="1"/>
    <w:qFormat/>
    <w:uiPriority w:val="0"/>
    <w:pPr>
      <w:spacing w:line="360" w:lineRule="auto"/>
      <w:jc w:val="left"/>
    </w:pPr>
    <w:rPr>
      <w:b/>
      <w:sz w:val="28"/>
      <w:szCs w:val="28"/>
    </w:rPr>
  </w:style>
  <w:style w:type="paragraph" w:customStyle="1" w:styleId="99">
    <w:name w:val="我的正文"/>
    <w:basedOn w:val="1"/>
    <w:qFormat/>
    <w:uiPriority w:val="0"/>
    <w:pPr>
      <w:spacing w:line="440" w:lineRule="exact"/>
      <w:ind w:firstLine="200" w:firstLineChars="200"/>
    </w:pPr>
    <w:rPr>
      <w:rFonts w:ascii="Times New Roman" w:hAnsi="Times New Roman"/>
      <w:sz w:val="24"/>
      <w:szCs w:val="24"/>
    </w:rPr>
  </w:style>
  <w:style w:type="paragraph" w:customStyle="1" w:styleId="100">
    <w:name w:val="Other|1"/>
    <w:basedOn w:val="1"/>
    <w:qFormat/>
    <w:uiPriority w:val="0"/>
    <w:pPr>
      <w:widowControl w:val="0"/>
      <w:shd w:val="clear" w:color="auto" w:fill="auto"/>
    </w:pPr>
    <w:rPr>
      <w:rFonts w:ascii="宋体" w:hAnsi="宋体" w:eastAsia="宋体" w:cs="宋体"/>
      <w:u w:val="none"/>
      <w:shd w:val="clear" w:color="auto" w:fill="auto"/>
      <w:lang w:val="zh-TW" w:eastAsia="zh-TW" w:bidi="zh-TW"/>
    </w:rPr>
  </w:style>
  <w:style w:type="character" w:customStyle="1" w:styleId="101">
    <w:name w:val="font31"/>
    <w:basedOn w:val="37"/>
    <w:qFormat/>
    <w:uiPriority w:val="0"/>
    <w:rPr>
      <w:rFonts w:hint="default" w:ascii="Times New Roman" w:hAnsi="Times New Roman" w:cs="Times New Roman"/>
      <w:color w:val="000000"/>
      <w:sz w:val="20"/>
      <w:szCs w:val="20"/>
      <w:u w:val="none"/>
    </w:rPr>
  </w:style>
  <w:style w:type="character" w:customStyle="1" w:styleId="102">
    <w:name w:val="font21"/>
    <w:basedOn w:val="37"/>
    <w:qFormat/>
    <w:uiPriority w:val="0"/>
    <w:rPr>
      <w:rFonts w:hint="eastAsia" w:ascii="宋体" w:hAnsi="宋体" w:eastAsia="宋体" w:cs="宋体"/>
      <w:color w:val="000000"/>
      <w:sz w:val="20"/>
      <w:szCs w:val="20"/>
      <w:u w:val="none"/>
    </w:rPr>
  </w:style>
  <w:style w:type="character" w:customStyle="1" w:styleId="103">
    <w:name w:val="font41"/>
    <w:basedOn w:val="37"/>
    <w:qFormat/>
    <w:uiPriority w:val="0"/>
    <w:rPr>
      <w:rFonts w:hint="eastAsia" w:ascii="宋体" w:hAnsi="宋体" w:eastAsia="宋体" w:cs="宋体"/>
      <w:color w:val="000000"/>
      <w:sz w:val="20"/>
      <w:szCs w:val="20"/>
      <w:u w:val="none"/>
    </w:rPr>
  </w:style>
  <w:style w:type="paragraph" w:customStyle="1" w:styleId="104">
    <w:name w:val="WPSOffice手动目录 1"/>
    <w:qFormat/>
    <w:uiPriority w:val="0"/>
    <w:pPr>
      <w:ind w:leftChars="0"/>
    </w:pPr>
    <w:rPr>
      <w:rFonts w:ascii="Times New Roman" w:hAnsi="Times New Roman" w:eastAsia="宋体" w:cs="Times New Roman"/>
      <w:sz w:val="20"/>
      <w:szCs w:val="20"/>
    </w:rPr>
  </w:style>
  <w:style w:type="paragraph" w:customStyle="1" w:styleId="105">
    <w:name w:val="表格2"/>
    <w:basedOn w:val="1"/>
    <w:next w:val="1"/>
    <w:qFormat/>
    <w:uiPriority w:val="0"/>
    <w:pPr>
      <w:adjustRightInd w:val="0"/>
      <w:jc w:val="center"/>
      <w:textAlignment w:val="baseline"/>
    </w:pPr>
    <w:rPr>
      <w:spacing w:val="-8"/>
      <w:kern w:val="0"/>
      <w:szCs w:val="20"/>
    </w:rPr>
  </w:style>
  <w:style w:type="paragraph" w:customStyle="1" w:styleId="106">
    <w:name w:val="环评正文"/>
    <w:basedOn w:val="1"/>
    <w:qFormat/>
    <w:uiPriority w:val="0"/>
    <w:pPr>
      <w:autoSpaceDE w:val="0"/>
      <w:autoSpaceDN w:val="0"/>
      <w:adjustRightInd w:val="0"/>
      <w:snapToGrid w:val="0"/>
      <w:spacing w:line="360" w:lineRule="auto"/>
      <w:ind w:firstLine="200" w:firstLineChars="200"/>
    </w:pPr>
    <w:rPr>
      <w:rFonts w:cs="宋体"/>
      <w:kern w:val="0"/>
      <w:sz w:val="24"/>
      <w:szCs w:val="21"/>
    </w:rPr>
  </w:style>
  <w:style w:type="table" w:customStyle="1" w:styleId="107">
    <w:name w:val="Table Normal"/>
    <w:unhideWhenUsed/>
    <w:qFormat/>
    <w:uiPriority w:val="0"/>
    <w:tblPr>
      <w:tblLayout w:type="fixed"/>
      <w:tblCellMar>
        <w:top w:w="0" w:type="dxa"/>
        <w:left w:w="0" w:type="dxa"/>
        <w:bottom w:w="0" w:type="dxa"/>
        <w:right w:w="0" w:type="dxa"/>
      </w:tblCellMar>
    </w:tblPr>
  </w:style>
  <w:style w:type="paragraph" w:customStyle="1" w:styleId="108">
    <w:name w:val="WPSOffice手动目录 2"/>
    <w:qFormat/>
    <w:uiPriority w:val="0"/>
    <w:pPr>
      <w:ind w:leftChars="200"/>
    </w:pPr>
    <w:rPr>
      <w:rFonts w:ascii="Times New Roman" w:hAnsi="Times New Roman" w:eastAsia="宋体" w:cs="Times New Roman"/>
      <w:sz w:val="20"/>
      <w:szCs w:val="20"/>
    </w:rPr>
  </w:style>
  <w:style w:type="paragraph" w:customStyle="1" w:styleId="109">
    <w:name w:val="WPSOffice手动目录 3"/>
    <w:qFormat/>
    <w:uiPriority w:val="0"/>
    <w:pPr>
      <w:ind w:leftChars="400"/>
    </w:pPr>
    <w:rPr>
      <w:rFonts w:ascii="Times New Roman" w:hAnsi="Times New Roman" w:eastAsia="宋体" w:cs="Times New Roman"/>
      <w:sz w:val="20"/>
      <w:szCs w:val="20"/>
    </w:rPr>
  </w:style>
  <w:style w:type="paragraph" w:customStyle="1" w:styleId="110">
    <w:name w:val="★正文缩进"/>
    <w:basedOn w:val="1"/>
    <w:qFormat/>
    <w:uiPriority w:val="0"/>
    <w:pPr>
      <w:spacing w:line="360" w:lineRule="auto"/>
      <w:ind w:firstLine="420" w:firstLineChars="200"/>
    </w:pPr>
    <w:rPr>
      <w:sz w:val="24"/>
      <w:szCs w:val="24"/>
    </w:rPr>
  </w:style>
  <w:style w:type="paragraph" w:customStyle="1" w:styleId="111">
    <w:name w:val="正文 小四 行距: 1.5 倍行距"/>
    <w:basedOn w:val="1"/>
    <w:qFormat/>
    <w:uiPriority w:val="0"/>
    <w:pPr>
      <w:spacing w:line="360" w:lineRule="auto"/>
      <w:ind w:firstLine="480" w:firstLineChars="200"/>
    </w:pPr>
    <w:rPr>
      <w:rFonts w:cs="宋体"/>
      <w:sz w:val="24"/>
      <w:szCs w:val="20"/>
    </w:rPr>
  </w:style>
  <w:style w:type="character" w:customStyle="1" w:styleId="112">
    <w:name w:val="fontstyle01"/>
    <w:basedOn w:val="37"/>
    <w:qFormat/>
    <w:uiPriority w:val="0"/>
    <w:rPr>
      <w:rFonts w:hint="eastAsia" w:ascii="宋体" w:hAnsi="宋体" w:eastAsia="宋体"/>
      <w:color w:val="000000"/>
      <w:sz w:val="24"/>
      <w:szCs w:val="24"/>
    </w:rPr>
  </w:style>
  <w:style w:type="paragraph" w:customStyle="1" w:styleId="113">
    <w:name w:val="报告表正文"/>
    <w:basedOn w:val="114"/>
    <w:qFormat/>
    <w:uiPriority w:val="0"/>
    <w:pPr>
      <w:adjustRightInd w:val="0"/>
      <w:spacing w:line="360" w:lineRule="auto"/>
      <w:ind w:left="0" w:leftChars="0" w:right="0" w:firstLine="482"/>
      <w:jc w:val="both"/>
      <w:textAlignment w:val="baseline"/>
    </w:pPr>
    <w:rPr>
      <w:rFonts w:ascii="Times New Roman" w:hAnsi="Times New Roman" w:eastAsia="宋体"/>
      <w:sz w:val="21"/>
    </w:rPr>
  </w:style>
  <w:style w:type="paragraph" w:customStyle="1" w:styleId="114">
    <w:name w:val="报告正文"/>
    <w:basedOn w:val="115"/>
    <w:qFormat/>
    <w:uiPriority w:val="0"/>
    <w:pPr>
      <w:widowControl/>
      <w:spacing w:line="360" w:lineRule="auto"/>
      <w:ind w:firstLine="723" w:firstLineChars="200"/>
      <w:jc w:val="left"/>
    </w:pPr>
    <w:rPr>
      <w:rFonts w:cs="宋体"/>
      <w:kern w:val="0"/>
      <w:sz w:val="24"/>
    </w:rPr>
  </w:style>
  <w:style w:type="paragraph" w:customStyle="1" w:styleId="115">
    <w:name w:val="p17"/>
    <w:basedOn w:val="1"/>
    <w:qFormat/>
    <w:uiPriority w:val="0"/>
    <w:pPr>
      <w:widowControl/>
    </w:pPr>
    <w:rPr>
      <w:rFonts w:ascii="宋体" w:hAnsi="宋体" w:cs="宋体"/>
      <w:kern w:val="0"/>
      <w:szCs w:val="21"/>
    </w:rPr>
  </w:style>
  <w:style w:type="paragraph" w:customStyle="1" w:styleId="116">
    <w:name w:val="正文新"/>
    <w:basedOn w:val="1"/>
    <w:qFormat/>
    <w:uiPriority w:val="0"/>
    <w:pPr>
      <w:spacing w:line="460" w:lineRule="exact"/>
      <w:ind w:firstLine="480" w:firstLineChars="200"/>
    </w:pPr>
    <w:rPr>
      <w:sz w:val="24"/>
    </w:rPr>
  </w:style>
  <w:style w:type="paragraph" w:customStyle="1" w:styleId="117">
    <w:name w:val="德源报告表表格"/>
    <w:qFormat/>
    <w:uiPriority w:val="0"/>
    <w:pPr>
      <w:adjustRightInd w:val="0"/>
      <w:snapToGrid w:val="0"/>
      <w:spacing w:line="360" w:lineRule="exact"/>
      <w:jc w:val="center"/>
    </w:pPr>
    <w:rPr>
      <w:rFonts w:ascii="Times New Roman" w:hAnsi="Times New Roman" w:eastAsia="宋体" w:cs="Times New Roman"/>
      <w:snapToGrid w:val="0"/>
      <w:sz w:val="21"/>
      <w:szCs w:val="21"/>
      <w:lang w:val="en-US" w:eastAsia="zh-CN" w:bidi="ar-SA"/>
    </w:rPr>
  </w:style>
  <w:style w:type="paragraph" w:customStyle="1" w:styleId="118">
    <w:name w:val="表格正文"/>
    <w:basedOn w:val="95"/>
    <w:qFormat/>
    <w:uiPriority w:val="0"/>
    <w:pPr>
      <w:wordWrap w:val="0"/>
    </w:pPr>
  </w:style>
  <w:style w:type="character" w:customStyle="1" w:styleId="119">
    <w:name w:val="apple-style-span"/>
    <w:basedOn w:val="37"/>
    <w:qFormat/>
    <w:uiPriority w:val="0"/>
  </w:style>
  <w:style w:type="paragraph" w:customStyle="1" w:styleId="120">
    <w:name w:val="Char Char Char Char Char Char Char Char Char Char Char Char Char"/>
    <w:basedOn w:val="1"/>
    <w:qFormat/>
    <w:uiPriority w:val="0"/>
    <w:pPr>
      <w:spacing w:after="160" w:line="240" w:lineRule="exact"/>
      <w:jc w:val="left"/>
    </w:pPr>
    <w:rPr>
      <w:rFonts w:ascii="Arial" w:hAnsi="Arial" w:eastAsia="Times New Roman" w:cs="Verdana"/>
      <w:b/>
      <w:kern w:val="0"/>
      <w:sz w:val="24"/>
      <w:szCs w:val="24"/>
      <w:lang w:eastAsia="en-US"/>
    </w:rPr>
  </w:style>
  <w:style w:type="paragraph" w:customStyle="1" w:styleId="121">
    <w:name w:val="ZQL正文*"/>
    <w:basedOn w:val="1"/>
    <w:qFormat/>
    <w:uiPriority w:val="0"/>
    <w:pPr>
      <w:adjustRightInd w:val="0"/>
      <w:snapToGrid w:val="0"/>
      <w:spacing w:line="500" w:lineRule="exact"/>
      <w:ind w:firstLine="200" w:firstLineChars="200"/>
    </w:pPr>
    <w:rPr>
      <w:rFonts w:ascii="Calibri" w:hAnsi="Calibri"/>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jpe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465640-CC32-47B2-A6F7-F081B1CE50AB}">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64</Pages>
  <Words>37180</Words>
  <Characters>40321</Characters>
  <Lines>275</Lines>
  <Paragraphs>77</Paragraphs>
  <TotalTime>1</TotalTime>
  <ScaleCrop>false</ScaleCrop>
  <LinksUpToDate>false</LinksUpToDate>
  <CharactersWithSpaces>40575</CharactersWithSpaces>
  <Application>WPS Office_11.8.2.8555_F1E327BC-269C-435d-A152-05C5408002CA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2021-04-25T07:48:00Z</dcterms:created>
  <dc:creator>lhj</dc:creator>
  <cp:lastModifiedBy>一个人的精彩～</cp:lastModifiedBy>
  <cp:lastPrinted>2021-10-28T05:09:00Z</cp:lastPrinted>
  <dcterms:modified xsi:type="dcterms:W3CDTF">2023-10-03T18:32:30Z</dcterms:modified>
  <dc:title>附件2</dc:title>
  <cp:revision>315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2052-11.8.2.8555</vt:lpwstr>
  </property>
  <property fmtid="{D5CDD505-2E9C-101B-9397-08002B2CF9AE}" pid="3" name="ICV">
    <vt:lpwstr>8019F7A2A5664381B9CC4D66924D9E81</vt:lpwstr>
  </property>
  <property fmtid="{D5CDD505-2E9C-101B-9397-08002B2CF9AE}" pid="4" name="commondata">
    <vt:lpwstr>eyJoZGlkIjoiYTc2ZGZiNzZiNDVlOGViOWVmM2JhOTY0NGJkNjUyYzgifQ==</vt:lpwstr>
  </property>
</Properties>
</file>