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bookmarkStart w:id="0" w:name="_Hlk57883707"/>
    </w:p>
    <w:p>
      <w:pPr>
        <w:rPr>
          <w:rFonts w:eastAsia="仿宋_GB2312"/>
          <w:sz w:val="36"/>
          <w:szCs w:val="36"/>
        </w:rPr>
      </w:pPr>
    </w:p>
    <w:p>
      <w:pPr>
        <w:rPr>
          <w:rFonts w:eastAsia="仿宋_GB2312"/>
          <w:sz w:val="36"/>
          <w:szCs w:val="36"/>
        </w:rPr>
      </w:pPr>
    </w:p>
    <w:p>
      <w:pPr>
        <w:rPr>
          <w:rFonts w:eastAsia="仿宋_GB2312"/>
          <w:sz w:val="36"/>
          <w:szCs w:val="36"/>
        </w:rPr>
      </w:pPr>
    </w:p>
    <w:bookmarkEnd w:id="0"/>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（生态影响类）</w:t>
      </w:r>
    </w:p>
    <w:p>
      <w:pPr>
        <w:jc w:val="center"/>
        <w:rPr>
          <w:rFonts w:eastAsia="仿宋"/>
          <w:sz w:val="52"/>
          <w:szCs w:val="52"/>
        </w:rPr>
      </w:pPr>
      <w:bookmarkStart w:id="1" w:name="_Hlk57883728"/>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1"/>
    <w:p>
      <w:pPr>
        <w:adjustRightInd w:val="0"/>
        <w:snapToGrid w:val="0"/>
        <w:ind w:left="2847" w:leftChars="540" w:hanging="1713" w:hangingChars="476"/>
        <w:rPr>
          <w:rFonts w:eastAsia="仿宋_GB2312"/>
          <w:sz w:val="36"/>
          <w:szCs w:val="36"/>
          <w:u w:val="single"/>
        </w:rPr>
      </w:pPr>
      <w:r>
        <w:rPr>
          <w:rFonts w:eastAsia="仿宋_GB2312"/>
          <w:sz w:val="36"/>
          <w:szCs w:val="36"/>
        </w:rPr>
        <w:t>项目名称：</w:t>
      </w:r>
      <w:r>
        <w:rPr>
          <w:rFonts w:eastAsia="仿宋_GB2312"/>
          <w:sz w:val="36"/>
          <w:szCs w:val="36"/>
          <w:u w:val="single"/>
        </w:rPr>
        <w:t>新疆大黄山豫新煤业有限责任公司下</w:t>
      </w:r>
      <w:r>
        <w:rPr>
          <w:rFonts w:hint="eastAsia" w:eastAsia="仿宋_GB2312"/>
          <w:sz w:val="36"/>
          <w:szCs w:val="36"/>
          <w:u w:val="single"/>
        </w:rPr>
        <w:t>南泉</w:t>
      </w:r>
      <w:r>
        <w:rPr>
          <w:rFonts w:eastAsia="仿宋_GB2312"/>
          <w:sz w:val="36"/>
          <w:szCs w:val="36"/>
          <w:u w:val="single"/>
        </w:rPr>
        <w:t>铁路专用线</w:t>
      </w:r>
      <w:r>
        <w:rPr>
          <w:rFonts w:hint="eastAsia" w:eastAsia="仿宋_GB2312"/>
          <w:sz w:val="36"/>
          <w:szCs w:val="36"/>
          <w:u w:val="single"/>
        </w:rPr>
        <w:t xml:space="preserve">建设项目              </w:t>
      </w:r>
    </w:p>
    <w:p>
      <w:pPr>
        <w:adjustRightInd w:val="0"/>
        <w:snapToGrid w:val="0"/>
        <w:spacing w:line="288" w:lineRule="auto"/>
        <w:ind w:left="2847" w:leftChars="540" w:hanging="1713" w:hangingChars="476"/>
        <w:rPr>
          <w:rFonts w:eastAsia="仿宋_GB2312"/>
          <w:sz w:val="36"/>
          <w:szCs w:val="36"/>
          <w:u w:val="single"/>
        </w:rPr>
      </w:pPr>
      <w:r>
        <w:rPr>
          <w:rFonts w:eastAsia="仿宋_GB2312"/>
          <w:sz w:val="36"/>
          <w:szCs w:val="36"/>
        </w:rPr>
        <w:t>建设单位（盖章）：</w:t>
      </w:r>
      <w:r>
        <w:rPr>
          <w:rFonts w:eastAsia="仿宋_GB2312"/>
          <w:sz w:val="36"/>
          <w:szCs w:val="36"/>
          <w:u w:val="single"/>
        </w:rPr>
        <w:t>新疆大黄山豫新煤业有限责任公司</w:t>
      </w:r>
      <w:r>
        <w:rPr>
          <w:rFonts w:hint="eastAsia" w:eastAsia="仿宋_GB2312"/>
          <w:sz w:val="36"/>
          <w:szCs w:val="36"/>
          <w:u w:val="single"/>
        </w:rPr>
        <w:t xml:space="preserve">                             </w:t>
      </w:r>
    </w:p>
    <w:p>
      <w:pPr>
        <w:adjustRightInd w:val="0"/>
        <w:snapToGrid w:val="0"/>
        <w:spacing w:line="288" w:lineRule="auto"/>
        <w:ind w:left="2847" w:leftChars="540" w:hanging="1713" w:hangingChars="476"/>
        <w:rPr>
          <w:rFonts w:eastAsia="仿宋_GB2312"/>
          <w:sz w:val="36"/>
          <w:szCs w:val="36"/>
          <w:u w:val="single"/>
        </w:rPr>
      </w:pPr>
      <w:r>
        <w:rPr>
          <w:rFonts w:eastAsia="仿宋_GB2312"/>
          <w:sz w:val="36"/>
          <w:szCs w:val="36"/>
        </w:rPr>
        <w:t>编制日期：</w:t>
      </w:r>
      <w:r>
        <w:rPr>
          <w:rFonts w:eastAsia="仿宋_GB2312"/>
          <w:sz w:val="36"/>
          <w:szCs w:val="36"/>
          <w:u w:val="single"/>
        </w:rPr>
        <w:t xml:space="preserve">            2023</w:t>
      </w:r>
      <w:r>
        <w:rPr>
          <w:rFonts w:hint="eastAsia" w:eastAsia="仿宋_GB2312"/>
          <w:sz w:val="36"/>
          <w:szCs w:val="36"/>
          <w:u w:val="single"/>
        </w:rPr>
        <w:t xml:space="preserve">年7月            </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1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13"/>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4"/>
        <w:gridCol w:w="2735"/>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4" w:type="dxa"/>
            <w:tcMar>
              <w:top w:w="16" w:type="dxa"/>
              <w:left w:w="16" w:type="dxa"/>
              <w:right w:w="16" w:type="dxa"/>
            </w:tcMar>
            <w:vAlign w:val="center"/>
          </w:tcPr>
          <w:p>
            <w:pPr>
              <w:adjustRightInd w:val="0"/>
              <w:snapToGrid w:val="0"/>
              <w:jc w:val="center"/>
              <w:rPr>
                <w:szCs w:val="21"/>
              </w:rPr>
            </w:pPr>
            <w:r>
              <w:rPr>
                <w:szCs w:val="21"/>
              </w:rPr>
              <w:t>建设项目名称</w:t>
            </w:r>
          </w:p>
        </w:tc>
        <w:tc>
          <w:tcPr>
            <w:tcW w:w="7505" w:type="dxa"/>
            <w:gridSpan w:val="4"/>
            <w:vAlign w:val="center"/>
          </w:tcPr>
          <w:p>
            <w:pPr>
              <w:adjustRightInd w:val="0"/>
              <w:snapToGrid w:val="0"/>
              <w:jc w:val="center"/>
              <w:rPr>
                <w:szCs w:val="21"/>
              </w:rPr>
            </w:pPr>
            <w:r>
              <w:rPr>
                <w:szCs w:val="21"/>
              </w:rPr>
              <w:t>新疆大黄山豫新煤业有限责任公司下南泉铁路专用线</w:t>
            </w:r>
            <w:r>
              <w:rPr>
                <w:rFonts w:hint="eastAsia"/>
                <w:szCs w:val="21"/>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4" w:type="dxa"/>
            <w:tcMar>
              <w:top w:w="16" w:type="dxa"/>
              <w:left w:w="16" w:type="dxa"/>
              <w:right w:w="16" w:type="dxa"/>
            </w:tcMar>
            <w:vAlign w:val="center"/>
          </w:tcPr>
          <w:p>
            <w:pPr>
              <w:adjustRightInd w:val="0"/>
              <w:snapToGrid w:val="0"/>
              <w:jc w:val="center"/>
              <w:rPr>
                <w:szCs w:val="21"/>
              </w:rPr>
            </w:pPr>
            <w:r>
              <w:rPr>
                <w:szCs w:val="21"/>
              </w:rPr>
              <w:t>项目代码</w:t>
            </w:r>
          </w:p>
        </w:tc>
        <w:tc>
          <w:tcPr>
            <w:tcW w:w="7505" w:type="dxa"/>
            <w:gridSpan w:val="4"/>
            <w:vAlign w:val="center"/>
          </w:tcPr>
          <w:p>
            <w:pPr>
              <w:adjustRightInd w:val="0"/>
              <w:snapToGrid w:val="0"/>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4" w:type="dxa"/>
            <w:tcMar>
              <w:top w:w="16" w:type="dxa"/>
              <w:left w:w="16" w:type="dxa"/>
              <w:right w:w="16" w:type="dxa"/>
            </w:tcMar>
            <w:vAlign w:val="center"/>
          </w:tcPr>
          <w:p>
            <w:pPr>
              <w:adjustRightInd w:val="0"/>
              <w:snapToGrid w:val="0"/>
              <w:jc w:val="center"/>
              <w:rPr>
                <w:szCs w:val="21"/>
              </w:rPr>
            </w:pPr>
            <w:r>
              <w:rPr>
                <w:szCs w:val="21"/>
              </w:rPr>
              <w:t>建设单位联系人</w:t>
            </w:r>
          </w:p>
        </w:tc>
        <w:tc>
          <w:tcPr>
            <w:tcW w:w="2735" w:type="dxa"/>
            <w:vAlign w:val="center"/>
          </w:tcPr>
          <w:p>
            <w:pPr>
              <w:adjustRightInd w:val="0"/>
              <w:snapToGrid w:val="0"/>
              <w:jc w:val="center"/>
              <w:rPr>
                <w:rFonts w:hint="eastAsia" w:eastAsia="宋体"/>
                <w:szCs w:val="21"/>
                <w:lang w:val="en-US" w:eastAsia="zh-CN"/>
              </w:rPr>
            </w:pPr>
            <w:r>
              <w:rPr>
                <w:rFonts w:hint="eastAsia"/>
                <w:szCs w:val="21"/>
              </w:rPr>
              <w:t>游</w:t>
            </w:r>
            <w:r>
              <w:rPr>
                <w:rFonts w:hint="eastAsia"/>
                <w:szCs w:val="21"/>
                <w:lang w:val="en-US" w:eastAsia="zh-CN"/>
              </w:rPr>
              <w:t>*</w:t>
            </w:r>
          </w:p>
        </w:tc>
        <w:tc>
          <w:tcPr>
            <w:tcW w:w="2228" w:type="dxa"/>
            <w:gridSpan w:val="2"/>
            <w:vAlign w:val="center"/>
          </w:tcPr>
          <w:p>
            <w:pPr>
              <w:adjustRightInd w:val="0"/>
              <w:snapToGrid w:val="0"/>
              <w:jc w:val="center"/>
              <w:rPr>
                <w:szCs w:val="21"/>
              </w:rPr>
            </w:pPr>
            <w:r>
              <w:rPr>
                <w:szCs w:val="21"/>
              </w:rPr>
              <w:t>联系方式</w:t>
            </w:r>
          </w:p>
        </w:tc>
        <w:tc>
          <w:tcPr>
            <w:tcW w:w="2542" w:type="dxa"/>
            <w:vAlign w:val="center"/>
          </w:tcPr>
          <w:p>
            <w:pPr>
              <w:adjustRightInd w:val="0"/>
              <w:snapToGrid w:val="0"/>
              <w:jc w:val="center"/>
              <w:rPr>
                <w:szCs w:val="21"/>
              </w:rPr>
            </w:pPr>
            <w:r>
              <w:rPr>
                <w:rFonts w:hint="eastAsia"/>
                <w:szCs w:val="21"/>
              </w:rPr>
              <w:t>138</w:t>
            </w:r>
            <w:r>
              <w:rPr>
                <w:rFonts w:hint="eastAsia"/>
                <w:szCs w:val="21"/>
                <w:lang w:val="en-US" w:eastAsia="zh-CN"/>
              </w:rPr>
              <w:t>****</w:t>
            </w:r>
            <w:r>
              <w:rPr>
                <w:szCs w:val="21"/>
              </w:rPr>
              <w:t>6940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4" w:type="dxa"/>
            <w:tcMar>
              <w:top w:w="16" w:type="dxa"/>
              <w:left w:w="16" w:type="dxa"/>
              <w:right w:w="16" w:type="dxa"/>
            </w:tcMar>
            <w:vAlign w:val="center"/>
          </w:tcPr>
          <w:p>
            <w:pPr>
              <w:adjustRightInd w:val="0"/>
              <w:snapToGrid w:val="0"/>
              <w:jc w:val="center"/>
              <w:rPr>
                <w:szCs w:val="21"/>
              </w:rPr>
            </w:pPr>
            <w:r>
              <w:rPr>
                <w:szCs w:val="21"/>
              </w:rPr>
              <w:t>建设地点</w:t>
            </w:r>
          </w:p>
        </w:tc>
        <w:tc>
          <w:tcPr>
            <w:tcW w:w="7505" w:type="dxa"/>
            <w:gridSpan w:val="4"/>
            <w:vAlign w:val="center"/>
          </w:tcPr>
          <w:p>
            <w:pPr>
              <w:adjustRightInd w:val="0"/>
              <w:snapToGrid w:val="0"/>
              <w:jc w:val="center"/>
              <w:rPr>
                <w:szCs w:val="21"/>
              </w:rPr>
            </w:pPr>
            <w:r>
              <w:rPr>
                <w:rFonts w:hint="eastAsia"/>
                <w:szCs w:val="21"/>
              </w:rPr>
              <w:t>新疆维吾尔自治区昌吉州阜康市下南泉站</w:t>
            </w:r>
            <w:r>
              <w:rPr>
                <w:szCs w:val="21"/>
              </w:rPr>
              <w:t>西北侧约3.0km处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4" w:type="dxa"/>
            <w:tcMar>
              <w:top w:w="16" w:type="dxa"/>
              <w:left w:w="16" w:type="dxa"/>
              <w:right w:w="16" w:type="dxa"/>
            </w:tcMar>
            <w:vAlign w:val="center"/>
          </w:tcPr>
          <w:p>
            <w:pPr>
              <w:adjustRightInd w:val="0"/>
              <w:snapToGrid w:val="0"/>
              <w:jc w:val="center"/>
              <w:rPr>
                <w:szCs w:val="21"/>
              </w:rPr>
            </w:pPr>
            <w:r>
              <w:rPr>
                <w:szCs w:val="21"/>
              </w:rPr>
              <w:t>地理坐标</w:t>
            </w:r>
          </w:p>
        </w:tc>
        <w:tc>
          <w:tcPr>
            <w:tcW w:w="7505" w:type="dxa"/>
            <w:gridSpan w:val="4"/>
            <w:vAlign w:val="center"/>
          </w:tcPr>
          <w:p>
            <w:pPr>
              <w:adjustRightInd w:val="0"/>
              <w:snapToGrid w:val="0"/>
              <w:jc w:val="center"/>
              <w:rPr>
                <w:szCs w:val="21"/>
              </w:rPr>
            </w:pPr>
            <w:r>
              <w:rPr>
                <w:rFonts w:hint="eastAsia"/>
                <w:bCs/>
                <w:spacing w:val="10"/>
                <w:szCs w:val="21"/>
              </w:rPr>
              <w:t>起点</w:t>
            </w:r>
            <w:r>
              <w:t>88°25′15.430″E，44°9′24.280″N</w:t>
            </w:r>
            <w:r>
              <w:rPr>
                <w:rFonts w:hint="eastAsia"/>
              </w:rPr>
              <w:t>，终点</w:t>
            </w:r>
            <w:r>
              <w:t>88°21′55.360″E，44°9′30.250″N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34" w:type="dxa"/>
            <w:tcMar>
              <w:top w:w="16" w:type="dxa"/>
              <w:left w:w="16" w:type="dxa"/>
              <w:right w:w="16" w:type="dxa"/>
            </w:tcMar>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行业类别</w:t>
            </w:r>
          </w:p>
        </w:tc>
        <w:tc>
          <w:tcPr>
            <w:tcW w:w="2735" w:type="dxa"/>
            <w:vAlign w:val="center"/>
          </w:tcPr>
          <w:p>
            <w:pPr>
              <w:adjustRightInd w:val="0"/>
              <w:snapToGrid w:val="0"/>
              <w:jc w:val="center"/>
              <w:rPr>
                <w:szCs w:val="21"/>
              </w:rPr>
            </w:pPr>
            <w:r>
              <w:rPr>
                <w:szCs w:val="21"/>
              </w:rPr>
              <w:t>五十二、交通运输业、管道运输业132新建、增建铁路30公里及以下铁路联络线和30</w:t>
            </w:r>
          </w:p>
          <w:p>
            <w:pPr>
              <w:adjustRightInd w:val="0"/>
              <w:snapToGrid w:val="0"/>
              <w:jc w:val="center"/>
              <w:rPr>
                <w:szCs w:val="21"/>
              </w:rPr>
            </w:pPr>
            <w:r>
              <w:rPr>
                <w:szCs w:val="21"/>
              </w:rPr>
              <w:t>公里及以下铁路专用线</w:t>
            </w:r>
          </w:p>
        </w:tc>
        <w:tc>
          <w:tcPr>
            <w:tcW w:w="2218" w:type="dxa"/>
            <w:vAlign w:val="center"/>
          </w:tcPr>
          <w:p>
            <w:pPr>
              <w:adjustRightInd w:val="0"/>
              <w:snapToGrid w:val="0"/>
              <w:jc w:val="center"/>
              <w:rPr>
                <w:szCs w:val="21"/>
              </w:rPr>
            </w:pPr>
            <w:r>
              <w:rPr>
                <w:szCs w:val="21"/>
              </w:rPr>
              <w:t>用地（用海）面积（m</w:t>
            </w:r>
            <w:r>
              <w:rPr>
                <w:szCs w:val="21"/>
                <w:vertAlign w:val="superscript"/>
              </w:rPr>
              <w:t>2</w:t>
            </w:r>
            <w:r>
              <w:rPr>
                <w:szCs w:val="21"/>
              </w:rPr>
              <w:t>）/长度（km）</w:t>
            </w:r>
          </w:p>
        </w:tc>
        <w:tc>
          <w:tcPr>
            <w:tcW w:w="2552" w:type="dxa"/>
            <w:gridSpan w:val="2"/>
            <w:vAlign w:val="center"/>
          </w:tcPr>
          <w:p>
            <w:pPr>
              <w:adjustRightInd w:val="0"/>
              <w:snapToGrid w:val="0"/>
              <w:jc w:val="center"/>
              <w:rPr>
                <w:szCs w:val="21"/>
              </w:rPr>
            </w:pPr>
            <w:r>
              <w:rPr>
                <w:szCs w:val="21"/>
              </w:rPr>
              <w:t>3.160km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34" w:type="dxa"/>
            <w:tcMar>
              <w:top w:w="16" w:type="dxa"/>
              <w:left w:w="16" w:type="dxa"/>
              <w:right w:w="16" w:type="dxa"/>
            </w:tcMar>
            <w:vAlign w:val="center"/>
          </w:tcPr>
          <w:p>
            <w:pPr>
              <w:adjustRightInd w:val="0"/>
              <w:snapToGrid w:val="0"/>
              <w:jc w:val="center"/>
              <w:rPr>
                <w:szCs w:val="21"/>
              </w:rPr>
            </w:pPr>
            <w:r>
              <w:rPr>
                <w:szCs w:val="21"/>
              </w:rPr>
              <w:t>建设性质</w:t>
            </w:r>
          </w:p>
        </w:tc>
        <w:tc>
          <w:tcPr>
            <w:tcW w:w="2735" w:type="dxa"/>
            <w:vAlign w:val="center"/>
          </w:tcPr>
          <w:p>
            <w:pPr>
              <w:adjustRightInd w:val="0"/>
              <w:snapToGrid w:val="0"/>
              <w:jc w:val="left"/>
              <w:rPr>
                <w:szCs w:val="21"/>
              </w:rPr>
            </w:pPr>
            <w:r>
              <w:rPr>
                <w:szCs w:val="21"/>
              </w:rPr>
              <w:sym w:font="Wingdings 2" w:char="F052"/>
            </w:r>
            <w:r>
              <w:rPr>
                <w:szCs w:val="21"/>
              </w:rPr>
              <w:t>新建（迁建）</w:t>
            </w:r>
          </w:p>
          <w:p>
            <w:pPr>
              <w:adjustRightInd w:val="0"/>
              <w:snapToGrid w:val="0"/>
              <w:jc w:val="left"/>
              <w:rPr>
                <w:szCs w:val="21"/>
              </w:rPr>
            </w:pPr>
            <w:r>
              <w:rPr>
                <w:szCs w:val="21"/>
              </w:rPr>
              <w:sym w:font="Wingdings 2" w:char="F0A3"/>
            </w:r>
            <w:r>
              <w:rPr>
                <w:szCs w:val="21"/>
              </w:rPr>
              <w:t>改建</w:t>
            </w:r>
          </w:p>
          <w:p>
            <w:pPr>
              <w:adjustRightInd w:val="0"/>
              <w:snapToGrid w:val="0"/>
              <w:jc w:val="left"/>
              <w:rPr>
                <w:szCs w:val="21"/>
              </w:rPr>
            </w:pPr>
            <w:r>
              <w:rPr>
                <w:szCs w:val="21"/>
              </w:rPr>
              <w:sym w:font="Wingdings 2" w:char="F0A3"/>
            </w:r>
            <w:r>
              <w:rPr>
                <w:szCs w:val="21"/>
              </w:rPr>
              <w:t>扩建</w:t>
            </w:r>
          </w:p>
          <w:p>
            <w:pPr>
              <w:adjustRightInd w:val="0"/>
              <w:snapToGrid w:val="0"/>
              <w:jc w:val="left"/>
              <w:rPr>
                <w:szCs w:val="21"/>
              </w:rPr>
            </w:pPr>
            <w:r>
              <w:rPr>
                <w:szCs w:val="21"/>
              </w:rPr>
              <w:sym w:font="Wingdings 2" w:char="F0A3"/>
            </w:r>
            <w:r>
              <w:rPr>
                <w:szCs w:val="21"/>
              </w:rPr>
              <w:t>技术改造</w:t>
            </w:r>
          </w:p>
        </w:tc>
        <w:tc>
          <w:tcPr>
            <w:tcW w:w="2218"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552" w:type="dxa"/>
            <w:gridSpan w:val="2"/>
            <w:vAlign w:val="center"/>
          </w:tcPr>
          <w:p>
            <w:pPr>
              <w:adjustRightInd w:val="0"/>
              <w:snapToGrid w:val="0"/>
              <w:jc w:val="left"/>
              <w:rPr>
                <w:szCs w:val="21"/>
              </w:rPr>
            </w:pPr>
            <w:r>
              <w:rPr>
                <w:szCs w:val="21"/>
              </w:rPr>
              <w:sym w:font="Wingdings 2" w:char="F052"/>
            </w:r>
            <w:r>
              <w:rPr>
                <w:szCs w:val="21"/>
              </w:rPr>
              <w:t>首次申报项目</w:t>
            </w:r>
          </w:p>
          <w:p>
            <w:pPr>
              <w:adjustRightInd w:val="0"/>
              <w:snapToGrid w:val="0"/>
              <w:jc w:val="left"/>
              <w:rPr>
                <w:szCs w:val="21"/>
              </w:rPr>
            </w:pPr>
            <w:r>
              <w:rPr>
                <w:szCs w:val="21"/>
              </w:rPr>
              <w:sym w:font="Wingdings 2" w:char="F0A3"/>
            </w:r>
            <w:r>
              <w:rPr>
                <w:szCs w:val="21"/>
              </w:rPr>
              <w:t>不予批准后再次申报项目</w:t>
            </w:r>
          </w:p>
          <w:p>
            <w:pPr>
              <w:adjustRightInd w:val="0"/>
              <w:snapToGrid w:val="0"/>
              <w:jc w:val="left"/>
              <w:rPr>
                <w:szCs w:val="21"/>
              </w:rPr>
            </w:pPr>
            <w:r>
              <w:rPr>
                <w:szCs w:val="21"/>
              </w:rPr>
              <w:sym w:font="Wingdings 2" w:char="F0A3"/>
            </w:r>
            <w:r>
              <w:rPr>
                <w:szCs w:val="21"/>
              </w:rPr>
              <w:t>超五年重新审核项目</w:t>
            </w:r>
          </w:p>
          <w:p>
            <w:pPr>
              <w:adjustRightInd w:val="0"/>
              <w:snapToGrid w:val="0"/>
              <w:rPr>
                <w:szCs w:val="21"/>
              </w:rPr>
            </w:pPr>
            <w:r>
              <w:rPr>
                <w:szCs w:val="21"/>
              </w:rPr>
              <w:sym w:font="Wingdings 2" w:char="F0A3"/>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34"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2735" w:type="dxa"/>
            <w:vAlign w:val="center"/>
          </w:tcPr>
          <w:p>
            <w:pPr>
              <w:adjustRightInd w:val="0"/>
              <w:snapToGrid w:val="0"/>
              <w:jc w:val="center"/>
              <w:rPr>
                <w:szCs w:val="21"/>
              </w:rPr>
            </w:pPr>
            <w:r>
              <w:rPr>
                <w:rFonts w:hint="eastAsia"/>
                <w:szCs w:val="21"/>
              </w:rPr>
              <w:t>无</w:t>
            </w:r>
          </w:p>
        </w:tc>
        <w:tc>
          <w:tcPr>
            <w:tcW w:w="2218" w:type="dxa"/>
            <w:vAlign w:val="center"/>
          </w:tcPr>
          <w:p>
            <w:pPr>
              <w:adjustRightInd w:val="0"/>
              <w:snapToGrid w:val="0"/>
              <w:jc w:val="center"/>
              <w:rPr>
                <w:szCs w:val="21"/>
              </w:rPr>
            </w:pPr>
            <w:r>
              <w:rPr>
                <w:szCs w:val="21"/>
              </w:rPr>
              <w:t>项目审批（核准备案）文号（选填）</w:t>
            </w:r>
          </w:p>
        </w:tc>
        <w:tc>
          <w:tcPr>
            <w:tcW w:w="2552" w:type="dxa"/>
            <w:gridSpan w:val="2"/>
            <w:vAlign w:val="center"/>
          </w:tcPr>
          <w:p>
            <w:pPr>
              <w:adjustRightInd w:val="0"/>
              <w:snapToGrid w:val="0"/>
              <w:jc w:val="center"/>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534" w:type="dxa"/>
            <w:tcMar>
              <w:top w:w="16" w:type="dxa"/>
              <w:left w:w="16" w:type="dxa"/>
              <w:right w:w="16" w:type="dxa"/>
            </w:tcMar>
            <w:vAlign w:val="center"/>
          </w:tcPr>
          <w:p>
            <w:pPr>
              <w:adjustRightInd w:val="0"/>
              <w:snapToGrid w:val="0"/>
              <w:jc w:val="center"/>
              <w:rPr>
                <w:szCs w:val="21"/>
              </w:rPr>
            </w:pPr>
            <w:r>
              <w:rPr>
                <w:szCs w:val="21"/>
              </w:rPr>
              <w:t>总投资（万元）</w:t>
            </w:r>
          </w:p>
        </w:tc>
        <w:tc>
          <w:tcPr>
            <w:tcW w:w="2735" w:type="dxa"/>
            <w:vAlign w:val="center"/>
          </w:tcPr>
          <w:p>
            <w:pPr>
              <w:adjustRightInd w:val="0"/>
              <w:snapToGrid w:val="0"/>
              <w:jc w:val="center"/>
              <w:rPr>
                <w:szCs w:val="21"/>
              </w:rPr>
            </w:pPr>
            <w:r>
              <w:rPr>
                <w:rFonts w:hint="eastAsia"/>
                <w:szCs w:val="21"/>
              </w:rPr>
              <w:t>25817.9</w:t>
            </w:r>
          </w:p>
        </w:tc>
        <w:tc>
          <w:tcPr>
            <w:tcW w:w="2218" w:type="dxa"/>
            <w:tcMar>
              <w:top w:w="16" w:type="dxa"/>
              <w:left w:w="16" w:type="dxa"/>
              <w:right w:w="16" w:type="dxa"/>
            </w:tcMar>
            <w:vAlign w:val="center"/>
          </w:tcPr>
          <w:p>
            <w:pPr>
              <w:adjustRightInd w:val="0"/>
              <w:snapToGrid w:val="0"/>
              <w:jc w:val="center"/>
              <w:rPr>
                <w:szCs w:val="21"/>
              </w:rPr>
            </w:pPr>
            <w:r>
              <w:rPr>
                <w:szCs w:val="21"/>
              </w:rPr>
              <w:t>环保投资（万元）</w:t>
            </w:r>
          </w:p>
        </w:tc>
        <w:tc>
          <w:tcPr>
            <w:tcW w:w="2552" w:type="dxa"/>
            <w:gridSpan w:val="2"/>
            <w:vAlign w:val="center"/>
          </w:tcPr>
          <w:p>
            <w:pPr>
              <w:adjustRightInd w:val="0"/>
              <w:snapToGrid w:val="0"/>
              <w:jc w:val="center"/>
              <w:rPr>
                <w:szCs w:val="21"/>
              </w:rPr>
            </w:pPr>
            <w:r>
              <w:rPr>
                <w:rFonts w:hint="eastAsia"/>
                <w:szCs w:val="21"/>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34" w:type="dxa"/>
            <w:tcMar>
              <w:top w:w="16" w:type="dxa"/>
              <w:left w:w="16" w:type="dxa"/>
              <w:right w:w="16" w:type="dxa"/>
            </w:tcMar>
            <w:vAlign w:val="center"/>
          </w:tcPr>
          <w:p>
            <w:pPr>
              <w:adjustRightInd w:val="0"/>
              <w:snapToGrid w:val="0"/>
              <w:jc w:val="center"/>
              <w:rPr>
                <w:szCs w:val="21"/>
              </w:rPr>
            </w:pPr>
            <w:r>
              <w:rPr>
                <w:szCs w:val="21"/>
              </w:rPr>
              <w:t>环保投资占比（%）</w:t>
            </w:r>
          </w:p>
        </w:tc>
        <w:tc>
          <w:tcPr>
            <w:tcW w:w="2735" w:type="dxa"/>
            <w:vAlign w:val="center"/>
          </w:tcPr>
          <w:p>
            <w:pPr>
              <w:adjustRightInd w:val="0"/>
              <w:snapToGrid w:val="0"/>
              <w:jc w:val="center"/>
              <w:rPr>
                <w:szCs w:val="21"/>
              </w:rPr>
            </w:pPr>
            <w:r>
              <w:rPr>
                <w:rFonts w:hint="eastAsia"/>
                <w:szCs w:val="21"/>
              </w:rPr>
              <w:t>0.64%</w:t>
            </w:r>
          </w:p>
        </w:tc>
        <w:tc>
          <w:tcPr>
            <w:tcW w:w="2218" w:type="dxa"/>
            <w:tcMar>
              <w:top w:w="16" w:type="dxa"/>
              <w:left w:w="16" w:type="dxa"/>
              <w:right w:w="16" w:type="dxa"/>
            </w:tcMar>
            <w:vAlign w:val="center"/>
          </w:tcPr>
          <w:p>
            <w:pPr>
              <w:adjustRightInd w:val="0"/>
              <w:snapToGrid w:val="0"/>
              <w:jc w:val="center"/>
              <w:rPr>
                <w:szCs w:val="21"/>
              </w:rPr>
            </w:pPr>
            <w:r>
              <w:rPr>
                <w:szCs w:val="21"/>
              </w:rPr>
              <w:t>施工工期</w:t>
            </w:r>
          </w:p>
        </w:tc>
        <w:tc>
          <w:tcPr>
            <w:tcW w:w="2552" w:type="dxa"/>
            <w:gridSpan w:val="2"/>
            <w:vAlign w:val="center"/>
          </w:tcPr>
          <w:p>
            <w:pPr>
              <w:adjustRightInd w:val="0"/>
              <w:snapToGrid w:val="0"/>
              <w:jc w:val="center"/>
              <w:rPr>
                <w:szCs w:val="21"/>
              </w:rPr>
            </w:pPr>
            <w:r>
              <w:rPr>
                <w:rFonts w:hint="eastAsia"/>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4" w:type="dxa"/>
            <w:tcMar>
              <w:top w:w="16" w:type="dxa"/>
              <w:left w:w="16" w:type="dxa"/>
              <w:right w:w="16" w:type="dxa"/>
            </w:tcMar>
            <w:vAlign w:val="center"/>
          </w:tcPr>
          <w:p>
            <w:pPr>
              <w:adjustRightInd w:val="0"/>
              <w:snapToGrid w:val="0"/>
              <w:jc w:val="center"/>
              <w:rPr>
                <w:szCs w:val="21"/>
              </w:rPr>
            </w:pPr>
            <w:r>
              <w:rPr>
                <w:szCs w:val="21"/>
              </w:rPr>
              <w:t>是否开工建设</w:t>
            </w:r>
          </w:p>
        </w:tc>
        <w:tc>
          <w:tcPr>
            <w:tcW w:w="7505" w:type="dxa"/>
            <w:gridSpan w:val="4"/>
            <w:vAlign w:val="center"/>
          </w:tcPr>
          <w:p>
            <w:pPr>
              <w:adjustRightInd w:val="0"/>
              <w:snapToGrid w:val="0"/>
              <w:ind w:firstLine="105"/>
              <w:jc w:val="left"/>
              <w:rPr>
                <w:szCs w:val="21"/>
              </w:rPr>
            </w:pPr>
            <w:r>
              <w:rPr>
                <w:szCs w:val="21"/>
              </w:rPr>
              <w:sym w:font="Wingdings 2" w:char="F052"/>
            </w:r>
            <w:r>
              <w:rPr>
                <w:szCs w:val="21"/>
              </w:rPr>
              <w:t>否</w:t>
            </w:r>
          </w:p>
          <w:p>
            <w:pPr>
              <w:adjustRightInd w:val="0"/>
              <w:snapToGrid w:val="0"/>
              <w:ind w:firstLine="92"/>
              <w:jc w:val="left"/>
              <w:rPr>
                <w:szCs w:val="21"/>
              </w:rPr>
            </w:pPr>
            <w:r>
              <w:rPr>
                <w:szCs w:val="21"/>
              </w:rPr>
              <w:sym w:font="Wingdings 2" w:char="F0A3"/>
            </w:r>
            <w:r>
              <w:rPr>
                <w:szCs w:val="21"/>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专项评价设置情况</w:t>
            </w:r>
          </w:p>
        </w:tc>
        <w:tc>
          <w:tcPr>
            <w:tcW w:w="7505"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4" w:type="dxa"/>
            <w:tcMar>
              <w:top w:w="16" w:type="dxa"/>
              <w:left w:w="16" w:type="dxa"/>
              <w:right w:w="16" w:type="dxa"/>
            </w:tcMar>
            <w:vAlign w:val="center"/>
          </w:tcPr>
          <w:p>
            <w:pPr>
              <w:autoSpaceDE w:val="0"/>
              <w:autoSpaceDN w:val="0"/>
              <w:adjustRightInd w:val="0"/>
              <w:snapToGrid w:val="0"/>
              <w:jc w:val="center"/>
              <w:rPr>
                <w:kern w:val="0"/>
                <w:szCs w:val="21"/>
              </w:rPr>
            </w:pPr>
            <w:r>
              <w:rPr>
                <w:szCs w:val="21"/>
              </w:rPr>
              <w:t>规划情况</w:t>
            </w:r>
          </w:p>
        </w:tc>
        <w:tc>
          <w:tcPr>
            <w:tcW w:w="7505"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4" w:type="dxa"/>
            <w:tcMar>
              <w:top w:w="16" w:type="dxa"/>
              <w:left w:w="16" w:type="dxa"/>
              <w:right w:w="16" w:type="dxa"/>
            </w:tcMar>
            <w:vAlign w:val="center"/>
          </w:tcPr>
          <w:p>
            <w:pPr>
              <w:autoSpaceDE w:val="0"/>
              <w:autoSpaceDN w:val="0"/>
              <w:adjustRightInd w:val="0"/>
              <w:snapToGrid w:val="0"/>
              <w:jc w:val="center"/>
              <w:rPr>
                <w:szCs w:val="21"/>
              </w:rPr>
            </w:pPr>
            <w:r>
              <w:rPr>
                <w:szCs w:val="21"/>
              </w:rPr>
              <w:t>规划环境影响</w:t>
            </w:r>
          </w:p>
          <w:p>
            <w:pPr>
              <w:autoSpaceDE w:val="0"/>
              <w:autoSpaceDN w:val="0"/>
              <w:adjustRightInd w:val="0"/>
              <w:snapToGrid w:val="0"/>
              <w:jc w:val="center"/>
              <w:rPr>
                <w:kern w:val="0"/>
                <w:szCs w:val="21"/>
              </w:rPr>
            </w:pPr>
            <w:r>
              <w:rPr>
                <w:szCs w:val="21"/>
              </w:rPr>
              <w:t>评价情况</w:t>
            </w:r>
          </w:p>
        </w:tc>
        <w:tc>
          <w:tcPr>
            <w:tcW w:w="7505"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534" w:type="dxa"/>
            <w:tcMar>
              <w:top w:w="16" w:type="dxa"/>
              <w:left w:w="16" w:type="dxa"/>
              <w:right w:w="16" w:type="dxa"/>
            </w:tcMar>
            <w:vAlign w:val="center"/>
          </w:tcPr>
          <w:p>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7505"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534" w:type="dxa"/>
            <w:tcMar>
              <w:top w:w="16" w:type="dxa"/>
              <w:left w:w="16" w:type="dxa"/>
              <w:right w:w="16" w:type="dxa"/>
            </w:tcMar>
            <w:vAlign w:val="center"/>
          </w:tcPr>
          <w:p>
            <w:pPr>
              <w:autoSpaceDE w:val="0"/>
              <w:autoSpaceDN w:val="0"/>
              <w:adjustRightInd w:val="0"/>
              <w:snapToGrid w:val="0"/>
              <w:jc w:val="center"/>
              <w:rPr>
                <w:kern w:val="0"/>
                <w:szCs w:val="21"/>
              </w:rPr>
            </w:pPr>
            <w:bookmarkStart w:id="2" w:name="_Hlk56690880"/>
            <w:r>
              <w:rPr>
                <w:kern w:val="0"/>
                <w:szCs w:val="21"/>
              </w:rPr>
              <w:t>其他符合性分析</w:t>
            </w:r>
            <w:bookmarkEnd w:id="2"/>
          </w:p>
        </w:tc>
        <w:tc>
          <w:tcPr>
            <w:tcW w:w="7505" w:type="dxa"/>
            <w:gridSpan w:val="4"/>
            <w:tcMar>
              <w:top w:w="16" w:type="dxa"/>
              <w:left w:w="16" w:type="dxa"/>
              <w:right w:w="16" w:type="dxa"/>
            </w:tcMar>
            <w:vAlign w:val="center"/>
          </w:tcPr>
          <w:p>
            <w:pPr>
              <w:autoSpaceDE w:val="0"/>
              <w:autoSpaceDN w:val="0"/>
              <w:adjustRightInd w:val="0"/>
              <w:spacing w:line="408" w:lineRule="auto"/>
              <w:ind w:firstLine="522" w:firstLineChars="200"/>
              <w:jc w:val="left"/>
              <w:rPr>
                <w:b/>
                <w:bCs/>
                <w:spacing w:val="10"/>
                <w:sz w:val="24"/>
                <w:szCs w:val="21"/>
              </w:rPr>
            </w:pPr>
            <w:r>
              <w:rPr>
                <w:b/>
                <w:bCs/>
                <w:spacing w:val="10"/>
                <w:sz w:val="24"/>
                <w:szCs w:val="21"/>
              </w:rPr>
              <w:t>1、产业政策符合性分析</w:t>
            </w:r>
          </w:p>
          <w:p>
            <w:pPr>
              <w:autoSpaceDE w:val="0"/>
              <w:autoSpaceDN w:val="0"/>
              <w:adjustRightInd w:val="0"/>
              <w:spacing w:line="408" w:lineRule="auto"/>
              <w:ind w:firstLine="520" w:firstLineChars="200"/>
              <w:jc w:val="left"/>
              <w:rPr>
                <w:bCs/>
                <w:spacing w:val="10"/>
                <w:sz w:val="24"/>
                <w:szCs w:val="21"/>
              </w:rPr>
            </w:pPr>
            <w:r>
              <w:rPr>
                <w:bCs/>
                <w:spacing w:val="10"/>
                <w:sz w:val="24"/>
                <w:szCs w:val="21"/>
              </w:rPr>
              <w:t>根据《产业结构调整指导目录》（2021年本），本项目属于</w:t>
            </w:r>
          </w:p>
          <w:p>
            <w:pPr>
              <w:autoSpaceDE w:val="0"/>
              <w:autoSpaceDN w:val="0"/>
              <w:adjustRightInd w:val="0"/>
              <w:spacing w:line="408" w:lineRule="auto"/>
              <w:ind w:firstLine="200"/>
              <w:jc w:val="left"/>
              <w:rPr>
                <w:bCs/>
                <w:spacing w:val="10"/>
                <w:sz w:val="24"/>
                <w:szCs w:val="21"/>
              </w:rPr>
            </w:pPr>
            <w:r>
              <w:rPr>
                <w:bCs/>
                <w:spacing w:val="10"/>
                <w:sz w:val="24"/>
                <w:szCs w:val="21"/>
              </w:rPr>
              <w:t>鼓励类（二十三“铁路”中第2条“既有铁路改扩建及铁路专用线建设”）。</w:t>
            </w:r>
            <w:r>
              <w:rPr>
                <w:rFonts w:hint="eastAsia"/>
                <w:bCs/>
                <w:spacing w:val="10"/>
                <w:sz w:val="24"/>
                <w:szCs w:val="21"/>
              </w:rPr>
              <w:t>能够加快矿区发展，满足货物集运需求，同时为园区、企业提供便利。能够有效提高运输效率，降低运输成本，</w:t>
            </w:r>
            <w:r>
              <w:rPr>
                <w:bCs/>
                <w:spacing w:val="10"/>
                <w:sz w:val="24"/>
                <w:szCs w:val="21"/>
              </w:rPr>
              <w:t>因此，本项目的建设符合国家产业政策要求。</w:t>
            </w:r>
          </w:p>
          <w:p>
            <w:pPr>
              <w:autoSpaceDE w:val="0"/>
              <w:autoSpaceDN w:val="0"/>
              <w:adjustRightInd w:val="0"/>
              <w:spacing w:line="408" w:lineRule="auto"/>
              <w:ind w:firstLine="522" w:firstLineChars="200"/>
              <w:jc w:val="left"/>
              <w:rPr>
                <w:b/>
                <w:bCs/>
                <w:spacing w:val="10"/>
                <w:sz w:val="24"/>
                <w:szCs w:val="21"/>
              </w:rPr>
            </w:pPr>
            <w:r>
              <w:rPr>
                <w:b/>
                <w:bCs/>
                <w:spacing w:val="10"/>
                <w:sz w:val="24"/>
                <w:szCs w:val="21"/>
              </w:rPr>
              <w:t>2</w:t>
            </w:r>
            <w:r>
              <w:rPr>
                <w:rFonts w:hint="eastAsia"/>
                <w:b/>
                <w:bCs/>
                <w:spacing w:val="10"/>
                <w:sz w:val="24"/>
                <w:szCs w:val="21"/>
              </w:rPr>
              <w:t>、与《新疆生态环境保护“十四五”规划》符合性分析</w:t>
            </w:r>
          </w:p>
          <w:p>
            <w:pPr>
              <w:autoSpaceDE w:val="0"/>
              <w:autoSpaceDN w:val="0"/>
              <w:adjustRightInd w:val="0"/>
              <w:spacing w:line="408" w:lineRule="auto"/>
              <w:ind w:firstLine="520" w:firstLineChars="200"/>
              <w:jc w:val="left"/>
              <w:rPr>
                <w:bCs/>
                <w:spacing w:val="10"/>
                <w:sz w:val="24"/>
                <w:szCs w:val="21"/>
              </w:rPr>
            </w:pPr>
            <w:r>
              <w:rPr>
                <w:rFonts w:hint="eastAsia"/>
                <w:bCs/>
                <w:spacing w:val="10"/>
                <w:sz w:val="24"/>
                <w:szCs w:val="21"/>
              </w:rPr>
              <w:t>2021年12月24日，自治区党委、自治区人民政府印发《新疆生态环境保护“十四五”规划》，全方位推进高质量发展，深入打好污染防治攻坚战，持续改善生态环境质量，建设天蓝地绿水清的“美丽新疆”。第五章强调加强协同控制，改善大气环境；推进扬尘精细化管控。全面推行绿色施工，城市建成区建筑工地扬尘防控标准化管理全覆盖；加强城市道路清扫保洁和洒水抑尘，渣土车实施硬覆盖；推进低尘机械化作业水平，控制道路扬尘污染。</w:t>
            </w:r>
          </w:p>
          <w:p>
            <w:pPr>
              <w:autoSpaceDE w:val="0"/>
              <w:autoSpaceDN w:val="0"/>
              <w:adjustRightInd w:val="0"/>
              <w:spacing w:line="408" w:lineRule="auto"/>
              <w:ind w:firstLine="520" w:firstLineChars="200"/>
              <w:jc w:val="left"/>
              <w:rPr>
                <w:bCs/>
                <w:spacing w:val="10"/>
                <w:sz w:val="24"/>
                <w:szCs w:val="21"/>
              </w:rPr>
            </w:pPr>
            <w:r>
              <w:rPr>
                <w:rFonts w:hint="eastAsia"/>
                <w:bCs/>
                <w:spacing w:val="10"/>
                <w:sz w:val="24"/>
                <w:szCs w:val="21"/>
              </w:rPr>
              <w:t>本项目施工期施工场地设置围挡，湿法作业，施工现场做到“六个100%”，对施工区及周围道路定期清扫，并洒水抑尘，保持路面湿润，减少粉尘和二次扬尘的产生。若发生物料洒落、带泥车辆影响路面整洁，应立刻组织人力进行清扫，所有运输车辆定时维修保养，运输车辆不得超载，不得使用劣质燃料，避免汽车尾气超标排放。</w:t>
            </w:r>
          </w:p>
          <w:p>
            <w:pPr>
              <w:autoSpaceDE w:val="0"/>
              <w:autoSpaceDN w:val="0"/>
              <w:adjustRightInd w:val="0"/>
              <w:spacing w:line="408" w:lineRule="auto"/>
              <w:ind w:firstLine="520" w:firstLineChars="200"/>
              <w:jc w:val="left"/>
              <w:rPr>
                <w:bCs/>
                <w:spacing w:val="10"/>
                <w:sz w:val="24"/>
                <w:szCs w:val="21"/>
              </w:rPr>
            </w:pPr>
            <w:r>
              <w:rPr>
                <w:rFonts w:hint="eastAsia"/>
                <w:bCs/>
                <w:spacing w:val="10"/>
                <w:sz w:val="24"/>
                <w:szCs w:val="21"/>
              </w:rPr>
              <w:t>因此，本项目符合《新疆生态环境保护“十四五”规划》中相关要求。</w:t>
            </w:r>
          </w:p>
          <w:p>
            <w:pPr>
              <w:adjustRightInd w:val="0"/>
              <w:snapToGrid w:val="0"/>
              <w:spacing w:line="408" w:lineRule="auto"/>
              <w:ind w:firstLine="522" w:firstLineChars="200"/>
              <w:rPr>
                <w:b/>
                <w:bCs/>
                <w:spacing w:val="10"/>
                <w:sz w:val="24"/>
                <w:szCs w:val="21"/>
              </w:rPr>
            </w:pPr>
            <w:r>
              <w:rPr>
                <w:b/>
                <w:bCs/>
                <w:spacing w:val="10"/>
                <w:sz w:val="24"/>
                <w:szCs w:val="21"/>
              </w:rPr>
              <w:t>3</w:t>
            </w:r>
            <w:r>
              <w:rPr>
                <w:rFonts w:hint="eastAsia"/>
                <w:b/>
                <w:bCs/>
                <w:spacing w:val="10"/>
                <w:sz w:val="24"/>
                <w:szCs w:val="21"/>
              </w:rPr>
              <w:t>、与《关于印发《新疆维吾尔自治区“三线一单”生态环境分区管控方案》的通知》（新政发〔</w:t>
            </w:r>
            <w:r>
              <w:rPr>
                <w:b/>
                <w:bCs/>
                <w:spacing w:val="10"/>
                <w:sz w:val="24"/>
                <w:szCs w:val="21"/>
              </w:rPr>
              <w:t>2021</w:t>
            </w:r>
            <w:r>
              <w:rPr>
                <w:rFonts w:hint="eastAsia"/>
                <w:b/>
                <w:bCs/>
                <w:spacing w:val="10"/>
                <w:sz w:val="24"/>
                <w:szCs w:val="21"/>
              </w:rPr>
              <w:t>〕</w:t>
            </w:r>
            <w:r>
              <w:rPr>
                <w:b/>
                <w:bCs/>
                <w:spacing w:val="10"/>
                <w:sz w:val="24"/>
                <w:szCs w:val="21"/>
              </w:rPr>
              <w:t>18</w:t>
            </w:r>
            <w:r>
              <w:rPr>
                <w:rFonts w:hint="eastAsia"/>
                <w:b/>
                <w:bCs/>
                <w:spacing w:val="10"/>
                <w:sz w:val="24"/>
                <w:szCs w:val="21"/>
              </w:rPr>
              <w:t>号）符合性分析</w:t>
            </w:r>
          </w:p>
          <w:p>
            <w:pPr>
              <w:adjustRightInd w:val="0"/>
              <w:snapToGrid w:val="0"/>
              <w:spacing w:line="408" w:lineRule="auto"/>
              <w:ind w:firstLine="520" w:firstLineChars="200"/>
              <w:rPr>
                <w:bCs/>
                <w:spacing w:val="10"/>
                <w:sz w:val="24"/>
                <w:szCs w:val="21"/>
              </w:rPr>
            </w:pPr>
            <w:r>
              <w:rPr>
                <w:rFonts w:hint="eastAsia"/>
                <w:bCs/>
                <w:spacing w:val="10"/>
                <w:sz w:val="24"/>
                <w:szCs w:val="21"/>
              </w:rPr>
              <w:t>新疆维吾尔自治区“三线一单”生态分区管控方案已于2021年2月由自治区人民政府发布并实施。根据《关于印发《新疆维吾尔自治区“三线一单”生态环境分区管控方案》的通知》（新政发〔</w:t>
            </w:r>
            <w:r>
              <w:rPr>
                <w:bCs/>
                <w:spacing w:val="10"/>
                <w:sz w:val="24"/>
                <w:szCs w:val="21"/>
              </w:rPr>
              <w:t>2021</w:t>
            </w:r>
            <w:r>
              <w:rPr>
                <w:rFonts w:hint="eastAsia"/>
                <w:bCs/>
                <w:spacing w:val="10"/>
                <w:sz w:val="24"/>
                <w:szCs w:val="21"/>
              </w:rPr>
              <w:t>〕</w:t>
            </w:r>
            <w:r>
              <w:rPr>
                <w:bCs/>
                <w:spacing w:val="10"/>
                <w:sz w:val="24"/>
                <w:szCs w:val="21"/>
              </w:rPr>
              <w:t>18</w:t>
            </w:r>
            <w:r>
              <w:rPr>
                <w:rFonts w:hint="eastAsia"/>
                <w:bCs/>
                <w:spacing w:val="10"/>
                <w:sz w:val="24"/>
                <w:szCs w:val="21"/>
              </w:rPr>
              <w:t>号），自治区按照管控要求，划定优先保护单元、重点管控单元、一般管控单元三类，实施分类管控。本工程与自治区“三线一单”生态环境分区管控方案的相符性如下表：</w:t>
            </w:r>
          </w:p>
          <w:p>
            <w:pPr>
              <w:adjustRightInd w:val="0"/>
              <w:snapToGrid w:val="0"/>
              <w:spacing w:line="408" w:lineRule="auto"/>
              <w:ind w:firstLine="462" w:firstLineChars="200"/>
              <w:jc w:val="center"/>
              <w:rPr>
                <w:b/>
                <w:bCs/>
                <w:spacing w:val="10"/>
                <w:szCs w:val="21"/>
              </w:rPr>
            </w:pPr>
            <w:r>
              <w:rPr>
                <w:rFonts w:hint="eastAsia"/>
                <w:b/>
                <w:bCs/>
                <w:spacing w:val="10"/>
                <w:szCs w:val="21"/>
              </w:rPr>
              <w:t>表1</w:t>
            </w:r>
            <w:r>
              <w:rPr>
                <w:b/>
                <w:bCs/>
                <w:spacing w:val="10"/>
                <w:szCs w:val="21"/>
              </w:rPr>
              <w:t xml:space="preserve"> </w:t>
            </w:r>
            <w:r>
              <w:rPr>
                <w:rFonts w:hint="eastAsia"/>
                <w:b/>
                <w:bCs/>
                <w:spacing w:val="10"/>
                <w:szCs w:val="21"/>
              </w:rPr>
              <w:t>《关于印发《新疆维吾尔自治区“三线一单”生态环境分区管控方案》的通知》（新政发〔</w:t>
            </w:r>
            <w:r>
              <w:rPr>
                <w:b/>
                <w:bCs/>
                <w:spacing w:val="10"/>
                <w:szCs w:val="21"/>
              </w:rPr>
              <w:t>2021</w:t>
            </w:r>
            <w:r>
              <w:rPr>
                <w:rFonts w:hint="eastAsia"/>
                <w:b/>
                <w:bCs/>
                <w:spacing w:val="10"/>
                <w:szCs w:val="21"/>
              </w:rPr>
              <w:t>〕</w:t>
            </w:r>
            <w:r>
              <w:rPr>
                <w:b/>
                <w:bCs/>
                <w:spacing w:val="10"/>
                <w:szCs w:val="21"/>
              </w:rPr>
              <w:t>18</w:t>
            </w:r>
            <w:r>
              <w:rPr>
                <w:rFonts w:hint="eastAsia"/>
                <w:b/>
                <w:bCs/>
                <w:spacing w:val="10"/>
                <w:szCs w:val="21"/>
              </w:rPr>
              <w:t>号）符合性分析</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931"/>
              <w:gridCol w:w="2410"/>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7" w:type="dxa"/>
                  <w:gridSpan w:val="2"/>
                  <w:vAlign w:val="center"/>
                </w:tcPr>
                <w:p>
                  <w:pPr>
                    <w:autoSpaceDE w:val="0"/>
                    <w:autoSpaceDN w:val="0"/>
                    <w:adjustRightInd w:val="0"/>
                    <w:jc w:val="center"/>
                    <w:rPr>
                      <w:rStyle w:val="37"/>
                      <w:rFonts w:hAnsi="宋体"/>
                      <w:sz w:val="22"/>
                    </w:rPr>
                  </w:pPr>
                  <w:r>
                    <w:rPr>
                      <w:rStyle w:val="37"/>
                      <w:rFonts w:hAnsi="宋体"/>
                      <w:sz w:val="22"/>
                    </w:rPr>
                    <w:t>生态环境分区管控方案要求</w:t>
                  </w:r>
                </w:p>
              </w:tc>
              <w:tc>
                <w:tcPr>
                  <w:tcW w:w="2410" w:type="dxa"/>
                  <w:vAlign w:val="center"/>
                </w:tcPr>
                <w:p>
                  <w:pPr>
                    <w:autoSpaceDE w:val="0"/>
                    <w:autoSpaceDN w:val="0"/>
                    <w:adjustRightInd w:val="0"/>
                    <w:jc w:val="center"/>
                    <w:rPr>
                      <w:rStyle w:val="37"/>
                      <w:rFonts w:hAnsi="宋体"/>
                      <w:sz w:val="22"/>
                    </w:rPr>
                  </w:pPr>
                  <w:r>
                    <w:rPr>
                      <w:rStyle w:val="37"/>
                      <w:rFonts w:hAnsi="宋体"/>
                      <w:sz w:val="22"/>
                    </w:rPr>
                    <w:t>项目情况</w:t>
                  </w:r>
                </w:p>
              </w:tc>
              <w:tc>
                <w:tcPr>
                  <w:tcW w:w="686" w:type="dxa"/>
                  <w:vAlign w:val="center"/>
                </w:tcPr>
                <w:p>
                  <w:pPr>
                    <w:autoSpaceDE w:val="0"/>
                    <w:autoSpaceDN w:val="0"/>
                    <w:adjustRightInd w:val="0"/>
                    <w:jc w:val="center"/>
                    <w:rPr>
                      <w:rStyle w:val="37"/>
                      <w:rFonts w:hAnsi="宋体"/>
                      <w:sz w:val="22"/>
                    </w:rPr>
                  </w:pPr>
                  <w:r>
                    <w:rPr>
                      <w:rStyle w:val="37"/>
                      <w:rFonts w:hAnsi="宋体"/>
                      <w:sz w:val="22"/>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autoSpaceDE w:val="0"/>
                    <w:autoSpaceDN w:val="0"/>
                    <w:adjustRightInd w:val="0"/>
                    <w:jc w:val="center"/>
                    <w:rPr>
                      <w:rStyle w:val="37"/>
                      <w:rFonts w:hAnsi="宋体"/>
                      <w:sz w:val="22"/>
                    </w:rPr>
                  </w:pPr>
                  <w:r>
                    <w:rPr>
                      <w:rStyle w:val="37"/>
                      <w:rFonts w:hint="eastAsia" w:hAnsi="宋体"/>
                      <w:sz w:val="22"/>
                    </w:rPr>
                    <w:t>生态保护红线</w:t>
                  </w:r>
                </w:p>
              </w:tc>
              <w:tc>
                <w:tcPr>
                  <w:tcW w:w="3931" w:type="dxa"/>
                  <w:vAlign w:val="center"/>
                </w:tcPr>
                <w:p>
                  <w:pPr>
                    <w:autoSpaceDE w:val="0"/>
                    <w:autoSpaceDN w:val="0"/>
                    <w:adjustRightInd w:val="0"/>
                    <w:jc w:val="center"/>
                    <w:rPr>
                      <w:rStyle w:val="37"/>
                      <w:rFonts w:hAnsi="宋体"/>
                      <w:sz w:val="22"/>
                    </w:rPr>
                  </w:pPr>
                  <w:r>
                    <w:rPr>
                      <w:rStyle w:val="37"/>
                      <w:rFonts w:hint="eastAsia" w:hAnsi="宋体"/>
                      <w:sz w:val="22"/>
                    </w:rPr>
                    <w:t>生态保护红线是生态空间范围内具有特殊重要生态功能必须实行强制性保护的区域。按照“生态功能不降低、面积不减少、性质不改变”的基本要求，对划定的生态保护红线实施严格管控，保障和维护国家生态安全的底线和生命线。</w:t>
                  </w:r>
                </w:p>
              </w:tc>
              <w:tc>
                <w:tcPr>
                  <w:tcW w:w="2410" w:type="dxa"/>
                  <w:vAlign w:val="center"/>
                </w:tcPr>
                <w:p>
                  <w:pPr>
                    <w:autoSpaceDE w:val="0"/>
                    <w:autoSpaceDN w:val="0"/>
                    <w:adjustRightInd w:val="0"/>
                    <w:jc w:val="center"/>
                    <w:rPr>
                      <w:rStyle w:val="37"/>
                      <w:rFonts w:hAnsi="宋体"/>
                      <w:sz w:val="21"/>
                      <w:szCs w:val="21"/>
                    </w:rPr>
                  </w:pPr>
                  <w:r>
                    <w:rPr>
                      <w:rStyle w:val="37"/>
                      <w:rFonts w:hint="eastAsia" w:hAnsi="宋体"/>
                      <w:sz w:val="21"/>
                      <w:szCs w:val="21"/>
                    </w:rPr>
                    <w:t>本项目为铁路专用线建设项目，位于阜康市境内，</w:t>
                  </w:r>
                  <w:r>
                    <w:rPr>
                      <w:rFonts w:hint="eastAsia"/>
                      <w:bCs/>
                      <w:spacing w:val="10"/>
                      <w:szCs w:val="21"/>
                    </w:rPr>
                    <w:t>乌将线下南泉站西北侧约3.0km处，无自然保护区、风景名胜区，不在生态保护红线范围内，不属于生态环境限制和禁止准入项目</w:t>
                  </w:r>
                </w:p>
              </w:tc>
              <w:tc>
                <w:tcPr>
                  <w:tcW w:w="686" w:type="dxa"/>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autoSpaceDE w:val="0"/>
                    <w:autoSpaceDN w:val="0"/>
                    <w:adjustRightInd w:val="0"/>
                    <w:jc w:val="center"/>
                    <w:rPr>
                      <w:rStyle w:val="37"/>
                      <w:rFonts w:hAnsi="宋体"/>
                      <w:sz w:val="22"/>
                    </w:rPr>
                  </w:pPr>
                  <w:r>
                    <w:rPr>
                      <w:rStyle w:val="37"/>
                      <w:rFonts w:hint="eastAsia" w:hAnsi="宋体"/>
                      <w:sz w:val="22"/>
                    </w:rPr>
                    <w:t>环境质量底线</w:t>
                  </w:r>
                </w:p>
              </w:tc>
              <w:tc>
                <w:tcPr>
                  <w:tcW w:w="3931" w:type="dxa"/>
                  <w:vAlign w:val="center"/>
                </w:tcPr>
                <w:p>
                  <w:pPr>
                    <w:autoSpaceDE w:val="0"/>
                    <w:autoSpaceDN w:val="0"/>
                    <w:adjustRightInd w:val="0"/>
                    <w:jc w:val="center"/>
                    <w:rPr>
                      <w:rStyle w:val="37"/>
                      <w:rFonts w:hAnsi="宋体"/>
                      <w:sz w:val="22"/>
                    </w:rPr>
                  </w:pPr>
                  <w:r>
                    <w:rPr>
                      <w:rStyle w:val="37"/>
                      <w:rFonts w:hint="eastAsia" w:hAnsi="宋体"/>
                      <w:sz w:val="22"/>
                    </w:rPr>
                    <w:t>环境质量底线是国家和地方设置的大气、水和土壤环境质量目标，也是改善环境质量的基准线。全区水环境质量持续改善，受污染地表水体得到有效治理，饮用水安全保障水平持续提升，地下水超采得到严格控制，地下水水质保持稳定；全区环境空气质量有所提升，重污染天数持续减少已达标城市环境空气保持稳定，未达标城市环境空气质量持续改善，沙尘影响严重地区最好防风固沙、生态环境保护修复等工作：全区土壤环境质量保持稳定，污染地块安全利用水平稳中有生，土壤环境风险得到进一步管控。</w:t>
                  </w:r>
                </w:p>
              </w:tc>
              <w:tc>
                <w:tcPr>
                  <w:tcW w:w="2410" w:type="dxa"/>
                  <w:vAlign w:val="center"/>
                </w:tcPr>
                <w:p>
                  <w:pPr>
                    <w:autoSpaceDE w:val="0"/>
                    <w:autoSpaceDN w:val="0"/>
                    <w:adjustRightInd w:val="0"/>
                    <w:jc w:val="center"/>
                    <w:rPr>
                      <w:rStyle w:val="37"/>
                      <w:rFonts w:hAnsi="宋体"/>
                      <w:sz w:val="22"/>
                    </w:rPr>
                  </w:pPr>
                  <w:r>
                    <w:rPr>
                      <w:rStyle w:val="37"/>
                      <w:rFonts w:hint="eastAsia" w:ascii="宋体" w:hAnsi="宋体" w:cs="宋体"/>
                      <w:sz w:val="22"/>
                    </w:rPr>
                    <w:t>①</w:t>
                  </w:r>
                  <w:r>
                    <w:rPr>
                      <w:rStyle w:val="37"/>
                      <w:rFonts w:hint="eastAsia" w:hAnsi="宋体"/>
                      <w:sz w:val="22"/>
                    </w:rPr>
                    <w:t>大气：施工期设置围挡、洒水抑尘，运营期食堂油烟经烟气净化器处理后排放，</w:t>
                  </w:r>
                  <w:r>
                    <w:rPr>
                      <w:bCs/>
                      <w:kern w:val="0"/>
                      <w:szCs w:val="21"/>
                    </w:rPr>
                    <w:t>集装箱煤堆场设置喷淋抑尘装置</w:t>
                  </w:r>
                  <w:r>
                    <w:rPr>
                      <w:rFonts w:hint="eastAsia"/>
                      <w:bCs/>
                      <w:kern w:val="0"/>
                      <w:szCs w:val="21"/>
                    </w:rPr>
                    <w:t>，</w:t>
                  </w:r>
                  <w:r>
                    <w:rPr>
                      <w:rStyle w:val="37"/>
                      <w:rFonts w:hint="eastAsia" w:hAnsi="宋体"/>
                      <w:sz w:val="22"/>
                    </w:rPr>
                    <w:t>对周围环境影响较小；</w:t>
                  </w:r>
                </w:p>
                <w:p>
                  <w:pPr>
                    <w:autoSpaceDE w:val="0"/>
                    <w:autoSpaceDN w:val="0"/>
                    <w:adjustRightInd w:val="0"/>
                    <w:jc w:val="center"/>
                    <w:rPr>
                      <w:rStyle w:val="37"/>
                      <w:rFonts w:hAnsi="宋体"/>
                      <w:sz w:val="22"/>
                    </w:rPr>
                  </w:pPr>
                  <w:r>
                    <w:rPr>
                      <w:rStyle w:val="37"/>
                      <w:rFonts w:hint="eastAsia" w:ascii="宋体" w:hAnsi="宋体" w:cs="宋体"/>
                      <w:sz w:val="22"/>
                    </w:rPr>
                    <w:t>②</w:t>
                  </w:r>
                  <w:r>
                    <w:rPr>
                      <w:rStyle w:val="37"/>
                      <w:rFonts w:hint="eastAsia" w:hAnsi="宋体"/>
                      <w:sz w:val="22"/>
                    </w:rPr>
                    <w:t>水：施工期施工废水设置沉淀池沉淀后回用于场地洒水抑尘；运营期生活废水排入新建化粪池，委托环卫部门定期清运，对周围环境影响较小；</w:t>
                  </w:r>
                </w:p>
                <w:p>
                  <w:pPr>
                    <w:autoSpaceDE w:val="0"/>
                    <w:autoSpaceDN w:val="0"/>
                    <w:adjustRightInd w:val="0"/>
                    <w:jc w:val="center"/>
                    <w:rPr>
                      <w:rStyle w:val="37"/>
                      <w:rFonts w:hAnsi="宋体"/>
                      <w:sz w:val="22"/>
                    </w:rPr>
                  </w:pPr>
                  <w:r>
                    <w:rPr>
                      <w:rFonts w:hint="eastAsia" w:ascii="宋体" w:hAnsi="宋体" w:cs="宋体"/>
                      <w:bCs/>
                      <w:kern w:val="0"/>
                      <w:szCs w:val="21"/>
                    </w:rPr>
                    <w:t>③</w:t>
                  </w:r>
                  <w:r>
                    <w:rPr>
                      <w:rFonts w:hint="eastAsia"/>
                      <w:bCs/>
                      <w:kern w:val="0"/>
                      <w:szCs w:val="21"/>
                    </w:rPr>
                    <w:t>土壤：本项目施工期运营期污水均得到有效处置，无其他土壤污染途径，对周围土壤环境质量影响较小</w:t>
                  </w:r>
                </w:p>
              </w:tc>
              <w:tc>
                <w:tcPr>
                  <w:tcW w:w="686" w:type="dxa"/>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autoSpaceDE w:val="0"/>
                    <w:autoSpaceDN w:val="0"/>
                    <w:adjustRightInd w:val="0"/>
                    <w:jc w:val="center"/>
                    <w:rPr>
                      <w:rStyle w:val="37"/>
                      <w:rFonts w:hAnsi="宋体"/>
                      <w:sz w:val="22"/>
                    </w:rPr>
                  </w:pPr>
                  <w:r>
                    <w:rPr>
                      <w:rStyle w:val="37"/>
                      <w:rFonts w:hint="eastAsia" w:hAnsi="宋体"/>
                      <w:sz w:val="22"/>
                    </w:rPr>
                    <w:t>资源利用上线</w:t>
                  </w:r>
                </w:p>
              </w:tc>
              <w:tc>
                <w:tcPr>
                  <w:tcW w:w="3931" w:type="dxa"/>
                  <w:vAlign w:val="center"/>
                </w:tcPr>
                <w:p>
                  <w:pPr>
                    <w:autoSpaceDE w:val="0"/>
                    <w:autoSpaceDN w:val="0"/>
                    <w:adjustRightInd w:val="0"/>
                    <w:jc w:val="center"/>
                    <w:rPr>
                      <w:rStyle w:val="37"/>
                      <w:rFonts w:hAnsi="宋体"/>
                      <w:sz w:val="22"/>
                    </w:rPr>
                  </w:pPr>
                  <w:r>
                    <w:rPr>
                      <w:rStyle w:val="37"/>
                      <w:rFonts w:hint="eastAsia" w:hAnsi="宋体"/>
                      <w:sz w:val="22"/>
                    </w:rPr>
                    <w:t>资源是环境的载体，资源利用上线是个地区能源、水、土地等资源消耗不得突破的“天花板”。强化节约集约利用，持续提升资源能源利用效率、水资源、土地资源、能源消耗等达到国家、自治区下达的总量和总强度控制目标。</w:t>
                  </w:r>
                </w:p>
              </w:tc>
              <w:tc>
                <w:tcPr>
                  <w:tcW w:w="2410" w:type="dxa"/>
                  <w:vAlign w:val="center"/>
                </w:tcPr>
                <w:p>
                  <w:pPr>
                    <w:autoSpaceDE w:val="0"/>
                    <w:autoSpaceDN w:val="0"/>
                    <w:adjustRightInd w:val="0"/>
                    <w:jc w:val="center"/>
                    <w:rPr>
                      <w:rStyle w:val="37"/>
                      <w:rFonts w:hAnsi="宋体"/>
                      <w:sz w:val="22"/>
                    </w:rPr>
                  </w:pPr>
                  <w:r>
                    <w:rPr>
                      <w:rStyle w:val="37"/>
                      <w:rFonts w:hint="eastAsia" w:hAnsi="宋体"/>
                      <w:sz w:val="22"/>
                    </w:rPr>
                    <w:t>本项目为铁路专用线建设项目，运营期消耗生活用水、用电和机车牵引用电，资源消耗相对于区域资源总量较小</w:t>
                  </w:r>
                </w:p>
              </w:tc>
              <w:tc>
                <w:tcPr>
                  <w:tcW w:w="686" w:type="dxa"/>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pPr>
                    <w:autoSpaceDE w:val="0"/>
                    <w:autoSpaceDN w:val="0"/>
                    <w:adjustRightInd w:val="0"/>
                    <w:jc w:val="center"/>
                    <w:rPr>
                      <w:rStyle w:val="37"/>
                      <w:rFonts w:hAnsi="宋体"/>
                      <w:sz w:val="22"/>
                    </w:rPr>
                  </w:pPr>
                  <w:r>
                    <w:rPr>
                      <w:rStyle w:val="37"/>
                      <w:rFonts w:hint="eastAsia" w:hAnsi="宋体"/>
                      <w:sz w:val="22"/>
                    </w:rPr>
                    <w:t>环境准入清单</w:t>
                  </w:r>
                </w:p>
              </w:tc>
              <w:tc>
                <w:tcPr>
                  <w:tcW w:w="3931" w:type="dxa"/>
                  <w:vAlign w:val="center"/>
                </w:tcPr>
                <w:p>
                  <w:pPr>
                    <w:autoSpaceDE w:val="0"/>
                    <w:autoSpaceDN w:val="0"/>
                    <w:adjustRightInd w:val="0"/>
                    <w:jc w:val="center"/>
                    <w:rPr>
                      <w:rStyle w:val="37"/>
                      <w:rFonts w:hAnsi="宋体"/>
                      <w:sz w:val="22"/>
                    </w:rPr>
                  </w:pPr>
                  <w:r>
                    <w:rPr>
                      <w:rStyle w:val="37"/>
                      <w:rFonts w:hint="eastAsia" w:hAnsi="宋体"/>
                      <w:sz w:val="22"/>
                    </w:rPr>
                    <w:t>环境准入清单是以环境管控单元为基础，从空间布局约束、污染物排放管控、环境风险防控和资源利用效率四个的方面严格环境准入</w:t>
                  </w:r>
                </w:p>
              </w:tc>
              <w:tc>
                <w:tcPr>
                  <w:tcW w:w="2410" w:type="dxa"/>
                  <w:vAlign w:val="center"/>
                </w:tcPr>
                <w:p>
                  <w:pPr>
                    <w:autoSpaceDE w:val="0"/>
                    <w:autoSpaceDN w:val="0"/>
                    <w:adjustRightInd w:val="0"/>
                    <w:jc w:val="center"/>
                    <w:rPr>
                      <w:rStyle w:val="37"/>
                      <w:rFonts w:hAnsi="宋体"/>
                      <w:sz w:val="22"/>
                    </w:rPr>
                  </w:pPr>
                  <w:r>
                    <w:rPr>
                      <w:rStyle w:val="37"/>
                      <w:rFonts w:hint="eastAsia" w:hAnsi="宋体"/>
                      <w:sz w:val="22"/>
                    </w:rPr>
                    <w:t>本项目不属于禁止类和限值类项目</w:t>
                  </w:r>
                </w:p>
              </w:tc>
              <w:tc>
                <w:tcPr>
                  <w:tcW w:w="686" w:type="dxa"/>
                  <w:vAlign w:val="center"/>
                </w:tcPr>
                <w:p>
                  <w:pPr>
                    <w:autoSpaceDE w:val="0"/>
                    <w:autoSpaceDN w:val="0"/>
                    <w:adjustRightInd w:val="0"/>
                    <w:jc w:val="center"/>
                    <w:rPr>
                      <w:rStyle w:val="37"/>
                      <w:rFonts w:hAnsi="宋体"/>
                      <w:sz w:val="22"/>
                    </w:rPr>
                  </w:pPr>
                  <w:r>
                    <w:rPr>
                      <w:rStyle w:val="37"/>
                      <w:rFonts w:hint="eastAsia" w:hAnsi="宋体"/>
                      <w:sz w:val="22"/>
                    </w:rPr>
                    <w:t>符合</w:t>
                  </w:r>
                </w:p>
              </w:tc>
            </w:tr>
          </w:tbl>
          <w:p>
            <w:pPr>
              <w:autoSpaceDE w:val="0"/>
              <w:autoSpaceDN w:val="0"/>
              <w:adjustRightInd w:val="0"/>
              <w:spacing w:line="408" w:lineRule="auto"/>
              <w:jc w:val="left"/>
              <w:rPr>
                <w:bCs/>
                <w:spacing w:val="10"/>
                <w:sz w:val="24"/>
                <w:szCs w:val="21"/>
              </w:rPr>
            </w:pPr>
          </w:p>
          <w:p>
            <w:pPr>
              <w:autoSpaceDE w:val="0"/>
              <w:autoSpaceDN w:val="0"/>
              <w:adjustRightInd w:val="0"/>
              <w:snapToGrid w:val="0"/>
              <w:spacing w:line="408" w:lineRule="auto"/>
              <w:ind w:firstLine="482" w:firstLineChars="200"/>
              <w:jc w:val="left"/>
              <w:rPr>
                <w:rFonts w:ascii="宋体" w:hAnsi="宋体" w:cs="宋体"/>
                <w:b/>
                <w:kern w:val="0"/>
                <w:sz w:val="24"/>
              </w:rPr>
            </w:pPr>
            <w:r>
              <w:rPr>
                <w:rFonts w:ascii="宋体" w:hAnsi="宋体" w:cs="宋体"/>
                <w:b/>
                <w:kern w:val="0"/>
                <w:sz w:val="24"/>
              </w:rPr>
              <w:t>4</w:t>
            </w:r>
            <w:r>
              <w:rPr>
                <w:rFonts w:hint="eastAsia" w:ascii="宋体" w:hAnsi="宋体" w:cs="宋体"/>
                <w:b/>
                <w:kern w:val="0"/>
                <w:sz w:val="24"/>
              </w:rPr>
              <w:t>、与《昌吉回族自治州</w:t>
            </w:r>
            <w:r>
              <w:rPr>
                <w:rStyle w:val="37"/>
                <w:b/>
              </w:rPr>
              <w:t>“三线一单”</w:t>
            </w:r>
            <w:r>
              <w:rPr>
                <w:rStyle w:val="37"/>
                <w:rFonts w:hint="eastAsia"/>
                <w:b/>
              </w:rPr>
              <w:t>生态环境分区管控方案及</w:t>
            </w:r>
            <w:r>
              <w:rPr>
                <w:rStyle w:val="37"/>
                <w:b/>
              </w:rPr>
              <w:t>生态环境准入清单</w:t>
            </w:r>
            <w:r>
              <w:rPr>
                <w:rFonts w:hint="eastAsia" w:ascii="宋体" w:hAnsi="宋体" w:cs="宋体"/>
                <w:b/>
                <w:kern w:val="0"/>
                <w:sz w:val="24"/>
              </w:rPr>
              <w:t>》符合性分析</w:t>
            </w:r>
          </w:p>
          <w:p>
            <w:pPr>
              <w:autoSpaceDE w:val="0"/>
              <w:autoSpaceDN w:val="0"/>
              <w:adjustRightInd w:val="0"/>
              <w:snapToGrid w:val="0"/>
              <w:spacing w:line="408" w:lineRule="auto"/>
              <w:ind w:firstLine="480" w:firstLineChars="200"/>
              <w:jc w:val="left"/>
              <w:rPr>
                <w:rFonts w:ascii="宋体" w:hAnsi="宋体" w:cs="宋体"/>
                <w:kern w:val="0"/>
                <w:sz w:val="24"/>
              </w:rPr>
            </w:pPr>
            <w:r>
              <w:rPr>
                <w:rFonts w:hint="eastAsia" w:ascii="宋体" w:hAnsi="宋体" w:cs="宋体"/>
                <w:kern w:val="0"/>
                <w:sz w:val="24"/>
              </w:rPr>
              <w:t>根据昌吉回族自治州</w:t>
            </w:r>
            <w:r>
              <w:rPr>
                <w:rStyle w:val="37"/>
              </w:rPr>
              <w:t>“三线一单”</w:t>
            </w:r>
            <w:r>
              <w:rPr>
                <w:rStyle w:val="37"/>
                <w:rFonts w:hint="eastAsia"/>
              </w:rPr>
              <w:t>生态环境分区管控方案及</w:t>
            </w:r>
            <w:r>
              <w:rPr>
                <w:rStyle w:val="37"/>
              </w:rPr>
              <w:t>生态环境准入清单</w:t>
            </w:r>
            <w:r>
              <w:rPr>
                <w:rFonts w:hint="eastAsia" w:ascii="宋体" w:hAnsi="宋体" w:cs="宋体"/>
                <w:kern w:val="0"/>
                <w:sz w:val="24"/>
              </w:rPr>
              <w:t>》，本项目位于新疆昌吉州阜康市境内，</w:t>
            </w:r>
            <w:r>
              <w:rPr>
                <w:rFonts w:hint="eastAsia"/>
                <w:bCs/>
                <w:spacing w:val="10"/>
                <w:sz w:val="24"/>
                <w:szCs w:val="21"/>
              </w:rPr>
              <w:t>乌将线下南泉站西北侧约3.0km处，起点坐标</w:t>
            </w:r>
            <w:r>
              <w:rPr>
                <w:sz w:val="24"/>
              </w:rPr>
              <w:t>88°25′15.430″E，44°9′24.280″N</w:t>
            </w:r>
            <w:r>
              <w:rPr>
                <w:rFonts w:hint="eastAsia"/>
                <w:sz w:val="24"/>
              </w:rPr>
              <w:t>，终点坐标</w:t>
            </w:r>
            <w:r>
              <w:rPr>
                <w:sz w:val="24"/>
              </w:rPr>
              <w:t>88°21′55.360″E，44°9′30.250″N</w:t>
            </w:r>
            <w:r>
              <w:rPr>
                <w:rFonts w:hint="eastAsia"/>
                <w:sz w:val="24"/>
              </w:rPr>
              <w:t>，</w:t>
            </w:r>
            <w:r>
              <w:rPr>
                <w:rFonts w:hint="eastAsia"/>
                <w:bCs/>
                <w:spacing w:val="10"/>
                <w:sz w:val="24"/>
                <w:szCs w:val="21"/>
              </w:rPr>
              <w:t>根据昌吉州环境管控单元分类图，本项目建设区域属于阜康市重点管控单元中的“阜康市北部荒漠带禁采区”，单元编码为</w:t>
            </w:r>
            <w:r>
              <w:rPr>
                <w:bCs/>
                <w:spacing w:val="10"/>
                <w:sz w:val="24"/>
                <w:szCs w:val="21"/>
              </w:rPr>
              <w:t>ZH65230220006</w:t>
            </w:r>
          </w:p>
          <w:p>
            <w:pPr>
              <w:autoSpaceDE w:val="0"/>
              <w:autoSpaceDN w:val="0"/>
              <w:adjustRightInd w:val="0"/>
              <w:spacing w:line="408" w:lineRule="auto"/>
              <w:jc w:val="center"/>
              <w:rPr>
                <w:bCs/>
                <w:spacing w:val="10"/>
                <w:szCs w:val="21"/>
              </w:rPr>
            </w:pPr>
            <w:r>
              <w:rPr>
                <w:rFonts w:hint="eastAsia" w:ascii="宋体" w:hAnsi="宋体" w:cs="宋体"/>
                <w:b/>
                <w:kern w:val="0"/>
                <w:szCs w:val="21"/>
              </w:rPr>
              <w:t>表2</w:t>
            </w:r>
            <w:r>
              <w:rPr>
                <w:rFonts w:ascii="宋体" w:hAnsi="宋体" w:cs="宋体"/>
                <w:b/>
                <w:kern w:val="0"/>
                <w:szCs w:val="21"/>
              </w:rPr>
              <w:t xml:space="preserve"> </w:t>
            </w:r>
            <w:r>
              <w:rPr>
                <w:rFonts w:hint="eastAsia" w:ascii="宋体" w:hAnsi="宋体" w:cs="宋体"/>
                <w:b/>
                <w:kern w:val="0"/>
                <w:szCs w:val="21"/>
              </w:rPr>
              <w:t>《昌吉回族自治州</w:t>
            </w:r>
            <w:r>
              <w:rPr>
                <w:rStyle w:val="37"/>
                <w:b/>
                <w:sz w:val="21"/>
                <w:szCs w:val="21"/>
              </w:rPr>
              <w:t>“三线一单”</w:t>
            </w:r>
            <w:r>
              <w:rPr>
                <w:rStyle w:val="37"/>
                <w:rFonts w:hint="eastAsia"/>
                <w:b/>
                <w:sz w:val="21"/>
                <w:szCs w:val="21"/>
              </w:rPr>
              <w:t>生态环境分区管控方案及</w:t>
            </w:r>
            <w:r>
              <w:rPr>
                <w:rStyle w:val="37"/>
                <w:b/>
                <w:sz w:val="21"/>
                <w:szCs w:val="21"/>
              </w:rPr>
              <w:t>生态环境准入清单</w:t>
            </w:r>
            <w:r>
              <w:rPr>
                <w:rFonts w:hint="eastAsia" w:ascii="宋体" w:hAnsi="宋体" w:cs="宋体"/>
                <w:b/>
                <w:kern w:val="0"/>
                <w:szCs w:val="21"/>
              </w:rPr>
              <w:t>》符合性分析</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415"/>
              <w:gridCol w:w="2925"/>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名称</w:t>
                  </w:r>
                </w:p>
              </w:tc>
              <w:tc>
                <w:tcPr>
                  <w:tcW w:w="2288"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要求</w:t>
                  </w:r>
                </w:p>
              </w:tc>
              <w:tc>
                <w:tcPr>
                  <w:tcW w:w="19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项目特征</w:t>
                  </w:r>
                </w:p>
              </w:tc>
              <w:tc>
                <w:tcPr>
                  <w:tcW w:w="4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空间布局约束</w:t>
                  </w:r>
                </w:p>
              </w:tc>
              <w:tc>
                <w:tcPr>
                  <w:tcW w:w="2288" w:type="pct"/>
                  <w:shd w:val="clear" w:color="auto" w:fill="auto"/>
                  <w:vAlign w:val="center"/>
                </w:tcPr>
                <w:p>
                  <w:pPr>
                    <w:pStyle w:val="43"/>
                    <w:ind w:firstLine="0" w:firstLineChars="0"/>
                    <w:jc w:val="left"/>
                    <w:rPr>
                      <w:rStyle w:val="37"/>
                      <w:rFonts w:ascii="Times New Roman" w:hAnsi="Times New Roman" w:eastAsia="宋体" w:cs="Times New Roman"/>
                      <w:sz w:val="21"/>
                      <w:szCs w:val="21"/>
                    </w:rPr>
                  </w:pPr>
                  <w:r>
                    <w:rPr>
                      <w:rStyle w:val="37"/>
                      <w:rFonts w:ascii="Times New Roman" w:hAnsi="Times New Roman" w:eastAsia="宋体" w:cs="Times New Roman"/>
                      <w:sz w:val="21"/>
                      <w:szCs w:val="21"/>
                    </w:rPr>
                    <w:t>1、执行自治区、乌昌石片区总体准入要求中关于重点管控单元空间布局约束的准入要求（表2-3A6.1、表3.4-2B1）。</w:t>
                  </w:r>
                </w:p>
                <w:p>
                  <w:pPr>
                    <w:pStyle w:val="43"/>
                    <w:ind w:firstLine="0" w:firstLineChars="0"/>
                    <w:jc w:val="left"/>
                    <w:rPr>
                      <w:rStyle w:val="37"/>
                      <w:rFonts w:ascii="Times New Roman" w:hAnsi="Times New Roman" w:eastAsia="宋体" w:cs="Times New Roman"/>
                      <w:sz w:val="21"/>
                      <w:szCs w:val="21"/>
                    </w:rPr>
                  </w:pPr>
                  <w:r>
                    <w:rPr>
                      <w:rStyle w:val="37"/>
                      <w:rFonts w:ascii="Times New Roman" w:hAnsi="Times New Roman" w:eastAsia="宋体" w:cs="Times New Roman"/>
                      <w:sz w:val="21"/>
                      <w:szCs w:val="21"/>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pPr>
                    <w:pStyle w:val="43"/>
                    <w:ind w:firstLine="0" w:firstLineChars="0"/>
                    <w:jc w:val="left"/>
                    <w:rPr>
                      <w:rStyle w:val="37"/>
                      <w:rFonts w:ascii="Times New Roman" w:hAnsi="Times New Roman" w:eastAsia="宋体" w:cs="Times New Roman"/>
                      <w:sz w:val="21"/>
                      <w:szCs w:val="21"/>
                    </w:rPr>
                  </w:pPr>
                  <w:r>
                    <w:rPr>
                      <w:rStyle w:val="37"/>
                      <w:rFonts w:ascii="Times New Roman" w:hAnsi="Times New Roman" w:eastAsia="宋体" w:cs="Times New Roman"/>
                      <w:sz w:val="21"/>
                      <w:szCs w:val="21"/>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pPr>
                    <w:rPr>
                      <w:rStyle w:val="37"/>
                      <w:sz w:val="21"/>
                      <w:szCs w:val="21"/>
                    </w:rPr>
                  </w:pPr>
                  <w:r>
                    <w:rPr>
                      <w:rStyle w:val="37"/>
                      <w:sz w:val="21"/>
                      <w:szCs w:val="21"/>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pPr>
                    <w:pStyle w:val="43"/>
                    <w:ind w:firstLine="0" w:firstLineChars="0"/>
                    <w:jc w:val="left"/>
                    <w:rPr>
                      <w:rStyle w:val="37"/>
                      <w:rFonts w:ascii="Times New Roman" w:hAnsi="Times New Roman" w:eastAsia="宋体" w:cs="Times New Roman"/>
                      <w:sz w:val="21"/>
                      <w:szCs w:val="21"/>
                    </w:rPr>
                  </w:pPr>
                  <w:r>
                    <w:rPr>
                      <w:rStyle w:val="37"/>
                      <w:rFonts w:ascii="Times New Roman" w:hAnsi="Times New Roman" w:eastAsia="宋体" w:cs="Times New Roman"/>
                      <w:sz w:val="21"/>
                      <w:szCs w:val="21"/>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960" w:type="pct"/>
                  <w:shd w:val="clear" w:color="auto" w:fill="auto"/>
                  <w:vAlign w:val="center"/>
                </w:tcPr>
                <w:p>
                  <w:pPr>
                    <w:autoSpaceDE w:val="0"/>
                    <w:autoSpaceDN w:val="0"/>
                    <w:adjustRightInd w:val="0"/>
                    <w:rPr>
                      <w:rStyle w:val="37"/>
                      <w:sz w:val="21"/>
                      <w:szCs w:val="21"/>
                    </w:rPr>
                  </w:pPr>
                  <w:r>
                    <w:rPr>
                      <w:rStyle w:val="37"/>
                      <w:sz w:val="21"/>
                      <w:szCs w:val="21"/>
                    </w:rPr>
                    <w:t>本项目</w:t>
                  </w:r>
                  <w:r>
                    <w:rPr>
                      <w:rStyle w:val="37"/>
                      <w:rFonts w:hint="eastAsia"/>
                      <w:sz w:val="21"/>
                      <w:szCs w:val="21"/>
                    </w:rPr>
                    <w:t>不属于大气环境重点管控区、水环境重点管控区和土壤环境重点管控区。施工期现场设置施工营地，设置沉淀池，施工废水生活污水沉淀后用于场地洒水抑尘，</w:t>
                  </w:r>
                  <w:r>
                    <w:rPr>
                      <w:rStyle w:val="37"/>
                      <w:sz w:val="21"/>
                      <w:szCs w:val="21"/>
                    </w:rPr>
                    <w:t>运营期无生产废水产生，</w:t>
                  </w:r>
                  <w:r>
                    <w:rPr>
                      <w:rFonts w:hAnsi="宋体"/>
                      <w:kern w:val="0"/>
                      <w:szCs w:val="21"/>
                    </w:rPr>
                    <w:t>生活污水</w:t>
                  </w:r>
                  <w:r>
                    <w:rPr>
                      <w:rFonts w:hint="eastAsia" w:hAnsi="宋体"/>
                      <w:kern w:val="0"/>
                      <w:szCs w:val="21"/>
                    </w:rPr>
                    <w:t>排入新建化粪池</w:t>
                  </w:r>
                  <w:r>
                    <w:rPr>
                      <w:rFonts w:hAnsi="宋体"/>
                      <w:kern w:val="0"/>
                      <w:szCs w:val="21"/>
                    </w:rPr>
                    <w:t>收集后</w:t>
                  </w:r>
                  <w:r>
                    <w:rPr>
                      <w:rFonts w:hint="eastAsia" w:hAnsi="宋体"/>
                      <w:kern w:val="0"/>
                      <w:szCs w:val="21"/>
                    </w:rPr>
                    <w:t>，定期委托环卫部门吸污车清运集中处理</w:t>
                  </w:r>
                  <w:r>
                    <w:rPr>
                      <w:rFonts w:hint="eastAsia"/>
                      <w:bCs/>
                      <w:kern w:val="0"/>
                      <w:szCs w:val="21"/>
                    </w:rPr>
                    <w:t>；本项目</w:t>
                  </w:r>
                  <w:r>
                    <w:rPr>
                      <w:rStyle w:val="37"/>
                      <w:sz w:val="21"/>
                      <w:szCs w:val="21"/>
                    </w:rPr>
                    <w:t>属于交通运输业，不属于“三高项目”；根据《产业结构调整指导目录》（2019年本），本项目属于鼓励类（二十三“铁路”中第2条“既有铁路改</w:t>
                  </w:r>
                  <w:r>
                    <w:rPr>
                      <w:bCs/>
                      <w:kern w:val="0"/>
                    </w:rPr>
                    <w:t>扩建及铁路专用线建设”）</w:t>
                  </w:r>
                  <w:r>
                    <w:rPr>
                      <w:rFonts w:hint="eastAsia"/>
                      <w:bCs/>
                      <w:kern w:val="0"/>
                    </w:rPr>
                    <w:t>；</w:t>
                  </w:r>
                  <w:r>
                    <w:rPr>
                      <w:rFonts w:hint="eastAsia"/>
                      <w:bCs/>
                      <w:kern w:val="0"/>
                      <w:szCs w:val="21"/>
                    </w:rPr>
                    <w:t>能够加快矿区发展，满足货物集运需求，同时为园区、企业提供便利。能够有效提高运输效率，降低运输成本</w:t>
                  </w:r>
                </w:p>
              </w:tc>
              <w:tc>
                <w:tcPr>
                  <w:tcW w:w="4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污染物排放管控</w:t>
                  </w:r>
                </w:p>
              </w:tc>
              <w:tc>
                <w:tcPr>
                  <w:tcW w:w="2288" w:type="pct"/>
                  <w:shd w:val="clear" w:color="auto" w:fill="auto"/>
                  <w:vAlign w:val="center"/>
                </w:tcPr>
                <w:p>
                  <w:pPr>
                    <w:pStyle w:val="43"/>
                    <w:ind w:firstLine="0" w:firstLineChars="0"/>
                    <w:jc w:val="left"/>
                    <w:rPr>
                      <w:rStyle w:val="37"/>
                      <w:rFonts w:ascii="Times New Roman" w:hAnsi="Times New Roman" w:eastAsia="宋体" w:cs="Times New Roman"/>
                      <w:sz w:val="21"/>
                      <w:szCs w:val="21"/>
                    </w:rPr>
                  </w:pPr>
                  <w:r>
                    <w:rPr>
                      <w:rFonts w:ascii="Times New Roman" w:hAnsi="Times New Roman" w:eastAsia="仿宋" w:cs="Times New Roman"/>
                      <w:bCs/>
                      <w:szCs w:val="21"/>
                    </w:rPr>
                    <w:t>【A6.2-1】</w:t>
                  </w:r>
                  <w:r>
                    <w:rPr>
                      <w:rStyle w:val="37"/>
                      <w:rFonts w:ascii="Times New Roman" w:hAnsi="Times New Roman" w:eastAsia="宋体" w:cs="Times New Roman"/>
                      <w:sz w:val="21"/>
                      <w:szCs w:val="21"/>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960" w:type="pct"/>
                  <w:shd w:val="clear" w:color="auto" w:fill="auto"/>
                  <w:vAlign w:val="center"/>
                </w:tcPr>
                <w:p>
                  <w:pPr>
                    <w:autoSpaceDE w:val="0"/>
                    <w:autoSpaceDN w:val="0"/>
                    <w:adjustRightInd w:val="0"/>
                    <w:rPr>
                      <w:rStyle w:val="37"/>
                      <w:rFonts w:hAnsi="宋体"/>
                      <w:sz w:val="21"/>
                    </w:rPr>
                  </w:pPr>
                  <w:r>
                    <w:rPr>
                      <w:rStyle w:val="37"/>
                      <w:rFonts w:hint="eastAsia" w:hAnsi="宋体"/>
                      <w:sz w:val="21"/>
                    </w:rPr>
                    <w:t>本项目建设过程中污染物主要为施工扬尘、噪声、废水、生活垃圾等，均已采取相应治理措施，对周围环境影响较小</w:t>
                  </w:r>
                </w:p>
              </w:tc>
              <w:tc>
                <w:tcPr>
                  <w:tcW w:w="4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环境风险防控</w:t>
                  </w:r>
                </w:p>
              </w:tc>
              <w:tc>
                <w:tcPr>
                  <w:tcW w:w="2288" w:type="pct"/>
                  <w:shd w:val="clear" w:color="auto" w:fill="auto"/>
                  <w:vAlign w:val="center"/>
                </w:tcPr>
                <w:p>
                  <w:pPr>
                    <w:pStyle w:val="43"/>
                    <w:ind w:firstLine="0" w:firstLineChars="0"/>
                    <w:jc w:val="left"/>
                    <w:rPr>
                      <w:rStyle w:val="37"/>
                      <w:rFonts w:ascii="Times New Roman" w:hAnsi="Times New Roman" w:eastAsia="宋体" w:cs="Times New Roman"/>
                      <w:sz w:val="21"/>
                      <w:szCs w:val="21"/>
                    </w:rPr>
                  </w:pPr>
                  <w:r>
                    <w:rPr>
                      <w:rFonts w:ascii="Times New Roman" w:hAnsi="Times New Roman" w:eastAsia="仿宋" w:cs="Times New Roman"/>
                      <w:bCs/>
                      <w:szCs w:val="21"/>
                    </w:rPr>
                    <w:t>【A6.3-1】</w:t>
                  </w:r>
                  <w:r>
                    <w:rPr>
                      <w:rStyle w:val="37"/>
                      <w:rFonts w:ascii="Times New Roman" w:hAnsi="Times New Roman" w:eastAsia="宋体" w:cs="Times New Roman"/>
                      <w:sz w:val="21"/>
                      <w:szCs w:val="21"/>
                    </w:rPr>
                    <w:t>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960" w:type="pct"/>
                  <w:shd w:val="clear" w:color="auto" w:fill="auto"/>
                  <w:vAlign w:val="center"/>
                </w:tcPr>
                <w:p>
                  <w:pPr>
                    <w:autoSpaceDE w:val="0"/>
                    <w:autoSpaceDN w:val="0"/>
                    <w:adjustRightInd w:val="0"/>
                    <w:rPr>
                      <w:rStyle w:val="37"/>
                      <w:rFonts w:hAnsi="宋体"/>
                      <w:sz w:val="21"/>
                      <w:szCs w:val="21"/>
                    </w:rPr>
                  </w:pPr>
                  <w:r>
                    <w:rPr>
                      <w:rStyle w:val="37"/>
                      <w:rFonts w:hint="eastAsia" w:hAnsi="宋体"/>
                      <w:sz w:val="21"/>
                      <w:szCs w:val="21"/>
                    </w:rPr>
                    <w:t>本项目为铁路专用线建设，邻近无环境敏感区，在严格落实相关环保措施后，各类废物均能够得到有效处置，总体环境风险基本可控</w:t>
                  </w:r>
                </w:p>
              </w:tc>
              <w:tc>
                <w:tcPr>
                  <w:tcW w:w="4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资源利用效率</w:t>
                  </w:r>
                </w:p>
              </w:tc>
              <w:tc>
                <w:tcPr>
                  <w:tcW w:w="2288" w:type="pct"/>
                  <w:shd w:val="clear" w:color="auto" w:fill="auto"/>
                  <w:vAlign w:val="center"/>
                </w:tcPr>
                <w:p>
                  <w:pPr>
                    <w:pStyle w:val="46"/>
                    <w:jc w:val="both"/>
                    <w:rPr>
                      <w:rStyle w:val="37"/>
                      <w:rFonts w:eastAsia="宋体"/>
                      <w:color w:val="auto"/>
                      <w:kern w:val="2"/>
                      <w:sz w:val="21"/>
                      <w:szCs w:val="21"/>
                    </w:rPr>
                  </w:pPr>
                  <w:r>
                    <w:rPr>
                      <w:rFonts w:eastAsia="仿宋"/>
                      <w:bCs/>
                      <w:color w:val="auto"/>
                      <w:kern w:val="2"/>
                      <w:szCs w:val="21"/>
                    </w:rPr>
                    <w:t>【A6.4-1】</w:t>
                  </w:r>
                  <w:r>
                    <w:rPr>
                      <w:rStyle w:val="37"/>
                      <w:rFonts w:eastAsia="宋体"/>
                      <w:color w:val="auto"/>
                      <w:kern w:val="2"/>
                      <w:sz w:val="21"/>
                      <w:szCs w:val="21"/>
                    </w:rPr>
                    <w:t>推进工业集聚区生态化改造，强化企业清洁生产改造，推进节水型企业、节水型工业园区建设，提高资源能源利用效率。</w:t>
                  </w:r>
                </w:p>
              </w:tc>
              <w:tc>
                <w:tcPr>
                  <w:tcW w:w="1960" w:type="pct"/>
                  <w:shd w:val="clear" w:color="auto" w:fill="auto"/>
                  <w:vAlign w:val="center"/>
                </w:tcPr>
                <w:p>
                  <w:pPr>
                    <w:autoSpaceDE w:val="0"/>
                    <w:autoSpaceDN w:val="0"/>
                    <w:adjustRightInd w:val="0"/>
                    <w:rPr>
                      <w:rStyle w:val="37"/>
                      <w:rFonts w:hAnsi="宋体"/>
                      <w:sz w:val="21"/>
                      <w:szCs w:val="21"/>
                    </w:rPr>
                  </w:pPr>
                  <w:r>
                    <w:rPr>
                      <w:rStyle w:val="37"/>
                      <w:rFonts w:hint="eastAsia" w:hAnsi="宋体"/>
                      <w:sz w:val="21"/>
                      <w:szCs w:val="21"/>
                    </w:rPr>
                    <w:t>本项目</w:t>
                  </w:r>
                  <w:r>
                    <w:rPr>
                      <w:rFonts w:hint="eastAsia"/>
                      <w:bCs/>
                      <w:kern w:val="0"/>
                    </w:rPr>
                    <w:t>施工期</w:t>
                  </w:r>
                  <w:r>
                    <w:rPr>
                      <w:rFonts w:hint="eastAsia"/>
                      <w:kern w:val="0"/>
                    </w:rPr>
                    <w:t>新建沉淀池对生活污水和车辆冲洗废水处理后用于场地洒水抑尘；</w:t>
                  </w:r>
                  <w:r>
                    <w:rPr>
                      <w:rStyle w:val="37"/>
                      <w:rFonts w:hint="eastAsia" w:hAnsi="宋体"/>
                      <w:sz w:val="21"/>
                      <w:szCs w:val="21"/>
                    </w:rPr>
                    <w:t>运营期无生产废水产生，</w:t>
                  </w:r>
                  <w:r>
                    <w:rPr>
                      <w:rFonts w:hAnsi="宋体"/>
                      <w:kern w:val="0"/>
                      <w:szCs w:val="21"/>
                    </w:rPr>
                    <w:t>生活污水</w:t>
                  </w:r>
                  <w:r>
                    <w:rPr>
                      <w:rFonts w:hint="eastAsia" w:hAnsi="宋体"/>
                      <w:kern w:val="0"/>
                      <w:szCs w:val="21"/>
                    </w:rPr>
                    <w:t>排入新建化粪池</w:t>
                  </w:r>
                  <w:r>
                    <w:rPr>
                      <w:rFonts w:hAnsi="宋体"/>
                      <w:kern w:val="0"/>
                      <w:szCs w:val="21"/>
                    </w:rPr>
                    <w:t>收集后</w:t>
                  </w:r>
                  <w:r>
                    <w:rPr>
                      <w:rFonts w:hint="eastAsia" w:hAnsi="宋体"/>
                      <w:kern w:val="0"/>
                      <w:szCs w:val="21"/>
                    </w:rPr>
                    <w:t>，定期委托环卫部门吸污车清运集中处理</w:t>
                  </w:r>
                </w:p>
              </w:tc>
              <w:tc>
                <w:tcPr>
                  <w:tcW w:w="460" w:type="pct"/>
                  <w:shd w:val="clear" w:color="auto" w:fill="auto"/>
                  <w:vAlign w:val="center"/>
                </w:tcPr>
                <w:p>
                  <w:pPr>
                    <w:autoSpaceDE w:val="0"/>
                    <w:autoSpaceDN w:val="0"/>
                    <w:adjustRightInd w:val="0"/>
                    <w:jc w:val="center"/>
                    <w:rPr>
                      <w:rStyle w:val="37"/>
                      <w:rFonts w:hAnsi="宋体"/>
                      <w:sz w:val="22"/>
                    </w:rPr>
                  </w:pPr>
                  <w:r>
                    <w:rPr>
                      <w:rStyle w:val="37"/>
                      <w:rFonts w:hint="eastAsia" w:hAnsi="宋体"/>
                      <w:sz w:val="22"/>
                    </w:rPr>
                    <w:t>符合</w:t>
                  </w:r>
                </w:p>
              </w:tc>
            </w:tr>
          </w:tbl>
          <w:p>
            <w:pPr>
              <w:autoSpaceDE w:val="0"/>
              <w:autoSpaceDN w:val="0"/>
              <w:adjustRightInd w:val="0"/>
              <w:spacing w:line="408" w:lineRule="auto"/>
              <w:ind w:firstLine="520" w:firstLineChars="200"/>
              <w:jc w:val="left"/>
              <w:rPr>
                <w:bCs/>
                <w:spacing w:val="10"/>
                <w:sz w:val="24"/>
                <w:szCs w:val="21"/>
              </w:rPr>
            </w:pPr>
          </w:p>
          <w:p>
            <w:pPr>
              <w:autoSpaceDE w:val="0"/>
              <w:autoSpaceDN w:val="0"/>
              <w:adjustRightInd w:val="0"/>
              <w:spacing w:line="408" w:lineRule="auto"/>
              <w:ind w:firstLine="522" w:firstLineChars="200"/>
              <w:jc w:val="left"/>
              <w:rPr>
                <w:b/>
                <w:bCs/>
                <w:spacing w:val="10"/>
                <w:sz w:val="24"/>
                <w:szCs w:val="21"/>
              </w:rPr>
            </w:pPr>
            <w:r>
              <w:rPr>
                <w:b/>
                <w:bCs/>
                <w:spacing w:val="10"/>
                <w:sz w:val="24"/>
                <w:szCs w:val="21"/>
              </w:rPr>
              <w:t>5、</w:t>
            </w:r>
            <w:r>
              <w:rPr>
                <w:rFonts w:hint="eastAsia"/>
                <w:b/>
                <w:bCs/>
                <w:spacing w:val="10"/>
                <w:sz w:val="24"/>
                <w:szCs w:val="21"/>
              </w:rPr>
              <w:t>与《昌吉回族自治州国民经济和社会发展第十四个五年规划和2035年远景目标纲要》符合性分析</w:t>
            </w:r>
          </w:p>
          <w:p>
            <w:pPr>
              <w:autoSpaceDE w:val="0"/>
              <w:autoSpaceDN w:val="0"/>
              <w:adjustRightInd w:val="0"/>
              <w:jc w:val="center"/>
              <w:rPr>
                <w:b/>
                <w:bCs/>
                <w:spacing w:val="10"/>
                <w:szCs w:val="21"/>
              </w:rPr>
            </w:pPr>
            <w:r>
              <w:rPr>
                <w:rFonts w:hint="eastAsia"/>
                <w:b/>
                <w:bCs/>
                <w:spacing w:val="10"/>
                <w:szCs w:val="21"/>
              </w:rPr>
              <w:t>表3</w:t>
            </w:r>
            <w:r>
              <w:rPr>
                <w:b/>
                <w:bCs/>
                <w:spacing w:val="10"/>
                <w:szCs w:val="21"/>
              </w:rPr>
              <w:t xml:space="preserve"> </w:t>
            </w:r>
            <w:r>
              <w:rPr>
                <w:rFonts w:hint="eastAsia"/>
                <w:b/>
                <w:bCs/>
                <w:spacing w:val="10"/>
                <w:szCs w:val="21"/>
              </w:rPr>
              <w:t>《昌吉回族自治州国民经济和社会发展第十四个五年规划和2035年远景目标纲要》符合性分析</w:t>
            </w:r>
          </w:p>
          <w:tbl>
            <w:tblPr>
              <w:tblStyle w:val="13"/>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324"/>
              <w:gridCol w:w="4294"/>
              <w:gridCol w:w="2484"/>
              <w:gridCol w:w="35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shd w:val="clear" w:color="auto" w:fill="FFFFFF"/>
                    </w:rPr>
                  </w:pPr>
                  <w:r>
                    <w:rPr>
                      <w:rFonts w:hint="eastAsia"/>
                      <w:shd w:val="clear" w:color="auto" w:fill="FFFFFF"/>
                    </w:rPr>
                    <w:t>序号</w:t>
                  </w:r>
                </w:p>
              </w:tc>
              <w:tc>
                <w:tcPr>
                  <w:tcW w:w="2879" w:type="pct"/>
                  <w:shd w:val="clear" w:color="auto" w:fill="auto"/>
                  <w:vAlign w:val="center"/>
                </w:tcPr>
                <w:p>
                  <w:pPr>
                    <w:widowControl/>
                    <w:adjustRightInd w:val="0"/>
                    <w:snapToGrid w:val="0"/>
                    <w:jc w:val="center"/>
                    <w:rPr>
                      <w:shd w:val="clear" w:color="auto" w:fill="FFFFFF"/>
                    </w:rPr>
                  </w:pPr>
                  <w:r>
                    <w:rPr>
                      <w:rFonts w:hint="eastAsia"/>
                      <w:shd w:val="clear" w:color="auto" w:fill="FFFFFF"/>
                    </w:rPr>
                    <w:t>文件要求</w:t>
                  </w:r>
                </w:p>
              </w:tc>
              <w:tc>
                <w:tcPr>
                  <w:tcW w:w="1665" w:type="pct"/>
                  <w:shd w:val="clear" w:color="auto" w:fill="auto"/>
                  <w:vAlign w:val="center"/>
                </w:tcPr>
                <w:p>
                  <w:pPr>
                    <w:widowControl/>
                    <w:adjustRightInd w:val="0"/>
                    <w:snapToGrid w:val="0"/>
                    <w:jc w:val="center"/>
                    <w:rPr>
                      <w:shd w:val="clear" w:color="auto" w:fill="FFFFFF"/>
                    </w:rPr>
                  </w:pPr>
                  <w:r>
                    <w:rPr>
                      <w:rFonts w:hint="eastAsia"/>
                      <w:shd w:val="clear" w:color="auto" w:fill="FFFFFF"/>
                    </w:rPr>
                    <w:t>项目情况</w:t>
                  </w:r>
                </w:p>
              </w:tc>
              <w:tc>
                <w:tcPr>
                  <w:tcW w:w="239" w:type="pct"/>
                  <w:shd w:val="clear" w:color="auto" w:fill="auto"/>
                  <w:vAlign w:val="center"/>
                </w:tcPr>
                <w:p>
                  <w:pPr>
                    <w:widowControl/>
                    <w:adjustRightInd w:val="0"/>
                    <w:snapToGrid w:val="0"/>
                    <w:jc w:val="center"/>
                    <w:rPr>
                      <w:shd w:val="clear" w:color="auto" w:fill="FFFFFF"/>
                    </w:rPr>
                  </w:pPr>
                  <w:r>
                    <w:rPr>
                      <w:rFonts w:hint="eastAsia"/>
                      <w:shd w:val="clear" w:color="auto" w:fill="FFFFFF"/>
                    </w:rPr>
                    <w:t>符合性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shd w:val="clear" w:color="auto" w:fill="FFFFFF"/>
                    </w:rPr>
                  </w:pPr>
                  <w:r>
                    <w:rPr>
                      <w:rFonts w:hint="eastAsia"/>
                      <w:shd w:val="clear" w:color="auto" w:fill="FFFFFF"/>
                    </w:rPr>
                    <w:t>1</w:t>
                  </w:r>
                </w:p>
              </w:tc>
              <w:tc>
                <w:tcPr>
                  <w:tcW w:w="2879" w:type="pct"/>
                  <w:shd w:val="clear" w:color="auto" w:fill="auto"/>
                  <w:vAlign w:val="center"/>
                </w:tcPr>
                <w:p>
                  <w:pPr>
                    <w:widowControl/>
                    <w:adjustRightInd w:val="0"/>
                    <w:snapToGrid w:val="0"/>
                    <w:jc w:val="center"/>
                    <w:rPr>
                      <w:shd w:val="clear" w:color="auto" w:fill="FFFFFF"/>
                    </w:rPr>
                  </w:pPr>
                  <w:r>
                    <w:rPr>
                      <w:shd w:val="clear" w:color="auto" w:fill="FFFFFF"/>
                    </w:rPr>
                    <w:t>紧紧围绕构建乌昌国际性综合交通枢纽，聚力“两新一重”建设，畅通国内国际双循环，主动融入丝绸之路经济带核心区建设，推动交通运输高质量发展。推进实施乌昌轨道交通、将军庙至淖毛湖铁路、乌鲁木齐至将军庙扩能改造铁路、G331线鸣沙山至乌拉斯台公路、S239线吉木萨尔至吐鲁番大河沿公路、准东（奇台）支线机场和准东五彩湾、木垒县、呼图壁县通用机场等一批交通建设重点项目。到2025年，新增高速公路里程130公里、铁路里程200公里</w:t>
                  </w:r>
                </w:p>
              </w:tc>
              <w:tc>
                <w:tcPr>
                  <w:tcW w:w="1665" w:type="pct"/>
                  <w:shd w:val="clear" w:color="auto" w:fill="auto"/>
                  <w:vAlign w:val="center"/>
                </w:tcPr>
                <w:p>
                  <w:pPr>
                    <w:widowControl/>
                    <w:adjustRightInd w:val="0"/>
                    <w:snapToGrid w:val="0"/>
                    <w:jc w:val="center"/>
                    <w:rPr>
                      <w:shd w:val="clear" w:color="auto" w:fill="FFFFFF"/>
                    </w:rPr>
                  </w:pPr>
                  <w:r>
                    <w:rPr>
                      <w:shd w:val="clear" w:color="auto" w:fill="FFFFFF"/>
                    </w:rPr>
                    <w:t>本项目为下南泉铁路专用线建设项目，主要为大黄山豫新煤业有限责任公司提供货物运输服务，货物主要发往疆外各地，能够加快推动交通运输高质量发展</w:t>
                  </w:r>
                </w:p>
              </w:tc>
              <w:tc>
                <w:tcPr>
                  <w:tcW w:w="239" w:type="pct"/>
                  <w:shd w:val="clear" w:color="auto" w:fill="auto"/>
                  <w:vAlign w:val="center"/>
                </w:tcPr>
                <w:p>
                  <w:pPr>
                    <w:widowControl/>
                    <w:adjustRightInd w:val="0"/>
                    <w:snapToGrid w:val="0"/>
                    <w:jc w:val="center"/>
                    <w:rPr>
                      <w:shd w:val="clear" w:color="auto" w:fill="FFFFFF"/>
                    </w:rPr>
                  </w:pPr>
                  <w:r>
                    <w:rPr>
                      <w:rFonts w:hint="eastAsia"/>
                      <w:shd w:val="clear" w:color="auto" w:fill="FFFFFF"/>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shd w:val="clear" w:color="auto" w:fill="FFFFFF"/>
                    </w:rPr>
                  </w:pPr>
                  <w:r>
                    <w:rPr>
                      <w:rFonts w:hint="eastAsia"/>
                      <w:shd w:val="clear" w:color="auto" w:fill="FFFFFF"/>
                    </w:rPr>
                    <w:t>2</w:t>
                  </w:r>
                </w:p>
              </w:tc>
              <w:tc>
                <w:tcPr>
                  <w:tcW w:w="2879" w:type="pct"/>
                  <w:shd w:val="clear" w:color="auto" w:fill="auto"/>
                  <w:vAlign w:val="center"/>
                </w:tcPr>
                <w:p>
                  <w:pPr>
                    <w:widowControl/>
                    <w:adjustRightInd w:val="0"/>
                    <w:snapToGrid w:val="0"/>
                    <w:jc w:val="center"/>
                    <w:rPr>
                      <w:snapToGrid w:val="0"/>
                      <w:kern w:val="0"/>
                      <w:szCs w:val="21"/>
                    </w:rPr>
                  </w:pPr>
                  <w:r>
                    <w:rPr>
                      <w:snapToGrid w:val="0"/>
                      <w:kern w:val="0"/>
                      <w:szCs w:val="21"/>
                    </w:rPr>
                    <w:t>推进地方开发性铁路、铁路专用线建设，加强与园区、矿区、大型企业等有效衔接，增强对干线铁路的支撑作用，加快推进“公转铁”实施进度；积极探索长距离皮带运输廊道集中运输方式，实现煤炭清洁高效运输；抓住国家开放低空空域的政策机遇，重点打造航空产业链，发展通用航空产业，提升农业防护、环保监测、气象勘测处置及商务出行的便捷水平；进一步完善城乡配送基础设施、贯通县、乡、村邮政服务网络，畅通快递末端微循环，积极推进快递末端网点布局建设</w:t>
                  </w:r>
                </w:p>
              </w:tc>
              <w:tc>
                <w:tcPr>
                  <w:tcW w:w="1665" w:type="pct"/>
                  <w:shd w:val="clear" w:color="auto" w:fill="auto"/>
                  <w:vAlign w:val="center"/>
                </w:tcPr>
                <w:p>
                  <w:pPr>
                    <w:widowControl/>
                    <w:adjustRightInd w:val="0"/>
                    <w:snapToGrid w:val="0"/>
                    <w:jc w:val="center"/>
                    <w:rPr>
                      <w:snapToGrid w:val="0"/>
                      <w:kern w:val="0"/>
                      <w:szCs w:val="21"/>
                    </w:rPr>
                  </w:pPr>
                  <w:r>
                    <w:rPr>
                      <w:snapToGrid w:val="0"/>
                      <w:kern w:val="0"/>
                      <w:szCs w:val="21"/>
                    </w:rPr>
                    <w:t>本项目为下南泉铁路专用线建设项目，主要为大黄山豫新煤业有限责任公司提供货物运输服务，能够加快矿区发展，满足货物集运需求，同时为园区、企业提供便利。能够有效提高运输效率，降低运输成本。</w:t>
                  </w:r>
                  <w:r>
                    <w:rPr>
                      <w:rFonts w:hint="eastAsia"/>
                      <w:snapToGrid w:val="0"/>
                      <w:kern w:val="0"/>
                      <w:szCs w:val="21"/>
                    </w:rPr>
                    <w:t>具有节能降耗、减少碳排放的环境意义，有良好的环境效益。</w:t>
                  </w:r>
                </w:p>
              </w:tc>
              <w:tc>
                <w:tcPr>
                  <w:tcW w:w="239" w:type="pct"/>
                  <w:shd w:val="clear" w:color="auto" w:fill="auto"/>
                  <w:vAlign w:val="center"/>
                </w:tcPr>
                <w:p>
                  <w:pPr>
                    <w:widowControl/>
                    <w:adjustRightInd w:val="0"/>
                    <w:snapToGrid w:val="0"/>
                    <w:jc w:val="center"/>
                    <w:rPr>
                      <w:shd w:val="clear" w:color="auto" w:fill="FFFFFF"/>
                    </w:rPr>
                  </w:pPr>
                  <w:r>
                    <w:rPr>
                      <w:rFonts w:hint="eastAsia"/>
                      <w:shd w:val="clear" w:color="auto" w:fill="FFFFFF"/>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shd w:val="clear" w:color="auto" w:fill="FFFFFF"/>
                    </w:rPr>
                  </w:pPr>
                  <w:r>
                    <w:rPr>
                      <w:shd w:val="clear" w:color="auto" w:fill="FFFFFF"/>
                    </w:rPr>
                    <w:t>3</w:t>
                  </w:r>
                </w:p>
              </w:tc>
              <w:tc>
                <w:tcPr>
                  <w:tcW w:w="2879" w:type="pct"/>
                  <w:shd w:val="clear" w:color="auto" w:fill="auto"/>
                  <w:vAlign w:val="center"/>
                </w:tcPr>
                <w:p>
                  <w:pPr>
                    <w:widowControl/>
                    <w:adjustRightInd w:val="0"/>
                    <w:snapToGrid w:val="0"/>
                    <w:jc w:val="center"/>
                    <w:rPr>
                      <w:shd w:val="clear" w:color="auto" w:fill="FFFFFF"/>
                    </w:rPr>
                  </w:pPr>
                  <w:r>
                    <w:rPr>
                      <w:shd w:val="clear" w:color="auto" w:fill="FFFFFF"/>
                    </w:rPr>
                    <w:t>严控扬尘、农业和生活面源污染。继续开展裸露土地清零专项行动，精准落实建筑施工工地“六个百分之百”管控要求。推行道路机械化湿式清扫等低尘作业方式。大力推行绿色生态农业，鼓励和引导各县（市）积极引进秸秆还田技术、有机肥生产示范项目。推广使用高效净化型家用抽油烟机；优化餐饮业布局，加强餐饮油烟污染治理。</w:t>
                  </w:r>
                </w:p>
              </w:tc>
              <w:tc>
                <w:tcPr>
                  <w:tcW w:w="1665" w:type="pct"/>
                  <w:shd w:val="clear" w:color="auto" w:fill="auto"/>
                  <w:vAlign w:val="center"/>
                </w:tcPr>
                <w:p>
                  <w:pPr>
                    <w:widowControl/>
                    <w:adjustRightInd w:val="0"/>
                    <w:snapToGrid w:val="0"/>
                    <w:jc w:val="center"/>
                    <w:rPr>
                      <w:shd w:val="clear" w:color="auto" w:fill="FFFFFF"/>
                    </w:rPr>
                  </w:pPr>
                  <w:r>
                    <w:rPr>
                      <w:rFonts w:hint="eastAsia"/>
                      <w:snapToGrid w:val="0"/>
                      <w:kern w:val="0"/>
                      <w:szCs w:val="21"/>
                    </w:rPr>
                    <w:t>本项目施工期设置围挡，严格落实六个百分百，定期对场地洒水抑尘；食堂油烟配备油烟器净化器处理后满足《饮食业油烟排放标准（试行）》（GB</w:t>
                  </w:r>
                  <w:r>
                    <w:rPr>
                      <w:snapToGrid w:val="0"/>
                      <w:kern w:val="0"/>
                      <w:szCs w:val="21"/>
                    </w:rPr>
                    <w:t>18483-2001</w:t>
                  </w:r>
                  <w:r>
                    <w:rPr>
                      <w:rFonts w:hint="eastAsia"/>
                      <w:snapToGrid w:val="0"/>
                      <w:kern w:val="0"/>
                      <w:szCs w:val="21"/>
                    </w:rPr>
                    <w:t>）中限值要求</w:t>
                  </w:r>
                </w:p>
              </w:tc>
              <w:tc>
                <w:tcPr>
                  <w:tcW w:w="239" w:type="pct"/>
                  <w:shd w:val="clear" w:color="auto" w:fill="auto"/>
                  <w:vAlign w:val="center"/>
                </w:tcPr>
                <w:p>
                  <w:pPr>
                    <w:widowControl/>
                    <w:adjustRightInd w:val="0"/>
                    <w:snapToGrid w:val="0"/>
                    <w:jc w:val="center"/>
                    <w:rPr>
                      <w:shd w:val="clear" w:color="auto" w:fill="FFFFFF"/>
                    </w:rPr>
                  </w:pPr>
                  <w:r>
                    <w:rPr>
                      <w:rFonts w:hint="eastAsia"/>
                      <w:shd w:val="clear" w:color="auto" w:fill="FFFFFF"/>
                    </w:rPr>
                    <w:t>符合</w:t>
                  </w:r>
                </w:p>
              </w:tc>
            </w:tr>
          </w:tbl>
          <w:p>
            <w:pPr>
              <w:autoSpaceDE w:val="0"/>
              <w:autoSpaceDN w:val="0"/>
              <w:adjustRightInd w:val="0"/>
              <w:jc w:val="left"/>
              <w:rPr>
                <w:kern w:val="0"/>
                <w:sz w:val="28"/>
              </w:rPr>
            </w:pPr>
          </w:p>
          <w:p>
            <w:pPr>
              <w:autoSpaceDE w:val="0"/>
              <w:autoSpaceDN w:val="0"/>
              <w:adjustRightInd w:val="0"/>
              <w:spacing w:line="408" w:lineRule="auto"/>
              <w:ind w:firstLine="482" w:firstLineChars="200"/>
              <w:jc w:val="left"/>
              <w:rPr>
                <w:b/>
                <w:kern w:val="0"/>
                <w:sz w:val="24"/>
              </w:rPr>
            </w:pPr>
            <w:r>
              <w:rPr>
                <w:b/>
                <w:kern w:val="0"/>
                <w:sz w:val="24"/>
              </w:rPr>
              <w:t>6</w:t>
            </w:r>
            <w:r>
              <w:rPr>
                <w:rFonts w:hint="eastAsia"/>
                <w:b/>
                <w:kern w:val="0"/>
                <w:sz w:val="24"/>
              </w:rPr>
              <w:t>、与《关于加快推进铁路专用线建设的指导意见》符合性分析</w:t>
            </w:r>
          </w:p>
          <w:p>
            <w:pPr>
              <w:autoSpaceDE w:val="0"/>
              <w:autoSpaceDN w:val="0"/>
              <w:adjustRightInd w:val="0"/>
              <w:spacing w:line="408" w:lineRule="auto"/>
              <w:ind w:firstLine="480" w:firstLineChars="200"/>
              <w:jc w:val="left"/>
              <w:rPr>
                <w:snapToGrid w:val="0"/>
                <w:kern w:val="0"/>
                <w:sz w:val="24"/>
                <w:szCs w:val="21"/>
              </w:rPr>
            </w:pPr>
            <w:r>
              <w:rPr>
                <w:rFonts w:hint="eastAsia"/>
                <w:snapToGrid w:val="0"/>
                <w:kern w:val="0"/>
                <w:sz w:val="24"/>
                <w:szCs w:val="21"/>
              </w:rPr>
              <w:t>为优化调整运输结构、打赢蓝天保卫战，更好发挥铁路在综合交通运输体系中的骨干作用和绿色低碳优势，推进铁路进港口、大型工矿企业和物流园区，解决好铁路运输“最后一公里”问题，促进多式联运，降低物流成本，国家发改委就加快推进铁路专用线建设提出相关意见关于加快推进铁路专用线建设的指导意见》。</w:t>
            </w:r>
          </w:p>
          <w:p>
            <w:pPr>
              <w:autoSpaceDE w:val="0"/>
              <w:autoSpaceDN w:val="0"/>
              <w:adjustRightInd w:val="0"/>
              <w:spacing w:line="408" w:lineRule="auto"/>
              <w:ind w:firstLine="422" w:firstLineChars="200"/>
              <w:jc w:val="center"/>
              <w:rPr>
                <w:b/>
                <w:kern w:val="0"/>
                <w:sz w:val="24"/>
              </w:rPr>
            </w:pPr>
            <w:r>
              <w:rPr>
                <w:b/>
                <w:kern w:val="0"/>
              </w:rPr>
              <w:t>表4 《关于加快推进铁路专用线建设的指导意见》符合性分析</w:t>
            </w:r>
          </w:p>
          <w:tbl>
            <w:tblPr>
              <w:tblStyle w:val="13"/>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324"/>
              <w:gridCol w:w="4294"/>
              <w:gridCol w:w="2484"/>
              <w:gridCol w:w="35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序号</w:t>
                  </w:r>
                </w:p>
              </w:tc>
              <w:tc>
                <w:tcPr>
                  <w:tcW w:w="2879"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文件要求</w:t>
                  </w:r>
                </w:p>
              </w:tc>
              <w:tc>
                <w:tcPr>
                  <w:tcW w:w="1665"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项目情况</w:t>
                  </w:r>
                </w:p>
              </w:tc>
              <w:tc>
                <w:tcPr>
                  <w:tcW w:w="239"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符合性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kern w:val="0"/>
                      <w:szCs w:val="21"/>
                    </w:rPr>
                  </w:pPr>
                  <w:r>
                    <w:rPr>
                      <w:rFonts w:hint="eastAsia"/>
                      <w:kern w:val="0"/>
                      <w:szCs w:val="21"/>
                    </w:rPr>
                    <w:t>1</w:t>
                  </w:r>
                </w:p>
              </w:tc>
              <w:tc>
                <w:tcPr>
                  <w:tcW w:w="2879"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规划新建客货共线、货运专线铁路时，要充分考虑沿线铁路专用线接入需求，同步做好专用线线路走向和衔接条件的论证，鼓励铁路专用线与之同步规划设计、同期建成开通。具备同步实施条件的，新建铁路要提供有利的接轨条件，按照专用线能力需要配套建设接轨站。暂不具备同步建设条件的，新建铁路应做好接轨条件预留。结合新线铁路建设和既有线扩能改造，鼓励根据需要对既有专用线实施相关改造，尽可能盘活既有专用线资源和运能，提高利用效率</w:t>
                  </w:r>
                </w:p>
              </w:tc>
              <w:tc>
                <w:tcPr>
                  <w:tcW w:w="1665"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本专用线委托铁道勘察设计院有限公司根据现有线路和新建专用线改造，分析专用线接轨点、接轨站可行性并加以论证，并结合矿区发展和煤炭储量综合对近远期发展需求和运能进行分析</w:t>
                  </w:r>
                </w:p>
              </w:tc>
              <w:tc>
                <w:tcPr>
                  <w:tcW w:w="239"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kern w:val="0"/>
                      <w:szCs w:val="21"/>
                    </w:rPr>
                  </w:pPr>
                  <w:r>
                    <w:rPr>
                      <w:rFonts w:hint="eastAsia"/>
                      <w:kern w:val="0"/>
                      <w:szCs w:val="21"/>
                    </w:rPr>
                    <w:t>2</w:t>
                  </w:r>
                </w:p>
              </w:tc>
              <w:tc>
                <w:tcPr>
                  <w:tcW w:w="2879"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在保障运输安全顺畅的前提下，合理确定新建及改扩建铁路专用线建设等级和技术标准，经济适用配置站后设施设备。铁路专用线优先采用再用轨、再用枕，牵引供电可采用单路外部电源或单台牵引变压器等。办理煤炭等易产生扬尘污染的专用线，应配套建设绿色环保设施。不得随意采用设计上限标准和配置不相关的设施设备，从源头上降低专用线造价，切实减轻企业负担。专用线选址要符合国土空间规划，合理避让永久基本农田和生态保护红线，节约集约用地</w:t>
                  </w:r>
                </w:p>
              </w:tc>
              <w:tc>
                <w:tcPr>
                  <w:tcW w:w="1665"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本项目采用集装箱运输，装卸站场地定期洒水，堆场配备洒水抑尘设施，防止扬尘污染；选址不涉及永久基本农田和生态保护红线，符合国土空间规划</w:t>
                  </w:r>
                </w:p>
              </w:tc>
              <w:tc>
                <w:tcPr>
                  <w:tcW w:w="239"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7" w:type="pct"/>
                  <w:vAlign w:val="center"/>
                </w:tcPr>
                <w:p>
                  <w:pPr>
                    <w:widowControl/>
                    <w:adjustRightInd w:val="0"/>
                    <w:snapToGrid w:val="0"/>
                    <w:jc w:val="center"/>
                    <w:rPr>
                      <w:kern w:val="0"/>
                      <w:szCs w:val="21"/>
                    </w:rPr>
                  </w:pPr>
                  <w:r>
                    <w:rPr>
                      <w:rFonts w:hint="eastAsia"/>
                      <w:kern w:val="0"/>
                      <w:szCs w:val="21"/>
                    </w:rPr>
                    <w:t>3</w:t>
                  </w:r>
                </w:p>
              </w:tc>
              <w:tc>
                <w:tcPr>
                  <w:tcW w:w="2879"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专用线产权单位自主决策、按市场化原则开展运营维护，可采取自营、委托运营等方式。进一步开放专用线代运营代维护市场，允许工程施工、装备制造、社会物流企业等参与并提供相关服务，鼓励建立区域性、专业化铁路专用线运营维护机制和企业。专用线委托铁路企业运营维护的，铁路企业应积极采用车、工、电、供一体化生产组织模式，集中集约设置生产生活设施，统筹检修工装设备运用，尽可能降低运营支出，同时参照自身运营相关作业的内部成本控制定额，在平等协商基础上，合理确定收费标准。专用线由产权单位自己运营维护的，铁路企业要加强指导，确保满足国家相关标准和规定，保障运输安全</w:t>
                  </w:r>
                </w:p>
              </w:tc>
              <w:tc>
                <w:tcPr>
                  <w:tcW w:w="1665" w:type="pct"/>
                  <w:shd w:val="clear" w:color="auto" w:fill="auto"/>
                  <w:vAlign w:val="center"/>
                </w:tcPr>
                <w:p>
                  <w:pPr>
                    <w:widowControl/>
                    <w:adjustRightInd w:val="0"/>
                    <w:snapToGrid w:val="0"/>
                    <w:jc w:val="center"/>
                    <w:rPr>
                      <w:snapToGrid w:val="0"/>
                      <w:kern w:val="0"/>
                      <w:szCs w:val="21"/>
                    </w:rPr>
                  </w:pPr>
                  <w:r>
                    <w:rPr>
                      <w:rFonts w:hint="eastAsia"/>
                      <w:snapToGrid w:val="0"/>
                      <w:kern w:val="0"/>
                      <w:szCs w:val="21"/>
                    </w:rPr>
                    <w:t>为了合理利用既有设备，提高运输效率；并有利于协调与相邻线的关系，减少中间环节，减少管理层次，提高工作效率，降低运输成本，本专用线建成后，委托中国铁路乌鲁木齐局集团有限公司运营管理</w:t>
                  </w:r>
                </w:p>
              </w:tc>
              <w:tc>
                <w:tcPr>
                  <w:tcW w:w="239" w:type="pct"/>
                  <w:shd w:val="clear" w:color="auto" w:fill="auto"/>
                  <w:vAlign w:val="center"/>
                </w:tcPr>
                <w:p>
                  <w:pPr>
                    <w:widowControl/>
                    <w:adjustRightInd w:val="0"/>
                    <w:snapToGrid w:val="0"/>
                    <w:jc w:val="center"/>
                    <w:rPr>
                      <w:rFonts w:ascii="宋体" w:hAnsi="宋体"/>
                      <w:snapToGrid w:val="0"/>
                      <w:kern w:val="0"/>
                      <w:szCs w:val="21"/>
                    </w:rPr>
                  </w:pPr>
                  <w:r>
                    <w:rPr>
                      <w:rFonts w:hint="eastAsia" w:ascii="宋体" w:hAnsi="宋体"/>
                      <w:snapToGrid w:val="0"/>
                      <w:kern w:val="0"/>
                      <w:szCs w:val="21"/>
                    </w:rPr>
                    <w:t>符合</w:t>
                  </w:r>
                </w:p>
              </w:tc>
            </w:tr>
          </w:tbl>
          <w:p>
            <w:pPr>
              <w:autoSpaceDE w:val="0"/>
              <w:autoSpaceDN w:val="0"/>
              <w:adjustRightInd w:val="0"/>
              <w:spacing w:line="408" w:lineRule="auto"/>
              <w:ind w:firstLine="480" w:firstLineChars="200"/>
              <w:jc w:val="left"/>
              <w:rPr>
                <w:kern w:val="0"/>
                <w:sz w:val="24"/>
              </w:rPr>
            </w:pPr>
          </w:p>
          <w:p>
            <w:pPr>
              <w:adjustRightInd w:val="0"/>
              <w:snapToGrid w:val="0"/>
              <w:spacing w:line="408" w:lineRule="auto"/>
              <w:ind w:firstLine="480" w:firstLineChars="200"/>
              <w:rPr>
                <w:bCs/>
                <w:sz w:val="24"/>
                <w:lang w:bidi="en-US"/>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1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13"/>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392" w:type="dxa"/>
            <w:vAlign w:val="center"/>
          </w:tcPr>
          <w:p>
            <w:pPr>
              <w:adjustRightInd w:val="0"/>
              <w:snapToGrid w:val="0"/>
              <w:jc w:val="center"/>
              <w:rPr>
                <w:kern w:val="0"/>
                <w:szCs w:val="21"/>
              </w:rPr>
            </w:pPr>
            <w:r>
              <w:rPr>
                <w:kern w:val="0"/>
                <w:szCs w:val="21"/>
              </w:rPr>
              <w:t>地理位置</w:t>
            </w:r>
          </w:p>
        </w:tc>
        <w:tc>
          <w:tcPr>
            <w:tcW w:w="8698" w:type="dxa"/>
            <w:vAlign w:val="center"/>
          </w:tcPr>
          <w:p>
            <w:pPr>
              <w:adjustRightInd w:val="0"/>
              <w:snapToGrid w:val="0"/>
              <w:spacing w:line="360" w:lineRule="auto"/>
              <w:ind w:firstLine="520" w:firstLineChars="200"/>
              <w:jc w:val="left"/>
              <w:rPr>
                <w:kern w:val="0"/>
                <w:sz w:val="24"/>
              </w:rPr>
            </w:pPr>
            <w:r>
              <w:rPr>
                <w:bCs/>
                <w:spacing w:val="10"/>
                <w:sz w:val="24"/>
                <w:szCs w:val="21"/>
              </w:rPr>
              <w:t>拟建专用线路位于新疆维吾尔自治区昌吉州阜康市境内，乌将线下南泉站西北侧约3.0km处。本专用线自乌将线下南泉站站房同侧乌北端咽喉引出，并行乌将线约750m后以R=600m的曲线折向西北方向进入豫新装卸站，新建正线线路全长3.160km。拟接轨铁路名称：乌将铁路。接轨车站：下南泉站。接轨点：下南泉站乌北端，正线投影里程为K93+776.63</w:t>
            </w:r>
            <w:r>
              <w:rPr>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22" w:hRule="atLeast"/>
          <w:jc w:val="center"/>
        </w:trPr>
        <w:tc>
          <w:tcPr>
            <w:tcW w:w="392" w:type="dxa"/>
            <w:vAlign w:val="center"/>
          </w:tcPr>
          <w:p>
            <w:pPr>
              <w:adjustRightInd w:val="0"/>
              <w:snapToGrid w:val="0"/>
              <w:jc w:val="center"/>
              <w:rPr>
                <w:kern w:val="0"/>
                <w:szCs w:val="21"/>
              </w:rPr>
            </w:pPr>
            <w:r>
              <w:rPr>
                <w:kern w:val="0"/>
                <w:szCs w:val="21"/>
              </w:rPr>
              <w:t>项目组成及规模</w:t>
            </w:r>
          </w:p>
        </w:tc>
        <w:tc>
          <w:tcPr>
            <w:tcW w:w="8698" w:type="dxa"/>
            <w:vAlign w:val="center"/>
          </w:tcPr>
          <w:p>
            <w:pPr>
              <w:autoSpaceDE w:val="0"/>
              <w:autoSpaceDN w:val="0"/>
              <w:adjustRightInd w:val="0"/>
              <w:spacing w:line="360" w:lineRule="auto"/>
              <w:ind w:firstLine="482" w:firstLineChars="200"/>
              <w:jc w:val="left"/>
              <w:rPr>
                <w:b/>
                <w:bCs/>
                <w:kern w:val="0"/>
                <w:sz w:val="24"/>
              </w:rPr>
            </w:pPr>
            <w:r>
              <w:rPr>
                <w:b/>
                <w:bCs/>
                <w:kern w:val="0"/>
                <w:sz w:val="24"/>
              </w:rPr>
              <w:t>1、项目基本情况</w:t>
            </w:r>
          </w:p>
          <w:p>
            <w:pPr>
              <w:adjustRightInd w:val="0"/>
              <w:snapToGrid w:val="0"/>
              <w:spacing w:line="408" w:lineRule="auto"/>
              <w:ind w:firstLine="520" w:firstLineChars="200"/>
              <w:rPr>
                <w:bCs/>
                <w:spacing w:val="10"/>
                <w:sz w:val="24"/>
                <w:szCs w:val="21"/>
              </w:rPr>
            </w:pPr>
            <w:r>
              <w:rPr>
                <w:bCs/>
                <w:spacing w:val="10"/>
                <w:sz w:val="24"/>
                <w:szCs w:val="21"/>
              </w:rPr>
              <w:t>项目名称：新疆大黄山豫新煤业有限责任公司下南泉铁路专用线项目</w:t>
            </w:r>
          </w:p>
          <w:p>
            <w:pPr>
              <w:adjustRightInd w:val="0"/>
              <w:snapToGrid w:val="0"/>
              <w:spacing w:line="408" w:lineRule="auto"/>
              <w:ind w:firstLine="520" w:firstLineChars="200"/>
              <w:rPr>
                <w:bCs/>
                <w:spacing w:val="10"/>
                <w:sz w:val="24"/>
                <w:szCs w:val="21"/>
              </w:rPr>
            </w:pPr>
            <w:r>
              <w:rPr>
                <w:bCs/>
                <w:spacing w:val="10"/>
                <w:sz w:val="24"/>
                <w:szCs w:val="21"/>
              </w:rPr>
              <w:t>建设单位：</w:t>
            </w:r>
            <w:r>
              <w:rPr>
                <w:rFonts w:hint="eastAsia"/>
                <w:bCs/>
                <w:spacing w:val="10"/>
                <w:sz w:val="24"/>
                <w:szCs w:val="21"/>
              </w:rPr>
              <w:t>新</w:t>
            </w:r>
            <w:r>
              <w:rPr>
                <w:bCs/>
                <w:spacing w:val="10"/>
                <w:sz w:val="24"/>
                <w:szCs w:val="21"/>
              </w:rPr>
              <w:t>疆大黄山豫新煤业有限责任公司</w:t>
            </w:r>
          </w:p>
          <w:p>
            <w:pPr>
              <w:adjustRightInd w:val="0"/>
              <w:snapToGrid w:val="0"/>
              <w:spacing w:line="408" w:lineRule="auto"/>
              <w:ind w:firstLine="520" w:firstLineChars="200"/>
              <w:rPr>
                <w:bCs/>
                <w:spacing w:val="10"/>
                <w:sz w:val="24"/>
                <w:szCs w:val="21"/>
              </w:rPr>
            </w:pPr>
            <w:r>
              <w:rPr>
                <w:bCs/>
                <w:spacing w:val="10"/>
                <w:sz w:val="24"/>
                <w:szCs w:val="21"/>
              </w:rPr>
              <w:t>建设性质：新建项目</w:t>
            </w:r>
          </w:p>
          <w:p>
            <w:pPr>
              <w:adjustRightInd w:val="0"/>
              <w:snapToGrid w:val="0"/>
              <w:spacing w:line="408" w:lineRule="auto"/>
              <w:ind w:firstLine="520" w:firstLineChars="200"/>
              <w:rPr>
                <w:bCs/>
                <w:spacing w:val="10"/>
                <w:sz w:val="24"/>
                <w:szCs w:val="21"/>
              </w:rPr>
            </w:pPr>
            <w:r>
              <w:rPr>
                <w:bCs/>
                <w:spacing w:val="10"/>
                <w:sz w:val="24"/>
                <w:szCs w:val="21"/>
              </w:rPr>
              <w:t>建设地点：新疆维吾尔自治区昌吉州阜康市境内，乌将线下南泉站西北侧约3.0km处</w:t>
            </w:r>
          </w:p>
          <w:p>
            <w:pPr>
              <w:adjustRightInd w:val="0"/>
              <w:snapToGrid w:val="0"/>
              <w:spacing w:line="408" w:lineRule="auto"/>
              <w:ind w:firstLine="520" w:firstLineChars="200"/>
              <w:rPr>
                <w:bCs/>
                <w:spacing w:val="10"/>
                <w:sz w:val="24"/>
                <w:szCs w:val="21"/>
              </w:rPr>
            </w:pPr>
            <w:r>
              <w:rPr>
                <w:bCs/>
                <w:spacing w:val="10"/>
                <w:sz w:val="24"/>
                <w:szCs w:val="21"/>
              </w:rPr>
              <w:t>建设方案：新疆大黄山豫新煤业铁路专用线自下南泉站乌北端3道引出，并行乌将线约750m后，以R=600m的曲线折向西北方向进入豫新装卸站，正线长度3.160km。豫新装卸站内设装卸线3条，预留1条，机车走行线1条，装卸有效长780m，设780×50m集装箱堆场1座、780×30×0.95m站台1座。在装卸站尽头设敞车快速装车线1条，有效长1210m，敞车的封箱堵漏在快速装车线进行。</w:t>
            </w:r>
            <w:r>
              <w:rPr>
                <w:rFonts w:hint="eastAsia"/>
                <w:bCs/>
                <w:spacing w:val="10"/>
                <w:sz w:val="24"/>
                <w:szCs w:val="21"/>
              </w:rPr>
              <w:t>房屋建筑位于装卸站西侧，为工作人员办公生活区。</w:t>
            </w:r>
          </w:p>
          <w:p>
            <w:pPr>
              <w:adjustRightInd w:val="0"/>
              <w:snapToGrid w:val="0"/>
              <w:spacing w:line="408" w:lineRule="auto"/>
              <w:ind w:firstLine="520" w:firstLineChars="200"/>
              <w:rPr>
                <w:bCs/>
                <w:spacing w:val="10"/>
                <w:sz w:val="24"/>
                <w:szCs w:val="21"/>
              </w:rPr>
            </w:pPr>
            <w:r>
              <w:rPr>
                <w:bCs/>
                <w:spacing w:val="10"/>
                <w:sz w:val="24"/>
                <w:szCs w:val="21"/>
              </w:rPr>
              <w:t>设计年度：初期：2030年；近期：2035年；远期：2045年。</w:t>
            </w:r>
          </w:p>
          <w:p>
            <w:pPr>
              <w:adjustRightInd w:val="0"/>
              <w:snapToGrid w:val="0"/>
              <w:spacing w:line="408" w:lineRule="auto"/>
              <w:ind w:firstLine="520" w:firstLineChars="200"/>
              <w:rPr>
                <w:bCs/>
                <w:spacing w:val="10"/>
                <w:sz w:val="24"/>
                <w:szCs w:val="21"/>
              </w:rPr>
            </w:pPr>
            <w:r>
              <w:rPr>
                <w:bCs/>
                <w:spacing w:val="10"/>
                <w:sz w:val="24"/>
                <w:szCs w:val="21"/>
              </w:rPr>
              <w:t>货物品类及运输径路：本项目主要发送货物品类为煤炭、焦炭等，主要来自于大黄山煤矿及乌昌周边矿区，接入乌将铁路后将货物发往山西及疆外各地。</w:t>
            </w:r>
          </w:p>
          <w:p>
            <w:pPr>
              <w:adjustRightInd w:val="0"/>
              <w:snapToGrid w:val="0"/>
              <w:spacing w:line="408" w:lineRule="auto"/>
              <w:ind w:firstLine="520" w:firstLineChars="200"/>
              <w:rPr>
                <w:bCs/>
                <w:spacing w:val="10"/>
                <w:sz w:val="24"/>
                <w:szCs w:val="21"/>
              </w:rPr>
            </w:pPr>
            <w:r>
              <w:rPr>
                <w:bCs/>
                <w:spacing w:val="10"/>
                <w:sz w:val="24"/>
                <w:szCs w:val="21"/>
              </w:rPr>
              <w:t>总投资：投资估算总额为25817.94万元，全部由项目单位筹措解决。</w:t>
            </w:r>
          </w:p>
          <w:p>
            <w:pPr>
              <w:adjustRightInd w:val="0"/>
              <w:snapToGrid w:val="0"/>
              <w:spacing w:line="408" w:lineRule="auto"/>
              <w:ind w:firstLine="522" w:firstLineChars="200"/>
              <w:rPr>
                <w:b/>
                <w:bCs/>
                <w:spacing w:val="10"/>
                <w:sz w:val="24"/>
                <w:szCs w:val="21"/>
              </w:rPr>
            </w:pPr>
            <w:r>
              <w:rPr>
                <w:b/>
                <w:bCs/>
                <w:spacing w:val="10"/>
                <w:sz w:val="24"/>
                <w:szCs w:val="21"/>
              </w:rPr>
              <w:t>2、主要建设内容</w:t>
            </w:r>
          </w:p>
          <w:p>
            <w:pPr>
              <w:adjustRightInd w:val="0"/>
              <w:snapToGrid w:val="0"/>
              <w:spacing w:line="408" w:lineRule="auto"/>
              <w:ind w:firstLine="520" w:firstLineChars="200"/>
              <w:rPr>
                <w:bCs/>
                <w:spacing w:val="10"/>
                <w:sz w:val="24"/>
                <w:szCs w:val="21"/>
              </w:rPr>
            </w:pPr>
            <w:r>
              <w:rPr>
                <w:bCs/>
                <w:spacing w:val="10"/>
                <w:sz w:val="24"/>
                <w:szCs w:val="21"/>
              </w:rPr>
              <w:t>本项目主要建设内容为线路轨道工程、路基工程、桥涵工程、装卸站站场建设及其他配套设施建设，</w:t>
            </w:r>
            <w:r>
              <w:rPr>
                <w:rFonts w:hint="eastAsia"/>
                <w:bCs/>
                <w:spacing w:val="10"/>
                <w:sz w:val="24"/>
                <w:szCs w:val="21"/>
              </w:rPr>
              <w:t>相关工程说明如下：</w:t>
            </w:r>
          </w:p>
          <w:p>
            <w:pPr>
              <w:adjustRightInd w:val="0"/>
              <w:snapToGrid w:val="0"/>
              <w:spacing w:line="408" w:lineRule="auto"/>
              <w:ind w:firstLine="520" w:firstLineChars="200"/>
              <w:rPr>
                <w:bCs/>
                <w:spacing w:val="10"/>
                <w:sz w:val="24"/>
                <w:szCs w:val="21"/>
              </w:rPr>
            </w:pPr>
            <w:r>
              <w:rPr>
                <w:rFonts w:hint="eastAsia"/>
                <w:bCs/>
                <w:spacing w:val="10"/>
                <w:sz w:val="24"/>
                <w:szCs w:val="21"/>
              </w:rPr>
              <w:t>（1）路基工程</w:t>
            </w:r>
          </w:p>
          <w:p>
            <w:pPr>
              <w:adjustRightInd w:val="0"/>
              <w:snapToGrid w:val="0"/>
              <w:spacing w:line="408" w:lineRule="auto"/>
              <w:ind w:firstLine="520" w:firstLineChars="200"/>
              <w:rPr>
                <w:bCs/>
                <w:spacing w:val="10"/>
                <w:sz w:val="24"/>
                <w:szCs w:val="21"/>
              </w:rPr>
            </w:pPr>
            <w:r>
              <w:rPr>
                <w:rFonts w:hint="eastAsia"/>
                <w:bCs/>
                <w:spacing w:val="10"/>
                <w:sz w:val="24"/>
                <w:szCs w:val="21"/>
              </w:rPr>
              <w:t>新建铁路专用线占地为荒草地，全长3.16km，区间路基总长度为1.1km，现状为戈壁荒草地，未穿越相关敏感区和敏感目标。</w:t>
            </w:r>
          </w:p>
          <w:p>
            <w:pPr>
              <w:adjustRightInd w:val="0"/>
              <w:snapToGrid w:val="0"/>
              <w:spacing w:line="408" w:lineRule="auto"/>
              <w:ind w:firstLine="520" w:firstLineChars="200"/>
              <w:rPr>
                <w:bCs/>
                <w:spacing w:val="10"/>
                <w:sz w:val="24"/>
                <w:szCs w:val="21"/>
              </w:rPr>
            </w:pPr>
            <w:r>
              <w:rPr>
                <w:rFonts w:hint="eastAsia"/>
                <w:bCs/>
                <w:spacing w:val="10"/>
                <w:sz w:val="24"/>
                <w:szCs w:val="21"/>
              </w:rPr>
              <w:t>（2）桥涵工程</w:t>
            </w:r>
          </w:p>
          <w:p>
            <w:pPr>
              <w:adjustRightInd w:val="0"/>
              <w:snapToGrid w:val="0"/>
              <w:spacing w:line="408" w:lineRule="auto"/>
              <w:ind w:firstLine="520" w:firstLineChars="200"/>
              <w:rPr>
                <w:bCs/>
                <w:spacing w:val="10"/>
                <w:sz w:val="24"/>
                <w:szCs w:val="21"/>
              </w:rPr>
            </w:pPr>
            <w:r>
              <w:rPr>
                <w:rFonts w:hint="eastAsia"/>
                <w:bCs/>
                <w:spacing w:val="10"/>
                <w:sz w:val="24"/>
                <w:szCs w:val="21"/>
              </w:rPr>
              <w:t>工程范围内途径灌溉水渠2条，对横穿装卸站灌溉渠进行改移至</w:t>
            </w:r>
            <w:r>
              <w:rPr>
                <w:bCs/>
                <w:spacing w:val="10"/>
                <w:sz w:val="24"/>
                <w:szCs w:val="21"/>
              </w:rPr>
              <w:t>CK3+529</w:t>
            </w:r>
            <w:r>
              <w:rPr>
                <w:rFonts w:hint="eastAsia"/>
                <w:bCs/>
                <w:spacing w:val="10"/>
                <w:sz w:val="24"/>
                <w:szCs w:val="21"/>
              </w:rPr>
              <w:t>处，通过渠道后在CK3</w:t>
            </w:r>
            <w:r>
              <w:rPr>
                <w:bCs/>
                <w:spacing w:val="10"/>
                <w:sz w:val="24"/>
                <w:szCs w:val="21"/>
              </w:rPr>
              <w:t>+420</w:t>
            </w:r>
            <w:r>
              <w:rPr>
                <w:rFonts w:hint="eastAsia"/>
                <w:bCs/>
                <w:spacing w:val="10"/>
                <w:sz w:val="24"/>
                <w:szCs w:val="21"/>
              </w:rPr>
              <w:t>涵洞下游采用1-1.5m渡槽平行汇入原渠道，另一条灌溉渠处新建涵洞，改移施工避开灌溉期，尽可能缩短工期，减少对农田灌溉水的影响；途径天然气管道1条，基本平行于本专用线，根据《中华人民共和国石油天然气管道保护法》（主席令11届第30号）相关规定，对其进行改移，根据《中国铁路乌鲁木齐局集团有限公司关于新疆大黄山豫新煤业有限责任公司下南泉铁路专用线可行性研究的技术审查意见》：对穿越燃气管线涵洞采取封堵措施，在</w:t>
            </w:r>
            <w:r>
              <w:rPr>
                <w:bCs/>
                <w:spacing w:val="10"/>
                <w:sz w:val="24"/>
                <w:szCs w:val="21"/>
              </w:rPr>
              <w:t>CK3+981处设置套管圆涵</w:t>
            </w:r>
            <w:r>
              <w:rPr>
                <w:rFonts w:hint="eastAsia"/>
                <w:bCs/>
                <w:spacing w:val="10"/>
                <w:sz w:val="24"/>
                <w:szCs w:val="21"/>
              </w:rPr>
              <w:t>。施工前由建设单位沟通，经管道所有方同意后方可施工；其他畜牧通道等根据乌将线既有涵洞情况，在专用线对应位置设置同孔径、同样式涵洞。</w:t>
            </w:r>
          </w:p>
          <w:p>
            <w:pPr>
              <w:adjustRightInd w:val="0"/>
              <w:snapToGrid w:val="0"/>
              <w:spacing w:line="408" w:lineRule="auto"/>
              <w:ind w:firstLine="520" w:firstLineChars="200"/>
              <w:rPr>
                <w:bCs/>
                <w:spacing w:val="10"/>
                <w:sz w:val="24"/>
                <w:szCs w:val="21"/>
              </w:rPr>
            </w:pPr>
            <w:r>
              <w:rPr>
                <w:rFonts w:hint="eastAsia"/>
                <w:bCs/>
                <w:spacing w:val="10"/>
                <w:sz w:val="24"/>
                <w:szCs w:val="21"/>
              </w:rPr>
              <w:t>（3）土石方工程</w:t>
            </w:r>
          </w:p>
          <w:p>
            <w:pPr>
              <w:adjustRightInd w:val="0"/>
              <w:snapToGrid w:val="0"/>
              <w:spacing w:line="408" w:lineRule="auto"/>
              <w:ind w:firstLine="520" w:firstLineChars="200"/>
              <w:rPr>
                <w:bCs/>
                <w:spacing w:val="10"/>
                <w:sz w:val="24"/>
                <w:szCs w:val="21"/>
              </w:rPr>
            </w:pPr>
            <w:r>
              <w:rPr>
                <w:rFonts w:hint="eastAsia"/>
                <w:bCs/>
                <w:spacing w:val="10"/>
                <w:sz w:val="24"/>
                <w:szCs w:val="21"/>
              </w:rPr>
              <w:t>本项目专用线区间借土填方110800m</w:t>
            </w:r>
            <w:r>
              <w:rPr>
                <w:bCs/>
                <w:spacing w:val="10"/>
                <w:sz w:val="24"/>
                <w:szCs w:val="21"/>
                <w:vertAlign w:val="superscript"/>
              </w:rPr>
              <w:t>3</w:t>
            </w:r>
            <w:r>
              <w:rPr>
                <w:rFonts w:hint="eastAsia"/>
                <w:bCs/>
                <w:spacing w:val="10"/>
                <w:sz w:val="24"/>
                <w:szCs w:val="21"/>
              </w:rPr>
              <w:t>，装卸站场借土填方776000m</w:t>
            </w:r>
            <w:r>
              <w:rPr>
                <w:bCs/>
                <w:spacing w:val="10"/>
                <w:sz w:val="24"/>
                <w:szCs w:val="21"/>
                <w:vertAlign w:val="superscript"/>
              </w:rPr>
              <w:t>3</w:t>
            </w:r>
            <w:r>
              <w:rPr>
                <w:rFonts w:hint="eastAsia"/>
                <w:bCs/>
                <w:spacing w:val="10"/>
                <w:sz w:val="24"/>
                <w:szCs w:val="21"/>
              </w:rPr>
              <w:t>，土石方来源均为外购，土石方合理调配，无弃方产生，无相关取土场和弃土场。</w:t>
            </w:r>
          </w:p>
          <w:p>
            <w:pPr>
              <w:adjustRightInd w:val="0"/>
              <w:snapToGrid w:val="0"/>
              <w:spacing w:line="408" w:lineRule="auto"/>
              <w:ind w:firstLine="520" w:firstLineChars="200"/>
              <w:rPr>
                <w:bCs/>
                <w:spacing w:val="10"/>
                <w:sz w:val="24"/>
                <w:szCs w:val="21"/>
              </w:rPr>
            </w:pPr>
            <w:r>
              <w:rPr>
                <w:rFonts w:hint="eastAsia"/>
                <w:bCs/>
                <w:spacing w:val="10"/>
                <w:sz w:val="24"/>
                <w:szCs w:val="21"/>
              </w:rPr>
              <w:t>（4）迁改工程</w:t>
            </w:r>
          </w:p>
          <w:p>
            <w:pPr>
              <w:adjustRightInd w:val="0"/>
              <w:snapToGrid w:val="0"/>
              <w:spacing w:line="408" w:lineRule="auto"/>
              <w:ind w:firstLine="520" w:firstLineChars="200"/>
              <w:rPr>
                <w:bCs/>
                <w:spacing w:val="10"/>
                <w:sz w:val="24"/>
                <w:szCs w:val="21"/>
              </w:rPr>
            </w:pPr>
            <w:r>
              <w:rPr>
                <w:rFonts w:hint="eastAsia"/>
                <w:bCs/>
                <w:spacing w:val="10"/>
                <w:sz w:val="24"/>
                <w:szCs w:val="21"/>
              </w:rPr>
              <w:t>本专用线在CK1+158 和CK1+250分别穿越“昌吉阜康抽水蓄能电站220KV 送出工程项目”，根据可研，按照“《110～750kV架空输电线路设计规范》GB50545-2010”的要求，跨越形式采用“耐-直-耐”独立耐张段形式做变更处理。</w:t>
            </w:r>
          </w:p>
          <w:p>
            <w:pPr>
              <w:adjustRightInd w:val="0"/>
              <w:snapToGrid w:val="0"/>
              <w:spacing w:line="408" w:lineRule="auto"/>
              <w:ind w:firstLine="520" w:firstLineChars="200"/>
              <w:rPr>
                <w:bCs/>
                <w:spacing w:val="10"/>
                <w:sz w:val="24"/>
                <w:szCs w:val="21"/>
              </w:rPr>
            </w:pPr>
            <w:r>
              <w:rPr>
                <w:bCs/>
                <w:spacing w:val="10"/>
                <w:sz w:val="24"/>
                <w:szCs w:val="21"/>
              </w:rPr>
              <w:t>详细工程内容组成和数量详见下表：</w:t>
            </w:r>
          </w:p>
          <w:p>
            <w:pPr>
              <w:adjustRightInd w:val="0"/>
              <w:snapToGrid w:val="0"/>
              <w:spacing w:line="408" w:lineRule="auto"/>
              <w:ind w:firstLine="462" w:firstLineChars="200"/>
              <w:jc w:val="center"/>
              <w:rPr>
                <w:b/>
                <w:bCs/>
                <w:spacing w:val="10"/>
                <w:szCs w:val="21"/>
              </w:rPr>
            </w:pPr>
            <w:r>
              <w:rPr>
                <w:rFonts w:hint="eastAsia"/>
                <w:b/>
                <w:bCs/>
                <w:spacing w:val="10"/>
                <w:szCs w:val="21"/>
              </w:rPr>
              <w:t>表5</w:t>
            </w:r>
            <w:r>
              <w:rPr>
                <w:b/>
                <w:bCs/>
                <w:spacing w:val="10"/>
                <w:szCs w:val="21"/>
              </w:rPr>
              <w:t xml:space="preserve"> </w:t>
            </w:r>
            <w:r>
              <w:rPr>
                <w:rFonts w:hint="eastAsia"/>
                <w:b/>
                <w:bCs/>
                <w:spacing w:val="10"/>
                <w:szCs w:val="21"/>
              </w:rPr>
              <w:t>工程内容组成一览表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468"/>
              <w:gridCol w:w="5137"/>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shd w:val="clear" w:color="auto" w:fill="auto"/>
                  <w:vAlign w:val="center"/>
                </w:tcPr>
                <w:p>
                  <w:pPr>
                    <w:autoSpaceDE w:val="0"/>
                    <w:autoSpaceDN w:val="0"/>
                    <w:adjustRightInd w:val="0"/>
                    <w:jc w:val="center"/>
                    <w:rPr>
                      <w:bCs/>
                      <w:kern w:val="0"/>
                      <w:sz w:val="24"/>
                    </w:rPr>
                  </w:pPr>
                  <w:r>
                    <w:rPr>
                      <w:bCs/>
                      <w:kern w:val="0"/>
                      <w:sz w:val="24"/>
                    </w:rPr>
                    <w:t>工程类别</w:t>
                  </w:r>
                </w:p>
              </w:tc>
              <w:tc>
                <w:tcPr>
                  <w:tcW w:w="870" w:type="pct"/>
                  <w:shd w:val="clear" w:color="auto" w:fill="auto"/>
                  <w:vAlign w:val="center"/>
                </w:tcPr>
                <w:p>
                  <w:pPr>
                    <w:autoSpaceDE w:val="0"/>
                    <w:autoSpaceDN w:val="0"/>
                    <w:adjustRightInd w:val="0"/>
                    <w:jc w:val="center"/>
                    <w:rPr>
                      <w:bCs/>
                      <w:kern w:val="0"/>
                      <w:sz w:val="24"/>
                    </w:rPr>
                  </w:pPr>
                  <w:r>
                    <w:rPr>
                      <w:bCs/>
                      <w:kern w:val="0"/>
                      <w:sz w:val="24"/>
                    </w:rPr>
                    <w:t>项目</w:t>
                  </w:r>
                </w:p>
              </w:tc>
              <w:tc>
                <w:tcPr>
                  <w:tcW w:w="3044" w:type="pct"/>
                  <w:shd w:val="clear" w:color="auto" w:fill="auto"/>
                  <w:vAlign w:val="center"/>
                </w:tcPr>
                <w:p>
                  <w:pPr>
                    <w:autoSpaceDE w:val="0"/>
                    <w:autoSpaceDN w:val="0"/>
                    <w:adjustRightInd w:val="0"/>
                    <w:jc w:val="center"/>
                    <w:rPr>
                      <w:bCs/>
                      <w:kern w:val="0"/>
                      <w:sz w:val="24"/>
                    </w:rPr>
                  </w:pPr>
                  <w:r>
                    <w:rPr>
                      <w:bCs/>
                      <w:kern w:val="0"/>
                      <w:sz w:val="24"/>
                    </w:rPr>
                    <w:t>主要建设内容</w:t>
                  </w:r>
                </w:p>
              </w:tc>
              <w:tc>
                <w:tcPr>
                  <w:tcW w:w="568" w:type="pct"/>
                  <w:shd w:val="clear" w:color="auto" w:fill="auto"/>
                  <w:vAlign w:val="center"/>
                </w:tcPr>
                <w:p>
                  <w:pPr>
                    <w:autoSpaceDE w:val="0"/>
                    <w:autoSpaceDN w:val="0"/>
                    <w:adjustRightInd w:val="0"/>
                    <w:jc w:val="center"/>
                    <w:rPr>
                      <w:bCs/>
                      <w:kern w:val="0"/>
                      <w:sz w:val="24"/>
                    </w:rPr>
                  </w:pPr>
                  <w:r>
                    <w:rPr>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restart"/>
                  <w:shd w:val="clear" w:color="auto" w:fill="auto"/>
                  <w:vAlign w:val="center"/>
                </w:tcPr>
                <w:p>
                  <w:pPr>
                    <w:autoSpaceDE w:val="0"/>
                    <w:autoSpaceDN w:val="0"/>
                    <w:adjustRightInd w:val="0"/>
                    <w:jc w:val="center"/>
                    <w:rPr>
                      <w:bCs/>
                      <w:kern w:val="0"/>
                      <w:sz w:val="24"/>
                    </w:rPr>
                  </w:pPr>
                  <w:r>
                    <w:rPr>
                      <w:bCs/>
                      <w:kern w:val="0"/>
                      <w:sz w:val="24"/>
                    </w:rPr>
                    <w:t>主体工程</w:t>
                  </w:r>
                </w:p>
              </w:tc>
              <w:tc>
                <w:tcPr>
                  <w:tcW w:w="870" w:type="pct"/>
                  <w:shd w:val="clear" w:color="auto" w:fill="auto"/>
                  <w:vAlign w:val="center"/>
                </w:tcPr>
                <w:p>
                  <w:pPr>
                    <w:autoSpaceDE w:val="0"/>
                    <w:autoSpaceDN w:val="0"/>
                    <w:adjustRightInd w:val="0"/>
                    <w:jc w:val="center"/>
                    <w:rPr>
                      <w:bCs/>
                      <w:kern w:val="0"/>
                      <w:sz w:val="24"/>
                    </w:rPr>
                  </w:pPr>
                  <w:r>
                    <w:rPr>
                      <w:bCs/>
                      <w:kern w:val="0"/>
                      <w:sz w:val="24"/>
                    </w:rPr>
                    <w:t>线路及轨道</w:t>
                  </w:r>
                </w:p>
              </w:tc>
              <w:tc>
                <w:tcPr>
                  <w:tcW w:w="3044" w:type="pct"/>
                  <w:shd w:val="clear" w:color="auto" w:fill="auto"/>
                  <w:vAlign w:val="center"/>
                </w:tcPr>
                <w:p>
                  <w:pPr>
                    <w:autoSpaceDE w:val="0"/>
                    <w:autoSpaceDN w:val="0"/>
                    <w:adjustRightInd w:val="0"/>
                    <w:jc w:val="center"/>
                    <w:rPr>
                      <w:bCs/>
                      <w:kern w:val="0"/>
                      <w:sz w:val="24"/>
                    </w:rPr>
                  </w:pPr>
                  <w:r>
                    <w:rPr>
                      <w:bCs/>
                      <w:kern w:val="0"/>
                      <w:sz w:val="24"/>
                    </w:rPr>
                    <w:t>专用线</w:t>
                  </w:r>
                  <w:r>
                    <w:rPr>
                      <w:rFonts w:hint="eastAsia"/>
                      <w:bCs/>
                      <w:kern w:val="0"/>
                      <w:sz w:val="24"/>
                    </w:rPr>
                    <w:t>正线</w:t>
                  </w:r>
                  <w:r>
                    <w:rPr>
                      <w:bCs/>
                      <w:kern w:val="0"/>
                      <w:sz w:val="24"/>
                    </w:rPr>
                    <w:t>1条，</w:t>
                  </w:r>
                  <w:r>
                    <w:rPr>
                      <w:rFonts w:hint="eastAsia"/>
                      <w:bCs/>
                      <w:kern w:val="0"/>
                      <w:sz w:val="24"/>
                    </w:rPr>
                    <w:t>铺轨</w:t>
                  </w:r>
                  <w:r>
                    <w:rPr>
                      <w:bCs/>
                      <w:kern w:val="0"/>
                      <w:sz w:val="24"/>
                    </w:rPr>
                    <w:t>3.16km</w:t>
                  </w:r>
                  <w:r>
                    <w:rPr>
                      <w:rFonts w:hint="eastAsia"/>
                      <w:bCs/>
                      <w:kern w:val="0"/>
                      <w:sz w:val="24"/>
                    </w:rPr>
                    <w:t>；站线铺轨4.851km，</w:t>
                  </w:r>
                  <w:r>
                    <w:rPr>
                      <w:bCs/>
                      <w:kern w:val="0"/>
                      <w:sz w:val="24"/>
                    </w:rPr>
                    <w:t>铺</w:t>
                  </w:r>
                  <w:r>
                    <w:rPr>
                      <w:rFonts w:hint="eastAsia"/>
                      <w:bCs/>
                      <w:kern w:val="0"/>
                      <w:sz w:val="24"/>
                    </w:rPr>
                    <w:t>设道砟20679</w:t>
                  </w:r>
                  <w:r>
                    <w:rPr>
                      <w:bCs/>
                      <w:kern w:val="0"/>
                      <w:sz w:val="24"/>
                    </w:rPr>
                    <w:t>m</w:t>
                  </w:r>
                  <w:r>
                    <w:rPr>
                      <w:bCs/>
                      <w:kern w:val="0"/>
                      <w:sz w:val="24"/>
                      <w:vertAlign w:val="superscript"/>
                    </w:rPr>
                    <w:t>3</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路基</w:t>
                  </w:r>
                </w:p>
              </w:tc>
              <w:tc>
                <w:tcPr>
                  <w:tcW w:w="3044" w:type="pct"/>
                  <w:shd w:val="clear" w:color="auto" w:fill="auto"/>
                  <w:vAlign w:val="center"/>
                </w:tcPr>
                <w:p>
                  <w:pPr>
                    <w:autoSpaceDE w:val="0"/>
                    <w:autoSpaceDN w:val="0"/>
                    <w:adjustRightInd w:val="0"/>
                    <w:jc w:val="center"/>
                    <w:rPr>
                      <w:bCs/>
                      <w:kern w:val="0"/>
                      <w:sz w:val="24"/>
                    </w:rPr>
                  </w:pPr>
                  <w:r>
                    <w:rPr>
                      <w:bCs/>
                      <w:kern w:val="0"/>
                      <w:sz w:val="24"/>
                    </w:rPr>
                    <w:t>专线区间路基为路堤，长1.1km，填土界面处铺设土工格栅加固边坡，设置C35混凝土边坡冲刷防护工程</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桥涵</w:t>
                  </w:r>
                </w:p>
              </w:tc>
              <w:tc>
                <w:tcPr>
                  <w:tcW w:w="3044" w:type="pct"/>
                  <w:shd w:val="clear" w:color="auto" w:fill="auto"/>
                  <w:vAlign w:val="center"/>
                </w:tcPr>
                <w:p>
                  <w:pPr>
                    <w:autoSpaceDE w:val="0"/>
                    <w:autoSpaceDN w:val="0"/>
                    <w:adjustRightInd w:val="0"/>
                    <w:jc w:val="center"/>
                    <w:rPr>
                      <w:bCs/>
                      <w:kern w:val="0"/>
                      <w:sz w:val="24"/>
                    </w:rPr>
                  </w:pPr>
                  <w:r>
                    <w:rPr>
                      <w:bCs/>
                      <w:kern w:val="0"/>
                      <w:sz w:val="24"/>
                    </w:rPr>
                    <w:t>新建涵洞15座，接长涵洞3座，接建箱形桥1座，改移渠道1104m</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装卸站</w:t>
                  </w:r>
                </w:p>
              </w:tc>
              <w:tc>
                <w:tcPr>
                  <w:tcW w:w="3044" w:type="pct"/>
                  <w:shd w:val="clear" w:color="auto" w:fill="auto"/>
                  <w:vAlign w:val="center"/>
                </w:tcPr>
                <w:p>
                  <w:pPr>
                    <w:autoSpaceDE w:val="0"/>
                    <w:autoSpaceDN w:val="0"/>
                    <w:adjustRightInd w:val="0"/>
                    <w:jc w:val="center"/>
                    <w:rPr>
                      <w:bCs/>
                      <w:kern w:val="0"/>
                      <w:sz w:val="24"/>
                    </w:rPr>
                  </w:pPr>
                  <w:r>
                    <w:rPr>
                      <w:bCs/>
                      <w:kern w:val="0"/>
                      <w:sz w:val="24"/>
                    </w:rPr>
                    <w:t>内设装卸线3条，有效长度780m；机车行走线1条，有效长度850m；780×30×0.95m站台一座，780×50m集装箱堆场一座及配套快速装卸、喷淋抑尘设施</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shd w:val="clear" w:color="auto" w:fill="auto"/>
                  <w:vAlign w:val="center"/>
                </w:tcPr>
                <w:p>
                  <w:pPr>
                    <w:autoSpaceDE w:val="0"/>
                    <w:autoSpaceDN w:val="0"/>
                    <w:adjustRightInd w:val="0"/>
                    <w:jc w:val="center"/>
                    <w:rPr>
                      <w:bCs/>
                      <w:kern w:val="0"/>
                      <w:sz w:val="24"/>
                    </w:rPr>
                  </w:pPr>
                  <w:r>
                    <w:rPr>
                      <w:bCs/>
                      <w:kern w:val="0"/>
                      <w:sz w:val="24"/>
                    </w:rPr>
                    <w:t>辅助工程</w:t>
                  </w:r>
                </w:p>
              </w:tc>
              <w:tc>
                <w:tcPr>
                  <w:tcW w:w="870" w:type="pct"/>
                  <w:shd w:val="clear" w:color="auto" w:fill="auto"/>
                  <w:vAlign w:val="center"/>
                </w:tcPr>
                <w:p>
                  <w:pPr>
                    <w:autoSpaceDE w:val="0"/>
                    <w:autoSpaceDN w:val="0"/>
                    <w:adjustRightInd w:val="0"/>
                    <w:jc w:val="center"/>
                    <w:rPr>
                      <w:bCs/>
                      <w:kern w:val="0"/>
                      <w:sz w:val="24"/>
                    </w:rPr>
                  </w:pPr>
                  <w:r>
                    <w:rPr>
                      <w:bCs/>
                      <w:kern w:val="0"/>
                      <w:sz w:val="24"/>
                    </w:rPr>
                    <w:t>房屋建筑</w:t>
                  </w:r>
                </w:p>
              </w:tc>
              <w:tc>
                <w:tcPr>
                  <w:tcW w:w="3044" w:type="pct"/>
                  <w:shd w:val="clear" w:color="auto" w:fill="auto"/>
                  <w:vAlign w:val="center"/>
                </w:tcPr>
                <w:p>
                  <w:pPr>
                    <w:autoSpaceDE w:val="0"/>
                    <w:autoSpaceDN w:val="0"/>
                    <w:adjustRightInd w:val="0"/>
                    <w:jc w:val="center"/>
                    <w:rPr>
                      <w:bCs/>
                      <w:kern w:val="0"/>
                      <w:sz w:val="24"/>
                    </w:rPr>
                  </w:pPr>
                  <w:r>
                    <w:rPr>
                      <w:bCs/>
                      <w:kern w:val="0"/>
                      <w:sz w:val="24"/>
                    </w:rPr>
                    <w:t>专用线建成后由中国铁路乌鲁木齐局集团有限公司运营管理，</w:t>
                  </w:r>
                  <w:r>
                    <w:rPr>
                      <w:rFonts w:hint="eastAsia"/>
                      <w:bCs/>
                      <w:kern w:val="0"/>
                      <w:sz w:val="24"/>
                    </w:rPr>
                    <w:t>新增劳动定员50人，</w:t>
                  </w:r>
                  <w:r>
                    <w:rPr>
                      <w:bCs/>
                      <w:kern w:val="0"/>
                      <w:sz w:val="24"/>
                    </w:rPr>
                    <w:t>全线新建房屋面积4435m</w:t>
                  </w:r>
                  <w:r>
                    <w:rPr>
                      <w:bCs/>
                      <w:kern w:val="0"/>
                      <w:sz w:val="24"/>
                      <w:vertAlign w:val="superscript"/>
                    </w:rPr>
                    <w:t>2</w:t>
                  </w:r>
                  <w:r>
                    <w:rPr>
                      <w:bCs/>
                      <w:kern w:val="0"/>
                      <w:sz w:val="24"/>
                    </w:rPr>
                    <w:t>，生产及生产附属房屋面积1895m</w:t>
                  </w:r>
                  <w:r>
                    <w:rPr>
                      <w:bCs/>
                      <w:kern w:val="0"/>
                      <w:sz w:val="24"/>
                      <w:vertAlign w:val="superscript"/>
                    </w:rPr>
                    <w:t>2</w:t>
                  </w:r>
                  <w:r>
                    <w:rPr>
                      <w:bCs/>
                      <w:kern w:val="0"/>
                      <w:sz w:val="24"/>
                    </w:rPr>
                    <w:t>，生活房屋面积2540m</w:t>
                  </w:r>
                  <w:r>
                    <w:rPr>
                      <w:bCs/>
                      <w:kern w:val="0"/>
                      <w:sz w:val="24"/>
                      <w:vertAlign w:val="superscript"/>
                    </w:rPr>
                    <w:t>2</w:t>
                  </w:r>
                  <w:r>
                    <w:rPr>
                      <w:rFonts w:hint="eastAsia"/>
                      <w:bCs/>
                      <w:kern w:val="0"/>
                      <w:sz w:val="24"/>
                    </w:rPr>
                    <w:t xml:space="preserve"> </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shd w:val="clear" w:color="auto" w:fill="auto"/>
                  <w:vAlign w:val="center"/>
                </w:tcPr>
                <w:p>
                  <w:pPr>
                    <w:autoSpaceDE w:val="0"/>
                    <w:autoSpaceDN w:val="0"/>
                    <w:adjustRightInd w:val="0"/>
                    <w:jc w:val="center"/>
                    <w:rPr>
                      <w:bCs/>
                      <w:kern w:val="0"/>
                      <w:sz w:val="24"/>
                    </w:rPr>
                  </w:pPr>
                  <w:r>
                    <w:rPr>
                      <w:rFonts w:hint="eastAsia"/>
                      <w:bCs/>
                      <w:kern w:val="0"/>
                      <w:sz w:val="24"/>
                    </w:rPr>
                    <w:t>临时工程</w:t>
                  </w:r>
                </w:p>
              </w:tc>
              <w:tc>
                <w:tcPr>
                  <w:tcW w:w="870" w:type="pct"/>
                  <w:shd w:val="clear" w:color="auto" w:fill="auto"/>
                  <w:vAlign w:val="center"/>
                </w:tcPr>
                <w:p>
                  <w:pPr>
                    <w:autoSpaceDE w:val="0"/>
                    <w:autoSpaceDN w:val="0"/>
                    <w:adjustRightInd w:val="0"/>
                    <w:jc w:val="center"/>
                    <w:rPr>
                      <w:bCs/>
                      <w:kern w:val="0"/>
                      <w:sz w:val="24"/>
                    </w:rPr>
                  </w:pPr>
                  <w:r>
                    <w:rPr>
                      <w:rFonts w:hint="eastAsia"/>
                      <w:bCs/>
                      <w:kern w:val="0"/>
                      <w:sz w:val="24"/>
                    </w:rPr>
                    <w:t>施工营地</w:t>
                  </w:r>
                </w:p>
              </w:tc>
              <w:tc>
                <w:tcPr>
                  <w:tcW w:w="3044" w:type="pct"/>
                  <w:shd w:val="clear" w:color="auto" w:fill="auto"/>
                  <w:vAlign w:val="center"/>
                </w:tcPr>
                <w:p>
                  <w:pPr>
                    <w:autoSpaceDE w:val="0"/>
                    <w:autoSpaceDN w:val="0"/>
                    <w:adjustRightInd w:val="0"/>
                    <w:jc w:val="center"/>
                    <w:rPr>
                      <w:bCs/>
                      <w:kern w:val="0"/>
                      <w:sz w:val="24"/>
                    </w:rPr>
                  </w:pPr>
                  <w:r>
                    <w:rPr>
                      <w:rFonts w:hint="eastAsia"/>
                      <w:bCs/>
                      <w:kern w:val="0"/>
                      <w:sz w:val="24"/>
                    </w:rPr>
                    <w:t>设置施工营地，包括生活办公用房，设于下南泉站和专用线起点中间位置，依托下南泉站用水和用电</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18" w:type="pct"/>
                  <w:vMerge w:val="restart"/>
                  <w:shd w:val="clear" w:color="auto" w:fill="auto"/>
                  <w:vAlign w:val="center"/>
                </w:tcPr>
                <w:p>
                  <w:pPr>
                    <w:autoSpaceDE w:val="0"/>
                    <w:autoSpaceDN w:val="0"/>
                    <w:adjustRightInd w:val="0"/>
                    <w:jc w:val="center"/>
                    <w:rPr>
                      <w:bCs/>
                      <w:kern w:val="0"/>
                      <w:sz w:val="24"/>
                    </w:rPr>
                  </w:pPr>
                  <w:r>
                    <w:rPr>
                      <w:bCs/>
                      <w:kern w:val="0"/>
                      <w:sz w:val="24"/>
                    </w:rPr>
                    <w:t>公用工程</w:t>
                  </w:r>
                </w:p>
              </w:tc>
              <w:tc>
                <w:tcPr>
                  <w:tcW w:w="870" w:type="pct"/>
                  <w:shd w:val="clear" w:color="auto" w:fill="auto"/>
                  <w:vAlign w:val="center"/>
                </w:tcPr>
                <w:p>
                  <w:pPr>
                    <w:autoSpaceDE w:val="0"/>
                    <w:autoSpaceDN w:val="0"/>
                    <w:adjustRightInd w:val="0"/>
                    <w:jc w:val="center"/>
                    <w:rPr>
                      <w:bCs/>
                      <w:kern w:val="0"/>
                      <w:sz w:val="24"/>
                    </w:rPr>
                  </w:pPr>
                  <w:r>
                    <w:rPr>
                      <w:bCs/>
                      <w:kern w:val="0"/>
                      <w:sz w:val="24"/>
                    </w:rPr>
                    <w:t>牵引供电</w:t>
                  </w:r>
                </w:p>
              </w:tc>
              <w:tc>
                <w:tcPr>
                  <w:tcW w:w="3044" w:type="pct"/>
                  <w:shd w:val="clear" w:color="auto" w:fill="auto"/>
                  <w:vAlign w:val="center"/>
                </w:tcPr>
                <w:p>
                  <w:pPr>
                    <w:autoSpaceDE w:val="0"/>
                    <w:autoSpaceDN w:val="0"/>
                    <w:adjustRightInd w:val="0"/>
                    <w:jc w:val="center"/>
                    <w:rPr>
                      <w:bCs/>
                      <w:kern w:val="0"/>
                      <w:sz w:val="24"/>
                    </w:rPr>
                  </w:pPr>
                  <w:r>
                    <w:rPr>
                      <w:bCs/>
                      <w:kern w:val="0"/>
                      <w:sz w:val="24"/>
                    </w:rPr>
                    <w:t>乌将线下南泉站的下南泉牵引变电所</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其他电力</w:t>
                  </w:r>
                </w:p>
              </w:tc>
              <w:tc>
                <w:tcPr>
                  <w:tcW w:w="3044" w:type="pct"/>
                  <w:shd w:val="clear" w:color="auto" w:fill="auto"/>
                  <w:vAlign w:val="center"/>
                </w:tcPr>
                <w:p>
                  <w:pPr>
                    <w:autoSpaceDE w:val="0"/>
                    <w:autoSpaceDN w:val="0"/>
                    <w:adjustRightInd w:val="0"/>
                    <w:jc w:val="center"/>
                    <w:rPr>
                      <w:bCs/>
                      <w:kern w:val="0"/>
                      <w:sz w:val="24"/>
                    </w:rPr>
                  </w:pPr>
                  <w:r>
                    <w:rPr>
                      <w:bCs/>
                      <w:kern w:val="0"/>
                      <w:sz w:val="24"/>
                    </w:rPr>
                    <w:t>新建1座10/0.4kv环网所，10kv电源由业主委托接入国网</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给水</w:t>
                  </w:r>
                </w:p>
              </w:tc>
              <w:tc>
                <w:tcPr>
                  <w:tcW w:w="3044" w:type="pct"/>
                  <w:shd w:val="clear" w:color="auto" w:fill="auto"/>
                  <w:vAlign w:val="center"/>
                </w:tcPr>
                <w:p>
                  <w:pPr>
                    <w:autoSpaceDE w:val="0"/>
                    <w:autoSpaceDN w:val="0"/>
                    <w:adjustRightInd w:val="0"/>
                    <w:jc w:val="center"/>
                    <w:rPr>
                      <w:bCs/>
                      <w:kern w:val="0"/>
                      <w:sz w:val="24"/>
                    </w:rPr>
                  </w:pPr>
                  <w:r>
                    <w:rPr>
                      <w:bCs/>
                      <w:kern w:val="0"/>
                      <w:sz w:val="24"/>
                    </w:rPr>
                    <w:t>生活用水自附近附近企业供水管道接入供水，下南泉站为既有生活供水站，豫新装卸站新建生活供水站，给水泵房内设42m³水箱及供水设备一套</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排水</w:t>
                  </w:r>
                </w:p>
              </w:tc>
              <w:tc>
                <w:tcPr>
                  <w:tcW w:w="3044" w:type="pct"/>
                  <w:shd w:val="clear" w:color="auto" w:fill="auto"/>
                  <w:vAlign w:val="center"/>
                </w:tcPr>
                <w:p>
                  <w:pPr>
                    <w:autoSpaceDE w:val="0"/>
                    <w:autoSpaceDN w:val="0"/>
                    <w:adjustRightInd w:val="0"/>
                    <w:jc w:val="center"/>
                    <w:rPr>
                      <w:bCs/>
                      <w:kern w:val="0"/>
                      <w:sz w:val="24"/>
                    </w:rPr>
                  </w:pPr>
                  <w:r>
                    <w:rPr>
                      <w:rFonts w:hAnsi="宋体"/>
                      <w:kern w:val="0"/>
                      <w:sz w:val="24"/>
                    </w:rPr>
                    <w:t>生活污水</w:t>
                  </w:r>
                  <w:r>
                    <w:rPr>
                      <w:rFonts w:hint="eastAsia" w:hAnsi="宋体"/>
                      <w:kern w:val="0"/>
                      <w:sz w:val="24"/>
                    </w:rPr>
                    <w:t>排入10m</w:t>
                  </w:r>
                  <w:r>
                    <w:rPr>
                      <w:rFonts w:hAnsi="宋体"/>
                      <w:kern w:val="0"/>
                      <w:sz w:val="24"/>
                      <w:vertAlign w:val="superscript"/>
                    </w:rPr>
                    <w:t>3</w:t>
                  </w:r>
                  <w:r>
                    <w:rPr>
                      <w:rFonts w:hint="eastAsia" w:hAnsi="宋体"/>
                      <w:kern w:val="0"/>
                      <w:sz w:val="24"/>
                    </w:rPr>
                    <w:t>新建化粪池</w:t>
                  </w:r>
                  <w:r>
                    <w:rPr>
                      <w:rFonts w:hAnsi="宋体"/>
                      <w:kern w:val="0"/>
                      <w:sz w:val="24"/>
                    </w:rPr>
                    <w:t>收集后</w:t>
                  </w:r>
                  <w:r>
                    <w:rPr>
                      <w:rFonts w:hint="eastAsia" w:hAnsi="宋体"/>
                      <w:kern w:val="0"/>
                      <w:sz w:val="24"/>
                    </w:rPr>
                    <w:t>，定期委托环卫部门吸污车清运集中处理，不外排</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消防</w:t>
                  </w:r>
                </w:p>
              </w:tc>
              <w:tc>
                <w:tcPr>
                  <w:tcW w:w="3044" w:type="pct"/>
                  <w:shd w:val="clear" w:color="auto" w:fill="auto"/>
                  <w:vAlign w:val="center"/>
                </w:tcPr>
                <w:p>
                  <w:pPr>
                    <w:autoSpaceDE w:val="0"/>
                    <w:autoSpaceDN w:val="0"/>
                    <w:adjustRightInd w:val="0"/>
                    <w:jc w:val="center"/>
                    <w:rPr>
                      <w:bCs/>
                      <w:kern w:val="0"/>
                      <w:sz w:val="24"/>
                    </w:rPr>
                  </w:pPr>
                  <w:r>
                    <w:rPr>
                      <w:bCs/>
                      <w:kern w:val="0"/>
                      <w:sz w:val="24"/>
                    </w:rPr>
                    <w:t>新建一座500m³消防水池，沿站场道路布设消防管道和地下式消火栓并配备消防器材箱</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18" w:type="pct"/>
                  <w:vMerge w:val="restart"/>
                  <w:shd w:val="clear" w:color="auto" w:fill="auto"/>
                  <w:vAlign w:val="center"/>
                </w:tcPr>
                <w:p>
                  <w:pPr>
                    <w:autoSpaceDE w:val="0"/>
                    <w:autoSpaceDN w:val="0"/>
                    <w:adjustRightInd w:val="0"/>
                    <w:jc w:val="center"/>
                    <w:rPr>
                      <w:bCs/>
                      <w:kern w:val="0"/>
                      <w:sz w:val="24"/>
                    </w:rPr>
                  </w:pPr>
                  <w:r>
                    <w:rPr>
                      <w:bCs/>
                      <w:kern w:val="0"/>
                      <w:sz w:val="24"/>
                    </w:rPr>
                    <w:t>环保工程</w:t>
                  </w:r>
                </w:p>
              </w:tc>
              <w:tc>
                <w:tcPr>
                  <w:tcW w:w="870" w:type="pct"/>
                  <w:vMerge w:val="restart"/>
                  <w:shd w:val="clear" w:color="auto" w:fill="auto"/>
                  <w:vAlign w:val="center"/>
                </w:tcPr>
                <w:p>
                  <w:pPr>
                    <w:autoSpaceDE w:val="0"/>
                    <w:autoSpaceDN w:val="0"/>
                    <w:adjustRightInd w:val="0"/>
                    <w:jc w:val="center"/>
                    <w:rPr>
                      <w:bCs/>
                      <w:kern w:val="0"/>
                      <w:sz w:val="24"/>
                    </w:rPr>
                  </w:pPr>
                  <w:r>
                    <w:rPr>
                      <w:bCs/>
                      <w:kern w:val="0"/>
                      <w:sz w:val="24"/>
                    </w:rPr>
                    <w:t>污水</w:t>
                  </w:r>
                </w:p>
              </w:tc>
              <w:tc>
                <w:tcPr>
                  <w:tcW w:w="3044" w:type="pct"/>
                  <w:shd w:val="clear" w:color="auto" w:fill="auto"/>
                  <w:vAlign w:val="center"/>
                </w:tcPr>
                <w:p>
                  <w:pPr>
                    <w:autoSpaceDE w:val="0"/>
                    <w:autoSpaceDN w:val="0"/>
                    <w:adjustRightInd w:val="0"/>
                    <w:jc w:val="center"/>
                    <w:rPr>
                      <w:bCs/>
                      <w:kern w:val="0"/>
                      <w:sz w:val="24"/>
                    </w:rPr>
                  </w:pPr>
                  <w:r>
                    <w:rPr>
                      <w:rFonts w:hint="eastAsia"/>
                      <w:bCs/>
                      <w:kern w:val="0"/>
                      <w:sz w:val="24"/>
                    </w:rPr>
                    <w:t>施工期设置临时施工营地，施工期生活污水排入</w:t>
                  </w:r>
                  <w:r>
                    <w:rPr>
                      <w:rFonts w:hint="eastAsia"/>
                      <w:kern w:val="0"/>
                      <w:sz w:val="24"/>
                    </w:rPr>
                    <w:t>新建化粪池委托环卫部门定期清运；对施工废水新建沉淀池处理后用于场地洒水抑尘</w:t>
                  </w:r>
                </w:p>
              </w:tc>
              <w:tc>
                <w:tcPr>
                  <w:tcW w:w="568" w:type="pct"/>
                  <w:vMerge w:val="restar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vMerge w:val="continue"/>
                  <w:shd w:val="clear" w:color="auto" w:fill="auto"/>
                  <w:vAlign w:val="center"/>
                </w:tcPr>
                <w:p>
                  <w:pPr>
                    <w:autoSpaceDE w:val="0"/>
                    <w:autoSpaceDN w:val="0"/>
                    <w:adjustRightInd w:val="0"/>
                    <w:jc w:val="center"/>
                    <w:rPr>
                      <w:bCs/>
                      <w:kern w:val="0"/>
                      <w:sz w:val="24"/>
                    </w:rPr>
                  </w:pPr>
                </w:p>
              </w:tc>
              <w:tc>
                <w:tcPr>
                  <w:tcW w:w="3044" w:type="pct"/>
                  <w:shd w:val="clear" w:color="auto" w:fill="auto"/>
                  <w:vAlign w:val="center"/>
                </w:tcPr>
                <w:p>
                  <w:pPr>
                    <w:autoSpaceDE w:val="0"/>
                    <w:autoSpaceDN w:val="0"/>
                    <w:adjustRightInd w:val="0"/>
                    <w:jc w:val="center"/>
                    <w:rPr>
                      <w:bCs/>
                      <w:kern w:val="0"/>
                      <w:sz w:val="24"/>
                    </w:rPr>
                  </w:pPr>
                  <w:r>
                    <w:rPr>
                      <w:rFonts w:hint="eastAsia" w:hAnsi="宋体"/>
                      <w:kern w:val="0"/>
                      <w:sz w:val="24"/>
                    </w:rPr>
                    <w:t>运营期生活办公区</w:t>
                  </w:r>
                  <w:r>
                    <w:rPr>
                      <w:rFonts w:hAnsi="宋体"/>
                      <w:kern w:val="0"/>
                      <w:sz w:val="24"/>
                    </w:rPr>
                    <w:t>生活污水</w:t>
                  </w:r>
                  <w:r>
                    <w:rPr>
                      <w:rFonts w:hint="eastAsia" w:hAnsi="宋体"/>
                      <w:kern w:val="0"/>
                      <w:sz w:val="24"/>
                    </w:rPr>
                    <w:t>排入新建化粪池</w:t>
                  </w:r>
                  <w:r>
                    <w:rPr>
                      <w:rFonts w:hAnsi="宋体"/>
                      <w:kern w:val="0"/>
                      <w:sz w:val="24"/>
                    </w:rPr>
                    <w:t>收集</w:t>
                  </w:r>
                  <w:r>
                    <w:rPr>
                      <w:rFonts w:hint="eastAsia" w:hAnsi="宋体"/>
                      <w:kern w:val="0"/>
                      <w:sz w:val="24"/>
                    </w:rPr>
                    <w:t>，食堂废水经隔油池处理后再排入化粪池，定期委托环卫部门吸污车清运集中处理，不外排</w:t>
                  </w:r>
                </w:p>
              </w:tc>
              <w:tc>
                <w:tcPr>
                  <w:tcW w:w="568" w:type="pct"/>
                  <w:vMerge w:val="continue"/>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shd w:val="clear" w:color="auto" w:fill="auto"/>
                  <w:vAlign w:val="center"/>
                </w:tcPr>
                <w:p>
                  <w:pPr>
                    <w:autoSpaceDE w:val="0"/>
                    <w:autoSpaceDN w:val="0"/>
                    <w:adjustRightInd w:val="0"/>
                    <w:jc w:val="center"/>
                    <w:rPr>
                      <w:bCs/>
                      <w:kern w:val="0"/>
                      <w:sz w:val="24"/>
                    </w:rPr>
                  </w:pPr>
                  <w:r>
                    <w:rPr>
                      <w:bCs/>
                      <w:kern w:val="0"/>
                      <w:sz w:val="24"/>
                    </w:rPr>
                    <w:t>噪声</w:t>
                  </w:r>
                </w:p>
              </w:tc>
              <w:tc>
                <w:tcPr>
                  <w:tcW w:w="3044" w:type="pct"/>
                  <w:shd w:val="clear" w:color="auto" w:fill="auto"/>
                  <w:vAlign w:val="center"/>
                </w:tcPr>
                <w:p>
                  <w:pPr>
                    <w:autoSpaceDE w:val="0"/>
                    <w:autoSpaceDN w:val="0"/>
                    <w:adjustRightInd w:val="0"/>
                    <w:jc w:val="center"/>
                    <w:rPr>
                      <w:bCs/>
                      <w:kern w:val="0"/>
                      <w:sz w:val="24"/>
                    </w:rPr>
                  </w:pPr>
                  <w:r>
                    <w:rPr>
                      <w:bCs/>
                      <w:kern w:val="0"/>
                      <w:sz w:val="24"/>
                    </w:rPr>
                    <w:t>线路两侧无居民区、学校等噪声振动敏感点，</w:t>
                  </w:r>
                  <w:r>
                    <w:rPr>
                      <w:rFonts w:hint="eastAsia"/>
                      <w:bCs/>
                      <w:kern w:val="0"/>
                      <w:sz w:val="24"/>
                    </w:rPr>
                    <w:t>施工期</w:t>
                  </w:r>
                  <w:r>
                    <w:rPr>
                      <w:bCs/>
                      <w:kern w:val="0"/>
                      <w:sz w:val="24"/>
                    </w:rPr>
                    <w:t>线路采取铺设道床减振，尽量选用结构刚性大的箱型混凝土梁等降噪减振</w:t>
                  </w:r>
                </w:p>
              </w:tc>
              <w:tc>
                <w:tcPr>
                  <w:tcW w:w="568" w:type="pc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vMerge w:val="restart"/>
                  <w:shd w:val="clear" w:color="auto" w:fill="auto"/>
                  <w:vAlign w:val="center"/>
                </w:tcPr>
                <w:p>
                  <w:pPr>
                    <w:autoSpaceDE w:val="0"/>
                    <w:autoSpaceDN w:val="0"/>
                    <w:adjustRightInd w:val="0"/>
                    <w:jc w:val="center"/>
                    <w:rPr>
                      <w:bCs/>
                      <w:kern w:val="0"/>
                      <w:sz w:val="24"/>
                    </w:rPr>
                  </w:pPr>
                  <w:r>
                    <w:rPr>
                      <w:bCs/>
                      <w:kern w:val="0"/>
                      <w:sz w:val="24"/>
                    </w:rPr>
                    <w:t>废气</w:t>
                  </w:r>
                </w:p>
              </w:tc>
              <w:tc>
                <w:tcPr>
                  <w:tcW w:w="3044" w:type="pct"/>
                  <w:shd w:val="clear" w:color="auto" w:fill="auto"/>
                  <w:vAlign w:val="center"/>
                </w:tcPr>
                <w:p>
                  <w:pPr>
                    <w:autoSpaceDE w:val="0"/>
                    <w:autoSpaceDN w:val="0"/>
                    <w:adjustRightInd w:val="0"/>
                    <w:jc w:val="center"/>
                    <w:rPr>
                      <w:bCs/>
                      <w:kern w:val="0"/>
                      <w:sz w:val="24"/>
                    </w:rPr>
                  </w:pPr>
                  <w:r>
                    <w:rPr>
                      <w:rFonts w:hint="eastAsia"/>
                      <w:bCs/>
                      <w:kern w:val="0"/>
                      <w:sz w:val="24"/>
                    </w:rPr>
                    <w:t>施工期设置围挡，定期洒水减少施工扬尘影响；定期维修保养车辆设备，选用低标号燃油，减少车辆尾气影响</w:t>
                  </w:r>
                </w:p>
              </w:tc>
              <w:tc>
                <w:tcPr>
                  <w:tcW w:w="568" w:type="pct"/>
                  <w:vMerge w:val="restar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vMerge w:val="continue"/>
                  <w:shd w:val="clear" w:color="auto" w:fill="auto"/>
                  <w:vAlign w:val="center"/>
                </w:tcPr>
                <w:p>
                  <w:pPr>
                    <w:autoSpaceDE w:val="0"/>
                    <w:autoSpaceDN w:val="0"/>
                    <w:adjustRightInd w:val="0"/>
                    <w:jc w:val="center"/>
                    <w:rPr>
                      <w:bCs/>
                      <w:kern w:val="0"/>
                      <w:sz w:val="24"/>
                    </w:rPr>
                  </w:pPr>
                </w:p>
              </w:tc>
              <w:tc>
                <w:tcPr>
                  <w:tcW w:w="3044" w:type="pct"/>
                  <w:shd w:val="clear" w:color="auto" w:fill="auto"/>
                  <w:vAlign w:val="center"/>
                </w:tcPr>
                <w:p>
                  <w:pPr>
                    <w:autoSpaceDE w:val="0"/>
                    <w:autoSpaceDN w:val="0"/>
                    <w:adjustRightInd w:val="0"/>
                    <w:jc w:val="center"/>
                    <w:rPr>
                      <w:bCs/>
                      <w:kern w:val="0"/>
                      <w:sz w:val="24"/>
                    </w:rPr>
                  </w:pPr>
                  <w:r>
                    <w:rPr>
                      <w:rFonts w:hint="eastAsia"/>
                      <w:bCs/>
                      <w:kern w:val="0"/>
                      <w:sz w:val="24"/>
                    </w:rPr>
                    <w:t>运营期</w:t>
                  </w:r>
                  <w:r>
                    <w:rPr>
                      <w:bCs/>
                      <w:kern w:val="0"/>
                      <w:sz w:val="24"/>
                    </w:rPr>
                    <w:t>食堂安装油烟净化器；对地面定期洒水，集装箱煤堆场设置喷淋抑尘装置</w:t>
                  </w:r>
                </w:p>
              </w:tc>
              <w:tc>
                <w:tcPr>
                  <w:tcW w:w="568" w:type="pct"/>
                  <w:vMerge w:val="continue"/>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vMerge w:val="restart"/>
                  <w:shd w:val="clear" w:color="auto" w:fill="auto"/>
                  <w:vAlign w:val="center"/>
                </w:tcPr>
                <w:p>
                  <w:pPr>
                    <w:autoSpaceDE w:val="0"/>
                    <w:autoSpaceDN w:val="0"/>
                    <w:adjustRightInd w:val="0"/>
                    <w:jc w:val="center"/>
                    <w:rPr>
                      <w:bCs/>
                      <w:kern w:val="0"/>
                      <w:sz w:val="24"/>
                    </w:rPr>
                  </w:pPr>
                  <w:r>
                    <w:rPr>
                      <w:bCs/>
                      <w:kern w:val="0"/>
                      <w:sz w:val="24"/>
                    </w:rPr>
                    <w:t>固废</w:t>
                  </w:r>
                </w:p>
              </w:tc>
              <w:tc>
                <w:tcPr>
                  <w:tcW w:w="3044" w:type="pct"/>
                  <w:shd w:val="clear" w:color="auto" w:fill="auto"/>
                  <w:vAlign w:val="center"/>
                </w:tcPr>
                <w:p>
                  <w:pPr>
                    <w:pStyle w:val="38"/>
                    <w:spacing w:line="240" w:lineRule="auto"/>
                    <w:ind w:firstLine="0" w:firstLineChars="0"/>
                    <w:jc w:val="center"/>
                    <w:rPr>
                      <w:bCs/>
                    </w:rPr>
                  </w:pPr>
                  <w:r>
                    <w:rPr>
                      <w:rFonts w:hint="eastAsia"/>
                      <w:bCs/>
                    </w:rPr>
                    <w:t>施工期</w:t>
                  </w:r>
                  <w:r>
                    <w:rPr>
                      <w:bCs/>
                    </w:rPr>
                    <w:t>生活垃圾由当地环卫部门定期清运；</w:t>
                  </w:r>
                  <w:r>
                    <w:rPr>
                      <w:rFonts w:hint="eastAsia"/>
                      <w:bCs/>
                    </w:rPr>
                    <w:t>建筑废弃物应及时清运或回填；运送建筑垃圾的车辆应加盖篷布避免洒落</w:t>
                  </w:r>
                </w:p>
              </w:tc>
              <w:tc>
                <w:tcPr>
                  <w:tcW w:w="568" w:type="pct"/>
                  <w:vMerge w:val="restart"/>
                  <w:shd w:val="clear" w:color="auto" w:fill="auto"/>
                  <w:vAlign w:val="center"/>
                </w:tcPr>
                <w:p>
                  <w:pPr>
                    <w:autoSpaceDE w:val="0"/>
                    <w:autoSpaceDN w:val="0"/>
                    <w:adjustRightInd w:val="0"/>
                    <w:jc w:val="center"/>
                    <w:rPr>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18" w:type="pct"/>
                  <w:vMerge w:val="continue"/>
                  <w:shd w:val="clear" w:color="auto" w:fill="auto"/>
                  <w:vAlign w:val="center"/>
                </w:tcPr>
                <w:p>
                  <w:pPr>
                    <w:autoSpaceDE w:val="0"/>
                    <w:autoSpaceDN w:val="0"/>
                    <w:adjustRightInd w:val="0"/>
                    <w:jc w:val="center"/>
                    <w:rPr>
                      <w:bCs/>
                      <w:kern w:val="0"/>
                      <w:sz w:val="24"/>
                    </w:rPr>
                  </w:pPr>
                </w:p>
              </w:tc>
              <w:tc>
                <w:tcPr>
                  <w:tcW w:w="870" w:type="pct"/>
                  <w:vMerge w:val="continue"/>
                  <w:shd w:val="clear" w:color="auto" w:fill="auto"/>
                  <w:vAlign w:val="center"/>
                </w:tcPr>
                <w:p>
                  <w:pPr>
                    <w:autoSpaceDE w:val="0"/>
                    <w:autoSpaceDN w:val="0"/>
                    <w:adjustRightInd w:val="0"/>
                    <w:jc w:val="center"/>
                    <w:rPr>
                      <w:bCs/>
                      <w:kern w:val="0"/>
                      <w:sz w:val="24"/>
                    </w:rPr>
                  </w:pPr>
                </w:p>
              </w:tc>
              <w:tc>
                <w:tcPr>
                  <w:tcW w:w="3044" w:type="pct"/>
                  <w:shd w:val="clear" w:color="auto" w:fill="auto"/>
                  <w:vAlign w:val="center"/>
                </w:tcPr>
                <w:p>
                  <w:pPr>
                    <w:autoSpaceDE w:val="0"/>
                    <w:autoSpaceDN w:val="0"/>
                    <w:adjustRightInd w:val="0"/>
                    <w:jc w:val="center"/>
                    <w:rPr>
                      <w:bCs/>
                      <w:kern w:val="0"/>
                      <w:sz w:val="24"/>
                    </w:rPr>
                  </w:pPr>
                  <w:r>
                    <w:rPr>
                      <w:rFonts w:hint="eastAsia"/>
                      <w:bCs/>
                      <w:kern w:val="0"/>
                      <w:sz w:val="24"/>
                    </w:rPr>
                    <w:t>运营期</w:t>
                  </w:r>
                  <w:r>
                    <w:rPr>
                      <w:bCs/>
                      <w:kern w:val="0"/>
                      <w:sz w:val="24"/>
                    </w:rPr>
                    <w:t>生活垃圾</w:t>
                  </w:r>
                  <w:r>
                    <w:rPr>
                      <w:rFonts w:hint="eastAsia"/>
                      <w:bCs/>
                      <w:kern w:val="0"/>
                      <w:sz w:val="24"/>
                    </w:rPr>
                    <w:t>分类收集后</w:t>
                  </w:r>
                  <w:r>
                    <w:rPr>
                      <w:bCs/>
                      <w:kern w:val="0"/>
                      <w:sz w:val="24"/>
                    </w:rPr>
                    <w:t>由当地环卫部门定期清运</w:t>
                  </w:r>
                </w:p>
              </w:tc>
              <w:tc>
                <w:tcPr>
                  <w:tcW w:w="568" w:type="pct"/>
                  <w:vMerge w:val="continue"/>
                  <w:shd w:val="clear" w:color="auto" w:fill="auto"/>
                  <w:vAlign w:val="center"/>
                </w:tcPr>
                <w:p>
                  <w:pPr>
                    <w:autoSpaceDE w:val="0"/>
                    <w:autoSpaceDN w:val="0"/>
                    <w:adjustRightInd w:val="0"/>
                    <w:jc w:val="center"/>
                    <w:rPr>
                      <w:bCs/>
                      <w:kern w:val="0"/>
                      <w:sz w:val="24"/>
                    </w:rPr>
                  </w:pPr>
                </w:p>
              </w:tc>
            </w:tr>
          </w:tbl>
          <w:p>
            <w:pPr>
              <w:autoSpaceDE w:val="0"/>
              <w:autoSpaceDN w:val="0"/>
              <w:adjustRightInd w:val="0"/>
              <w:spacing w:line="360" w:lineRule="auto"/>
              <w:jc w:val="left"/>
              <w:rPr>
                <w:bCs/>
                <w:kern w:val="0"/>
                <w:sz w:val="24"/>
              </w:rPr>
            </w:pPr>
          </w:p>
          <w:p>
            <w:pPr>
              <w:autoSpaceDE w:val="0"/>
              <w:autoSpaceDN w:val="0"/>
              <w:adjustRightInd w:val="0"/>
              <w:spacing w:line="360" w:lineRule="auto"/>
              <w:ind w:firstLine="482" w:firstLineChars="200"/>
              <w:jc w:val="left"/>
              <w:rPr>
                <w:b/>
                <w:kern w:val="0"/>
                <w:sz w:val="24"/>
              </w:rPr>
            </w:pPr>
            <w:r>
              <w:rPr>
                <w:b/>
                <w:kern w:val="0"/>
                <w:sz w:val="24"/>
              </w:rPr>
              <w:t>3、本项目主要工程数量一览表</w:t>
            </w:r>
          </w:p>
          <w:p>
            <w:pPr>
              <w:autoSpaceDE w:val="0"/>
              <w:autoSpaceDN w:val="0"/>
              <w:adjustRightInd w:val="0"/>
              <w:spacing w:line="360" w:lineRule="auto"/>
              <w:ind w:firstLine="422" w:firstLineChars="200"/>
              <w:jc w:val="center"/>
              <w:rPr>
                <w:b/>
                <w:kern w:val="0"/>
              </w:rPr>
            </w:pPr>
            <w:r>
              <w:rPr>
                <w:rFonts w:hint="eastAsia"/>
                <w:b/>
                <w:kern w:val="0"/>
              </w:rPr>
              <w:t>表6</w:t>
            </w:r>
            <w:r>
              <w:rPr>
                <w:b/>
                <w:kern w:val="0"/>
              </w:rPr>
              <w:t xml:space="preserve"> </w:t>
            </w:r>
            <w:r>
              <w:rPr>
                <w:rFonts w:hint="eastAsia"/>
                <w:b/>
                <w:kern w:val="0"/>
              </w:rPr>
              <w:t>主要工程数量一览表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251"/>
              <w:gridCol w:w="3969"/>
              <w:gridCol w:w="99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shd w:val="clear" w:color="auto" w:fill="auto"/>
                  <w:vAlign w:val="center"/>
                </w:tcPr>
                <w:p>
                  <w:pPr>
                    <w:autoSpaceDE w:val="0"/>
                    <w:autoSpaceDN w:val="0"/>
                    <w:adjustRightInd w:val="0"/>
                    <w:jc w:val="center"/>
                    <w:rPr>
                      <w:kern w:val="0"/>
                      <w:sz w:val="24"/>
                    </w:rPr>
                  </w:pPr>
                  <w:r>
                    <w:rPr>
                      <w:kern w:val="0"/>
                      <w:sz w:val="24"/>
                    </w:rPr>
                    <w:t>工程单元</w:t>
                  </w:r>
                </w:p>
              </w:tc>
              <w:tc>
                <w:tcPr>
                  <w:tcW w:w="1251" w:type="dxa"/>
                  <w:shd w:val="clear" w:color="auto" w:fill="auto"/>
                  <w:vAlign w:val="center"/>
                </w:tcPr>
                <w:p>
                  <w:pPr>
                    <w:autoSpaceDE w:val="0"/>
                    <w:autoSpaceDN w:val="0"/>
                    <w:adjustRightInd w:val="0"/>
                    <w:jc w:val="center"/>
                    <w:rPr>
                      <w:kern w:val="0"/>
                      <w:sz w:val="24"/>
                    </w:rPr>
                  </w:pPr>
                  <w:r>
                    <w:rPr>
                      <w:kern w:val="0"/>
                      <w:sz w:val="24"/>
                    </w:rPr>
                    <w:t>工程项目</w:t>
                  </w:r>
                </w:p>
              </w:tc>
              <w:tc>
                <w:tcPr>
                  <w:tcW w:w="3969" w:type="dxa"/>
                  <w:shd w:val="clear" w:color="auto" w:fill="auto"/>
                  <w:vAlign w:val="center"/>
                </w:tcPr>
                <w:p>
                  <w:pPr>
                    <w:autoSpaceDE w:val="0"/>
                    <w:autoSpaceDN w:val="0"/>
                    <w:adjustRightInd w:val="0"/>
                    <w:jc w:val="center"/>
                    <w:rPr>
                      <w:kern w:val="0"/>
                      <w:sz w:val="24"/>
                    </w:rPr>
                  </w:pPr>
                  <w:r>
                    <w:rPr>
                      <w:kern w:val="0"/>
                      <w:sz w:val="24"/>
                    </w:rPr>
                    <w:t>工程内容</w:t>
                  </w:r>
                </w:p>
              </w:tc>
              <w:tc>
                <w:tcPr>
                  <w:tcW w:w="992" w:type="dxa"/>
                  <w:shd w:val="clear" w:color="auto" w:fill="auto"/>
                  <w:vAlign w:val="center"/>
                </w:tcPr>
                <w:p>
                  <w:pPr>
                    <w:autoSpaceDE w:val="0"/>
                    <w:autoSpaceDN w:val="0"/>
                    <w:adjustRightInd w:val="0"/>
                    <w:jc w:val="center"/>
                    <w:rPr>
                      <w:kern w:val="0"/>
                      <w:sz w:val="24"/>
                    </w:rPr>
                  </w:pPr>
                  <w:r>
                    <w:rPr>
                      <w:kern w:val="0"/>
                      <w:sz w:val="24"/>
                    </w:rPr>
                    <w:t>单位</w:t>
                  </w:r>
                </w:p>
              </w:tc>
              <w:tc>
                <w:tcPr>
                  <w:tcW w:w="1067" w:type="dxa"/>
                  <w:shd w:val="clear" w:color="auto" w:fill="auto"/>
                  <w:vAlign w:val="center"/>
                </w:tcPr>
                <w:p>
                  <w:pPr>
                    <w:autoSpaceDE w:val="0"/>
                    <w:autoSpaceDN w:val="0"/>
                    <w:adjustRightInd w:val="0"/>
                    <w:jc w:val="center"/>
                    <w:rPr>
                      <w:kern w:val="0"/>
                      <w:sz w:val="24"/>
                    </w:rPr>
                  </w:pPr>
                  <w:r>
                    <w:rPr>
                      <w:kern w:val="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shd w:val="clear" w:color="auto" w:fill="auto"/>
                  <w:vAlign w:val="center"/>
                </w:tcPr>
                <w:p>
                  <w:pPr>
                    <w:autoSpaceDE w:val="0"/>
                    <w:autoSpaceDN w:val="0"/>
                    <w:adjustRightInd w:val="0"/>
                    <w:jc w:val="center"/>
                    <w:rPr>
                      <w:kern w:val="0"/>
                      <w:sz w:val="24"/>
                    </w:rPr>
                  </w:pPr>
                  <w:r>
                    <w:rPr>
                      <w:kern w:val="0"/>
                      <w:sz w:val="24"/>
                    </w:rPr>
                    <w:t>占地</w:t>
                  </w:r>
                </w:p>
              </w:tc>
              <w:tc>
                <w:tcPr>
                  <w:tcW w:w="1251" w:type="dxa"/>
                  <w:vMerge w:val="restart"/>
                  <w:shd w:val="clear" w:color="auto" w:fill="auto"/>
                  <w:vAlign w:val="center"/>
                </w:tcPr>
                <w:p>
                  <w:pPr>
                    <w:autoSpaceDE w:val="0"/>
                    <w:autoSpaceDN w:val="0"/>
                    <w:adjustRightInd w:val="0"/>
                    <w:jc w:val="center"/>
                    <w:rPr>
                      <w:kern w:val="0"/>
                      <w:sz w:val="24"/>
                    </w:rPr>
                  </w:pPr>
                  <w:r>
                    <w:rPr>
                      <w:kern w:val="0"/>
                      <w:sz w:val="24"/>
                    </w:rPr>
                    <w:t>占地</w:t>
                  </w:r>
                </w:p>
              </w:tc>
              <w:tc>
                <w:tcPr>
                  <w:tcW w:w="3969" w:type="dxa"/>
                  <w:shd w:val="clear" w:color="auto" w:fill="auto"/>
                  <w:vAlign w:val="center"/>
                </w:tcPr>
                <w:p>
                  <w:pPr>
                    <w:autoSpaceDE w:val="0"/>
                    <w:autoSpaceDN w:val="0"/>
                    <w:adjustRightInd w:val="0"/>
                    <w:jc w:val="center"/>
                    <w:rPr>
                      <w:kern w:val="0"/>
                      <w:sz w:val="24"/>
                    </w:rPr>
                  </w:pPr>
                  <w:r>
                    <w:rPr>
                      <w:kern w:val="0"/>
                      <w:sz w:val="24"/>
                    </w:rPr>
                    <w:t>永久占地</w:t>
                  </w:r>
                </w:p>
              </w:tc>
              <w:tc>
                <w:tcPr>
                  <w:tcW w:w="992" w:type="dxa"/>
                  <w:shd w:val="clear" w:color="auto" w:fill="auto"/>
                  <w:vAlign w:val="center"/>
                </w:tcPr>
                <w:p>
                  <w:pPr>
                    <w:autoSpaceDE w:val="0"/>
                    <w:autoSpaceDN w:val="0"/>
                    <w:adjustRightInd w:val="0"/>
                    <w:jc w:val="center"/>
                    <w:rPr>
                      <w:kern w:val="0"/>
                      <w:sz w:val="24"/>
                    </w:rPr>
                  </w:pPr>
                  <w:r>
                    <w:rPr>
                      <w:kern w:val="0"/>
                      <w:sz w:val="24"/>
                    </w:rPr>
                    <w:t>亩</w:t>
                  </w:r>
                </w:p>
              </w:tc>
              <w:tc>
                <w:tcPr>
                  <w:tcW w:w="1067" w:type="dxa"/>
                  <w:shd w:val="clear" w:color="auto" w:fill="auto"/>
                  <w:vAlign w:val="center"/>
                </w:tcPr>
                <w:p>
                  <w:pPr>
                    <w:autoSpaceDE w:val="0"/>
                    <w:autoSpaceDN w:val="0"/>
                    <w:adjustRightInd w:val="0"/>
                    <w:jc w:val="center"/>
                    <w:rPr>
                      <w:kern w:val="0"/>
                      <w:sz w:val="24"/>
                    </w:rPr>
                  </w:pPr>
                  <w:r>
                    <w:rPr>
                      <w:kern w:val="0"/>
                      <w:sz w:val="24"/>
                    </w:rPr>
                    <w:t>626.9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vMerge w:val="continue"/>
                  <w:shd w:val="clear" w:color="auto" w:fill="auto"/>
                  <w:vAlign w:val="center"/>
                </w:tcPr>
                <w:p>
                  <w:pPr>
                    <w:autoSpaceDE w:val="0"/>
                    <w:autoSpaceDN w:val="0"/>
                    <w:adjustRightInd w:val="0"/>
                    <w:jc w:val="center"/>
                    <w:rPr>
                      <w:kern w:val="0"/>
                      <w:sz w:val="24"/>
                    </w:rPr>
                  </w:pPr>
                </w:p>
              </w:tc>
              <w:tc>
                <w:tcPr>
                  <w:tcW w:w="3969" w:type="dxa"/>
                  <w:shd w:val="clear" w:color="auto" w:fill="auto"/>
                  <w:vAlign w:val="center"/>
                </w:tcPr>
                <w:p>
                  <w:pPr>
                    <w:autoSpaceDE w:val="0"/>
                    <w:autoSpaceDN w:val="0"/>
                    <w:adjustRightInd w:val="0"/>
                    <w:jc w:val="center"/>
                    <w:rPr>
                      <w:kern w:val="0"/>
                      <w:sz w:val="24"/>
                    </w:rPr>
                  </w:pPr>
                  <w:r>
                    <w:rPr>
                      <w:kern w:val="0"/>
                      <w:sz w:val="24"/>
                    </w:rPr>
                    <w:t>临时占地</w:t>
                  </w:r>
                </w:p>
              </w:tc>
              <w:tc>
                <w:tcPr>
                  <w:tcW w:w="992" w:type="dxa"/>
                  <w:shd w:val="clear" w:color="auto" w:fill="auto"/>
                  <w:vAlign w:val="center"/>
                </w:tcPr>
                <w:p>
                  <w:pPr>
                    <w:autoSpaceDE w:val="0"/>
                    <w:autoSpaceDN w:val="0"/>
                    <w:adjustRightInd w:val="0"/>
                    <w:jc w:val="center"/>
                    <w:rPr>
                      <w:kern w:val="0"/>
                      <w:sz w:val="24"/>
                    </w:rPr>
                  </w:pPr>
                  <w:r>
                    <w:rPr>
                      <w:kern w:val="0"/>
                      <w:sz w:val="24"/>
                    </w:rPr>
                    <w:t>亩</w:t>
                  </w:r>
                </w:p>
              </w:tc>
              <w:tc>
                <w:tcPr>
                  <w:tcW w:w="1067" w:type="dxa"/>
                  <w:shd w:val="clear" w:color="auto" w:fill="auto"/>
                  <w:vAlign w:val="center"/>
                </w:tcPr>
                <w:p>
                  <w:pPr>
                    <w:autoSpaceDE w:val="0"/>
                    <w:autoSpaceDN w:val="0"/>
                    <w:adjustRightInd w:val="0"/>
                    <w:jc w:val="center"/>
                    <w:rPr>
                      <w:kern w:val="0"/>
                      <w:sz w:val="24"/>
                    </w:rPr>
                  </w:pPr>
                  <w:r>
                    <w:rPr>
                      <w:kern w:val="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70" w:type="dxa"/>
                  <w:vMerge w:val="restart"/>
                  <w:shd w:val="clear" w:color="auto" w:fill="auto"/>
                  <w:vAlign w:val="center"/>
                </w:tcPr>
                <w:p>
                  <w:pPr>
                    <w:autoSpaceDE w:val="0"/>
                    <w:autoSpaceDN w:val="0"/>
                    <w:adjustRightInd w:val="0"/>
                    <w:jc w:val="center"/>
                    <w:rPr>
                      <w:kern w:val="0"/>
                      <w:sz w:val="24"/>
                    </w:rPr>
                  </w:pPr>
                  <w:r>
                    <w:rPr>
                      <w:kern w:val="0"/>
                      <w:sz w:val="24"/>
                    </w:rPr>
                    <w:t>路基</w:t>
                  </w:r>
                </w:p>
              </w:tc>
              <w:tc>
                <w:tcPr>
                  <w:tcW w:w="1251" w:type="dxa"/>
                  <w:vMerge w:val="restart"/>
                  <w:shd w:val="clear" w:color="auto" w:fill="auto"/>
                  <w:vAlign w:val="center"/>
                </w:tcPr>
                <w:p>
                  <w:pPr>
                    <w:autoSpaceDE w:val="0"/>
                    <w:autoSpaceDN w:val="0"/>
                    <w:adjustRightInd w:val="0"/>
                    <w:jc w:val="center"/>
                    <w:rPr>
                      <w:kern w:val="0"/>
                      <w:sz w:val="24"/>
                    </w:rPr>
                  </w:pPr>
                  <w:r>
                    <w:rPr>
                      <w:kern w:val="0"/>
                      <w:sz w:val="24"/>
                    </w:rPr>
                    <w:t>土石方</w:t>
                  </w:r>
                </w:p>
              </w:tc>
              <w:tc>
                <w:tcPr>
                  <w:tcW w:w="3969" w:type="dxa"/>
                  <w:shd w:val="clear" w:color="auto" w:fill="auto"/>
                  <w:vAlign w:val="center"/>
                </w:tcPr>
                <w:p>
                  <w:pPr>
                    <w:autoSpaceDE w:val="0"/>
                    <w:autoSpaceDN w:val="0"/>
                    <w:adjustRightInd w:val="0"/>
                    <w:jc w:val="center"/>
                    <w:rPr>
                      <w:kern w:val="0"/>
                      <w:sz w:val="24"/>
                    </w:rPr>
                  </w:pPr>
                  <w:r>
                    <w:rPr>
                      <w:rFonts w:hint="eastAsia"/>
                      <w:kern w:val="0"/>
                      <w:sz w:val="24"/>
                    </w:rPr>
                    <w:t>区间借土</w:t>
                  </w:r>
                  <w:r>
                    <w:rPr>
                      <w:kern w:val="0"/>
                      <w:sz w:val="24"/>
                    </w:rPr>
                    <w:t>填方</w:t>
                  </w:r>
                </w:p>
              </w:tc>
              <w:tc>
                <w:tcPr>
                  <w:tcW w:w="992" w:type="dxa"/>
                  <w:shd w:val="clear" w:color="auto" w:fill="auto"/>
                  <w:vAlign w:val="center"/>
                </w:tcPr>
                <w:p>
                  <w:pPr>
                    <w:autoSpaceDE w:val="0"/>
                    <w:autoSpaceDN w:val="0"/>
                    <w:adjustRightInd w:val="0"/>
                    <w:jc w:val="center"/>
                    <w:rPr>
                      <w:kern w:val="0"/>
                      <w:sz w:val="24"/>
                    </w:rPr>
                  </w:pPr>
                  <w:r>
                    <w:rPr>
                      <w:kern w:val="0"/>
                      <w:sz w:val="24"/>
                    </w:rPr>
                    <w:t>m³</w:t>
                  </w:r>
                </w:p>
              </w:tc>
              <w:tc>
                <w:tcPr>
                  <w:tcW w:w="1067" w:type="dxa"/>
                  <w:shd w:val="clear" w:color="auto" w:fill="auto"/>
                  <w:vAlign w:val="center"/>
                </w:tcPr>
                <w:p>
                  <w:pPr>
                    <w:autoSpaceDE w:val="0"/>
                    <w:autoSpaceDN w:val="0"/>
                    <w:adjustRightInd w:val="0"/>
                    <w:jc w:val="center"/>
                    <w:rPr>
                      <w:kern w:val="0"/>
                      <w:sz w:val="24"/>
                    </w:rPr>
                  </w:pPr>
                  <w:r>
                    <w:rPr>
                      <w:kern w:val="0"/>
                      <w:sz w:val="24"/>
                    </w:rPr>
                    <w:t>110800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70" w:type="dxa"/>
                  <w:vMerge w:val="continue"/>
                  <w:shd w:val="clear" w:color="auto" w:fill="auto"/>
                  <w:vAlign w:val="center"/>
                </w:tcPr>
                <w:p>
                  <w:pPr>
                    <w:autoSpaceDE w:val="0"/>
                    <w:autoSpaceDN w:val="0"/>
                    <w:adjustRightInd w:val="0"/>
                    <w:jc w:val="center"/>
                    <w:rPr>
                      <w:kern w:val="0"/>
                      <w:sz w:val="24"/>
                    </w:rPr>
                  </w:pPr>
                </w:p>
              </w:tc>
              <w:tc>
                <w:tcPr>
                  <w:tcW w:w="1251" w:type="dxa"/>
                  <w:vMerge w:val="continue"/>
                  <w:shd w:val="clear" w:color="auto" w:fill="auto"/>
                  <w:vAlign w:val="center"/>
                </w:tcPr>
                <w:p>
                  <w:pPr>
                    <w:autoSpaceDE w:val="0"/>
                    <w:autoSpaceDN w:val="0"/>
                    <w:adjustRightInd w:val="0"/>
                    <w:jc w:val="center"/>
                    <w:rPr>
                      <w:kern w:val="0"/>
                      <w:sz w:val="24"/>
                    </w:rPr>
                  </w:pPr>
                </w:p>
              </w:tc>
              <w:tc>
                <w:tcPr>
                  <w:tcW w:w="3969" w:type="dxa"/>
                  <w:shd w:val="clear" w:color="auto" w:fill="auto"/>
                  <w:vAlign w:val="center"/>
                </w:tcPr>
                <w:p>
                  <w:pPr>
                    <w:autoSpaceDE w:val="0"/>
                    <w:autoSpaceDN w:val="0"/>
                    <w:adjustRightInd w:val="0"/>
                    <w:jc w:val="center"/>
                    <w:rPr>
                      <w:kern w:val="0"/>
                      <w:sz w:val="24"/>
                    </w:rPr>
                  </w:pPr>
                  <w:r>
                    <w:rPr>
                      <w:rFonts w:hint="eastAsia"/>
                      <w:kern w:val="0"/>
                      <w:sz w:val="24"/>
                    </w:rPr>
                    <w:t>站场借土填方</w:t>
                  </w:r>
                </w:p>
              </w:tc>
              <w:tc>
                <w:tcPr>
                  <w:tcW w:w="992" w:type="dxa"/>
                  <w:shd w:val="clear" w:color="auto" w:fill="auto"/>
                  <w:vAlign w:val="center"/>
                </w:tcPr>
                <w:p>
                  <w:pPr>
                    <w:autoSpaceDE w:val="0"/>
                    <w:autoSpaceDN w:val="0"/>
                    <w:adjustRightInd w:val="0"/>
                    <w:jc w:val="center"/>
                    <w:rPr>
                      <w:kern w:val="0"/>
                      <w:sz w:val="24"/>
                    </w:rPr>
                  </w:pPr>
                  <w:r>
                    <w:rPr>
                      <w:kern w:val="0"/>
                      <w:sz w:val="24"/>
                    </w:rPr>
                    <w:t>m³</w:t>
                  </w:r>
                </w:p>
              </w:tc>
              <w:tc>
                <w:tcPr>
                  <w:tcW w:w="1067" w:type="dxa"/>
                  <w:shd w:val="clear" w:color="auto" w:fill="auto"/>
                  <w:vAlign w:val="center"/>
                </w:tcPr>
                <w:p>
                  <w:pPr>
                    <w:autoSpaceDE w:val="0"/>
                    <w:autoSpaceDN w:val="0"/>
                    <w:adjustRightInd w:val="0"/>
                    <w:jc w:val="center"/>
                    <w:rPr>
                      <w:kern w:val="0"/>
                      <w:sz w:val="24"/>
                    </w:rPr>
                  </w:pPr>
                  <w:r>
                    <w:rPr>
                      <w:rFonts w:hint="eastAsia"/>
                      <w:kern w:val="0"/>
                      <w:sz w:val="24"/>
                    </w:rPr>
                    <w:t>77</w:t>
                  </w:r>
                  <w:r>
                    <w:rPr>
                      <w:kern w:val="0"/>
                      <w:sz w:val="24"/>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基床</w:t>
                  </w:r>
                </w:p>
              </w:tc>
              <w:tc>
                <w:tcPr>
                  <w:tcW w:w="3969" w:type="dxa"/>
                  <w:shd w:val="clear" w:color="auto" w:fill="auto"/>
                  <w:vAlign w:val="center"/>
                </w:tcPr>
                <w:p>
                  <w:pPr>
                    <w:autoSpaceDE w:val="0"/>
                    <w:autoSpaceDN w:val="0"/>
                    <w:adjustRightInd w:val="0"/>
                    <w:jc w:val="center"/>
                    <w:rPr>
                      <w:kern w:val="0"/>
                      <w:sz w:val="24"/>
                    </w:rPr>
                  </w:pPr>
                  <w:r>
                    <w:rPr>
                      <w:kern w:val="0"/>
                      <w:sz w:val="24"/>
                    </w:rPr>
                    <w:t>基床填料采用C组及以上填料</w:t>
                  </w:r>
                </w:p>
              </w:tc>
              <w:tc>
                <w:tcPr>
                  <w:tcW w:w="992" w:type="dxa"/>
                  <w:shd w:val="clear" w:color="auto" w:fill="auto"/>
                  <w:vAlign w:val="center"/>
                </w:tcPr>
                <w:p>
                  <w:pPr>
                    <w:autoSpaceDE w:val="0"/>
                    <w:autoSpaceDN w:val="0"/>
                    <w:adjustRightInd w:val="0"/>
                    <w:jc w:val="center"/>
                    <w:rPr>
                      <w:kern w:val="0"/>
                      <w:sz w:val="24"/>
                    </w:rPr>
                  </w:pPr>
                  <w:r>
                    <w:rPr>
                      <w:kern w:val="0"/>
                      <w:sz w:val="24"/>
                    </w:rPr>
                    <w:t>m³</w:t>
                  </w:r>
                </w:p>
              </w:tc>
              <w:tc>
                <w:tcPr>
                  <w:tcW w:w="1067" w:type="dxa"/>
                  <w:shd w:val="clear" w:color="auto" w:fill="auto"/>
                  <w:vAlign w:val="center"/>
                </w:tcPr>
                <w:p>
                  <w:pPr>
                    <w:autoSpaceDE w:val="0"/>
                    <w:autoSpaceDN w:val="0"/>
                    <w:adjustRightInd w:val="0"/>
                    <w:jc w:val="center"/>
                    <w:rPr>
                      <w:kern w:val="0"/>
                      <w:sz w:val="24"/>
                    </w:rPr>
                  </w:pPr>
                  <w:r>
                    <w:rPr>
                      <w:kern w:val="0"/>
                      <w:sz w:val="24"/>
                    </w:rPr>
                    <w:t>110830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路堤边坡防护工程</w:t>
                  </w:r>
                </w:p>
              </w:tc>
              <w:tc>
                <w:tcPr>
                  <w:tcW w:w="3969" w:type="dxa"/>
                  <w:shd w:val="clear" w:color="auto" w:fill="auto"/>
                  <w:vAlign w:val="center"/>
                </w:tcPr>
                <w:p>
                  <w:pPr>
                    <w:autoSpaceDE w:val="0"/>
                    <w:autoSpaceDN w:val="0"/>
                    <w:adjustRightInd w:val="0"/>
                    <w:jc w:val="center"/>
                    <w:rPr>
                      <w:kern w:val="0"/>
                      <w:sz w:val="24"/>
                    </w:rPr>
                  </w:pPr>
                  <w:r>
                    <w:rPr>
                      <w:bCs/>
                      <w:kern w:val="0"/>
                      <w:sz w:val="24"/>
                    </w:rPr>
                    <w:t>铺设土工格栅加固边坡，设置C35混凝土边坡冲刷防护工程</w:t>
                  </w:r>
                </w:p>
              </w:tc>
              <w:tc>
                <w:tcPr>
                  <w:tcW w:w="992" w:type="dxa"/>
                  <w:shd w:val="clear" w:color="auto" w:fill="auto"/>
                  <w:vAlign w:val="center"/>
                </w:tcPr>
                <w:p>
                  <w:pPr>
                    <w:autoSpaceDE w:val="0"/>
                    <w:autoSpaceDN w:val="0"/>
                    <w:adjustRightInd w:val="0"/>
                    <w:jc w:val="center"/>
                    <w:rPr>
                      <w:kern w:val="0"/>
                      <w:sz w:val="24"/>
                    </w:rPr>
                  </w:pPr>
                  <w:r>
                    <w:rPr>
                      <w:kern w:val="0"/>
                      <w:sz w:val="24"/>
                    </w:rPr>
                    <w:t>㎡</w:t>
                  </w:r>
                </w:p>
              </w:tc>
              <w:tc>
                <w:tcPr>
                  <w:tcW w:w="1067" w:type="dxa"/>
                  <w:shd w:val="clear" w:color="auto" w:fill="auto"/>
                  <w:vAlign w:val="center"/>
                </w:tcPr>
                <w:p>
                  <w:pPr>
                    <w:autoSpaceDE w:val="0"/>
                    <w:autoSpaceDN w:val="0"/>
                    <w:adjustRightInd w:val="0"/>
                    <w:jc w:val="center"/>
                    <w:rPr>
                      <w:kern w:val="0"/>
                      <w:sz w:val="24"/>
                    </w:rPr>
                  </w:pPr>
                  <w:r>
                    <w:rPr>
                      <w:kern w:val="0"/>
                      <w:sz w:val="24"/>
                    </w:rPr>
                    <w:t>29698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路基排水</w:t>
                  </w:r>
                </w:p>
              </w:tc>
              <w:tc>
                <w:tcPr>
                  <w:tcW w:w="3969" w:type="dxa"/>
                  <w:shd w:val="clear" w:color="auto" w:fill="auto"/>
                  <w:vAlign w:val="center"/>
                </w:tcPr>
                <w:p>
                  <w:pPr>
                    <w:autoSpaceDE w:val="0"/>
                    <w:autoSpaceDN w:val="0"/>
                    <w:adjustRightInd w:val="0"/>
                    <w:jc w:val="center"/>
                    <w:rPr>
                      <w:kern w:val="0"/>
                      <w:sz w:val="24"/>
                    </w:rPr>
                  </w:pPr>
                  <w:r>
                    <w:rPr>
                      <w:bCs/>
                      <w:kern w:val="0"/>
                      <w:sz w:val="24"/>
                    </w:rPr>
                    <w:t>路基面及装卸站设置C35混凝土块板排水沟，排水沟总长3668m</w:t>
                  </w:r>
                </w:p>
              </w:tc>
              <w:tc>
                <w:tcPr>
                  <w:tcW w:w="992" w:type="dxa"/>
                  <w:shd w:val="clear" w:color="auto" w:fill="auto"/>
                  <w:vAlign w:val="center"/>
                </w:tcPr>
                <w:p>
                  <w:pPr>
                    <w:autoSpaceDE w:val="0"/>
                    <w:autoSpaceDN w:val="0"/>
                    <w:adjustRightInd w:val="0"/>
                    <w:jc w:val="center"/>
                    <w:rPr>
                      <w:kern w:val="0"/>
                      <w:sz w:val="24"/>
                    </w:rPr>
                  </w:pPr>
                  <w:r>
                    <w:rPr>
                      <w:kern w:val="0"/>
                      <w:sz w:val="24"/>
                    </w:rPr>
                    <w:t>m</w:t>
                  </w:r>
                </w:p>
              </w:tc>
              <w:tc>
                <w:tcPr>
                  <w:tcW w:w="1067" w:type="dxa"/>
                  <w:shd w:val="clear" w:color="auto" w:fill="auto"/>
                  <w:vAlign w:val="center"/>
                </w:tcPr>
                <w:p>
                  <w:pPr>
                    <w:autoSpaceDE w:val="0"/>
                    <w:autoSpaceDN w:val="0"/>
                    <w:adjustRightInd w:val="0"/>
                    <w:jc w:val="center"/>
                    <w:rPr>
                      <w:kern w:val="0"/>
                      <w:sz w:val="24"/>
                    </w:rPr>
                  </w:pPr>
                  <w:r>
                    <w:rPr>
                      <w:kern w:val="0"/>
                      <w:sz w:val="24"/>
                    </w:rPr>
                    <w:t>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防护栅栏</w:t>
                  </w:r>
                </w:p>
              </w:tc>
              <w:tc>
                <w:tcPr>
                  <w:tcW w:w="3969" w:type="dxa"/>
                  <w:shd w:val="clear" w:color="auto" w:fill="auto"/>
                  <w:vAlign w:val="center"/>
                </w:tcPr>
                <w:p>
                  <w:pPr>
                    <w:autoSpaceDE w:val="0"/>
                    <w:autoSpaceDN w:val="0"/>
                    <w:adjustRightInd w:val="0"/>
                    <w:jc w:val="center"/>
                    <w:rPr>
                      <w:kern w:val="0"/>
                      <w:sz w:val="24"/>
                    </w:rPr>
                  </w:pPr>
                  <w:r>
                    <w:rPr>
                      <w:bCs/>
                      <w:kern w:val="0"/>
                      <w:sz w:val="24"/>
                    </w:rPr>
                    <w:t>1.8m高砼立柱金属网片及刺丝滚笼</w:t>
                  </w:r>
                </w:p>
              </w:tc>
              <w:tc>
                <w:tcPr>
                  <w:tcW w:w="992" w:type="dxa"/>
                  <w:shd w:val="clear" w:color="auto" w:fill="auto"/>
                  <w:vAlign w:val="center"/>
                </w:tcPr>
                <w:p>
                  <w:pPr>
                    <w:autoSpaceDE w:val="0"/>
                    <w:autoSpaceDN w:val="0"/>
                    <w:adjustRightInd w:val="0"/>
                    <w:jc w:val="center"/>
                    <w:rPr>
                      <w:kern w:val="0"/>
                      <w:sz w:val="24"/>
                    </w:rPr>
                  </w:pPr>
                  <w:r>
                    <w:rPr>
                      <w:kern w:val="0"/>
                      <w:sz w:val="24"/>
                    </w:rPr>
                    <w:t>m</w:t>
                  </w:r>
                </w:p>
              </w:tc>
              <w:tc>
                <w:tcPr>
                  <w:tcW w:w="1067" w:type="dxa"/>
                  <w:shd w:val="clear" w:color="auto" w:fill="auto"/>
                  <w:vAlign w:val="center"/>
                </w:tcPr>
                <w:p>
                  <w:pPr>
                    <w:autoSpaceDE w:val="0"/>
                    <w:autoSpaceDN w:val="0"/>
                    <w:adjustRightInd w:val="0"/>
                    <w:jc w:val="center"/>
                    <w:rPr>
                      <w:kern w:val="0"/>
                      <w:sz w:val="24"/>
                    </w:rPr>
                  </w:pPr>
                  <w:r>
                    <w:rPr>
                      <w:kern w:val="0"/>
                      <w:sz w:val="24"/>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0" w:type="dxa"/>
                  <w:vMerge w:val="restart"/>
                  <w:shd w:val="clear" w:color="auto" w:fill="auto"/>
                  <w:vAlign w:val="center"/>
                </w:tcPr>
                <w:p>
                  <w:pPr>
                    <w:autoSpaceDE w:val="0"/>
                    <w:autoSpaceDN w:val="0"/>
                    <w:adjustRightInd w:val="0"/>
                    <w:jc w:val="center"/>
                    <w:rPr>
                      <w:kern w:val="0"/>
                      <w:sz w:val="24"/>
                    </w:rPr>
                  </w:pPr>
                  <w:r>
                    <w:rPr>
                      <w:kern w:val="0"/>
                      <w:sz w:val="24"/>
                    </w:rPr>
                    <w:t>桥涵</w:t>
                  </w:r>
                </w:p>
              </w:tc>
              <w:tc>
                <w:tcPr>
                  <w:tcW w:w="1251" w:type="dxa"/>
                  <w:shd w:val="clear" w:color="auto" w:fill="auto"/>
                  <w:vAlign w:val="center"/>
                </w:tcPr>
                <w:p>
                  <w:pPr>
                    <w:autoSpaceDE w:val="0"/>
                    <w:autoSpaceDN w:val="0"/>
                    <w:adjustRightInd w:val="0"/>
                    <w:jc w:val="center"/>
                    <w:rPr>
                      <w:kern w:val="0"/>
                      <w:sz w:val="24"/>
                    </w:rPr>
                  </w:pPr>
                  <w:r>
                    <w:rPr>
                      <w:kern w:val="0"/>
                      <w:sz w:val="24"/>
                    </w:rPr>
                    <w:t>新建涵洞</w:t>
                  </w:r>
                </w:p>
              </w:tc>
              <w:tc>
                <w:tcPr>
                  <w:tcW w:w="3969" w:type="dxa"/>
                  <w:shd w:val="clear" w:color="auto" w:fill="auto"/>
                </w:tcPr>
                <w:p>
                  <w:pPr>
                    <w:autoSpaceDE w:val="0"/>
                    <w:autoSpaceDN w:val="0"/>
                    <w:adjustRightInd w:val="0"/>
                    <w:rPr>
                      <w:bCs/>
                      <w:kern w:val="0"/>
                      <w:sz w:val="24"/>
                    </w:rPr>
                  </w:pPr>
                  <w:r>
                    <w:rPr>
                      <w:kern w:val="0"/>
                      <w:sz w:val="24"/>
                    </w:rPr>
                    <w:t>CK0+835.2、CK0+962.8、CK1+132.6、CK1+500、CK1+541、CK1+690、CK1+850、CK3+420、CK3+619、CK3+529、CK3+805、CK3+981、CK4+148、CK4+285、CK4+305处新建涵洞，均采用现浇施工方法</w:t>
                  </w:r>
                </w:p>
              </w:tc>
              <w:tc>
                <w:tcPr>
                  <w:tcW w:w="992" w:type="dxa"/>
                  <w:shd w:val="clear" w:color="auto" w:fill="auto"/>
                  <w:vAlign w:val="center"/>
                </w:tcPr>
                <w:p>
                  <w:pPr>
                    <w:autoSpaceDE w:val="0"/>
                    <w:autoSpaceDN w:val="0"/>
                    <w:adjustRightInd w:val="0"/>
                    <w:jc w:val="center"/>
                    <w:rPr>
                      <w:kern w:val="0"/>
                      <w:sz w:val="24"/>
                    </w:rPr>
                  </w:pPr>
                  <w:r>
                    <w:rPr>
                      <w:kern w:val="0"/>
                      <w:sz w:val="24"/>
                    </w:rPr>
                    <w:t>座</w:t>
                  </w:r>
                </w:p>
              </w:tc>
              <w:tc>
                <w:tcPr>
                  <w:tcW w:w="1067" w:type="dxa"/>
                  <w:shd w:val="clear" w:color="auto" w:fill="auto"/>
                  <w:vAlign w:val="center"/>
                </w:tcPr>
                <w:p>
                  <w:pPr>
                    <w:autoSpaceDE w:val="0"/>
                    <w:autoSpaceDN w:val="0"/>
                    <w:adjustRightInd w:val="0"/>
                    <w:jc w:val="center"/>
                    <w:rPr>
                      <w:kern w:val="0"/>
                      <w:sz w:val="24"/>
                    </w:rPr>
                  </w:pPr>
                  <w:r>
                    <w:rPr>
                      <w:kern w:val="0"/>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接长涵洞</w:t>
                  </w:r>
                </w:p>
              </w:tc>
              <w:tc>
                <w:tcPr>
                  <w:tcW w:w="3969" w:type="dxa"/>
                  <w:shd w:val="clear" w:color="auto" w:fill="auto"/>
                </w:tcPr>
                <w:p>
                  <w:pPr>
                    <w:autoSpaceDE w:val="0"/>
                    <w:autoSpaceDN w:val="0"/>
                    <w:adjustRightInd w:val="0"/>
                    <w:rPr>
                      <w:bCs/>
                      <w:kern w:val="0"/>
                      <w:sz w:val="24"/>
                    </w:rPr>
                  </w:pPr>
                  <w:r>
                    <w:rPr>
                      <w:kern w:val="0"/>
                      <w:sz w:val="24"/>
                    </w:rPr>
                    <w:t>CK0+023.4、CK0+568.6、CK0+731.9处接长建设涵洞，采用3-5-3吊轨梁防护线路，道岔处桥涵防护采用沉井桩，并结合草袋装土和工字钢桩防护路基</w:t>
                  </w:r>
                </w:p>
              </w:tc>
              <w:tc>
                <w:tcPr>
                  <w:tcW w:w="992" w:type="dxa"/>
                  <w:shd w:val="clear" w:color="auto" w:fill="auto"/>
                  <w:vAlign w:val="center"/>
                </w:tcPr>
                <w:p>
                  <w:pPr>
                    <w:autoSpaceDE w:val="0"/>
                    <w:autoSpaceDN w:val="0"/>
                    <w:adjustRightInd w:val="0"/>
                    <w:jc w:val="center"/>
                    <w:rPr>
                      <w:kern w:val="0"/>
                      <w:sz w:val="24"/>
                    </w:rPr>
                  </w:pPr>
                  <w:r>
                    <w:rPr>
                      <w:kern w:val="0"/>
                      <w:sz w:val="24"/>
                    </w:rPr>
                    <w:t>座</w:t>
                  </w:r>
                </w:p>
              </w:tc>
              <w:tc>
                <w:tcPr>
                  <w:tcW w:w="1067" w:type="dxa"/>
                  <w:shd w:val="clear" w:color="auto" w:fill="auto"/>
                  <w:vAlign w:val="center"/>
                </w:tcPr>
                <w:p>
                  <w:pPr>
                    <w:autoSpaceDE w:val="0"/>
                    <w:autoSpaceDN w:val="0"/>
                    <w:adjustRightInd w:val="0"/>
                    <w:jc w:val="center"/>
                    <w:rPr>
                      <w:kern w:val="0"/>
                      <w:sz w:val="24"/>
                    </w:rPr>
                  </w:pPr>
                  <w:r>
                    <w:rPr>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接建箱形桥</w:t>
                  </w:r>
                </w:p>
              </w:tc>
              <w:tc>
                <w:tcPr>
                  <w:tcW w:w="3969" w:type="dxa"/>
                  <w:shd w:val="clear" w:color="auto" w:fill="auto"/>
                  <w:vAlign w:val="center"/>
                </w:tcPr>
                <w:p>
                  <w:pPr>
                    <w:autoSpaceDE w:val="0"/>
                    <w:autoSpaceDN w:val="0"/>
                    <w:adjustRightInd w:val="0"/>
                    <w:jc w:val="center"/>
                    <w:rPr>
                      <w:bCs/>
                      <w:kern w:val="0"/>
                      <w:sz w:val="24"/>
                    </w:rPr>
                  </w:pPr>
                  <w:r>
                    <w:rPr>
                      <w:kern w:val="0"/>
                      <w:sz w:val="24"/>
                    </w:rPr>
                    <w:t>CK0+220.2处</w:t>
                  </w:r>
                  <w:r>
                    <w:rPr>
                      <w:bCs/>
                      <w:kern w:val="0"/>
                      <w:sz w:val="24"/>
                    </w:rPr>
                    <w:t>架设D24钢便梁防护线路，桥体现浇施工</w:t>
                  </w:r>
                </w:p>
              </w:tc>
              <w:tc>
                <w:tcPr>
                  <w:tcW w:w="992" w:type="dxa"/>
                  <w:shd w:val="clear" w:color="auto" w:fill="auto"/>
                  <w:vAlign w:val="center"/>
                </w:tcPr>
                <w:p>
                  <w:pPr>
                    <w:autoSpaceDE w:val="0"/>
                    <w:autoSpaceDN w:val="0"/>
                    <w:adjustRightInd w:val="0"/>
                    <w:jc w:val="center"/>
                    <w:rPr>
                      <w:kern w:val="0"/>
                      <w:sz w:val="24"/>
                    </w:rPr>
                  </w:pPr>
                  <w:r>
                    <w:rPr>
                      <w:kern w:val="0"/>
                      <w:sz w:val="24"/>
                    </w:rPr>
                    <w:t>座</w:t>
                  </w:r>
                </w:p>
              </w:tc>
              <w:tc>
                <w:tcPr>
                  <w:tcW w:w="1067" w:type="dxa"/>
                  <w:shd w:val="clear" w:color="auto" w:fill="auto"/>
                  <w:vAlign w:val="center"/>
                </w:tcPr>
                <w:p>
                  <w:pPr>
                    <w:autoSpaceDE w:val="0"/>
                    <w:autoSpaceDN w:val="0"/>
                    <w:adjustRightInd w:val="0"/>
                    <w:jc w:val="center"/>
                    <w:rPr>
                      <w:kern w:val="0"/>
                      <w:sz w:val="24"/>
                    </w:rPr>
                  </w:pPr>
                  <w:r>
                    <w:rPr>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shd w:val="clear" w:color="auto" w:fill="auto"/>
                  <w:vAlign w:val="center"/>
                </w:tcPr>
                <w:p>
                  <w:pPr>
                    <w:autoSpaceDE w:val="0"/>
                    <w:autoSpaceDN w:val="0"/>
                    <w:adjustRightInd w:val="0"/>
                    <w:jc w:val="center"/>
                    <w:rPr>
                      <w:kern w:val="0"/>
                      <w:sz w:val="24"/>
                    </w:rPr>
                  </w:pPr>
                  <w:r>
                    <w:rPr>
                      <w:kern w:val="0"/>
                      <w:sz w:val="24"/>
                    </w:rPr>
                    <w:t>轨道</w:t>
                  </w:r>
                </w:p>
              </w:tc>
              <w:tc>
                <w:tcPr>
                  <w:tcW w:w="1251" w:type="dxa"/>
                  <w:shd w:val="clear" w:color="auto" w:fill="auto"/>
                  <w:vAlign w:val="center"/>
                </w:tcPr>
                <w:p>
                  <w:pPr>
                    <w:autoSpaceDE w:val="0"/>
                    <w:autoSpaceDN w:val="0"/>
                    <w:adjustRightInd w:val="0"/>
                    <w:jc w:val="center"/>
                    <w:rPr>
                      <w:kern w:val="0"/>
                      <w:sz w:val="24"/>
                    </w:rPr>
                  </w:pPr>
                  <w:r>
                    <w:rPr>
                      <w:kern w:val="0"/>
                      <w:sz w:val="24"/>
                    </w:rPr>
                    <w:t>线路</w:t>
                  </w:r>
                </w:p>
              </w:tc>
              <w:tc>
                <w:tcPr>
                  <w:tcW w:w="3969" w:type="dxa"/>
                  <w:shd w:val="clear" w:color="auto" w:fill="auto"/>
                  <w:vAlign w:val="center"/>
                </w:tcPr>
                <w:p>
                  <w:pPr>
                    <w:autoSpaceDE w:val="0"/>
                    <w:autoSpaceDN w:val="0"/>
                    <w:adjustRightInd w:val="0"/>
                    <w:jc w:val="center"/>
                    <w:rPr>
                      <w:bCs/>
                      <w:kern w:val="0"/>
                      <w:sz w:val="24"/>
                    </w:rPr>
                  </w:pPr>
                  <w:r>
                    <w:rPr>
                      <w:bCs/>
                      <w:kern w:val="0"/>
                      <w:sz w:val="24"/>
                    </w:rPr>
                    <w:t>铺设50kg/m·25m有孔钢轨，新</w:t>
                  </w:r>
                  <w:r>
                    <w:rPr>
                      <w:rFonts w:hint="eastAsia" w:ascii="宋体" w:hAnsi="宋体" w:cs="宋体"/>
                      <w:bCs/>
                      <w:kern w:val="0"/>
                      <w:sz w:val="24"/>
                    </w:rPr>
                    <w:t>Ⅱ</w:t>
                  </w:r>
                  <w:r>
                    <w:rPr>
                      <w:bCs/>
                      <w:kern w:val="0"/>
                      <w:sz w:val="24"/>
                    </w:rPr>
                    <w:t>型混凝土枕</w:t>
                  </w:r>
                </w:p>
              </w:tc>
              <w:tc>
                <w:tcPr>
                  <w:tcW w:w="992" w:type="dxa"/>
                  <w:shd w:val="clear" w:color="auto" w:fill="auto"/>
                  <w:vAlign w:val="center"/>
                </w:tcPr>
                <w:p>
                  <w:pPr>
                    <w:autoSpaceDE w:val="0"/>
                    <w:autoSpaceDN w:val="0"/>
                    <w:adjustRightInd w:val="0"/>
                    <w:jc w:val="center"/>
                    <w:rPr>
                      <w:kern w:val="0"/>
                      <w:sz w:val="24"/>
                    </w:rPr>
                  </w:pPr>
                  <w:r>
                    <w:rPr>
                      <w:kern w:val="0"/>
                      <w:sz w:val="24"/>
                    </w:rPr>
                    <w:t>km</w:t>
                  </w:r>
                </w:p>
              </w:tc>
              <w:tc>
                <w:tcPr>
                  <w:tcW w:w="1067" w:type="dxa"/>
                  <w:shd w:val="clear" w:color="auto" w:fill="auto"/>
                  <w:vAlign w:val="center"/>
                </w:tcPr>
                <w:p>
                  <w:pPr>
                    <w:autoSpaceDE w:val="0"/>
                    <w:autoSpaceDN w:val="0"/>
                    <w:adjustRightInd w:val="0"/>
                    <w:jc w:val="center"/>
                    <w:rPr>
                      <w:kern w:val="0"/>
                      <w:sz w:val="24"/>
                    </w:rPr>
                  </w:pPr>
                  <w:r>
                    <w:rPr>
                      <w:kern w:val="0"/>
                      <w:sz w:val="24"/>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rFonts w:hint="eastAsia"/>
                      <w:kern w:val="0"/>
                      <w:sz w:val="24"/>
                    </w:rPr>
                    <w:t>正线道砟</w:t>
                  </w:r>
                </w:p>
              </w:tc>
              <w:tc>
                <w:tcPr>
                  <w:tcW w:w="3969" w:type="dxa"/>
                  <w:shd w:val="clear" w:color="auto" w:fill="auto"/>
                  <w:vAlign w:val="center"/>
                </w:tcPr>
                <w:p>
                  <w:pPr>
                    <w:autoSpaceDE w:val="0"/>
                    <w:autoSpaceDN w:val="0"/>
                    <w:adjustRightInd w:val="0"/>
                    <w:jc w:val="center"/>
                    <w:rPr>
                      <w:bCs/>
                      <w:kern w:val="0"/>
                      <w:sz w:val="24"/>
                    </w:rPr>
                  </w:pPr>
                  <w:r>
                    <w:rPr>
                      <w:rFonts w:hint="eastAsia" w:ascii="宋体" w:hAnsi="宋体" w:cs="宋体"/>
                      <w:bCs/>
                      <w:kern w:val="0"/>
                      <w:sz w:val="24"/>
                    </w:rPr>
                    <w:t>铺设</w:t>
                  </w:r>
                  <w:r>
                    <w:rPr>
                      <w:bCs/>
                      <w:kern w:val="0"/>
                      <w:sz w:val="24"/>
                    </w:rPr>
                    <w:t>碎石道砟</w:t>
                  </w:r>
                </w:p>
              </w:tc>
              <w:tc>
                <w:tcPr>
                  <w:tcW w:w="992" w:type="dxa"/>
                  <w:shd w:val="clear" w:color="auto" w:fill="auto"/>
                  <w:vAlign w:val="center"/>
                </w:tcPr>
                <w:p>
                  <w:pPr>
                    <w:autoSpaceDE w:val="0"/>
                    <w:autoSpaceDN w:val="0"/>
                    <w:adjustRightInd w:val="0"/>
                    <w:jc w:val="center"/>
                    <w:rPr>
                      <w:kern w:val="0"/>
                      <w:sz w:val="24"/>
                    </w:rPr>
                  </w:pPr>
                  <w:r>
                    <w:rPr>
                      <w:kern w:val="0"/>
                      <w:sz w:val="24"/>
                    </w:rPr>
                    <w:t>m³</w:t>
                  </w:r>
                </w:p>
              </w:tc>
              <w:tc>
                <w:tcPr>
                  <w:tcW w:w="1067" w:type="dxa"/>
                  <w:shd w:val="clear" w:color="auto" w:fill="auto"/>
                  <w:vAlign w:val="center"/>
                </w:tcPr>
                <w:p>
                  <w:pPr>
                    <w:autoSpaceDE w:val="0"/>
                    <w:autoSpaceDN w:val="0"/>
                    <w:adjustRightInd w:val="0"/>
                    <w:jc w:val="center"/>
                    <w:rPr>
                      <w:kern w:val="0"/>
                      <w:sz w:val="24"/>
                    </w:rPr>
                  </w:pPr>
                  <w:r>
                    <w:rPr>
                      <w:kern w:val="0"/>
                      <w:sz w:val="24"/>
                    </w:rPr>
                    <w:t>6634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rFonts w:hint="eastAsia"/>
                      <w:kern w:val="0"/>
                      <w:sz w:val="24"/>
                    </w:rPr>
                    <w:t>站场道砟</w:t>
                  </w:r>
                </w:p>
              </w:tc>
              <w:tc>
                <w:tcPr>
                  <w:tcW w:w="3969" w:type="dxa"/>
                  <w:shd w:val="clear" w:color="auto" w:fill="auto"/>
                  <w:vAlign w:val="center"/>
                </w:tcPr>
                <w:p>
                  <w:pPr>
                    <w:autoSpaceDE w:val="0"/>
                    <w:autoSpaceDN w:val="0"/>
                    <w:adjustRightInd w:val="0"/>
                    <w:jc w:val="center"/>
                    <w:rPr>
                      <w:bCs/>
                      <w:kern w:val="0"/>
                      <w:sz w:val="24"/>
                    </w:rPr>
                  </w:pPr>
                  <w:r>
                    <w:rPr>
                      <w:rFonts w:hint="eastAsia"/>
                      <w:bCs/>
                      <w:kern w:val="0"/>
                      <w:sz w:val="24"/>
                    </w:rPr>
                    <w:t>铺设</w:t>
                  </w:r>
                  <w:r>
                    <w:rPr>
                      <w:bCs/>
                      <w:kern w:val="0"/>
                      <w:sz w:val="24"/>
                    </w:rPr>
                    <w:t>碎石道砟</w:t>
                  </w:r>
                </w:p>
              </w:tc>
              <w:tc>
                <w:tcPr>
                  <w:tcW w:w="992" w:type="dxa"/>
                  <w:shd w:val="clear" w:color="auto" w:fill="auto"/>
                  <w:vAlign w:val="center"/>
                </w:tcPr>
                <w:p>
                  <w:pPr>
                    <w:autoSpaceDE w:val="0"/>
                    <w:autoSpaceDN w:val="0"/>
                    <w:adjustRightInd w:val="0"/>
                    <w:jc w:val="center"/>
                    <w:rPr>
                      <w:kern w:val="0"/>
                      <w:sz w:val="24"/>
                    </w:rPr>
                  </w:pPr>
                  <w:r>
                    <w:rPr>
                      <w:kern w:val="0"/>
                      <w:sz w:val="24"/>
                    </w:rPr>
                    <w:t>m³</w:t>
                  </w:r>
                </w:p>
              </w:tc>
              <w:tc>
                <w:tcPr>
                  <w:tcW w:w="1067" w:type="dxa"/>
                  <w:shd w:val="clear" w:color="auto" w:fill="auto"/>
                  <w:vAlign w:val="center"/>
                </w:tcPr>
                <w:p>
                  <w:pPr>
                    <w:autoSpaceDE w:val="0"/>
                    <w:autoSpaceDN w:val="0"/>
                    <w:adjustRightInd w:val="0"/>
                    <w:jc w:val="center"/>
                    <w:rPr>
                      <w:kern w:val="0"/>
                      <w:sz w:val="24"/>
                    </w:rPr>
                  </w:pPr>
                  <w:r>
                    <w:rPr>
                      <w:kern w:val="0"/>
                      <w:sz w:val="24"/>
                    </w:rPr>
                    <w:t>14045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shd w:val="clear" w:color="auto" w:fill="auto"/>
                  <w:vAlign w:val="center"/>
                </w:tcPr>
                <w:p>
                  <w:pPr>
                    <w:autoSpaceDE w:val="0"/>
                    <w:autoSpaceDN w:val="0"/>
                    <w:adjustRightInd w:val="0"/>
                    <w:jc w:val="center"/>
                    <w:rPr>
                      <w:kern w:val="0"/>
                      <w:sz w:val="24"/>
                    </w:rPr>
                  </w:pPr>
                  <w:r>
                    <w:rPr>
                      <w:kern w:val="0"/>
                      <w:sz w:val="24"/>
                    </w:rPr>
                    <w:t>站场</w:t>
                  </w:r>
                </w:p>
              </w:tc>
              <w:tc>
                <w:tcPr>
                  <w:tcW w:w="1251" w:type="dxa"/>
                  <w:shd w:val="clear" w:color="auto" w:fill="auto"/>
                  <w:vAlign w:val="center"/>
                </w:tcPr>
                <w:p>
                  <w:pPr>
                    <w:autoSpaceDE w:val="0"/>
                    <w:autoSpaceDN w:val="0"/>
                    <w:adjustRightInd w:val="0"/>
                    <w:jc w:val="center"/>
                    <w:rPr>
                      <w:kern w:val="0"/>
                      <w:sz w:val="24"/>
                    </w:rPr>
                  </w:pPr>
                  <w:r>
                    <w:rPr>
                      <w:kern w:val="0"/>
                      <w:sz w:val="24"/>
                    </w:rPr>
                    <w:t>装卸线、集装箱、站台</w:t>
                  </w:r>
                </w:p>
              </w:tc>
              <w:tc>
                <w:tcPr>
                  <w:tcW w:w="3969" w:type="dxa"/>
                  <w:shd w:val="clear" w:color="auto" w:fill="auto"/>
                  <w:vAlign w:val="center"/>
                </w:tcPr>
                <w:p>
                  <w:pPr>
                    <w:autoSpaceDE w:val="0"/>
                    <w:autoSpaceDN w:val="0"/>
                    <w:adjustRightInd w:val="0"/>
                    <w:jc w:val="center"/>
                    <w:rPr>
                      <w:bCs/>
                      <w:kern w:val="0"/>
                      <w:sz w:val="24"/>
                    </w:rPr>
                  </w:pPr>
                  <w:r>
                    <w:rPr>
                      <w:bCs/>
                      <w:kern w:val="0"/>
                      <w:sz w:val="24"/>
                    </w:rPr>
                    <w:t>内设装卸线3条，有效长度780m；机车行走线1条，有效长度850m；780×30×0.95m站台一座，780×50m集装箱堆场一座</w:t>
                  </w:r>
                </w:p>
              </w:tc>
              <w:tc>
                <w:tcPr>
                  <w:tcW w:w="992" w:type="dxa"/>
                  <w:shd w:val="clear" w:color="auto" w:fill="auto"/>
                  <w:vAlign w:val="center"/>
                </w:tcPr>
                <w:p>
                  <w:pPr>
                    <w:autoSpaceDE w:val="0"/>
                    <w:autoSpaceDN w:val="0"/>
                    <w:adjustRightInd w:val="0"/>
                    <w:jc w:val="center"/>
                    <w:rPr>
                      <w:kern w:val="0"/>
                      <w:sz w:val="24"/>
                    </w:rPr>
                  </w:pPr>
                </w:p>
              </w:tc>
              <w:tc>
                <w:tcPr>
                  <w:tcW w:w="1067" w:type="dxa"/>
                  <w:shd w:val="clear" w:color="auto" w:fill="auto"/>
                  <w:vAlign w:val="center"/>
                </w:tcPr>
                <w:p>
                  <w:pPr>
                    <w:autoSpaceDE w:val="0"/>
                    <w:autoSpaceDN w:val="0"/>
                    <w:adjustRightInd w:val="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附属设施</w:t>
                  </w:r>
                </w:p>
              </w:tc>
              <w:tc>
                <w:tcPr>
                  <w:tcW w:w="3969" w:type="dxa"/>
                  <w:shd w:val="clear" w:color="auto" w:fill="auto"/>
                  <w:vAlign w:val="center"/>
                </w:tcPr>
                <w:p>
                  <w:pPr>
                    <w:autoSpaceDE w:val="0"/>
                    <w:autoSpaceDN w:val="0"/>
                    <w:adjustRightInd w:val="0"/>
                    <w:jc w:val="center"/>
                    <w:rPr>
                      <w:bCs/>
                      <w:kern w:val="0"/>
                      <w:sz w:val="24"/>
                    </w:rPr>
                  </w:pPr>
                  <w:r>
                    <w:rPr>
                      <w:bCs/>
                      <w:kern w:val="0"/>
                      <w:sz w:val="24"/>
                    </w:rPr>
                    <w:t>配套装卸、喷淋抑尘设施；防护栅栏</w:t>
                  </w:r>
                  <w:r>
                    <w:rPr>
                      <w:rFonts w:hint="eastAsia"/>
                      <w:bCs/>
                      <w:kern w:val="0"/>
                      <w:sz w:val="24"/>
                    </w:rPr>
                    <w:t>；站场道路及场地地面硬化</w:t>
                  </w:r>
                </w:p>
              </w:tc>
              <w:tc>
                <w:tcPr>
                  <w:tcW w:w="992" w:type="dxa"/>
                  <w:shd w:val="clear" w:color="auto" w:fill="auto"/>
                  <w:vAlign w:val="center"/>
                </w:tcPr>
                <w:p>
                  <w:pPr>
                    <w:autoSpaceDE w:val="0"/>
                    <w:autoSpaceDN w:val="0"/>
                    <w:adjustRightInd w:val="0"/>
                    <w:jc w:val="center"/>
                    <w:rPr>
                      <w:kern w:val="0"/>
                      <w:sz w:val="24"/>
                    </w:rPr>
                  </w:pPr>
                </w:p>
              </w:tc>
              <w:tc>
                <w:tcPr>
                  <w:tcW w:w="1067" w:type="dxa"/>
                  <w:shd w:val="clear" w:color="auto" w:fill="auto"/>
                  <w:vAlign w:val="center"/>
                </w:tcPr>
                <w:p>
                  <w:pPr>
                    <w:autoSpaceDE w:val="0"/>
                    <w:autoSpaceDN w:val="0"/>
                    <w:adjustRightInd w:val="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restart"/>
                  <w:shd w:val="clear" w:color="auto" w:fill="auto"/>
                  <w:vAlign w:val="center"/>
                </w:tcPr>
                <w:p>
                  <w:pPr>
                    <w:autoSpaceDE w:val="0"/>
                    <w:autoSpaceDN w:val="0"/>
                    <w:adjustRightInd w:val="0"/>
                    <w:jc w:val="center"/>
                    <w:rPr>
                      <w:kern w:val="0"/>
                      <w:sz w:val="24"/>
                    </w:rPr>
                  </w:pPr>
                  <w:r>
                    <w:rPr>
                      <w:kern w:val="0"/>
                      <w:sz w:val="24"/>
                    </w:rPr>
                    <w:t>通信、信息、信号</w:t>
                  </w:r>
                </w:p>
              </w:tc>
              <w:tc>
                <w:tcPr>
                  <w:tcW w:w="1251" w:type="dxa"/>
                  <w:shd w:val="clear" w:color="auto" w:fill="auto"/>
                  <w:vAlign w:val="center"/>
                </w:tcPr>
                <w:p>
                  <w:pPr>
                    <w:autoSpaceDE w:val="0"/>
                    <w:autoSpaceDN w:val="0"/>
                    <w:adjustRightInd w:val="0"/>
                    <w:jc w:val="center"/>
                    <w:rPr>
                      <w:kern w:val="0"/>
                      <w:sz w:val="24"/>
                    </w:rPr>
                  </w:pPr>
                  <w:r>
                    <w:rPr>
                      <w:kern w:val="0"/>
                      <w:sz w:val="24"/>
                    </w:rPr>
                    <w:t>监控系统</w:t>
                  </w:r>
                </w:p>
              </w:tc>
              <w:tc>
                <w:tcPr>
                  <w:tcW w:w="3969" w:type="dxa"/>
                  <w:shd w:val="clear" w:color="auto" w:fill="auto"/>
                  <w:vAlign w:val="center"/>
                </w:tcPr>
                <w:p>
                  <w:pPr>
                    <w:autoSpaceDE w:val="0"/>
                    <w:autoSpaceDN w:val="0"/>
                    <w:adjustRightInd w:val="0"/>
                    <w:jc w:val="center"/>
                    <w:rPr>
                      <w:bCs/>
                      <w:kern w:val="0"/>
                      <w:sz w:val="24"/>
                    </w:rPr>
                  </w:pPr>
                  <w:r>
                    <w:rPr>
                      <w:bCs/>
                      <w:kern w:val="0"/>
                      <w:sz w:val="24"/>
                    </w:rPr>
                    <w:t>新设电源及环境监控分站设备</w:t>
                  </w:r>
                </w:p>
              </w:tc>
              <w:tc>
                <w:tcPr>
                  <w:tcW w:w="992" w:type="dxa"/>
                  <w:shd w:val="clear" w:color="auto" w:fill="auto"/>
                  <w:vAlign w:val="center"/>
                </w:tcPr>
                <w:p>
                  <w:pPr>
                    <w:autoSpaceDE w:val="0"/>
                    <w:autoSpaceDN w:val="0"/>
                    <w:adjustRightInd w:val="0"/>
                    <w:jc w:val="center"/>
                    <w:rPr>
                      <w:kern w:val="0"/>
                      <w:sz w:val="24"/>
                    </w:rPr>
                  </w:pPr>
                  <w:r>
                    <w:rPr>
                      <w:kern w:val="0"/>
                      <w:sz w:val="24"/>
                    </w:rPr>
                    <w:t>套</w:t>
                  </w:r>
                </w:p>
              </w:tc>
              <w:tc>
                <w:tcPr>
                  <w:tcW w:w="1067" w:type="dxa"/>
                  <w:shd w:val="clear" w:color="auto" w:fill="auto"/>
                  <w:vAlign w:val="center"/>
                </w:tcPr>
                <w:p>
                  <w:pPr>
                    <w:autoSpaceDE w:val="0"/>
                    <w:autoSpaceDN w:val="0"/>
                    <w:adjustRightInd w:val="0"/>
                    <w:jc w:val="center"/>
                    <w:rPr>
                      <w:kern w:val="0"/>
                      <w:sz w:val="24"/>
                    </w:rPr>
                  </w:pPr>
                  <w:r>
                    <w:rPr>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Merge w:val="continue"/>
                  <w:shd w:val="clear" w:color="auto" w:fill="auto"/>
                  <w:vAlign w:val="center"/>
                </w:tcPr>
                <w:p>
                  <w:pPr>
                    <w:autoSpaceDE w:val="0"/>
                    <w:autoSpaceDN w:val="0"/>
                    <w:adjustRightInd w:val="0"/>
                    <w:jc w:val="center"/>
                    <w:rPr>
                      <w:kern w:val="0"/>
                      <w:sz w:val="24"/>
                    </w:rPr>
                  </w:pPr>
                </w:p>
              </w:tc>
              <w:tc>
                <w:tcPr>
                  <w:tcW w:w="1251" w:type="dxa"/>
                  <w:shd w:val="clear" w:color="auto" w:fill="auto"/>
                  <w:vAlign w:val="center"/>
                </w:tcPr>
                <w:p>
                  <w:pPr>
                    <w:autoSpaceDE w:val="0"/>
                    <w:autoSpaceDN w:val="0"/>
                    <w:adjustRightInd w:val="0"/>
                    <w:jc w:val="center"/>
                    <w:rPr>
                      <w:kern w:val="0"/>
                      <w:sz w:val="24"/>
                    </w:rPr>
                  </w:pPr>
                  <w:r>
                    <w:rPr>
                      <w:kern w:val="0"/>
                      <w:sz w:val="24"/>
                    </w:rPr>
                    <w:t>道岔信号系统</w:t>
                  </w:r>
                </w:p>
              </w:tc>
              <w:tc>
                <w:tcPr>
                  <w:tcW w:w="3969" w:type="dxa"/>
                  <w:shd w:val="clear" w:color="auto" w:fill="auto"/>
                </w:tcPr>
                <w:p>
                  <w:pPr>
                    <w:autoSpaceDE w:val="0"/>
                    <w:autoSpaceDN w:val="0"/>
                    <w:adjustRightInd w:val="0"/>
                    <w:rPr>
                      <w:bCs/>
                      <w:kern w:val="0"/>
                      <w:sz w:val="24"/>
                    </w:rPr>
                  </w:pPr>
                  <w:r>
                    <w:rPr>
                      <w:bCs/>
                      <w:kern w:val="0"/>
                      <w:sz w:val="24"/>
                    </w:rPr>
                    <w:t>新设调度集中系统（CT3.0）分机，同时新设CTC网络安全设备及通信质量监督设备、车站服务器</w:t>
                  </w:r>
                </w:p>
              </w:tc>
              <w:tc>
                <w:tcPr>
                  <w:tcW w:w="992" w:type="dxa"/>
                  <w:shd w:val="clear" w:color="auto" w:fill="auto"/>
                  <w:vAlign w:val="center"/>
                </w:tcPr>
                <w:p>
                  <w:pPr>
                    <w:autoSpaceDE w:val="0"/>
                    <w:autoSpaceDN w:val="0"/>
                    <w:adjustRightInd w:val="0"/>
                    <w:jc w:val="center"/>
                    <w:rPr>
                      <w:kern w:val="0"/>
                      <w:sz w:val="24"/>
                    </w:rPr>
                  </w:pPr>
                  <w:r>
                    <w:rPr>
                      <w:kern w:val="0"/>
                      <w:sz w:val="24"/>
                    </w:rPr>
                    <w:t>套</w:t>
                  </w:r>
                </w:p>
              </w:tc>
              <w:tc>
                <w:tcPr>
                  <w:tcW w:w="1067" w:type="dxa"/>
                  <w:shd w:val="clear" w:color="auto" w:fill="auto"/>
                  <w:vAlign w:val="center"/>
                </w:tcPr>
                <w:p>
                  <w:pPr>
                    <w:autoSpaceDE w:val="0"/>
                    <w:autoSpaceDN w:val="0"/>
                    <w:adjustRightInd w:val="0"/>
                    <w:jc w:val="center"/>
                    <w:rPr>
                      <w:kern w:val="0"/>
                      <w:sz w:val="24"/>
                    </w:rPr>
                  </w:pPr>
                  <w:r>
                    <w:rPr>
                      <w:kern w:val="0"/>
                      <w:sz w:val="24"/>
                    </w:rPr>
                    <w:t>1</w:t>
                  </w:r>
                </w:p>
              </w:tc>
            </w:tr>
          </w:tbl>
          <w:p>
            <w:pPr>
              <w:autoSpaceDE w:val="0"/>
              <w:autoSpaceDN w:val="0"/>
              <w:adjustRightInd w:val="0"/>
              <w:ind w:firstLine="480" w:firstLineChars="200"/>
              <w:jc w:val="left"/>
              <w:rPr>
                <w:kern w:val="0"/>
                <w:sz w:val="24"/>
              </w:rPr>
            </w:pPr>
          </w:p>
          <w:p>
            <w:pPr>
              <w:adjustRightInd w:val="0"/>
              <w:snapToGrid w:val="0"/>
              <w:spacing w:line="408" w:lineRule="auto"/>
              <w:ind w:firstLine="522" w:firstLineChars="200"/>
              <w:rPr>
                <w:b/>
                <w:bCs/>
                <w:spacing w:val="10"/>
                <w:sz w:val="24"/>
                <w:szCs w:val="21"/>
              </w:rPr>
            </w:pPr>
            <w:r>
              <w:rPr>
                <w:rFonts w:hint="eastAsia"/>
                <w:b/>
                <w:bCs/>
                <w:spacing w:val="10"/>
                <w:sz w:val="24"/>
                <w:szCs w:val="21"/>
              </w:rPr>
              <w:t>4、</w:t>
            </w:r>
            <w:r>
              <w:rPr>
                <w:b/>
                <w:bCs/>
                <w:spacing w:val="10"/>
                <w:sz w:val="24"/>
                <w:szCs w:val="21"/>
              </w:rPr>
              <w:t>项目运输组织</w:t>
            </w:r>
          </w:p>
          <w:p>
            <w:pPr>
              <w:adjustRightInd w:val="0"/>
              <w:snapToGrid w:val="0"/>
              <w:spacing w:line="408" w:lineRule="auto"/>
              <w:ind w:firstLine="520" w:firstLineChars="200"/>
              <w:rPr>
                <w:bCs/>
                <w:spacing w:val="10"/>
                <w:sz w:val="24"/>
                <w:szCs w:val="21"/>
              </w:rPr>
            </w:pPr>
            <w:r>
              <w:rPr>
                <w:rFonts w:hint="eastAsia"/>
                <w:bCs/>
                <w:spacing w:val="10"/>
                <w:sz w:val="24"/>
                <w:szCs w:val="21"/>
              </w:rPr>
              <w:t>（1）</w:t>
            </w:r>
            <w:r>
              <w:rPr>
                <w:bCs/>
                <w:spacing w:val="10"/>
                <w:sz w:val="24"/>
                <w:szCs w:val="21"/>
              </w:rPr>
              <w:t>运输组织模式</w:t>
            </w:r>
          </w:p>
          <w:p>
            <w:pPr>
              <w:adjustRightInd w:val="0"/>
              <w:snapToGrid w:val="0"/>
              <w:spacing w:line="408" w:lineRule="auto"/>
              <w:ind w:firstLine="520" w:firstLineChars="200"/>
              <w:rPr>
                <w:bCs/>
                <w:spacing w:val="10"/>
                <w:sz w:val="24"/>
                <w:szCs w:val="21"/>
              </w:rPr>
            </w:pPr>
            <w:r>
              <w:rPr>
                <w:bCs/>
                <w:spacing w:val="10"/>
                <w:sz w:val="24"/>
                <w:szCs w:val="21"/>
              </w:rPr>
              <w:t>本项目建成后，其运营管理委托中国铁路乌鲁木齐局集团有限公司代管。</w:t>
            </w:r>
          </w:p>
          <w:p>
            <w:pPr>
              <w:adjustRightInd w:val="0"/>
              <w:snapToGrid w:val="0"/>
              <w:spacing w:line="408" w:lineRule="auto"/>
              <w:ind w:firstLine="520" w:firstLineChars="200"/>
              <w:rPr>
                <w:bCs/>
                <w:spacing w:val="10"/>
                <w:sz w:val="24"/>
                <w:szCs w:val="21"/>
              </w:rPr>
            </w:pPr>
            <w:r>
              <w:rPr>
                <w:rFonts w:hint="eastAsia"/>
                <w:bCs/>
                <w:spacing w:val="10"/>
                <w:sz w:val="24"/>
                <w:szCs w:val="21"/>
              </w:rPr>
              <w:t>（2）</w:t>
            </w:r>
            <w:r>
              <w:rPr>
                <w:bCs/>
                <w:spacing w:val="10"/>
                <w:sz w:val="24"/>
                <w:szCs w:val="21"/>
              </w:rPr>
              <w:t>装卸作业方式</w:t>
            </w:r>
          </w:p>
          <w:p>
            <w:pPr>
              <w:adjustRightInd w:val="0"/>
              <w:snapToGrid w:val="0"/>
              <w:spacing w:line="408" w:lineRule="auto"/>
              <w:ind w:firstLine="520" w:firstLineChars="200"/>
              <w:rPr>
                <w:bCs/>
                <w:spacing w:val="10"/>
                <w:sz w:val="24"/>
                <w:szCs w:val="21"/>
              </w:rPr>
            </w:pPr>
            <w:r>
              <w:rPr>
                <w:rFonts w:hint="eastAsia"/>
                <w:bCs/>
                <w:spacing w:val="10"/>
                <w:sz w:val="24"/>
                <w:szCs w:val="21"/>
              </w:rPr>
              <w:t>煤炭来源为大黄山煤矿，散装煤炭由汽车运输至储煤棚，然后通过快速装车系统装至敞车内；集装箱由汽车背运至集装箱堆场，通过正面吊吊装到平车，通过专用线发送煤炭</w:t>
            </w:r>
            <w:r>
              <w:rPr>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（3）</w:t>
            </w:r>
            <w:r>
              <w:rPr>
                <w:bCs/>
                <w:spacing w:val="10"/>
                <w:sz w:val="24"/>
                <w:szCs w:val="21"/>
              </w:rPr>
              <w:t>列车对数</w:t>
            </w:r>
          </w:p>
          <w:p>
            <w:pPr>
              <w:adjustRightInd w:val="0"/>
              <w:snapToGrid w:val="0"/>
              <w:spacing w:line="408" w:lineRule="auto"/>
              <w:ind w:firstLine="520" w:firstLineChars="200"/>
              <w:rPr>
                <w:bCs/>
                <w:spacing w:val="10"/>
                <w:sz w:val="24"/>
                <w:szCs w:val="21"/>
              </w:rPr>
            </w:pPr>
            <w:r>
              <w:rPr>
                <w:bCs/>
                <w:spacing w:val="10"/>
                <w:sz w:val="24"/>
                <w:szCs w:val="21"/>
              </w:rPr>
              <w:t>1）货运量波动系数：近、远期均采用1.2。</w:t>
            </w:r>
          </w:p>
          <w:p>
            <w:pPr>
              <w:adjustRightInd w:val="0"/>
              <w:snapToGrid w:val="0"/>
              <w:spacing w:line="408" w:lineRule="auto"/>
              <w:ind w:firstLine="520" w:firstLineChars="200"/>
              <w:rPr>
                <w:bCs/>
                <w:spacing w:val="10"/>
                <w:sz w:val="24"/>
                <w:szCs w:val="21"/>
              </w:rPr>
            </w:pPr>
            <w:r>
              <w:rPr>
                <w:bCs/>
                <w:spacing w:val="10"/>
                <w:sz w:val="24"/>
                <w:szCs w:val="21"/>
              </w:rPr>
              <w:t>2）货物列车牵引质量及编挂辆数：煤炭列车5000t，编挂辆数54辆，其他货物列车4500t，编挂辆数54辆。</w:t>
            </w:r>
          </w:p>
          <w:p>
            <w:pPr>
              <w:adjustRightInd w:val="0"/>
              <w:snapToGrid w:val="0"/>
              <w:spacing w:line="408" w:lineRule="auto"/>
              <w:ind w:firstLine="520" w:firstLineChars="200"/>
              <w:rPr>
                <w:bCs/>
                <w:spacing w:val="10"/>
                <w:sz w:val="24"/>
                <w:szCs w:val="21"/>
              </w:rPr>
            </w:pPr>
            <w:r>
              <w:rPr>
                <w:bCs/>
                <w:spacing w:val="10"/>
                <w:sz w:val="24"/>
                <w:szCs w:val="21"/>
              </w:rPr>
              <w:t>根据运量预测及列车运输组织方案研究，本次研究年度列车对数见表</w:t>
            </w:r>
          </w:p>
          <w:p>
            <w:pPr>
              <w:adjustRightInd w:val="0"/>
              <w:snapToGrid w:val="0"/>
              <w:spacing w:line="408" w:lineRule="auto"/>
              <w:ind w:firstLine="520" w:firstLineChars="200"/>
              <w:rPr>
                <w:bCs/>
                <w:spacing w:val="10"/>
                <w:sz w:val="24"/>
                <w:szCs w:val="21"/>
              </w:rPr>
            </w:pPr>
            <w:r>
              <w:rPr>
                <w:bCs/>
                <w:spacing w:val="10"/>
                <w:sz w:val="24"/>
                <w:szCs w:val="21"/>
              </w:rPr>
              <w:t>单位：对/日</w:t>
            </w:r>
          </w:p>
          <w:p>
            <w:pPr>
              <w:adjustRightInd w:val="0"/>
              <w:snapToGrid w:val="0"/>
              <w:spacing w:line="408" w:lineRule="auto"/>
              <w:ind w:firstLine="462" w:firstLineChars="200"/>
              <w:jc w:val="center"/>
              <w:rPr>
                <w:b/>
                <w:bCs/>
                <w:spacing w:val="10"/>
                <w:szCs w:val="21"/>
              </w:rPr>
            </w:pPr>
            <w:r>
              <w:rPr>
                <w:rFonts w:hint="eastAsia"/>
                <w:b/>
                <w:bCs/>
                <w:spacing w:val="10"/>
                <w:szCs w:val="21"/>
              </w:rPr>
              <w:t>表7</w:t>
            </w:r>
            <w:r>
              <w:rPr>
                <w:b/>
                <w:bCs/>
                <w:spacing w:val="10"/>
                <w:szCs w:val="21"/>
              </w:rPr>
              <w:t xml:space="preserve"> 研究年度列车对数表</w:t>
            </w:r>
          </w:p>
          <w:tbl>
            <w:tblPr>
              <w:tblStyle w:val="13"/>
              <w:tblW w:w="5000" w:type="pct"/>
              <w:tblInd w:w="0" w:type="dxa"/>
              <w:tblLayout w:type="autofit"/>
              <w:tblCellMar>
                <w:top w:w="0" w:type="dxa"/>
                <w:left w:w="0" w:type="dxa"/>
                <w:bottom w:w="0" w:type="dxa"/>
                <w:right w:w="0" w:type="dxa"/>
              </w:tblCellMar>
            </w:tblPr>
            <w:tblGrid>
              <w:gridCol w:w="2269"/>
              <w:gridCol w:w="3263"/>
              <w:gridCol w:w="2916"/>
            </w:tblGrid>
            <w:tr>
              <w:tblPrEx>
                <w:tblCellMar>
                  <w:top w:w="0" w:type="dxa"/>
                  <w:left w:w="0" w:type="dxa"/>
                  <w:bottom w:w="0" w:type="dxa"/>
                  <w:right w:w="0" w:type="dxa"/>
                </w:tblCellMar>
              </w:tblPrEx>
              <w:trPr>
                <w:trHeight w:val="362" w:hRule="exact"/>
              </w:trPr>
              <w:tc>
                <w:tcPr>
                  <w:tcW w:w="2267" w:type="dxa"/>
                  <w:tcBorders>
                    <w:top w:val="single" w:color="auto" w:sz="2" w:space="0"/>
                    <w:left w:val="single" w:color="auto" w:sz="4" w:space="0"/>
                    <w:bottom w:val="single" w:color="000000" w:sz="4" w:space="0"/>
                    <w:right w:val="single" w:color="000000" w:sz="4" w:space="0"/>
                  </w:tcBorders>
                </w:tcPr>
                <w:p>
                  <w:pPr>
                    <w:pStyle w:val="5"/>
                    <w:kinsoku w:val="0"/>
                    <w:overflowPunct w:val="0"/>
                    <w:spacing w:line="240" w:lineRule="auto"/>
                    <w:ind w:left="88"/>
                    <w:jc w:val="center"/>
                    <w:rPr>
                      <w:bCs/>
                      <w:sz w:val="24"/>
                      <w:szCs w:val="24"/>
                    </w:rPr>
                  </w:pPr>
                  <w:r>
                    <w:rPr>
                      <w:spacing w:val="1"/>
                      <w:sz w:val="24"/>
                      <w:szCs w:val="24"/>
                    </w:rPr>
                    <w:t>年</w:t>
                  </w:r>
                  <w:r>
                    <w:rPr>
                      <w:sz w:val="24"/>
                      <w:szCs w:val="24"/>
                    </w:rPr>
                    <w:t>度</w:t>
                  </w:r>
                </w:p>
              </w:tc>
              <w:tc>
                <w:tcPr>
                  <w:tcW w:w="3260" w:type="dxa"/>
                  <w:tcBorders>
                    <w:top w:val="single" w:color="auto" w:sz="2" w:space="0"/>
                    <w:left w:val="single" w:color="000000" w:sz="4" w:space="0"/>
                    <w:bottom w:val="single" w:color="000000" w:sz="4" w:space="0"/>
                    <w:right w:val="single" w:color="000000" w:sz="4" w:space="0"/>
                  </w:tcBorders>
                </w:tcPr>
                <w:p>
                  <w:pPr>
                    <w:pStyle w:val="5"/>
                    <w:kinsoku w:val="0"/>
                    <w:overflowPunct w:val="0"/>
                    <w:spacing w:line="240" w:lineRule="auto"/>
                    <w:ind w:left="88"/>
                    <w:jc w:val="center"/>
                    <w:rPr>
                      <w:bCs/>
                      <w:sz w:val="24"/>
                      <w:szCs w:val="24"/>
                    </w:rPr>
                  </w:pPr>
                  <w:r>
                    <w:rPr>
                      <w:spacing w:val="1"/>
                      <w:sz w:val="24"/>
                      <w:szCs w:val="24"/>
                    </w:rPr>
                    <w:t>区</w:t>
                  </w:r>
                  <w:r>
                    <w:rPr>
                      <w:sz w:val="24"/>
                      <w:szCs w:val="24"/>
                    </w:rPr>
                    <w:t>段</w:t>
                  </w:r>
                </w:p>
              </w:tc>
              <w:tc>
                <w:tcPr>
                  <w:tcW w:w="2913" w:type="dxa"/>
                  <w:tcBorders>
                    <w:top w:val="single" w:color="auto" w:sz="2" w:space="0"/>
                    <w:left w:val="single" w:color="000000" w:sz="4" w:space="0"/>
                    <w:bottom w:val="single" w:color="000000" w:sz="4" w:space="0"/>
                    <w:right w:val="single" w:color="auto" w:sz="2" w:space="0"/>
                  </w:tcBorders>
                </w:tcPr>
                <w:p>
                  <w:pPr>
                    <w:pStyle w:val="5"/>
                    <w:kinsoku w:val="0"/>
                    <w:overflowPunct w:val="0"/>
                    <w:spacing w:line="240" w:lineRule="auto"/>
                    <w:ind w:left="90"/>
                    <w:jc w:val="center"/>
                    <w:rPr>
                      <w:bCs/>
                      <w:sz w:val="24"/>
                      <w:szCs w:val="24"/>
                    </w:rPr>
                  </w:pPr>
                  <w:r>
                    <w:rPr>
                      <w:spacing w:val="1"/>
                      <w:sz w:val="24"/>
                      <w:szCs w:val="24"/>
                    </w:rPr>
                    <w:t>列车</w:t>
                  </w:r>
                  <w:r>
                    <w:rPr>
                      <w:sz w:val="24"/>
                      <w:szCs w:val="24"/>
                    </w:rPr>
                    <w:t>对数</w:t>
                  </w:r>
                </w:p>
              </w:tc>
            </w:tr>
            <w:tr>
              <w:tblPrEx>
                <w:tblCellMar>
                  <w:top w:w="0" w:type="dxa"/>
                  <w:left w:w="0" w:type="dxa"/>
                  <w:bottom w:w="0" w:type="dxa"/>
                  <w:right w:w="0" w:type="dxa"/>
                </w:tblCellMar>
              </w:tblPrEx>
              <w:trPr>
                <w:trHeight w:val="355" w:hRule="exact"/>
              </w:trPr>
              <w:tc>
                <w:tcPr>
                  <w:tcW w:w="2267" w:type="dxa"/>
                  <w:tcBorders>
                    <w:top w:val="single" w:color="000000" w:sz="4" w:space="0"/>
                    <w:left w:val="single" w:color="auto" w:sz="4" w:space="0"/>
                    <w:bottom w:val="single" w:color="000000" w:sz="4" w:space="0"/>
                    <w:right w:val="single" w:color="000000" w:sz="4" w:space="0"/>
                  </w:tcBorders>
                </w:tcPr>
                <w:p>
                  <w:pPr>
                    <w:pStyle w:val="5"/>
                    <w:kinsoku w:val="0"/>
                    <w:overflowPunct w:val="0"/>
                    <w:spacing w:before="44" w:line="240" w:lineRule="auto"/>
                    <w:ind w:left="87"/>
                    <w:jc w:val="center"/>
                    <w:rPr>
                      <w:bCs/>
                      <w:sz w:val="24"/>
                      <w:szCs w:val="24"/>
                    </w:rPr>
                  </w:pPr>
                  <w:r>
                    <w:rPr>
                      <w:bCs/>
                      <w:sz w:val="24"/>
                      <w:szCs w:val="24"/>
                    </w:rPr>
                    <w:t>初期</w:t>
                  </w:r>
                </w:p>
              </w:tc>
              <w:tc>
                <w:tcPr>
                  <w:tcW w:w="3260" w:type="dxa"/>
                  <w:tcBorders>
                    <w:top w:val="single" w:color="000000" w:sz="4" w:space="0"/>
                    <w:left w:val="single" w:color="000000" w:sz="4" w:space="0"/>
                    <w:bottom w:val="single" w:color="000000" w:sz="4" w:space="0"/>
                    <w:right w:val="single" w:color="000000" w:sz="4" w:space="0"/>
                  </w:tcBorders>
                </w:tcPr>
                <w:p>
                  <w:pPr>
                    <w:pStyle w:val="5"/>
                    <w:kinsoku w:val="0"/>
                    <w:overflowPunct w:val="0"/>
                    <w:spacing w:before="44" w:line="240" w:lineRule="auto"/>
                    <w:ind w:left="560"/>
                    <w:rPr>
                      <w:bCs/>
                      <w:sz w:val="24"/>
                      <w:szCs w:val="24"/>
                    </w:rPr>
                  </w:pPr>
                  <w:r>
                    <w:rPr>
                      <w:bCs/>
                      <w:sz w:val="24"/>
                      <w:szCs w:val="24"/>
                    </w:rPr>
                    <w:t>下南泉～豫新装卸站</w:t>
                  </w:r>
                </w:p>
              </w:tc>
              <w:tc>
                <w:tcPr>
                  <w:tcW w:w="2913" w:type="dxa"/>
                  <w:tcBorders>
                    <w:top w:val="single" w:color="000000" w:sz="4" w:space="0"/>
                    <w:left w:val="single" w:color="000000" w:sz="4" w:space="0"/>
                    <w:bottom w:val="single" w:color="auto" w:sz="2" w:space="0"/>
                    <w:right w:val="single" w:color="auto" w:sz="2" w:space="0"/>
                  </w:tcBorders>
                </w:tcPr>
                <w:p>
                  <w:pPr>
                    <w:pStyle w:val="5"/>
                    <w:kinsoku w:val="0"/>
                    <w:overflowPunct w:val="0"/>
                    <w:spacing w:before="44" w:line="240" w:lineRule="auto"/>
                    <w:ind w:left="89"/>
                    <w:jc w:val="center"/>
                    <w:rPr>
                      <w:bCs/>
                      <w:sz w:val="24"/>
                      <w:szCs w:val="24"/>
                    </w:rPr>
                  </w:pPr>
                  <w:r>
                    <w:rPr>
                      <w:bCs/>
                      <w:sz w:val="24"/>
                      <w:szCs w:val="24"/>
                    </w:rPr>
                    <w:t>2</w:t>
                  </w:r>
                </w:p>
              </w:tc>
            </w:tr>
            <w:tr>
              <w:tblPrEx>
                <w:tblCellMar>
                  <w:top w:w="0" w:type="dxa"/>
                  <w:left w:w="0" w:type="dxa"/>
                  <w:bottom w:w="0" w:type="dxa"/>
                  <w:right w:w="0" w:type="dxa"/>
                </w:tblCellMar>
              </w:tblPrEx>
              <w:trPr>
                <w:trHeight w:val="355" w:hRule="exact"/>
              </w:trPr>
              <w:tc>
                <w:tcPr>
                  <w:tcW w:w="2267" w:type="dxa"/>
                  <w:tcBorders>
                    <w:top w:val="single" w:color="000000" w:sz="4" w:space="0"/>
                    <w:left w:val="single" w:color="auto" w:sz="4" w:space="0"/>
                    <w:bottom w:val="single" w:color="000000" w:sz="4" w:space="0"/>
                    <w:right w:val="single" w:color="000000" w:sz="4" w:space="0"/>
                  </w:tcBorders>
                </w:tcPr>
                <w:p>
                  <w:pPr>
                    <w:pStyle w:val="5"/>
                    <w:kinsoku w:val="0"/>
                    <w:overflowPunct w:val="0"/>
                    <w:spacing w:before="44" w:line="240" w:lineRule="auto"/>
                    <w:ind w:left="87"/>
                    <w:jc w:val="center"/>
                    <w:rPr>
                      <w:bCs/>
                      <w:sz w:val="24"/>
                      <w:szCs w:val="24"/>
                    </w:rPr>
                  </w:pPr>
                  <w:r>
                    <w:rPr>
                      <w:bCs/>
                      <w:sz w:val="24"/>
                      <w:szCs w:val="24"/>
                    </w:rPr>
                    <w:t>近期</w:t>
                  </w:r>
                </w:p>
              </w:tc>
              <w:tc>
                <w:tcPr>
                  <w:tcW w:w="3260" w:type="dxa"/>
                  <w:tcBorders>
                    <w:top w:val="single" w:color="000000" w:sz="4" w:space="0"/>
                    <w:left w:val="single" w:color="000000" w:sz="4" w:space="0"/>
                    <w:bottom w:val="single" w:color="000000" w:sz="4" w:space="0"/>
                    <w:right w:val="single" w:color="000000" w:sz="4" w:space="0"/>
                  </w:tcBorders>
                </w:tcPr>
                <w:p>
                  <w:pPr>
                    <w:pStyle w:val="5"/>
                    <w:kinsoku w:val="0"/>
                    <w:overflowPunct w:val="0"/>
                    <w:spacing w:before="44" w:line="240" w:lineRule="auto"/>
                    <w:ind w:left="560"/>
                    <w:rPr>
                      <w:bCs/>
                      <w:sz w:val="24"/>
                      <w:szCs w:val="24"/>
                    </w:rPr>
                  </w:pPr>
                  <w:r>
                    <w:rPr>
                      <w:bCs/>
                      <w:sz w:val="24"/>
                      <w:szCs w:val="24"/>
                    </w:rPr>
                    <w:t>下南泉～豫新装卸站</w:t>
                  </w:r>
                </w:p>
              </w:tc>
              <w:tc>
                <w:tcPr>
                  <w:tcW w:w="2913" w:type="dxa"/>
                  <w:tcBorders>
                    <w:top w:val="single" w:color="auto" w:sz="2" w:space="0"/>
                    <w:left w:val="single" w:color="000000" w:sz="4" w:space="0"/>
                    <w:bottom w:val="single" w:color="000000" w:sz="4" w:space="0"/>
                    <w:right w:val="single" w:color="auto" w:sz="2" w:space="0"/>
                  </w:tcBorders>
                </w:tcPr>
                <w:p>
                  <w:pPr>
                    <w:pStyle w:val="5"/>
                    <w:kinsoku w:val="0"/>
                    <w:overflowPunct w:val="0"/>
                    <w:spacing w:before="44" w:line="240" w:lineRule="auto"/>
                    <w:ind w:left="89"/>
                    <w:jc w:val="center"/>
                    <w:rPr>
                      <w:bCs/>
                      <w:sz w:val="24"/>
                      <w:szCs w:val="24"/>
                    </w:rPr>
                  </w:pPr>
                  <w:r>
                    <w:rPr>
                      <w:bCs/>
                      <w:sz w:val="24"/>
                      <w:szCs w:val="24"/>
                    </w:rPr>
                    <w:t>3</w:t>
                  </w:r>
                </w:p>
              </w:tc>
            </w:tr>
            <w:tr>
              <w:tblPrEx>
                <w:tblCellMar>
                  <w:top w:w="0" w:type="dxa"/>
                  <w:left w:w="0" w:type="dxa"/>
                  <w:bottom w:w="0" w:type="dxa"/>
                  <w:right w:w="0" w:type="dxa"/>
                </w:tblCellMar>
              </w:tblPrEx>
              <w:trPr>
                <w:trHeight w:val="362" w:hRule="exact"/>
              </w:trPr>
              <w:tc>
                <w:tcPr>
                  <w:tcW w:w="2267" w:type="dxa"/>
                  <w:tcBorders>
                    <w:top w:val="single" w:color="000000" w:sz="4" w:space="0"/>
                    <w:left w:val="single" w:color="auto" w:sz="4" w:space="0"/>
                    <w:bottom w:val="single" w:color="auto" w:sz="4" w:space="0"/>
                    <w:right w:val="single" w:color="000000" w:sz="4" w:space="0"/>
                  </w:tcBorders>
                </w:tcPr>
                <w:p>
                  <w:pPr>
                    <w:pStyle w:val="5"/>
                    <w:kinsoku w:val="0"/>
                    <w:overflowPunct w:val="0"/>
                    <w:spacing w:before="44" w:line="240" w:lineRule="auto"/>
                    <w:ind w:left="87"/>
                    <w:jc w:val="center"/>
                    <w:rPr>
                      <w:bCs/>
                      <w:sz w:val="24"/>
                      <w:szCs w:val="24"/>
                    </w:rPr>
                  </w:pPr>
                  <w:r>
                    <w:rPr>
                      <w:bCs/>
                      <w:sz w:val="24"/>
                      <w:szCs w:val="24"/>
                    </w:rPr>
                    <w:t>远期</w:t>
                  </w:r>
                </w:p>
              </w:tc>
              <w:tc>
                <w:tcPr>
                  <w:tcW w:w="3260" w:type="dxa"/>
                  <w:tcBorders>
                    <w:top w:val="single" w:color="000000" w:sz="4" w:space="0"/>
                    <w:left w:val="single" w:color="000000" w:sz="4" w:space="0"/>
                    <w:bottom w:val="single" w:color="auto" w:sz="4" w:space="0"/>
                    <w:right w:val="single" w:color="000000" w:sz="4" w:space="0"/>
                  </w:tcBorders>
                </w:tcPr>
                <w:p>
                  <w:pPr>
                    <w:pStyle w:val="5"/>
                    <w:kinsoku w:val="0"/>
                    <w:overflowPunct w:val="0"/>
                    <w:spacing w:before="44" w:line="240" w:lineRule="auto"/>
                    <w:ind w:left="560"/>
                    <w:rPr>
                      <w:bCs/>
                      <w:sz w:val="24"/>
                      <w:szCs w:val="24"/>
                    </w:rPr>
                  </w:pPr>
                  <w:r>
                    <w:rPr>
                      <w:bCs/>
                      <w:sz w:val="24"/>
                      <w:szCs w:val="24"/>
                    </w:rPr>
                    <w:t>下南泉～豫新装卸站</w:t>
                  </w:r>
                </w:p>
              </w:tc>
              <w:tc>
                <w:tcPr>
                  <w:tcW w:w="2913" w:type="dxa"/>
                  <w:tcBorders>
                    <w:top w:val="single" w:color="000000" w:sz="4" w:space="0"/>
                    <w:left w:val="single" w:color="000000" w:sz="4" w:space="0"/>
                    <w:bottom w:val="single" w:color="auto" w:sz="4" w:space="0"/>
                    <w:right w:val="single" w:color="auto" w:sz="4" w:space="0"/>
                  </w:tcBorders>
                </w:tcPr>
                <w:p>
                  <w:pPr>
                    <w:pStyle w:val="5"/>
                    <w:kinsoku w:val="0"/>
                    <w:overflowPunct w:val="0"/>
                    <w:spacing w:before="44" w:line="240" w:lineRule="auto"/>
                    <w:ind w:left="89"/>
                    <w:jc w:val="center"/>
                    <w:rPr>
                      <w:bCs/>
                      <w:sz w:val="24"/>
                      <w:szCs w:val="24"/>
                    </w:rPr>
                  </w:pPr>
                  <w:r>
                    <w:rPr>
                      <w:bCs/>
                      <w:sz w:val="24"/>
                      <w:szCs w:val="24"/>
                    </w:rPr>
                    <w:t>4</w:t>
                  </w:r>
                </w:p>
              </w:tc>
            </w:tr>
          </w:tbl>
          <w:p>
            <w:pPr>
              <w:autoSpaceDE w:val="0"/>
              <w:autoSpaceDN w:val="0"/>
              <w:adjustRightInd w:val="0"/>
              <w:spacing w:line="360" w:lineRule="auto"/>
              <w:ind w:firstLine="480" w:firstLineChars="200"/>
              <w:jc w:val="left"/>
              <w:rPr>
                <w:kern w:val="0"/>
                <w:sz w:val="24"/>
              </w:rPr>
            </w:pPr>
          </w:p>
          <w:p>
            <w:pPr>
              <w:pStyle w:val="5"/>
              <w:kinsoku w:val="0"/>
              <w:overflowPunct w:val="0"/>
              <w:spacing w:line="240" w:lineRule="exact"/>
              <w:ind w:firstLine="522" w:firstLineChars="200"/>
              <w:jc w:val="left"/>
              <w:rPr>
                <w:b/>
                <w:bCs/>
                <w:spacing w:val="10"/>
                <w:kern w:val="2"/>
                <w:sz w:val="24"/>
                <w:szCs w:val="21"/>
              </w:rPr>
            </w:pPr>
            <w:r>
              <w:rPr>
                <w:b/>
                <w:bCs/>
                <w:spacing w:val="10"/>
                <w:kern w:val="2"/>
                <w:sz w:val="24"/>
                <w:szCs w:val="21"/>
              </w:rPr>
              <w:t>5、主要经济技术指标</w:t>
            </w:r>
          </w:p>
          <w:p>
            <w:pPr>
              <w:pStyle w:val="5"/>
              <w:kinsoku w:val="0"/>
              <w:overflowPunct w:val="0"/>
              <w:spacing w:line="240" w:lineRule="exact"/>
              <w:ind w:firstLine="520" w:firstLineChars="200"/>
              <w:jc w:val="left"/>
              <w:rPr>
                <w:bCs/>
                <w:spacing w:val="10"/>
                <w:kern w:val="2"/>
                <w:sz w:val="24"/>
                <w:szCs w:val="21"/>
              </w:rPr>
            </w:pPr>
            <w:r>
              <w:rPr>
                <w:bCs/>
                <w:spacing w:val="10"/>
                <w:kern w:val="2"/>
                <w:sz w:val="24"/>
                <w:szCs w:val="21"/>
              </w:rPr>
              <w:t>本项目主要经济技术指标如下表</w:t>
            </w:r>
            <w:r>
              <w:rPr>
                <w:rFonts w:hint="eastAsia"/>
                <w:bCs/>
                <w:spacing w:val="10"/>
                <w:kern w:val="2"/>
                <w:sz w:val="24"/>
                <w:szCs w:val="21"/>
              </w:rPr>
              <w:t>：</w:t>
            </w:r>
          </w:p>
          <w:p>
            <w:pPr>
              <w:pStyle w:val="5"/>
              <w:kinsoku w:val="0"/>
              <w:overflowPunct w:val="0"/>
              <w:spacing w:line="240" w:lineRule="exact"/>
              <w:ind w:firstLine="462" w:firstLineChars="200"/>
              <w:jc w:val="center"/>
              <w:rPr>
                <w:b/>
                <w:bCs/>
                <w:spacing w:val="10"/>
                <w:kern w:val="2"/>
                <w:sz w:val="21"/>
                <w:szCs w:val="21"/>
              </w:rPr>
            </w:pPr>
            <w:r>
              <w:rPr>
                <w:rFonts w:hint="eastAsia"/>
                <w:b/>
                <w:bCs/>
                <w:spacing w:val="10"/>
                <w:kern w:val="2"/>
                <w:sz w:val="21"/>
                <w:szCs w:val="21"/>
              </w:rPr>
              <w:t>表8</w:t>
            </w:r>
            <w:r>
              <w:rPr>
                <w:b/>
                <w:bCs/>
                <w:spacing w:val="10"/>
                <w:kern w:val="2"/>
                <w:sz w:val="21"/>
                <w:szCs w:val="21"/>
              </w:rPr>
              <w:t xml:space="preserve"> </w:t>
            </w:r>
            <w:r>
              <w:rPr>
                <w:rFonts w:hint="eastAsia"/>
                <w:b/>
                <w:bCs/>
                <w:spacing w:val="10"/>
                <w:kern w:val="2"/>
                <w:sz w:val="21"/>
                <w:szCs w:val="21"/>
              </w:rPr>
              <w:t>经济技术指标表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500"/>
              <w:gridCol w:w="876"/>
              <w:gridCol w:w="3261"/>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序号</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工程名称</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单位</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指标</w:t>
                  </w:r>
                </w:p>
              </w:tc>
              <w:tc>
                <w:tcPr>
                  <w:tcW w:w="549" w:type="pct"/>
                  <w:shd w:val="clear" w:color="auto" w:fill="auto"/>
                  <w:vAlign w:val="center"/>
                </w:tcPr>
                <w:p>
                  <w:pPr>
                    <w:pStyle w:val="5"/>
                    <w:kinsoku w:val="0"/>
                    <w:overflowPunct w:val="0"/>
                    <w:spacing w:line="240" w:lineRule="exact"/>
                    <w:jc w:val="center"/>
                    <w:rPr>
                      <w:bCs/>
                      <w:sz w:val="24"/>
                      <w:szCs w:val="24"/>
                    </w:rPr>
                  </w:pPr>
                  <w:r>
                    <w:rPr>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1</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正线数目</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单线</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2</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设计速度</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km/h</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60</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3</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最小曲线半径</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m</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600</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4</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限制坡度</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6‰</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5</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牵引种类</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电力牵引</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6</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机车类型</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HXD系列</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7</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牵引质量</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吨</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煤炭列车5000t，其他4000t</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8</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到发线有效长</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m</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850m</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9</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闭塞类型</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场间联系</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10</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设计轴重</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吨</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25</w:t>
                  </w:r>
                </w:p>
              </w:tc>
              <w:tc>
                <w:tcPr>
                  <w:tcW w:w="549" w:type="pct"/>
                  <w:shd w:val="clear" w:color="auto" w:fill="auto"/>
                  <w:vAlign w:val="center"/>
                </w:tcPr>
                <w:p>
                  <w:pPr>
                    <w:pStyle w:val="5"/>
                    <w:kinsoku w:val="0"/>
                    <w:overflowPunct w:val="0"/>
                    <w:spacing w:line="240" w:lineRule="exact"/>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18" w:type="pct"/>
                  <w:shd w:val="clear" w:color="auto" w:fill="auto"/>
                  <w:vAlign w:val="center"/>
                </w:tcPr>
                <w:p>
                  <w:pPr>
                    <w:pStyle w:val="5"/>
                    <w:kinsoku w:val="0"/>
                    <w:overflowPunct w:val="0"/>
                    <w:spacing w:line="240" w:lineRule="exact"/>
                    <w:jc w:val="center"/>
                    <w:rPr>
                      <w:bCs/>
                      <w:sz w:val="24"/>
                      <w:szCs w:val="24"/>
                    </w:rPr>
                  </w:pPr>
                  <w:r>
                    <w:rPr>
                      <w:bCs/>
                      <w:sz w:val="24"/>
                      <w:szCs w:val="24"/>
                    </w:rPr>
                    <w:t>11</w:t>
                  </w:r>
                </w:p>
              </w:tc>
              <w:tc>
                <w:tcPr>
                  <w:tcW w:w="1481" w:type="pct"/>
                  <w:shd w:val="clear" w:color="auto" w:fill="auto"/>
                  <w:vAlign w:val="center"/>
                </w:tcPr>
                <w:p>
                  <w:pPr>
                    <w:pStyle w:val="5"/>
                    <w:kinsoku w:val="0"/>
                    <w:overflowPunct w:val="0"/>
                    <w:spacing w:line="240" w:lineRule="exact"/>
                    <w:jc w:val="center"/>
                    <w:rPr>
                      <w:bCs/>
                      <w:sz w:val="24"/>
                      <w:szCs w:val="24"/>
                    </w:rPr>
                  </w:pPr>
                  <w:r>
                    <w:rPr>
                      <w:bCs/>
                      <w:sz w:val="24"/>
                      <w:szCs w:val="24"/>
                    </w:rPr>
                    <w:t>洪水频率</w:t>
                  </w:r>
                </w:p>
              </w:tc>
              <w:tc>
                <w:tcPr>
                  <w:tcW w:w="519" w:type="pct"/>
                  <w:shd w:val="clear" w:color="auto" w:fill="auto"/>
                  <w:vAlign w:val="center"/>
                </w:tcPr>
                <w:p>
                  <w:pPr>
                    <w:pStyle w:val="5"/>
                    <w:kinsoku w:val="0"/>
                    <w:overflowPunct w:val="0"/>
                    <w:spacing w:line="240" w:lineRule="exact"/>
                    <w:jc w:val="center"/>
                    <w:rPr>
                      <w:bCs/>
                      <w:sz w:val="24"/>
                      <w:szCs w:val="24"/>
                    </w:rPr>
                  </w:pPr>
                  <w:r>
                    <w:rPr>
                      <w:bCs/>
                      <w:sz w:val="24"/>
                      <w:szCs w:val="24"/>
                    </w:rPr>
                    <w:t>/</w:t>
                  </w:r>
                </w:p>
              </w:tc>
              <w:tc>
                <w:tcPr>
                  <w:tcW w:w="1932" w:type="pct"/>
                  <w:shd w:val="clear" w:color="auto" w:fill="auto"/>
                  <w:vAlign w:val="center"/>
                </w:tcPr>
                <w:p>
                  <w:pPr>
                    <w:pStyle w:val="5"/>
                    <w:kinsoku w:val="0"/>
                    <w:overflowPunct w:val="0"/>
                    <w:spacing w:line="240" w:lineRule="exact"/>
                    <w:jc w:val="center"/>
                    <w:rPr>
                      <w:bCs/>
                      <w:sz w:val="24"/>
                      <w:szCs w:val="24"/>
                    </w:rPr>
                  </w:pPr>
                  <w:r>
                    <w:rPr>
                      <w:bCs/>
                      <w:sz w:val="24"/>
                      <w:szCs w:val="24"/>
                    </w:rPr>
                    <w:t>1/100</w:t>
                  </w:r>
                </w:p>
              </w:tc>
              <w:tc>
                <w:tcPr>
                  <w:tcW w:w="549" w:type="pct"/>
                  <w:shd w:val="clear" w:color="auto" w:fill="auto"/>
                  <w:vAlign w:val="center"/>
                </w:tcPr>
                <w:p>
                  <w:pPr>
                    <w:pStyle w:val="5"/>
                    <w:kinsoku w:val="0"/>
                    <w:overflowPunct w:val="0"/>
                    <w:spacing w:line="240" w:lineRule="exact"/>
                    <w:jc w:val="center"/>
                    <w:rPr>
                      <w:bCs/>
                      <w:sz w:val="24"/>
                      <w:szCs w:val="24"/>
                    </w:rPr>
                  </w:pPr>
                </w:p>
              </w:tc>
            </w:tr>
          </w:tbl>
          <w:p>
            <w:pPr>
              <w:autoSpaceDE w:val="0"/>
              <w:autoSpaceDN w:val="0"/>
              <w:adjustRightInd w:val="0"/>
              <w:jc w:val="left"/>
              <w:rPr>
                <w:kern w:val="0"/>
                <w:sz w:val="24"/>
                <w:szCs w:val="18"/>
              </w:rPr>
            </w:pPr>
          </w:p>
          <w:p>
            <w:pPr>
              <w:adjustRightInd w:val="0"/>
              <w:snapToGrid w:val="0"/>
              <w:spacing w:line="408" w:lineRule="auto"/>
              <w:ind w:firstLine="522" w:firstLineChars="200"/>
              <w:rPr>
                <w:b/>
                <w:bCs/>
                <w:spacing w:val="10"/>
                <w:sz w:val="24"/>
                <w:szCs w:val="21"/>
              </w:rPr>
            </w:pPr>
            <w:r>
              <w:rPr>
                <w:b/>
                <w:bCs/>
                <w:spacing w:val="10"/>
                <w:sz w:val="24"/>
                <w:szCs w:val="21"/>
              </w:rPr>
              <w:t>6、工程建设方案</w:t>
            </w:r>
          </w:p>
          <w:p>
            <w:pPr>
              <w:adjustRightInd w:val="0"/>
              <w:snapToGrid w:val="0"/>
              <w:spacing w:line="408" w:lineRule="auto"/>
              <w:ind w:firstLine="522" w:firstLineChars="200"/>
              <w:rPr>
                <w:b/>
                <w:bCs/>
                <w:spacing w:val="10"/>
                <w:sz w:val="24"/>
                <w:szCs w:val="21"/>
              </w:rPr>
            </w:pPr>
            <w:r>
              <w:rPr>
                <w:b/>
                <w:bCs/>
                <w:spacing w:val="10"/>
                <w:sz w:val="24"/>
                <w:szCs w:val="21"/>
              </w:rPr>
              <w:t>6.1线路及轨道工程</w:t>
            </w:r>
          </w:p>
          <w:p>
            <w:pPr>
              <w:adjustRightInd w:val="0"/>
              <w:snapToGrid w:val="0"/>
              <w:spacing w:line="408" w:lineRule="auto"/>
              <w:ind w:firstLine="520" w:firstLineChars="200"/>
              <w:rPr>
                <w:bCs/>
                <w:spacing w:val="10"/>
                <w:sz w:val="24"/>
                <w:szCs w:val="21"/>
              </w:rPr>
            </w:pPr>
            <w:r>
              <w:rPr>
                <w:bCs/>
                <w:spacing w:val="10"/>
                <w:sz w:val="24"/>
                <w:szCs w:val="21"/>
              </w:rPr>
              <w:t>新建铁路专用线正</w:t>
            </w:r>
            <w:r>
              <w:rPr>
                <w:rFonts w:hint="eastAsia"/>
                <w:bCs/>
                <w:spacing w:val="10"/>
                <w:sz w:val="24"/>
                <w:szCs w:val="21"/>
              </w:rPr>
              <w:t>3</w:t>
            </w:r>
            <w:r>
              <w:rPr>
                <w:bCs/>
                <w:spacing w:val="10"/>
                <w:sz w:val="24"/>
                <w:szCs w:val="21"/>
              </w:rPr>
              <w:t>.16</w:t>
            </w:r>
            <w:r>
              <w:rPr>
                <w:rFonts w:hint="eastAsia"/>
                <w:bCs/>
                <w:spacing w:val="10"/>
                <w:sz w:val="24"/>
                <w:szCs w:val="21"/>
              </w:rPr>
              <w:t>km</w:t>
            </w:r>
            <w:r>
              <w:rPr>
                <w:bCs/>
                <w:spacing w:val="10"/>
                <w:sz w:val="24"/>
                <w:szCs w:val="21"/>
              </w:rPr>
              <w:t>，采用50kg/m，25m有孔钢轨。轨枕、扣件采用新</w:t>
            </w:r>
            <w:r>
              <w:rPr>
                <w:rFonts w:hint="eastAsia"/>
                <w:bCs/>
                <w:spacing w:val="10"/>
                <w:sz w:val="24"/>
                <w:szCs w:val="21"/>
              </w:rPr>
              <w:t>Ⅱ</w:t>
            </w:r>
            <w:r>
              <w:rPr>
                <w:bCs/>
                <w:spacing w:val="10"/>
                <w:sz w:val="24"/>
                <w:szCs w:val="21"/>
              </w:rPr>
              <w:t>型预应力混凝土枕，1600根/km，扣件采用弹条</w:t>
            </w:r>
            <w:r>
              <w:rPr>
                <w:rFonts w:hint="eastAsia"/>
                <w:bCs/>
                <w:spacing w:val="10"/>
                <w:sz w:val="24"/>
                <w:szCs w:val="21"/>
              </w:rPr>
              <w:t>Ⅰ</w:t>
            </w:r>
            <w:r>
              <w:rPr>
                <w:bCs/>
                <w:spacing w:val="10"/>
                <w:sz w:val="24"/>
                <w:szCs w:val="21"/>
              </w:rPr>
              <w:t>型扣件。绝缘节处采用胶结绝缘夹板冻结。全线采用双层有砟道床设计，面砟采用一级碎石道砟，厚20cm，底砟采用普通碎石道砟，厚15cm。</w:t>
            </w:r>
          </w:p>
          <w:p>
            <w:pPr>
              <w:adjustRightInd w:val="0"/>
              <w:snapToGrid w:val="0"/>
              <w:spacing w:line="408" w:lineRule="auto"/>
              <w:ind w:firstLine="522" w:firstLineChars="200"/>
              <w:rPr>
                <w:b/>
                <w:bCs/>
                <w:spacing w:val="10"/>
                <w:sz w:val="24"/>
                <w:szCs w:val="21"/>
              </w:rPr>
            </w:pPr>
            <w:r>
              <w:rPr>
                <w:b/>
                <w:bCs/>
                <w:spacing w:val="10"/>
                <w:sz w:val="24"/>
                <w:szCs w:val="21"/>
              </w:rPr>
              <w:t>6.2路基工程</w:t>
            </w:r>
          </w:p>
          <w:p>
            <w:pPr>
              <w:adjustRightInd w:val="0"/>
              <w:snapToGrid w:val="0"/>
              <w:spacing w:line="408" w:lineRule="auto"/>
              <w:ind w:firstLine="520" w:firstLineChars="200"/>
              <w:rPr>
                <w:bCs/>
                <w:spacing w:val="10"/>
                <w:sz w:val="24"/>
                <w:szCs w:val="21"/>
              </w:rPr>
            </w:pPr>
            <w:r>
              <w:rPr>
                <w:rFonts w:hint="eastAsia"/>
                <w:bCs/>
                <w:spacing w:val="10"/>
                <w:sz w:val="24"/>
                <w:szCs w:val="21"/>
              </w:rPr>
              <w:t>新建铁路专用线占地为荒草地，全长3.16km，区间路基总长度为1.1km，现状为戈壁荒草地，未穿越相关敏感区和敏感目标，</w:t>
            </w:r>
            <w:r>
              <w:rPr>
                <w:bCs/>
                <w:spacing w:val="10"/>
                <w:sz w:val="24"/>
                <w:szCs w:val="21"/>
              </w:rPr>
              <w:t>路基面设三角形路拱，由线路中心线向两侧设4%的横向排水坡。路基面加宽时，应保持三角形。依据《铁路专用线设计规范（试行）》（TB10638－2019）规范计算确定，路基面宽度为5.9m。路基基床厚度为1.2m：表层厚0.5m，底层厚0.7m。与乌将线并行段落保持与既有线一致。</w:t>
            </w:r>
          </w:p>
          <w:p>
            <w:pPr>
              <w:adjustRightInd w:val="0"/>
              <w:snapToGrid w:val="0"/>
              <w:spacing w:line="408" w:lineRule="auto"/>
              <w:ind w:firstLine="522" w:firstLineChars="200"/>
              <w:rPr>
                <w:b/>
                <w:bCs/>
                <w:spacing w:val="10"/>
                <w:sz w:val="24"/>
                <w:szCs w:val="21"/>
              </w:rPr>
            </w:pPr>
            <w:r>
              <w:rPr>
                <w:b/>
                <w:bCs/>
                <w:spacing w:val="10"/>
                <w:sz w:val="24"/>
                <w:szCs w:val="21"/>
              </w:rPr>
              <w:t>6.3桥涵工程</w:t>
            </w:r>
          </w:p>
          <w:p>
            <w:pPr>
              <w:adjustRightInd w:val="0"/>
              <w:snapToGrid w:val="0"/>
              <w:spacing w:line="408" w:lineRule="auto"/>
              <w:ind w:firstLine="520" w:firstLineChars="200"/>
              <w:rPr>
                <w:bCs/>
                <w:spacing w:val="10"/>
                <w:sz w:val="24"/>
                <w:szCs w:val="21"/>
              </w:rPr>
            </w:pPr>
            <w:r>
              <w:rPr>
                <w:bCs/>
                <w:spacing w:val="10"/>
                <w:sz w:val="24"/>
                <w:szCs w:val="21"/>
              </w:rPr>
              <w:t>1、设计原则</w:t>
            </w:r>
          </w:p>
          <w:p>
            <w:pPr>
              <w:adjustRightInd w:val="0"/>
              <w:snapToGrid w:val="0"/>
              <w:spacing w:line="408" w:lineRule="auto"/>
              <w:ind w:firstLine="520" w:firstLineChars="200"/>
              <w:rPr>
                <w:bCs/>
                <w:spacing w:val="10"/>
                <w:sz w:val="24"/>
                <w:szCs w:val="21"/>
              </w:rPr>
            </w:pPr>
            <w:r>
              <w:rPr>
                <w:bCs/>
                <w:spacing w:val="10"/>
                <w:sz w:val="24"/>
                <w:szCs w:val="21"/>
              </w:rPr>
              <w:t>（1）既有涵改建时，应满足《铁路桥涵设计规范》（TB10002-2017）有关涵洞长度的规定，对既有线采用必要的防护措施，以保证既有线运营的安全。</w:t>
            </w:r>
          </w:p>
          <w:p>
            <w:pPr>
              <w:adjustRightInd w:val="0"/>
              <w:snapToGrid w:val="0"/>
              <w:spacing w:line="408" w:lineRule="auto"/>
              <w:ind w:firstLine="520" w:firstLineChars="200"/>
              <w:rPr>
                <w:bCs/>
                <w:spacing w:val="10"/>
                <w:sz w:val="24"/>
                <w:szCs w:val="21"/>
              </w:rPr>
            </w:pPr>
            <w:r>
              <w:rPr>
                <w:bCs/>
                <w:spacing w:val="10"/>
                <w:sz w:val="24"/>
                <w:szCs w:val="21"/>
              </w:rPr>
              <w:t>（2）新建排洪涵洞孔径不宜小于1.5m，原则上优先采用钢筋混凝土箱形涵及盖板涵。</w:t>
            </w:r>
          </w:p>
          <w:p>
            <w:pPr>
              <w:adjustRightInd w:val="0"/>
              <w:snapToGrid w:val="0"/>
              <w:spacing w:line="408" w:lineRule="auto"/>
              <w:ind w:firstLine="520" w:firstLineChars="200"/>
              <w:rPr>
                <w:bCs/>
                <w:spacing w:val="10"/>
                <w:sz w:val="24"/>
                <w:szCs w:val="21"/>
              </w:rPr>
            </w:pPr>
            <w:r>
              <w:rPr>
                <w:bCs/>
                <w:spacing w:val="10"/>
                <w:sz w:val="24"/>
                <w:szCs w:val="21"/>
              </w:rPr>
              <w:t>（3）涵洞顶面不宜超过路肩顶面。</w:t>
            </w:r>
          </w:p>
          <w:p>
            <w:pPr>
              <w:adjustRightInd w:val="0"/>
              <w:snapToGrid w:val="0"/>
              <w:spacing w:line="408" w:lineRule="auto"/>
              <w:ind w:firstLine="520" w:firstLineChars="200"/>
              <w:rPr>
                <w:bCs/>
                <w:spacing w:val="10"/>
                <w:sz w:val="24"/>
                <w:szCs w:val="21"/>
              </w:rPr>
            </w:pPr>
            <w:r>
              <w:rPr>
                <w:bCs/>
                <w:spacing w:val="10"/>
                <w:sz w:val="24"/>
                <w:szCs w:val="21"/>
              </w:rPr>
              <w:t>（4）接长箱形桥，采用同既有箱桥相同孔径、相同净高设置。</w:t>
            </w:r>
          </w:p>
          <w:p>
            <w:pPr>
              <w:adjustRightInd w:val="0"/>
              <w:snapToGrid w:val="0"/>
              <w:spacing w:line="408" w:lineRule="auto"/>
              <w:ind w:firstLine="520" w:firstLineChars="200"/>
              <w:rPr>
                <w:bCs/>
                <w:spacing w:val="10"/>
                <w:sz w:val="24"/>
                <w:szCs w:val="21"/>
              </w:rPr>
            </w:pPr>
            <w:r>
              <w:rPr>
                <w:bCs/>
                <w:spacing w:val="10"/>
                <w:sz w:val="24"/>
                <w:szCs w:val="21"/>
              </w:rPr>
              <w:t>（5）箱形桥接长外侧设置栏杆。</w:t>
            </w:r>
          </w:p>
          <w:p>
            <w:pPr>
              <w:adjustRightInd w:val="0"/>
              <w:snapToGrid w:val="0"/>
              <w:spacing w:line="408" w:lineRule="auto"/>
              <w:ind w:firstLine="520" w:firstLineChars="200"/>
              <w:rPr>
                <w:bCs/>
                <w:spacing w:val="10"/>
                <w:sz w:val="24"/>
                <w:szCs w:val="21"/>
              </w:rPr>
            </w:pPr>
            <w:r>
              <w:rPr>
                <w:bCs/>
                <w:spacing w:val="10"/>
                <w:sz w:val="24"/>
                <w:szCs w:val="21"/>
              </w:rPr>
              <w:t>（6）箱形桥基础处理形式同涵洞基础，应加强与路基专业结合，需要时考虑地基处理加强措施。</w:t>
            </w:r>
          </w:p>
          <w:p>
            <w:pPr>
              <w:adjustRightInd w:val="0"/>
              <w:snapToGrid w:val="0"/>
              <w:spacing w:line="408" w:lineRule="auto"/>
              <w:ind w:firstLine="520" w:firstLineChars="200"/>
              <w:rPr>
                <w:bCs/>
                <w:spacing w:val="10"/>
                <w:sz w:val="24"/>
                <w:szCs w:val="21"/>
              </w:rPr>
            </w:pPr>
            <w:r>
              <w:rPr>
                <w:bCs/>
                <w:spacing w:val="10"/>
                <w:sz w:val="24"/>
                <w:szCs w:val="21"/>
              </w:rPr>
              <w:t>2、项目桥涵情况</w:t>
            </w:r>
          </w:p>
          <w:p>
            <w:pPr>
              <w:adjustRightInd w:val="0"/>
              <w:snapToGrid w:val="0"/>
              <w:spacing w:line="408" w:lineRule="auto"/>
              <w:ind w:firstLine="520" w:firstLineChars="200"/>
              <w:rPr>
                <w:bCs/>
                <w:spacing w:val="10"/>
                <w:sz w:val="24"/>
                <w:szCs w:val="21"/>
              </w:rPr>
            </w:pPr>
            <w:r>
              <w:rPr>
                <w:rFonts w:hint="eastAsia"/>
                <w:bCs/>
                <w:spacing w:val="10"/>
                <w:sz w:val="24"/>
                <w:szCs w:val="21"/>
              </w:rPr>
              <w:t>工程范围内途径灌溉水渠2条，对横穿装卸站灌溉渠进行改移至</w:t>
            </w:r>
            <w:r>
              <w:rPr>
                <w:bCs/>
                <w:spacing w:val="10"/>
                <w:sz w:val="24"/>
                <w:szCs w:val="21"/>
              </w:rPr>
              <w:t>CK3+529</w:t>
            </w:r>
            <w:r>
              <w:rPr>
                <w:rFonts w:hint="eastAsia"/>
                <w:bCs/>
                <w:spacing w:val="10"/>
                <w:sz w:val="24"/>
                <w:szCs w:val="21"/>
              </w:rPr>
              <w:t>处，通过渠道后在CK3</w:t>
            </w:r>
            <w:r>
              <w:rPr>
                <w:bCs/>
                <w:spacing w:val="10"/>
                <w:sz w:val="24"/>
                <w:szCs w:val="21"/>
              </w:rPr>
              <w:t>+420</w:t>
            </w:r>
            <w:r>
              <w:rPr>
                <w:rFonts w:hint="eastAsia"/>
                <w:bCs/>
                <w:spacing w:val="10"/>
                <w:sz w:val="24"/>
                <w:szCs w:val="21"/>
              </w:rPr>
              <w:t>涵洞下游采用1-1.5m渡槽平行汇入原渠道，另一条在灌溉渠处</w:t>
            </w:r>
            <w:r>
              <w:rPr>
                <w:bCs/>
                <w:spacing w:val="10"/>
                <w:sz w:val="24"/>
                <w:szCs w:val="21"/>
              </w:rPr>
              <w:t>CK4+305</w:t>
            </w:r>
            <w:r>
              <w:rPr>
                <w:rFonts w:hint="eastAsia"/>
                <w:bCs/>
                <w:spacing w:val="10"/>
                <w:sz w:val="24"/>
                <w:szCs w:val="21"/>
              </w:rPr>
              <w:t>新建涵洞；装卸站用地范围内横穿天然气管道1条，基本平行于本专用线，根据《中华人民共和国石油天然气管道保护法》（主席令11届第30号）相关规定，对其进行改移，在CK</w:t>
            </w:r>
            <w:r>
              <w:rPr>
                <w:bCs/>
                <w:spacing w:val="10"/>
                <w:sz w:val="24"/>
                <w:szCs w:val="21"/>
              </w:rPr>
              <w:t>3+981</w:t>
            </w:r>
            <w:r>
              <w:rPr>
                <w:rFonts w:hint="eastAsia"/>
                <w:bCs/>
                <w:spacing w:val="10"/>
                <w:sz w:val="24"/>
                <w:szCs w:val="21"/>
              </w:rPr>
              <w:t>处设置套管圆涵，改移至装卸站范围外北侧；其他畜牧通道等根据乌将线既有涵洞情况，在专用线对应位置设置同孔径、同样式涵洞。</w:t>
            </w:r>
          </w:p>
          <w:p>
            <w:pPr>
              <w:adjustRightInd w:val="0"/>
              <w:snapToGrid w:val="0"/>
              <w:spacing w:line="408" w:lineRule="auto"/>
              <w:ind w:firstLine="520" w:firstLineChars="200"/>
              <w:rPr>
                <w:bCs/>
                <w:spacing w:val="10"/>
                <w:sz w:val="24"/>
                <w:szCs w:val="21"/>
              </w:rPr>
            </w:pPr>
            <w:r>
              <w:rPr>
                <w:bCs/>
                <w:spacing w:val="10"/>
                <w:sz w:val="24"/>
                <w:szCs w:val="21"/>
              </w:rPr>
              <w:t>本项目涉及接建箱形桥1处，新建涵洞15处，接建涵洞3处，详细如下表：</w:t>
            </w:r>
          </w:p>
          <w:p>
            <w:pPr>
              <w:adjustRightInd w:val="0"/>
              <w:snapToGrid w:val="0"/>
              <w:spacing w:line="408" w:lineRule="auto"/>
              <w:ind w:firstLine="462" w:firstLineChars="200"/>
              <w:jc w:val="center"/>
              <w:rPr>
                <w:b/>
                <w:bCs/>
                <w:spacing w:val="10"/>
                <w:szCs w:val="21"/>
              </w:rPr>
            </w:pPr>
            <w:r>
              <w:rPr>
                <w:rFonts w:hint="eastAsia"/>
                <w:b/>
                <w:bCs/>
                <w:spacing w:val="10"/>
                <w:szCs w:val="21"/>
              </w:rPr>
              <w:t>表9</w:t>
            </w:r>
            <w:r>
              <w:rPr>
                <w:b/>
                <w:bCs/>
                <w:spacing w:val="10"/>
                <w:szCs w:val="21"/>
              </w:rPr>
              <w:t xml:space="preserve"> </w:t>
            </w:r>
            <w:r>
              <w:rPr>
                <w:rFonts w:hint="eastAsia"/>
                <w:b/>
                <w:bCs/>
                <w:spacing w:val="10"/>
                <w:szCs w:val="21"/>
              </w:rPr>
              <w:t>桥涵建设情况表</w:t>
            </w:r>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9"/>
              <w:gridCol w:w="1731"/>
              <w:gridCol w:w="1669"/>
              <w:gridCol w:w="2042"/>
              <w:gridCol w:w="2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568" w:type="pct"/>
                  <w:tcBorders>
                    <w:top w:val="single" w:color="000000" w:sz="2" w:space="0"/>
                    <w:bottom w:val="single" w:color="000000" w:sz="2" w:space="0"/>
                  </w:tcBorders>
                  <w:vAlign w:val="center"/>
                </w:tcPr>
                <w:p>
                  <w:pPr>
                    <w:tabs>
                      <w:tab w:val="center" w:pos="530"/>
                    </w:tabs>
                    <w:jc w:val="center"/>
                    <w:rPr>
                      <w:kern w:val="0"/>
                      <w:szCs w:val="21"/>
                    </w:rPr>
                  </w:pPr>
                  <w:r>
                    <w:rPr>
                      <w:kern w:val="0"/>
                      <w:szCs w:val="21"/>
                    </w:rPr>
                    <w:t>序号</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新建线里程</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建设内容</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孔跨样式</w:t>
                  </w:r>
                </w:p>
              </w:tc>
              <w:tc>
                <w:tcPr>
                  <w:tcW w:w="1207" w:type="pct"/>
                  <w:tcBorders>
                    <w:top w:val="single" w:color="000000" w:sz="2" w:space="0"/>
                    <w:bottom w:val="single" w:color="000000" w:sz="2" w:space="0"/>
                  </w:tcBorders>
                  <w:vAlign w:val="center"/>
                </w:tcPr>
                <w:p>
                  <w:pPr>
                    <w:jc w:val="center"/>
                    <w:rPr>
                      <w:kern w:val="0"/>
                      <w:szCs w:val="21"/>
                    </w:rPr>
                  </w:pPr>
                  <w:r>
                    <w:rPr>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CK0+220.2</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改建箱形桥</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1-1.8m箱形桥</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2</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CK0+023.4</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改建涵洞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1-3.0m箱涵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3</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CK0+568.6</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改建涵洞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4</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CK0+731.9</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改建涵洞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1-1.5m箱涵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5</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CK0+835.2</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1-6.0m箱涵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6</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CK0+962.8</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1-1.5m箱涵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7</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CK1+132.6</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1-1.5m箱涵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8</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CK1+500</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2-2.5m箱涵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9</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CK1+541</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1-4.0m箱涵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10</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CK1+690</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11</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CK1+850</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1-6.0m箱涵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12</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CK3+420</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13</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CK3+619</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1-3.0m箱涵</w:t>
                  </w:r>
                </w:p>
              </w:tc>
              <w:tc>
                <w:tcPr>
                  <w:tcW w:w="1207" w:type="pct"/>
                  <w:tcBorders>
                    <w:top w:val="single" w:color="000000" w:sz="2" w:space="0"/>
                    <w:bottom w:val="single" w:color="000000" w:sz="2" w:space="0"/>
                  </w:tcBorders>
                  <w:vAlign w:val="center"/>
                </w:tcPr>
                <w:p>
                  <w:pPr>
                    <w:tabs>
                      <w:tab w:val="left" w:pos="907"/>
                    </w:tabs>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14</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CK3+529</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15</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CK3+805</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1-6.0m箱涵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16</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CK3+981</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1-1.5m圆涵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17</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CK4+148</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18</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CK4+285</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1-2.0m箱涵</w:t>
                  </w:r>
                </w:p>
              </w:tc>
              <w:tc>
                <w:tcPr>
                  <w:tcW w:w="1207" w:type="pct"/>
                  <w:tcBorders>
                    <w:top w:val="single" w:color="000000" w:sz="2" w:space="0"/>
                    <w:bottom w:val="single" w:color="000000" w:sz="2" w:space="0"/>
                  </w:tcBorders>
                  <w:vAlign w:val="center"/>
                </w:tcPr>
                <w:p>
                  <w:pPr>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568" w:type="pct"/>
                  <w:tcBorders>
                    <w:top w:val="single" w:color="000000" w:sz="2" w:space="0"/>
                    <w:bottom w:val="single" w:color="000000" w:sz="2" w:space="0"/>
                  </w:tcBorders>
                  <w:vAlign w:val="center"/>
                </w:tcPr>
                <w:p>
                  <w:pPr>
                    <w:jc w:val="center"/>
                    <w:rPr>
                      <w:kern w:val="0"/>
                      <w:szCs w:val="21"/>
                    </w:rPr>
                  </w:pPr>
                  <w:r>
                    <w:rPr>
                      <w:kern w:val="0"/>
                      <w:szCs w:val="21"/>
                    </w:rPr>
                    <w:t>19</w:t>
                  </w:r>
                </w:p>
              </w:tc>
              <w:tc>
                <w:tcPr>
                  <w:tcW w:w="1026" w:type="pct"/>
                  <w:tcBorders>
                    <w:top w:val="single" w:color="000000" w:sz="2" w:space="0"/>
                    <w:bottom w:val="single" w:color="000000" w:sz="2" w:space="0"/>
                  </w:tcBorders>
                  <w:vAlign w:val="center"/>
                </w:tcPr>
                <w:p>
                  <w:pPr>
                    <w:jc w:val="center"/>
                    <w:rPr>
                      <w:kern w:val="0"/>
                      <w:szCs w:val="21"/>
                    </w:rPr>
                  </w:pPr>
                  <w:r>
                    <w:rPr>
                      <w:kern w:val="0"/>
                      <w:szCs w:val="21"/>
                    </w:rPr>
                    <w:t>CK4+305</w:t>
                  </w:r>
                </w:p>
              </w:tc>
              <w:tc>
                <w:tcPr>
                  <w:tcW w:w="989" w:type="pct"/>
                  <w:tcBorders>
                    <w:top w:val="single" w:color="000000" w:sz="2" w:space="0"/>
                    <w:bottom w:val="single" w:color="000000" w:sz="2" w:space="0"/>
                  </w:tcBorders>
                  <w:vAlign w:val="center"/>
                </w:tcPr>
                <w:p>
                  <w:pPr>
                    <w:jc w:val="center"/>
                    <w:rPr>
                      <w:kern w:val="0"/>
                      <w:szCs w:val="21"/>
                    </w:rPr>
                  </w:pPr>
                  <w:r>
                    <w:rPr>
                      <w:kern w:val="0"/>
                      <w:szCs w:val="21"/>
                    </w:rPr>
                    <w:t>新建涵洞</w:t>
                  </w:r>
                </w:p>
              </w:tc>
              <w:tc>
                <w:tcPr>
                  <w:tcW w:w="1210" w:type="pct"/>
                  <w:tcBorders>
                    <w:top w:val="single" w:color="000000" w:sz="2" w:space="0"/>
                    <w:bottom w:val="single" w:color="000000" w:sz="2" w:space="0"/>
                  </w:tcBorders>
                  <w:vAlign w:val="center"/>
                </w:tcPr>
                <w:p>
                  <w:pPr>
                    <w:jc w:val="center"/>
                    <w:rPr>
                      <w:kern w:val="0"/>
                      <w:szCs w:val="21"/>
                    </w:rPr>
                  </w:pPr>
                  <w:r>
                    <w:rPr>
                      <w:kern w:val="0"/>
                      <w:szCs w:val="21"/>
                    </w:rPr>
                    <w:t>1-4.0m箱涵</w:t>
                  </w:r>
                </w:p>
              </w:tc>
              <w:tc>
                <w:tcPr>
                  <w:tcW w:w="1207" w:type="pct"/>
                  <w:tcBorders>
                    <w:top w:val="single" w:color="000000" w:sz="2" w:space="0"/>
                    <w:bottom w:val="single" w:color="000000" w:sz="2" w:space="0"/>
                  </w:tcBorders>
                  <w:vAlign w:val="center"/>
                </w:tcPr>
                <w:p>
                  <w:pPr>
                    <w:jc w:val="center"/>
                    <w:rPr>
                      <w:kern w:val="0"/>
                      <w:szCs w:val="21"/>
                    </w:rPr>
                  </w:pPr>
                </w:p>
              </w:tc>
            </w:tr>
          </w:tbl>
          <w:p>
            <w:pPr>
              <w:adjustRightInd w:val="0"/>
              <w:snapToGrid w:val="0"/>
              <w:spacing w:line="408" w:lineRule="auto"/>
              <w:ind w:firstLine="520" w:firstLineChars="200"/>
              <w:rPr>
                <w:bCs/>
                <w:spacing w:val="10"/>
                <w:sz w:val="24"/>
                <w:szCs w:val="21"/>
              </w:rPr>
            </w:pPr>
            <w:r>
              <w:rPr>
                <w:bCs/>
                <w:spacing w:val="10"/>
                <w:sz w:val="24"/>
                <w:szCs w:val="21"/>
              </w:rPr>
              <w:t>3、施工方法</w:t>
            </w:r>
          </w:p>
          <w:p>
            <w:pPr>
              <w:adjustRightInd w:val="0"/>
              <w:snapToGrid w:val="0"/>
              <w:spacing w:line="408" w:lineRule="auto"/>
              <w:ind w:firstLine="520" w:firstLineChars="200"/>
              <w:rPr>
                <w:bCs/>
                <w:spacing w:val="10"/>
                <w:sz w:val="24"/>
                <w:szCs w:val="21"/>
              </w:rPr>
            </w:pPr>
            <w:r>
              <w:rPr>
                <w:bCs/>
                <w:spacing w:val="10"/>
                <w:sz w:val="24"/>
                <w:szCs w:val="21"/>
              </w:rPr>
              <w:t>专用线内新建涵洞均采用现浇施工方法，接建涵洞采用架设3-5-3吊轨梁防护线路，道岔处桥涵防护采用沉井桩，并结合草袋装土和工字钢桩防护路基。孔径小于等于3m涵洞预制涵体，吊装施工，孔径大于3m涵洞现浇施工的方法。</w:t>
            </w:r>
          </w:p>
          <w:p>
            <w:pPr>
              <w:adjustRightInd w:val="0"/>
              <w:snapToGrid w:val="0"/>
              <w:spacing w:line="408" w:lineRule="auto"/>
              <w:ind w:firstLine="522" w:firstLineChars="200"/>
              <w:rPr>
                <w:b/>
                <w:bCs/>
                <w:spacing w:val="10"/>
                <w:sz w:val="24"/>
                <w:szCs w:val="21"/>
              </w:rPr>
            </w:pPr>
            <w:r>
              <w:rPr>
                <w:b/>
                <w:bCs/>
                <w:spacing w:val="10"/>
                <w:sz w:val="24"/>
                <w:szCs w:val="21"/>
              </w:rPr>
              <w:t>6.4</w:t>
            </w:r>
            <w:r>
              <w:rPr>
                <w:rFonts w:hint="eastAsia"/>
                <w:b/>
                <w:bCs/>
                <w:spacing w:val="10"/>
                <w:sz w:val="24"/>
                <w:szCs w:val="21"/>
              </w:rPr>
              <w:t>装卸</w:t>
            </w:r>
            <w:r>
              <w:rPr>
                <w:b/>
                <w:bCs/>
                <w:spacing w:val="10"/>
                <w:sz w:val="24"/>
                <w:szCs w:val="21"/>
              </w:rPr>
              <w:t>站场</w:t>
            </w:r>
          </w:p>
          <w:p>
            <w:pPr>
              <w:adjustRightInd w:val="0"/>
              <w:snapToGrid w:val="0"/>
              <w:spacing w:line="408" w:lineRule="auto"/>
              <w:ind w:firstLine="520" w:firstLineChars="200"/>
              <w:rPr>
                <w:bCs/>
                <w:spacing w:val="10"/>
                <w:sz w:val="24"/>
                <w:szCs w:val="21"/>
              </w:rPr>
            </w:pPr>
            <w:r>
              <w:rPr>
                <w:rFonts w:hint="eastAsia"/>
                <w:bCs/>
                <w:spacing w:val="10"/>
                <w:sz w:val="24"/>
                <w:szCs w:val="21"/>
              </w:rPr>
              <w:t>根据现场调查，装卸站占地为荒草地，未穿越敏感目标，对横穿装卸站灌溉渠进行改移至</w:t>
            </w:r>
            <w:r>
              <w:rPr>
                <w:bCs/>
                <w:spacing w:val="10"/>
                <w:sz w:val="24"/>
                <w:szCs w:val="21"/>
              </w:rPr>
              <w:t>CK3+529</w:t>
            </w:r>
            <w:r>
              <w:rPr>
                <w:rFonts w:hint="eastAsia"/>
                <w:bCs/>
                <w:spacing w:val="10"/>
                <w:sz w:val="24"/>
                <w:szCs w:val="21"/>
              </w:rPr>
              <w:t>处，通过渠道后在CK3</w:t>
            </w:r>
            <w:r>
              <w:rPr>
                <w:bCs/>
                <w:spacing w:val="10"/>
                <w:sz w:val="24"/>
                <w:szCs w:val="21"/>
              </w:rPr>
              <w:t>+420</w:t>
            </w:r>
            <w:r>
              <w:rPr>
                <w:rFonts w:hint="eastAsia"/>
                <w:bCs/>
                <w:spacing w:val="10"/>
                <w:sz w:val="24"/>
                <w:szCs w:val="21"/>
              </w:rPr>
              <w:t>涵洞下游采用1-1.5m渡槽平行汇入原渠道。</w:t>
            </w:r>
            <w:r>
              <w:rPr>
                <w:bCs/>
                <w:spacing w:val="10"/>
                <w:sz w:val="24"/>
                <w:szCs w:val="21"/>
              </w:rPr>
              <w:t>装卸站场采用横列式布置，到发线按双进路设计，到发线有效长850m，装卸有效长780m，信号类型采用矮柱信号机。内部设置装卸线3条，机车行走线1条，装卸站尽头设置快速装车线1条，780×50m集装箱堆场一座，780×30×0.95m站台一座。</w:t>
            </w:r>
          </w:p>
          <w:p>
            <w:pPr>
              <w:adjustRightInd w:val="0"/>
              <w:snapToGrid w:val="0"/>
              <w:spacing w:line="408" w:lineRule="auto"/>
              <w:ind w:firstLine="520" w:firstLineChars="200"/>
              <w:rPr>
                <w:bCs/>
                <w:spacing w:val="10"/>
                <w:sz w:val="24"/>
                <w:szCs w:val="21"/>
              </w:rPr>
            </w:pPr>
            <w:r>
              <w:rPr>
                <w:bCs/>
                <w:spacing w:val="10"/>
                <w:sz w:val="24"/>
                <w:szCs w:val="21"/>
              </w:rPr>
              <w:t>1、站线轨道</w:t>
            </w:r>
          </w:p>
          <w:p>
            <w:pPr>
              <w:adjustRightInd w:val="0"/>
              <w:snapToGrid w:val="0"/>
              <w:spacing w:line="408" w:lineRule="auto"/>
              <w:ind w:firstLine="520" w:firstLineChars="200"/>
              <w:rPr>
                <w:bCs/>
                <w:spacing w:val="10"/>
                <w:sz w:val="24"/>
                <w:szCs w:val="21"/>
              </w:rPr>
            </w:pPr>
            <w:r>
              <w:rPr>
                <w:bCs/>
                <w:spacing w:val="10"/>
                <w:sz w:val="24"/>
                <w:szCs w:val="21"/>
              </w:rPr>
              <w:t>装卸线、机走线均采用50kg/m、25m标准长度新钢轨、新</w:t>
            </w:r>
            <w:r>
              <w:rPr>
                <w:rFonts w:hint="eastAsia"/>
                <w:bCs/>
                <w:spacing w:val="10"/>
                <w:sz w:val="24"/>
                <w:szCs w:val="21"/>
              </w:rPr>
              <w:t>Ⅱ</w:t>
            </w:r>
            <w:r>
              <w:rPr>
                <w:bCs/>
                <w:spacing w:val="10"/>
                <w:sz w:val="24"/>
                <w:szCs w:val="21"/>
              </w:rPr>
              <w:t>型钢筋混凝土枕、弹条</w:t>
            </w:r>
            <w:r>
              <w:rPr>
                <w:rFonts w:hint="eastAsia"/>
                <w:bCs/>
                <w:spacing w:val="10"/>
                <w:sz w:val="24"/>
                <w:szCs w:val="21"/>
              </w:rPr>
              <w:t>Ⅰ</w:t>
            </w:r>
            <w:r>
              <w:rPr>
                <w:bCs/>
                <w:spacing w:val="10"/>
                <w:sz w:val="24"/>
                <w:szCs w:val="21"/>
              </w:rPr>
              <w:t>型扣件，道床为单层道床，厚度25cm。</w:t>
            </w:r>
          </w:p>
          <w:p>
            <w:pPr>
              <w:adjustRightInd w:val="0"/>
              <w:snapToGrid w:val="0"/>
              <w:spacing w:line="408" w:lineRule="auto"/>
              <w:ind w:firstLine="520" w:firstLineChars="200"/>
              <w:rPr>
                <w:bCs/>
                <w:spacing w:val="10"/>
                <w:sz w:val="24"/>
                <w:szCs w:val="21"/>
              </w:rPr>
            </w:pPr>
            <w:r>
              <w:rPr>
                <w:bCs/>
                <w:spacing w:val="10"/>
                <w:sz w:val="24"/>
                <w:szCs w:val="21"/>
              </w:rPr>
              <w:t>2、道岔</w:t>
            </w:r>
          </w:p>
          <w:p>
            <w:pPr>
              <w:adjustRightInd w:val="0"/>
              <w:snapToGrid w:val="0"/>
              <w:spacing w:line="408" w:lineRule="auto"/>
              <w:ind w:firstLine="520" w:firstLineChars="200"/>
              <w:rPr>
                <w:bCs/>
                <w:spacing w:val="10"/>
                <w:sz w:val="24"/>
                <w:szCs w:val="21"/>
              </w:rPr>
            </w:pPr>
            <w:r>
              <w:rPr>
                <w:bCs/>
                <w:spacing w:val="10"/>
                <w:sz w:val="24"/>
                <w:szCs w:val="21"/>
              </w:rPr>
              <w:t>本专用线装卸站均采用50kg/m9号道岔（CZ2209）；与下南泉站到发线接轨处道岔、专用线渡线道岔采用50kg/m12号道岔（专线4257）；乌将线正线道岔采用60kg/m12号道岔（SC330）、镶嵌翼轨式合金钢辙叉。下南泉站3道末端插入12号道岔按无缝化设计。</w:t>
            </w:r>
          </w:p>
          <w:p>
            <w:pPr>
              <w:adjustRightInd w:val="0"/>
              <w:snapToGrid w:val="0"/>
              <w:spacing w:line="408" w:lineRule="auto"/>
              <w:ind w:firstLine="520" w:firstLineChars="200"/>
              <w:rPr>
                <w:bCs/>
                <w:spacing w:val="10"/>
                <w:sz w:val="24"/>
                <w:szCs w:val="21"/>
              </w:rPr>
            </w:pPr>
            <w:r>
              <w:rPr>
                <w:bCs/>
                <w:spacing w:val="10"/>
                <w:sz w:val="24"/>
                <w:szCs w:val="21"/>
              </w:rPr>
              <w:t>3、站场路基和排水</w:t>
            </w:r>
          </w:p>
          <w:p>
            <w:pPr>
              <w:adjustRightInd w:val="0"/>
              <w:snapToGrid w:val="0"/>
              <w:spacing w:line="408" w:lineRule="auto"/>
              <w:ind w:firstLine="520" w:firstLineChars="200"/>
              <w:rPr>
                <w:bCs/>
                <w:spacing w:val="10"/>
                <w:sz w:val="24"/>
                <w:szCs w:val="21"/>
              </w:rPr>
            </w:pPr>
            <w:r>
              <w:rPr>
                <w:bCs/>
                <w:spacing w:val="10"/>
                <w:sz w:val="24"/>
                <w:szCs w:val="21"/>
              </w:rPr>
              <w:t>路基面形状设计为三角形，由路基中心线向两侧设2%的人字排水坡。路基面上股道间排水沟采用碴顶式钢筋混凝土盖板沟；装卸站范围内设纵向排水沟。专用线和接轨站并行地段路基基床表层厚度为0.6m，底层厚度为1.9m，基床总厚度为2.5m。专用线路基基床表层厚度为0.5m，底层厚度为0.7m，基床总厚度为1.2m。</w:t>
            </w:r>
          </w:p>
          <w:p>
            <w:pPr>
              <w:adjustRightInd w:val="0"/>
              <w:snapToGrid w:val="0"/>
              <w:spacing w:line="408" w:lineRule="auto"/>
              <w:ind w:firstLine="520" w:firstLineChars="200"/>
              <w:rPr>
                <w:bCs/>
                <w:spacing w:val="10"/>
                <w:sz w:val="24"/>
                <w:szCs w:val="21"/>
              </w:rPr>
            </w:pPr>
            <w:r>
              <w:rPr>
                <w:bCs/>
                <w:spacing w:val="10"/>
                <w:sz w:val="24"/>
                <w:szCs w:val="21"/>
              </w:rPr>
              <w:t>4、装卸设备</w:t>
            </w:r>
          </w:p>
          <w:p>
            <w:pPr>
              <w:adjustRightInd w:val="0"/>
              <w:snapToGrid w:val="0"/>
              <w:spacing w:line="408" w:lineRule="auto"/>
              <w:ind w:firstLine="520" w:firstLineChars="200"/>
              <w:rPr>
                <w:bCs/>
                <w:spacing w:val="10"/>
                <w:sz w:val="24"/>
                <w:szCs w:val="21"/>
              </w:rPr>
            </w:pPr>
            <w:r>
              <w:rPr>
                <w:bCs/>
                <w:spacing w:val="10"/>
                <w:sz w:val="24"/>
                <w:szCs w:val="21"/>
              </w:rPr>
              <w:t>集装箱装卸设备采用正面吊，棚车、叉车、敞车采用快速定量装车系统，内含喷淋抑尘系统，配套铁牛加挂隔离车。</w:t>
            </w:r>
          </w:p>
          <w:p>
            <w:pPr>
              <w:adjustRightInd w:val="0"/>
              <w:snapToGrid w:val="0"/>
              <w:spacing w:line="408" w:lineRule="auto"/>
              <w:ind w:firstLine="522" w:firstLineChars="200"/>
              <w:rPr>
                <w:b/>
                <w:bCs/>
                <w:spacing w:val="10"/>
                <w:sz w:val="24"/>
                <w:szCs w:val="21"/>
              </w:rPr>
            </w:pPr>
            <w:r>
              <w:rPr>
                <w:b/>
                <w:bCs/>
                <w:spacing w:val="10"/>
                <w:sz w:val="24"/>
                <w:szCs w:val="21"/>
              </w:rPr>
              <w:t>6.5交通工程及轨道附属设备</w:t>
            </w:r>
          </w:p>
          <w:p>
            <w:pPr>
              <w:adjustRightInd w:val="0"/>
              <w:snapToGrid w:val="0"/>
              <w:spacing w:line="408" w:lineRule="auto"/>
              <w:ind w:firstLine="520" w:firstLineChars="200"/>
              <w:rPr>
                <w:bCs/>
                <w:spacing w:val="10"/>
                <w:sz w:val="24"/>
                <w:szCs w:val="21"/>
              </w:rPr>
            </w:pPr>
            <w:r>
              <w:rPr>
                <w:bCs/>
                <w:spacing w:val="10"/>
                <w:sz w:val="24"/>
                <w:szCs w:val="21"/>
              </w:rPr>
              <w:t>本项目主要包括线路标志，如：桥梁标、涵洞标、公里标、地界标等；信号标志，如：警示标、减速地点标、鸣笛标等；其他标志安全保护区标等。沿线防护栅栏采用1.8m钢筋混凝土柱金属网片防护栅栏。</w:t>
            </w:r>
          </w:p>
          <w:p>
            <w:pPr>
              <w:adjustRightInd w:val="0"/>
              <w:snapToGrid w:val="0"/>
              <w:spacing w:line="408" w:lineRule="auto"/>
              <w:ind w:firstLine="522" w:firstLineChars="200"/>
              <w:rPr>
                <w:b/>
                <w:bCs/>
                <w:spacing w:val="10"/>
                <w:sz w:val="24"/>
                <w:szCs w:val="21"/>
              </w:rPr>
            </w:pPr>
            <w:r>
              <w:rPr>
                <w:b/>
                <w:bCs/>
                <w:spacing w:val="10"/>
                <w:sz w:val="24"/>
                <w:szCs w:val="21"/>
              </w:rPr>
              <w:t>6.6房屋建筑</w:t>
            </w:r>
          </w:p>
          <w:p>
            <w:pPr>
              <w:adjustRightInd w:val="0"/>
              <w:snapToGrid w:val="0"/>
              <w:spacing w:line="408" w:lineRule="auto"/>
              <w:ind w:firstLine="520" w:firstLineChars="200"/>
              <w:rPr>
                <w:bCs/>
                <w:spacing w:val="10"/>
                <w:sz w:val="24"/>
                <w:szCs w:val="21"/>
              </w:rPr>
            </w:pPr>
            <w:r>
              <w:rPr>
                <w:bCs/>
                <w:spacing w:val="10"/>
                <w:sz w:val="24"/>
                <w:szCs w:val="21"/>
              </w:rPr>
              <w:t>本项目建成后委托中国铁路乌鲁木齐局集团有限公司管理，新增劳动定员50人，根据需要配备生产</w:t>
            </w:r>
            <w:r>
              <w:rPr>
                <w:rFonts w:hint="eastAsia"/>
                <w:bCs/>
                <w:spacing w:val="10"/>
                <w:sz w:val="24"/>
                <w:szCs w:val="21"/>
              </w:rPr>
              <w:t>及生产附属</w:t>
            </w:r>
            <w:r>
              <w:rPr>
                <w:bCs/>
                <w:spacing w:val="10"/>
                <w:sz w:val="24"/>
                <w:szCs w:val="21"/>
              </w:rPr>
              <w:t>房屋1895㎡，生活房屋面积2540㎡。房屋建筑均位于装卸站内，生活办公区位于豫新装卸站</w:t>
            </w:r>
            <w:r>
              <w:rPr>
                <w:rFonts w:hint="eastAsia"/>
                <w:bCs/>
                <w:spacing w:val="10"/>
                <w:sz w:val="24"/>
                <w:szCs w:val="21"/>
              </w:rPr>
              <w:t>西侧，其他房屋详见附图2：装卸站总平面布置图。</w:t>
            </w:r>
          </w:p>
          <w:p>
            <w:pPr>
              <w:adjustRightInd w:val="0"/>
              <w:snapToGrid w:val="0"/>
              <w:spacing w:line="408" w:lineRule="auto"/>
              <w:ind w:firstLine="522" w:firstLineChars="200"/>
              <w:rPr>
                <w:b/>
                <w:bCs/>
                <w:spacing w:val="10"/>
                <w:sz w:val="24"/>
                <w:szCs w:val="21"/>
              </w:rPr>
            </w:pPr>
            <w:r>
              <w:rPr>
                <w:b/>
                <w:bCs/>
                <w:spacing w:val="10"/>
                <w:sz w:val="24"/>
                <w:szCs w:val="21"/>
              </w:rPr>
              <w:t>6.7通信、信号和信息</w:t>
            </w:r>
          </w:p>
          <w:p>
            <w:pPr>
              <w:adjustRightInd w:val="0"/>
              <w:snapToGrid w:val="0"/>
              <w:spacing w:line="408" w:lineRule="auto"/>
              <w:ind w:firstLine="520" w:firstLineChars="200"/>
              <w:rPr>
                <w:bCs/>
                <w:spacing w:val="10"/>
                <w:sz w:val="24"/>
                <w:szCs w:val="21"/>
              </w:rPr>
            </w:pPr>
            <w:r>
              <w:rPr>
                <w:bCs/>
                <w:spacing w:val="10"/>
                <w:sz w:val="24"/>
                <w:szCs w:val="21"/>
              </w:rPr>
              <w:t>豫新装卸站设置CTC车站服务器，下南泉站设置终端柜和集控台，在下南泉站实现对豫新装卸站远程调度控制</w:t>
            </w:r>
            <w:r>
              <w:rPr>
                <w:rFonts w:hint="eastAsia"/>
                <w:bCs/>
                <w:spacing w:val="10"/>
                <w:sz w:val="24"/>
                <w:szCs w:val="21"/>
              </w:rPr>
              <w:t>。</w:t>
            </w:r>
          </w:p>
          <w:p>
            <w:pPr>
              <w:adjustRightInd w:val="0"/>
              <w:snapToGrid w:val="0"/>
              <w:spacing w:line="408" w:lineRule="auto"/>
              <w:ind w:firstLine="522" w:firstLineChars="200"/>
              <w:rPr>
                <w:b/>
                <w:bCs/>
                <w:spacing w:val="10"/>
                <w:sz w:val="24"/>
                <w:szCs w:val="21"/>
              </w:rPr>
            </w:pPr>
            <w:r>
              <w:rPr>
                <w:b/>
                <w:bCs/>
                <w:spacing w:val="10"/>
                <w:sz w:val="24"/>
                <w:szCs w:val="21"/>
              </w:rPr>
              <w:t>6.8电力工程</w:t>
            </w:r>
          </w:p>
          <w:p>
            <w:pPr>
              <w:adjustRightInd w:val="0"/>
              <w:snapToGrid w:val="0"/>
              <w:spacing w:line="408" w:lineRule="auto"/>
              <w:ind w:firstLine="520" w:firstLineChars="200"/>
              <w:rPr>
                <w:bCs/>
                <w:spacing w:val="10"/>
                <w:sz w:val="24"/>
                <w:szCs w:val="21"/>
              </w:rPr>
            </w:pPr>
            <w:r>
              <w:rPr>
                <w:bCs/>
                <w:spacing w:val="10"/>
                <w:sz w:val="24"/>
                <w:szCs w:val="21"/>
              </w:rPr>
              <w:t>1、供电原则</w:t>
            </w:r>
          </w:p>
          <w:p>
            <w:pPr>
              <w:adjustRightInd w:val="0"/>
              <w:snapToGrid w:val="0"/>
              <w:spacing w:line="408" w:lineRule="auto"/>
              <w:ind w:firstLine="520" w:firstLineChars="200"/>
              <w:rPr>
                <w:bCs/>
                <w:spacing w:val="10"/>
                <w:sz w:val="24"/>
                <w:szCs w:val="21"/>
              </w:rPr>
            </w:pPr>
            <w:r>
              <w:rPr>
                <w:bCs/>
                <w:spacing w:val="10"/>
                <w:sz w:val="24"/>
                <w:szCs w:val="21"/>
              </w:rPr>
              <w:t>对于一级负荷采用两路点源独立供电，二级负荷由贯通线路、环网线路等构成等效双电源线路的变电所供电。</w:t>
            </w:r>
          </w:p>
          <w:p>
            <w:pPr>
              <w:adjustRightInd w:val="0"/>
              <w:snapToGrid w:val="0"/>
              <w:spacing w:line="408" w:lineRule="auto"/>
              <w:ind w:firstLine="520" w:firstLineChars="200"/>
              <w:rPr>
                <w:bCs/>
                <w:spacing w:val="10"/>
                <w:sz w:val="24"/>
                <w:szCs w:val="21"/>
              </w:rPr>
            </w:pPr>
            <w:r>
              <w:rPr>
                <w:bCs/>
                <w:spacing w:val="10"/>
                <w:sz w:val="24"/>
                <w:szCs w:val="21"/>
              </w:rPr>
              <w:t>2、供电方案</w:t>
            </w:r>
          </w:p>
          <w:p>
            <w:pPr>
              <w:adjustRightInd w:val="0"/>
              <w:snapToGrid w:val="0"/>
              <w:spacing w:line="408" w:lineRule="auto"/>
              <w:ind w:firstLine="520" w:firstLineChars="200"/>
              <w:rPr>
                <w:bCs/>
                <w:spacing w:val="10"/>
                <w:sz w:val="24"/>
                <w:szCs w:val="21"/>
              </w:rPr>
            </w:pPr>
            <w:r>
              <w:rPr>
                <w:bCs/>
                <w:spacing w:val="10"/>
                <w:sz w:val="24"/>
                <w:szCs w:val="21"/>
              </w:rPr>
              <w:t>牵引供电设施依托乌将线下南泉车站的下南泉牵引变电所，牵引网供电方式采用带回流线的直接供电方式，接触网悬挂类型采用全补偿简单链型悬挂。牵引变电通过改造下南泉牵引变电所内网开关监控盘和相关接触网，实现对牵引调度系统的远方监控管理。</w:t>
            </w:r>
          </w:p>
          <w:p>
            <w:pPr>
              <w:adjustRightInd w:val="0"/>
              <w:snapToGrid w:val="0"/>
              <w:spacing w:line="408" w:lineRule="auto"/>
              <w:ind w:firstLine="520" w:firstLineChars="200"/>
              <w:rPr>
                <w:bCs/>
                <w:spacing w:val="10"/>
                <w:sz w:val="24"/>
                <w:szCs w:val="21"/>
              </w:rPr>
            </w:pPr>
            <w:r>
              <w:rPr>
                <w:rFonts w:hint="eastAsia"/>
                <w:bCs/>
                <w:spacing w:val="10"/>
                <w:sz w:val="24"/>
                <w:szCs w:val="21"/>
              </w:rPr>
              <w:t>豫新装卸站</w:t>
            </w:r>
            <w:r>
              <w:rPr>
                <w:bCs/>
                <w:spacing w:val="10"/>
                <w:sz w:val="24"/>
                <w:szCs w:val="21"/>
              </w:rPr>
              <w:t>新建一座10/0.4kV环网所，10kV电源</w:t>
            </w:r>
            <w:r>
              <w:rPr>
                <w:rFonts w:hint="eastAsia"/>
                <w:bCs/>
                <w:spacing w:val="10"/>
                <w:sz w:val="24"/>
                <w:szCs w:val="21"/>
              </w:rPr>
              <w:t>由</w:t>
            </w:r>
            <w:r>
              <w:rPr>
                <w:bCs/>
                <w:spacing w:val="10"/>
                <w:sz w:val="24"/>
                <w:szCs w:val="21"/>
              </w:rPr>
              <w:t>业主委托国网的10kV线路</w:t>
            </w:r>
            <w:r>
              <w:rPr>
                <w:rFonts w:hint="eastAsia"/>
                <w:bCs/>
                <w:spacing w:val="10"/>
                <w:sz w:val="24"/>
                <w:szCs w:val="21"/>
              </w:rPr>
              <w:t>接入</w:t>
            </w:r>
            <w:r>
              <w:rPr>
                <w:bCs/>
                <w:spacing w:val="10"/>
                <w:sz w:val="24"/>
                <w:szCs w:val="21"/>
              </w:rPr>
              <w:t>。</w:t>
            </w:r>
            <w:r>
              <w:rPr>
                <w:rFonts w:hint="eastAsia"/>
                <w:bCs/>
                <w:spacing w:val="10"/>
                <w:sz w:val="24"/>
                <w:szCs w:val="21"/>
              </w:rPr>
              <w:t>根据《建设项目环境影响评价分类管理名录》（2021年）要求：输变电工程；其他（100千伏以下除外）需要编制报告表，本项目供电线路10kv，故不开展电磁影响评价。</w:t>
            </w:r>
          </w:p>
          <w:p>
            <w:pPr>
              <w:adjustRightInd w:val="0"/>
              <w:snapToGrid w:val="0"/>
              <w:spacing w:line="408" w:lineRule="auto"/>
              <w:ind w:firstLine="522" w:firstLineChars="200"/>
              <w:rPr>
                <w:b/>
                <w:bCs/>
                <w:spacing w:val="10"/>
                <w:sz w:val="24"/>
                <w:szCs w:val="21"/>
              </w:rPr>
            </w:pPr>
            <w:r>
              <w:rPr>
                <w:b/>
                <w:bCs/>
                <w:spacing w:val="10"/>
                <w:sz w:val="24"/>
                <w:szCs w:val="21"/>
              </w:rPr>
              <w:t>6.9给排水工程</w:t>
            </w:r>
          </w:p>
          <w:p>
            <w:pPr>
              <w:adjustRightInd w:val="0"/>
              <w:snapToGrid w:val="0"/>
              <w:spacing w:line="408" w:lineRule="auto"/>
              <w:ind w:firstLine="520" w:firstLineChars="200"/>
              <w:rPr>
                <w:bCs/>
                <w:spacing w:val="10"/>
                <w:sz w:val="24"/>
                <w:szCs w:val="21"/>
              </w:rPr>
            </w:pPr>
            <w:r>
              <w:rPr>
                <w:bCs/>
                <w:spacing w:val="10"/>
                <w:sz w:val="24"/>
                <w:szCs w:val="21"/>
              </w:rPr>
              <w:t>本项目给排水主要建设</w:t>
            </w:r>
            <w:r>
              <w:rPr>
                <w:rFonts w:hint="eastAsia"/>
                <w:bCs/>
                <w:spacing w:val="10"/>
                <w:sz w:val="24"/>
                <w:szCs w:val="21"/>
              </w:rPr>
              <w:t>防渗化粪池、</w:t>
            </w:r>
            <w:r>
              <w:rPr>
                <w:bCs/>
                <w:spacing w:val="10"/>
                <w:sz w:val="24"/>
                <w:szCs w:val="21"/>
              </w:rPr>
              <w:t>豫新装卸站给水泵房等。</w:t>
            </w:r>
          </w:p>
          <w:p>
            <w:pPr>
              <w:adjustRightInd w:val="0"/>
              <w:snapToGrid w:val="0"/>
              <w:spacing w:line="408" w:lineRule="auto"/>
              <w:ind w:firstLine="520" w:firstLineChars="200"/>
              <w:rPr>
                <w:bCs/>
                <w:spacing w:val="10"/>
                <w:sz w:val="24"/>
                <w:szCs w:val="21"/>
              </w:rPr>
            </w:pPr>
            <w:r>
              <w:rPr>
                <w:bCs/>
                <w:spacing w:val="10"/>
                <w:sz w:val="24"/>
                <w:szCs w:val="21"/>
              </w:rPr>
              <w:t>1、给水</w:t>
            </w:r>
          </w:p>
          <w:p>
            <w:pPr>
              <w:adjustRightInd w:val="0"/>
              <w:snapToGrid w:val="0"/>
              <w:spacing w:line="408" w:lineRule="auto"/>
              <w:ind w:firstLine="520" w:firstLineChars="200"/>
              <w:rPr>
                <w:bCs/>
                <w:spacing w:val="10"/>
                <w:sz w:val="24"/>
                <w:szCs w:val="21"/>
              </w:rPr>
            </w:pPr>
            <w:r>
              <w:rPr>
                <w:bCs/>
                <w:spacing w:val="10"/>
                <w:sz w:val="24"/>
                <w:szCs w:val="21"/>
              </w:rPr>
              <w:t>下南泉站为既有生活供水站，豫新装卸站为新建生活供水站，生产、生活、消防等用水自附近附近企业供水管道接入供水。新建给水泵房内设42m³不锈钢水箱及供水设备一套。</w:t>
            </w:r>
          </w:p>
          <w:p>
            <w:pPr>
              <w:adjustRightInd w:val="0"/>
              <w:snapToGrid w:val="0"/>
              <w:spacing w:line="408" w:lineRule="auto"/>
              <w:ind w:firstLine="520" w:firstLineChars="200"/>
              <w:rPr>
                <w:bCs/>
                <w:spacing w:val="10"/>
                <w:sz w:val="24"/>
                <w:szCs w:val="21"/>
              </w:rPr>
            </w:pPr>
            <w:r>
              <w:rPr>
                <w:rFonts w:hint="eastAsia"/>
                <w:bCs/>
                <w:spacing w:val="10"/>
                <w:sz w:val="24"/>
                <w:szCs w:val="21"/>
              </w:rPr>
              <w:t>运营期无生产用水，主要为生活用水，全线劳动定员50人，本项目生活用水定额取50L/人·天，生活用水量为2.5m³/d，污水排放量按用水量80%计算，生活污水排放量为2m³/d，污水量较小，主要污染物为COD、BOD、SS、氨氮等。</w:t>
            </w:r>
          </w:p>
          <w:p>
            <w:pPr>
              <w:adjustRightInd w:val="0"/>
              <w:snapToGrid w:val="0"/>
              <w:spacing w:line="408" w:lineRule="auto"/>
              <w:ind w:firstLine="520" w:firstLineChars="200"/>
              <w:rPr>
                <w:bCs/>
                <w:spacing w:val="10"/>
                <w:sz w:val="24"/>
                <w:szCs w:val="21"/>
              </w:rPr>
            </w:pPr>
            <w:r>
              <w:rPr>
                <w:bCs/>
                <w:spacing w:val="10"/>
                <w:sz w:val="24"/>
                <w:szCs w:val="21"/>
              </w:rPr>
              <w:t>2、排水</w:t>
            </w:r>
          </w:p>
          <w:p>
            <w:pPr>
              <w:adjustRightInd w:val="0"/>
              <w:snapToGrid w:val="0"/>
              <w:spacing w:line="408" w:lineRule="auto"/>
              <w:ind w:firstLine="520" w:firstLineChars="200"/>
              <w:rPr>
                <w:bCs/>
                <w:spacing w:val="10"/>
                <w:sz w:val="24"/>
                <w:szCs w:val="21"/>
              </w:rPr>
            </w:pPr>
            <w:r>
              <w:rPr>
                <w:bCs/>
                <w:spacing w:val="10"/>
                <w:sz w:val="24"/>
                <w:szCs w:val="21"/>
              </w:rPr>
              <w:t>废水排放为生活污水，</w:t>
            </w:r>
            <w:r>
              <w:rPr>
                <w:rFonts w:hint="eastAsia" w:hAnsi="宋体"/>
                <w:kern w:val="0"/>
                <w:sz w:val="24"/>
              </w:rPr>
              <w:t>排入新建化粪池</w:t>
            </w:r>
            <w:r>
              <w:rPr>
                <w:rFonts w:hAnsi="宋体"/>
                <w:kern w:val="0"/>
                <w:sz w:val="24"/>
              </w:rPr>
              <w:t>收集后</w:t>
            </w:r>
            <w:r>
              <w:rPr>
                <w:rFonts w:hint="eastAsia" w:hAnsi="宋体"/>
                <w:kern w:val="0"/>
                <w:sz w:val="24"/>
              </w:rPr>
              <w:t>，定期委托环卫部门吸污车清运集中处理，不外排</w:t>
            </w:r>
            <w:r>
              <w:rPr>
                <w:bCs/>
                <w:spacing w:val="10"/>
                <w:sz w:val="24"/>
                <w:szCs w:val="21"/>
              </w:rPr>
              <w:t>。</w:t>
            </w:r>
          </w:p>
          <w:p>
            <w:pPr>
              <w:adjustRightInd w:val="0"/>
              <w:snapToGrid w:val="0"/>
              <w:spacing w:line="408" w:lineRule="auto"/>
              <w:ind w:firstLine="522" w:firstLineChars="200"/>
              <w:rPr>
                <w:b/>
                <w:bCs/>
                <w:spacing w:val="10"/>
                <w:sz w:val="24"/>
                <w:szCs w:val="21"/>
              </w:rPr>
            </w:pPr>
            <w:r>
              <w:rPr>
                <w:b/>
                <w:bCs/>
                <w:spacing w:val="10"/>
                <w:sz w:val="24"/>
                <w:szCs w:val="21"/>
              </w:rPr>
              <w:t>6.10消防工程</w:t>
            </w:r>
          </w:p>
          <w:p>
            <w:pPr>
              <w:adjustRightInd w:val="0"/>
              <w:snapToGrid w:val="0"/>
              <w:spacing w:line="408" w:lineRule="auto"/>
              <w:ind w:firstLine="520" w:firstLineChars="200"/>
              <w:rPr>
                <w:bCs/>
                <w:spacing w:val="10"/>
                <w:sz w:val="24"/>
                <w:szCs w:val="21"/>
              </w:rPr>
            </w:pPr>
            <w:r>
              <w:rPr>
                <w:bCs/>
                <w:spacing w:val="10"/>
                <w:sz w:val="24"/>
                <w:szCs w:val="21"/>
              </w:rPr>
              <w:t>新建500m³消防水池一座，豫新装卸站沿堆场道路布设消防管道和地下式消火栓，配备相应消防器材箱</w:t>
            </w:r>
            <w:r>
              <w:rPr>
                <w:rFonts w:hint="eastAsia"/>
                <w:bCs/>
                <w:spacing w:val="10"/>
                <w:sz w:val="24"/>
                <w:szCs w:val="21"/>
              </w:rPr>
              <w:t>。</w:t>
            </w:r>
          </w:p>
          <w:p>
            <w:pPr>
              <w:adjustRightInd w:val="0"/>
              <w:snapToGrid w:val="0"/>
              <w:spacing w:line="408" w:lineRule="auto"/>
              <w:ind w:firstLine="522" w:firstLineChars="200"/>
              <w:rPr>
                <w:b/>
                <w:bCs/>
                <w:spacing w:val="10"/>
                <w:sz w:val="24"/>
                <w:szCs w:val="21"/>
              </w:rPr>
            </w:pPr>
            <w:r>
              <w:rPr>
                <w:rFonts w:hint="eastAsia"/>
                <w:b/>
                <w:bCs/>
                <w:spacing w:val="10"/>
                <w:sz w:val="24"/>
                <w:szCs w:val="21"/>
              </w:rPr>
              <w:t>6.11、采暖</w:t>
            </w:r>
          </w:p>
          <w:p>
            <w:pPr>
              <w:adjustRightInd w:val="0"/>
              <w:snapToGrid w:val="0"/>
              <w:spacing w:line="408" w:lineRule="auto"/>
              <w:ind w:firstLine="520" w:firstLineChars="200"/>
              <w:rPr>
                <w:bCs/>
                <w:spacing w:val="10"/>
                <w:sz w:val="24"/>
                <w:szCs w:val="21"/>
              </w:rPr>
            </w:pPr>
            <w:r>
              <w:rPr>
                <w:rFonts w:hint="eastAsia"/>
                <w:bCs/>
                <w:spacing w:val="10"/>
                <w:sz w:val="24"/>
                <w:szCs w:val="21"/>
              </w:rPr>
              <w:t>新建房屋采用电采暖。</w:t>
            </w:r>
          </w:p>
          <w:p>
            <w:pPr>
              <w:adjustRightInd w:val="0"/>
              <w:snapToGrid w:val="0"/>
              <w:spacing w:line="408" w:lineRule="auto"/>
              <w:ind w:firstLine="522" w:firstLineChars="200"/>
              <w:rPr>
                <w:b/>
                <w:bCs/>
                <w:spacing w:val="10"/>
                <w:sz w:val="24"/>
                <w:szCs w:val="21"/>
              </w:rPr>
            </w:pPr>
            <w:r>
              <w:rPr>
                <w:rFonts w:hint="eastAsia"/>
                <w:b/>
                <w:bCs/>
                <w:spacing w:val="10"/>
                <w:sz w:val="24"/>
                <w:szCs w:val="21"/>
              </w:rPr>
              <w:t>6.12、劳动定员</w:t>
            </w:r>
          </w:p>
          <w:p>
            <w:pPr>
              <w:adjustRightInd w:val="0"/>
              <w:snapToGrid w:val="0"/>
              <w:spacing w:line="408" w:lineRule="auto"/>
              <w:ind w:firstLine="520" w:firstLineChars="200"/>
              <w:rPr>
                <w:bCs/>
                <w:spacing w:val="10"/>
                <w:sz w:val="24"/>
                <w:szCs w:val="21"/>
              </w:rPr>
            </w:pPr>
            <w:r>
              <w:rPr>
                <w:rFonts w:hint="eastAsia"/>
                <w:bCs/>
                <w:spacing w:val="10"/>
                <w:sz w:val="24"/>
                <w:szCs w:val="21"/>
              </w:rPr>
              <w:t>专用线建成后新增劳动定员50人。</w:t>
            </w:r>
          </w:p>
          <w:p>
            <w:pPr>
              <w:adjustRightInd w:val="0"/>
              <w:snapToGrid w:val="0"/>
              <w:spacing w:line="408" w:lineRule="auto"/>
              <w:ind w:firstLine="522" w:firstLineChars="200"/>
              <w:rPr>
                <w:b/>
                <w:bCs/>
                <w:spacing w:val="10"/>
                <w:sz w:val="24"/>
                <w:szCs w:val="21"/>
              </w:rPr>
            </w:pPr>
            <w:r>
              <w:rPr>
                <w:b/>
                <w:bCs/>
                <w:spacing w:val="10"/>
                <w:sz w:val="24"/>
                <w:szCs w:val="21"/>
              </w:rPr>
              <w:t>6.13项目占地及征迁情况</w:t>
            </w:r>
          </w:p>
          <w:p>
            <w:pPr>
              <w:adjustRightInd w:val="0"/>
              <w:snapToGrid w:val="0"/>
              <w:spacing w:line="408" w:lineRule="auto"/>
              <w:ind w:firstLine="520" w:firstLineChars="200"/>
              <w:rPr>
                <w:kern w:val="0"/>
                <w:sz w:val="24"/>
              </w:rPr>
            </w:pPr>
            <w:r>
              <w:rPr>
                <w:bCs/>
                <w:spacing w:val="10"/>
                <w:sz w:val="24"/>
                <w:szCs w:val="21"/>
              </w:rPr>
              <w:t>本项目位于昌吉州阜康市</w:t>
            </w:r>
            <w:r>
              <w:rPr>
                <w:rFonts w:hint="eastAsia"/>
                <w:bCs/>
                <w:spacing w:val="10"/>
                <w:sz w:val="24"/>
                <w:szCs w:val="21"/>
              </w:rPr>
              <w:t>下南泉站西北侧约3.0km处</w:t>
            </w:r>
            <w:r>
              <w:rPr>
                <w:bCs/>
                <w:spacing w:val="10"/>
                <w:sz w:val="24"/>
                <w:szCs w:val="21"/>
              </w:rPr>
              <w:t>，</w:t>
            </w:r>
            <w:r>
              <w:rPr>
                <w:rFonts w:hint="eastAsia"/>
                <w:bCs/>
                <w:spacing w:val="10"/>
                <w:sz w:val="24"/>
                <w:szCs w:val="21"/>
              </w:rPr>
              <w:t>项目线路占地为荒草地（永久占地面积626.9亩，临时占地30亩）；永久占地包括铁路线占地和房屋建筑占地，其中房屋建筑占地4435m</w:t>
            </w:r>
            <w:r>
              <w:rPr>
                <w:rFonts w:hint="eastAsia"/>
                <w:bCs/>
                <w:spacing w:val="10"/>
                <w:sz w:val="24"/>
                <w:szCs w:val="21"/>
                <w:vertAlign w:val="superscript"/>
              </w:rPr>
              <w:t>2</w:t>
            </w:r>
            <w:r>
              <w:rPr>
                <w:rFonts w:hint="eastAsia"/>
                <w:bCs/>
                <w:spacing w:val="10"/>
                <w:sz w:val="24"/>
                <w:szCs w:val="21"/>
              </w:rPr>
              <w:t>，其余永久占地为铁路线占地，区间路基共征收用地为56.21亩，每公里区间路基本体征收用地指标为50.9亩；全线占用铁路用地为11.88亩。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392" w:type="dxa"/>
            <w:vAlign w:val="center"/>
          </w:tcPr>
          <w:p>
            <w:pPr>
              <w:adjustRightInd w:val="0"/>
              <w:snapToGrid w:val="0"/>
              <w:jc w:val="center"/>
              <w:rPr>
                <w:kern w:val="0"/>
                <w:szCs w:val="21"/>
              </w:rPr>
            </w:pPr>
            <w:r>
              <w:rPr>
                <w:kern w:val="0"/>
                <w:szCs w:val="21"/>
              </w:rPr>
              <w:t>总平面及现场布置</w:t>
            </w:r>
          </w:p>
        </w:tc>
        <w:tc>
          <w:tcPr>
            <w:tcW w:w="8698" w:type="dxa"/>
          </w:tcPr>
          <w:p>
            <w:pPr>
              <w:adjustRightInd w:val="0"/>
              <w:snapToGrid w:val="0"/>
              <w:spacing w:line="408" w:lineRule="auto"/>
              <w:ind w:firstLine="522" w:firstLineChars="200"/>
              <w:rPr>
                <w:b/>
                <w:bCs/>
                <w:spacing w:val="10"/>
                <w:sz w:val="24"/>
                <w:szCs w:val="21"/>
              </w:rPr>
            </w:pPr>
            <w:r>
              <w:rPr>
                <w:rFonts w:hint="eastAsia"/>
                <w:b/>
                <w:bCs/>
                <w:spacing w:val="10"/>
                <w:sz w:val="24"/>
                <w:szCs w:val="21"/>
              </w:rPr>
              <w:t>总平面布置：</w:t>
            </w:r>
          </w:p>
          <w:p>
            <w:pPr>
              <w:adjustRightInd w:val="0"/>
              <w:snapToGrid w:val="0"/>
              <w:spacing w:line="408" w:lineRule="auto"/>
              <w:ind w:firstLine="520" w:firstLineChars="200"/>
              <w:rPr>
                <w:bCs/>
                <w:spacing w:val="10"/>
                <w:sz w:val="24"/>
                <w:szCs w:val="21"/>
              </w:rPr>
            </w:pPr>
            <w:r>
              <w:rPr>
                <w:rFonts w:hint="eastAsia"/>
                <w:bCs/>
                <w:spacing w:val="10"/>
                <w:sz w:val="24"/>
                <w:szCs w:val="21"/>
              </w:rPr>
              <w:t>本项目位于昌吉州阜康市境内，拟建专用线自下南泉站乌北端引出，并行750m后，以R=600的曲线折回西北方向进入豫新装卸站，正线长3.16km。豫新装卸站中心设四条线，三条装卸线，一条机走线；设780m×50m集装箱堆场一座，780×30×0.95m站台一座。生活区、储煤棚等建设在豫新装卸站内，生活区位于豫新装卸站西侧，储煤棚位于生活区东侧，项目储煤棚为全封闭式，内部安装喷淋抑尘设施，装卸线末端为为快速装车系统，整体平面布局合理，地面定期洒水，安装喷淋抑尘设施，减少煤炭装卸、储存、转运过程产生的粉尘；具体位置详见附图3豫新装卸站平面布置图。</w:t>
            </w:r>
          </w:p>
          <w:p>
            <w:pPr>
              <w:adjustRightInd w:val="0"/>
              <w:snapToGrid w:val="0"/>
              <w:spacing w:line="408" w:lineRule="auto"/>
              <w:ind w:firstLine="522" w:firstLineChars="200"/>
              <w:rPr>
                <w:b/>
                <w:bCs/>
                <w:spacing w:val="10"/>
                <w:sz w:val="24"/>
                <w:szCs w:val="21"/>
              </w:rPr>
            </w:pPr>
            <w:r>
              <w:rPr>
                <w:rFonts w:hint="eastAsia"/>
                <w:b/>
                <w:bCs/>
                <w:spacing w:val="10"/>
                <w:sz w:val="24"/>
                <w:szCs w:val="21"/>
              </w:rPr>
              <w:t>现场布置：</w:t>
            </w:r>
          </w:p>
          <w:p>
            <w:pPr>
              <w:adjustRightInd w:val="0"/>
              <w:snapToGrid w:val="0"/>
              <w:spacing w:line="408" w:lineRule="auto"/>
              <w:ind w:firstLine="520" w:firstLineChars="200"/>
              <w:rPr>
                <w:bCs/>
                <w:spacing w:val="10"/>
                <w:sz w:val="24"/>
                <w:szCs w:val="21"/>
              </w:rPr>
            </w:pPr>
            <w:r>
              <w:rPr>
                <w:rFonts w:hint="eastAsia"/>
                <w:bCs/>
                <w:spacing w:val="10"/>
                <w:sz w:val="24"/>
                <w:szCs w:val="21"/>
              </w:rPr>
              <w:t>本项目所需砂、砖、石料、道砟等均从附近购买，运至工地。严格执行施工方案，充分利用行车间隙合理施工，切实保证安全。严格遵守安全生产规程，设置必要的警示标志、保护设施等。合理调配土石方，减少对土地的占用和植被的破坏。对涵洞基础开挖区易产生粉尘的土石方和物料进行遮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392" w:type="dxa"/>
            <w:vAlign w:val="center"/>
          </w:tcPr>
          <w:p>
            <w:pPr>
              <w:adjustRightInd w:val="0"/>
              <w:snapToGrid w:val="0"/>
              <w:jc w:val="center"/>
              <w:rPr>
                <w:kern w:val="0"/>
                <w:szCs w:val="21"/>
              </w:rPr>
            </w:pPr>
            <w:r>
              <w:rPr>
                <w:kern w:val="0"/>
                <w:szCs w:val="21"/>
              </w:rPr>
              <w:t>施工方案</w:t>
            </w:r>
          </w:p>
        </w:tc>
        <w:tc>
          <w:tcPr>
            <w:tcW w:w="8698" w:type="dxa"/>
          </w:tcPr>
          <w:p>
            <w:pPr>
              <w:adjustRightInd w:val="0"/>
              <w:snapToGrid w:val="0"/>
              <w:spacing w:line="408" w:lineRule="auto"/>
              <w:ind w:firstLine="520" w:firstLineChars="200"/>
              <w:rPr>
                <w:bCs/>
                <w:spacing w:val="10"/>
                <w:sz w:val="24"/>
                <w:szCs w:val="21"/>
              </w:rPr>
            </w:pPr>
            <w:r>
              <w:rPr>
                <w:rFonts w:hint="eastAsia"/>
                <w:bCs/>
                <w:spacing w:val="10"/>
                <w:sz w:val="24"/>
                <w:szCs w:val="21"/>
              </w:rPr>
              <w:t>本项目施工期环境影响主要表现在场地平整、机械作业、土石方调配、主体及附属设施建设，将产生施工废水、施工扬尘、汽车尾气、施工噪声、固体废物等，对周围环境造成一定影响，项目施工期主要工艺流程和产污环节如下图：</w:t>
            </w:r>
          </w:p>
          <w:p>
            <w:pPr>
              <w:adjustRightInd w:val="0"/>
              <w:snapToGrid w:val="0"/>
              <w:spacing w:line="408" w:lineRule="auto"/>
              <w:ind w:firstLine="520" w:firstLineChars="200"/>
              <w:rPr>
                <w:bCs/>
                <w:spacing w:val="10"/>
                <w:sz w:val="24"/>
                <w:szCs w:val="21"/>
              </w:rPr>
            </w:pPr>
            <w:r>
              <w:rPr>
                <w:bCs/>
                <w:spacing w:val="10"/>
                <w:sz w:val="24"/>
                <w:szCs w:val="21"/>
              </w:rPr>
              <w:pict>
                <v:shape id="文本框 3" o:spid="_x0000_s1026" o:spt="202" type="#_x0000_t202" style="position:absolute;left:0pt;margin-left:116.15pt;margin-top:115.75pt;height:33.8pt;width:168.55pt;z-index:251660288;mso-width-relative:margin;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">
                  <v:path/>
                  <v:fill on="t" focussize="0,0"/>
                  <v:stroke weight="0.5pt" joinstyle="miter"/>
                  <v:imagedata o:title=""/>
                  <o:lock v:ext="edit"/>
                  <v:textbox>
                    <w:txbxContent>
                      <w:p>
                        <w:r>
                          <w:rPr>
                            <w:rFonts w:hint="eastAsia"/>
                          </w:rPr>
                          <w:t>施工扬尘</w:t>
                        </w:r>
                        <w:r>
                          <w:t>、施工废水</w:t>
                        </w:r>
                        <w:r>
                          <w:rPr>
                            <w:rFonts w:hint="eastAsia"/>
                          </w:rPr>
                          <w:t>、</w:t>
                        </w:r>
                        <w:r>
                          <w:t>噪声、生活垃圾</w:t>
                        </w:r>
                        <w:r>
                          <w:rPr>
                            <w:rFonts w:hint="eastAsia"/>
                          </w:rPr>
                          <w:t>、</w:t>
                        </w:r>
                        <w:r>
                          <w:t>植被破坏、</w:t>
                        </w:r>
                        <w:r>
                          <w:rPr>
                            <w:rFonts w:hint="eastAsia"/>
                          </w:rPr>
                          <w:t>土地占用</w:t>
                        </w:r>
                      </w:p>
                    </w:txbxContent>
                  </v:textbox>
                </v:shape>
              </w:pict>
            </w:r>
            <w:r>
              <w:rPr>
                <w:bCs/>
                <w:spacing w:val="10"/>
                <w:sz w:val="24"/>
                <w:szCs w:val="21"/>
              </w:rPr>
              <w:drawing>
                <wp:inline distT="0" distB="0" distL="0" distR="0">
                  <wp:extent cx="4481830" cy="1470660"/>
                  <wp:effectExtent l="0" t="0" r="0" b="0"/>
                  <wp:docPr id="2" name="图片 2" descr="C:\Users\Administrator\Documents\WeChat Files\wxid_0llucbqrss5622\FileStorage\Temp\1687258813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0llucbqrss5622\FileStorage\Temp\168725881308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501824" cy="1477638"/>
                          </a:xfrm>
                          <a:prstGeom prst="rect">
                            <a:avLst/>
                          </a:prstGeom>
                          <a:noFill/>
                          <a:ln>
                            <a:noFill/>
                          </a:ln>
                        </pic:spPr>
                      </pic:pic>
                    </a:graphicData>
                  </a:graphic>
                </wp:inline>
              </w:drawing>
            </w:r>
          </w:p>
          <w:p>
            <w:pPr>
              <w:adjustRightInd w:val="0"/>
              <w:snapToGrid w:val="0"/>
              <w:spacing w:line="408" w:lineRule="auto"/>
              <w:rPr>
                <w:bCs/>
                <w:spacing w:val="10"/>
                <w:sz w:val="24"/>
                <w:szCs w:val="21"/>
              </w:rPr>
            </w:pPr>
          </w:p>
          <w:p>
            <w:pPr>
              <w:adjustRightInd w:val="0"/>
              <w:snapToGrid w:val="0"/>
              <w:spacing w:line="408" w:lineRule="auto"/>
              <w:rPr>
                <w:bCs/>
                <w:spacing w:val="10"/>
                <w:sz w:val="24"/>
                <w:szCs w:val="21"/>
              </w:rPr>
            </w:pPr>
          </w:p>
          <w:p>
            <w:pPr>
              <w:adjustRightInd w:val="0"/>
              <w:snapToGrid w:val="0"/>
              <w:spacing w:line="408" w:lineRule="auto"/>
              <w:jc w:val="center"/>
              <w:rPr>
                <w:b/>
                <w:bCs/>
                <w:spacing w:val="10"/>
                <w:szCs w:val="21"/>
              </w:rPr>
            </w:pPr>
            <w:r>
              <w:rPr>
                <w:rFonts w:hint="eastAsia"/>
                <w:b/>
                <w:bCs/>
                <w:spacing w:val="10"/>
                <w:szCs w:val="21"/>
              </w:rPr>
              <w:t>图1 施工期工艺流程和环境影响图</w:t>
            </w:r>
          </w:p>
          <w:p>
            <w:pPr>
              <w:adjustRightInd w:val="0"/>
              <w:snapToGrid w:val="0"/>
              <w:spacing w:line="408" w:lineRule="auto"/>
              <w:ind w:firstLine="520" w:firstLineChars="200"/>
              <w:rPr>
                <w:bCs/>
                <w:spacing w:val="10"/>
                <w:sz w:val="24"/>
                <w:szCs w:val="21"/>
              </w:rPr>
            </w:pPr>
            <w:r>
              <w:rPr>
                <w:rFonts w:hint="eastAsia"/>
                <w:bCs/>
                <w:spacing w:val="10"/>
                <w:sz w:val="24"/>
                <w:szCs w:val="21"/>
              </w:rPr>
              <w:t>1、施工准备工作</w:t>
            </w:r>
          </w:p>
          <w:p>
            <w:pPr>
              <w:adjustRightInd w:val="0"/>
              <w:snapToGrid w:val="0"/>
              <w:spacing w:line="408" w:lineRule="auto"/>
              <w:ind w:firstLine="520" w:firstLineChars="200"/>
              <w:rPr>
                <w:bCs/>
                <w:spacing w:val="10"/>
                <w:sz w:val="24"/>
                <w:szCs w:val="21"/>
              </w:rPr>
            </w:pPr>
            <w:r>
              <w:rPr>
                <w:rFonts w:hint="eastAsia"/>
                <w:bCs/>
                <w:spacing w:val="10"/>
                <w:sz w:val="24"/>
                <w:szCs w:val="21"/>
              </w:rPr>
              <w:t>全线需要的碎石道砟数量应与铺架进度相配套，为了按时交付运营，应尽早签订供应合同，提前做好采备工作。施工单位进驻后，应尽快组织人力联系砂、石等地方材料的采备。</w:t>
            </w:r>
          </w:p>
          <w:p>
            <w:pPr>
              <w:adjustRightInd w:val="0"/>
              <w:snapToGrid w:val="0"/>
              <w:spacing w:line="408" w:lineRule="auto"/>
              <w:ind w:firstLine="520" w:firstLineChars="200"/>
              <w:rPr>
                <w:bCs/>
                <w:spacing w:val="10"/>
                <w:sz w:val="24"/>
                <w:szCs w:val="21"/>
              </w:rPr>
            </w:pPr>
            <w:r>
              <w:rPr>
                <w:rFonts w:hint="eastAsia"/>
                <w:bCs/>
                <w:spacing w:val="10"/>
                <w:sz w:val="24"/>
                <w:szCs w:val="21"/>
              </w:rPr>
              <w:t>2、主要工程的施工方法、顺序、进度、工期和采取的措施</w:t>
            </w:r>
          </w:p>
          <w:p>
            <w:pPr>
              <w:adjustRightInd w:val="0"/>
              <w:snapToGrid w:val="0"/>
              <w:spacing w:line="408" w:lineRule="auto"/>
              <w:ind w:firstLine="520" w:firstLineChars="200"/>
              <w:rPr>
                <w:bCs/>
                <w:spacing w:val="10"/>
                <w:sz w:val="24"/>
                <w:szCs w:val="21"/>
              </w:rPr>
            </w:pPr>
            <w:r>
              <w:rPr>
                <w:rFonts w:hint="eastAsia"/>
                <w:bCs/>
                <w:spacing w:val="10"/>
                <w:sz w:val="24"/>
                <w:szCs w:val="21"/>
              </w:rPr>
              <w:t>（1）路基</w:t>
            </w:r>
          </w:p>
          <w:p>
            <w:pPr>
              <w:adjustRightInd w:val="0"/>
              <w:snapToGrid w:val="0"/>
              <w:spacing w:line="408" w:lineRule="auto"/>
              <w:ind w:firstLine="520" w:firstLineChars="200"/>
              <w:rPr>
                <w:bCs/>
                <w:spacing w:val="10"/>
                <w:sz w:val="24"/>
                <w:szCs w:val="21"/>
              </w:rPr>
            </w:pPr>
            <w:r>
              <w:rPr>
                <w:rFonts w:hint="eastAsia"/>
                <w:bCs/>
                <w:spacing w:val="10"/>
                <w:sz w:val="24"/>
                <w:szCs w:val="21"/>
              </w:rPr>
              <w:t>应在施工准备完成之后尽早开工，因地制宜选择机具。在挖、装、运、卸、夯等各工序间，机具应配套，连续作业。土石方工程与各项工程的施工都有关联，必须互相配合，互相利用，减少干扰，保证施工质量。</w:t>
            </w:r>
          </w:p>
          <w:p>
            <w:pPr>
              <w:adjustRightInd w:val="0"/>
              <w:snapToGrid w:val="0"/>
              <w:spacing w:line="408" w:lineRule="auto"/>
              <w:ind w:firstLine="520" w:firstLineChars="200"/>
              <w:rPr>
                <w:bCs/>
                <w:spacing w:val="10"/>
                <w:sz w:val="24"/>
                <w:szCs w:val="21"/>
              </w:rPr>
            </w:pPr>
            <w:r>
              <w:rPr>
                <w:rFonts w:hint="eastAsia"/>
                <w:bCs/>
                <w:spacing w:val="10"/>
                <w:sz w:val="24"/>
                <w:szCs w:val="21"/>
              </w:rPr>
              <w:t>（2）涵洞</w:t>
            </w:r>
          </w:p>
          <w:p>
            <w:pPr>
              <w:adjustRightInd w:val="0"/>
              <w:snapToGrid w:val="0"/>
              <w:spacing w:line="408" w:lineRule="auto"/>
              <w:ind w:firstLine="520" w:firstLineChars="200"/>
              <w:rPr>
                <w:bCs/>
                <w:spacing w:val="10"/>
                <w:sz w:val="24"/>
                <w:szCs w:val="21"/>
              </w:rPr>
            </w:pPr>
            <w:r>
              <w:rPr>
                <w:rFonts w:hint="eastAsia"/>
                <w:bCs/>
                <w:spacing w:val="10"/>
                <w:sz w:val="24"/>
                <w:szCs w:val="21"/>
              </w:rPr>
              <w:t>涵洞工程可与路基土石方工程同时施工，但应较路基工程提前一个月完成。</w:t>
            </w:r>
          </w:p>
          <w:p>
            <w:pPr>
              <w:adjustRightInd w:val="0"/>
              <w:snapToGrid w:val="0"/>
              <w:spacing w:line="408" w:lineRule="auto"/>
              <w:ind w:firstLine="520" w:firstLineChars="200"/>
              <w:rPr>
                <w:bCs/>
                <w:spacing w:val="10"/>
                <w:sz w:val="24"/>
                <w:szCs w:val="21"/>
              </w:rPr>
            </w:pPr>
            <w:r>
              <w:rPr>
                <w:rFonts w:hint="eastAsia"/>
                <w:bCs/>
                <w:spacing w:val="10"/>
                <w:sz w:val="24"/>
                <w:szCs w:val="21"/>
              </w:rPr>
              <w:t>（3）铺轨</w:t>
            </w:r>
          </w:p>
          <w:p>
            <w:pPr>
              <w:adjustRightInd w:val="0"/>
              <w:snapToGrid w:val="0"/>
              <w:spacing w:line="408" w:lineRule="auto"/>
              <w:ind w:firstLine="520" w:firstLineChars="200"/>
              <w:rPr>
                <w:bCs/>
                <w:spacing w:val="10"/>
                <w:sz w:val="24"/>
                <w:szCs w:val="21"/>
              </w:rPr>
            </w:pPr>
            <w:r>
              <w:rPr>
                <w:rFonts w:hint="eastAsia"/>
                <w:bCs/>
                <w:spacing w:val="10"/>
                <w:sz w:val="24"/>
                <w:szCs w:val="21"/>
              </w:rPr>
              <w:t>本工程轨道采用人工铺轨，铺轨进度0.6km/工日。</w:t>
            </w:r>
          </w:p>
          <w:p>
            <w:pPr>
              <w:adjustRightInd w:val="0"/>
              <w:snapToGrid w:val="0"/>
              <w:spacing w:line="408" w:lineRule="auto"/>
              <w:ind w:firstLine="520" w:firstLineChars="200"/>
              <w:rPr>
                <w:bCs/>
                <w:spacing w:val="10"/>
                <w:sz w:val="24"/>
                <w:szCs w:val="21"/>
              </w:rPr>
            </w:pPr>
            <w:r>
              <w:rPr>
                <w:rFonts w:hint="eastAsia"/>
                <w:bCs/>
                <w:spacing w:val="10"/>
                <w:sz w:val="24"/>
                <w:szCs w:val="21"/>
              </w:rPr>
              <w:t>（4）站后工程</w:t>
            </w:r>
          </w:p>
          <w:p>
            <w:pPr>
              <w:adjustRightInd w:val="0"/>
              <w:snapToGrid w:val="0"/>
              <w:spacing w:line="408" w:lineRule="auto"/>
              <w:ind w:firstLine="520" w:firstLineChars="200"/>
              <w:rPr>
                <w:bCs/>
                <w:spacing w:val="10"/>
                <w:sz w:val="24"/>
                <w:szCs w:val="21"/>
              </w:rPr>
            </w:pPr>
            <w:r>
              <w:rPr>
                <w:rFonts w:hint="eastAsia"/>
                <w:bCs/>
                <w:spacing w:val="10"/>
                <w:sz w:val="24"/>
                <w:szCs w:val="21"/>
              </w:rPr>
              <w:t>通信、信号、电力、房屋、给排水和站场设备等工程配合铺架进度及通车需要逐步配套完成，对于常规部分的施工方法，按已有成熟的方法、施工工艺进行组织施工。</w:t>
            </w:r>
          </w:p>
          <w:p>
            <w:pPr>
              <w:adjustRightInd w:val="0"/>
              <w:snapToGrid w:val="0"/>
              <w:spacing w:line="408" w:lineRule="auto"/>
              <w:ind w:firstLine="520" w:firstLineChars="200"/>
              <w:rPr>
                <w:bCs/>
                <w:spacing w:val="10"/>
                <w:sz w:val="24"/>
                <w:szCs w:val="21"/>
              </w:rPr>
            </w:pPr>
            <w:r>
              <w:rPr>
                <w:rFonts w:hint="eastAsia"/>
                <w:bCs/>
                <w:spacing w:val="10"/>
                <w:sz w:val="24"/>
                <w:szCs w:val="21"/>
              </w:rPr>
              <w:t>3、施工进度</w:t>
            </w:r>
          </w:p>
          <w:p>
            <w:pPr>
              <w:adjustRightInd w:val="0"/>
              <w:snapToGrid w:val="0"/>
              <w:spacing w:line="408" w:lineRule="auto"/>
              <w:ind w:firstLine="520" w:firstLineChars="200"/>
              <w:rPr>
                <w:bCs/>
                <w:spacing w:val="10"/>
                <w:sz w:val="24"/>
                <w:szCs w:val="21"/>
              </w:rPr>
            </w:pPr>
            <w:r>
              <w:rPr>
                <w:rFonts w:hint="eastAsia"/>
                <w:bCs/>
                <w:spacing w:val="10"/>
                <w:sz w:val="24"/>
                <w:szCs w:val="21"/>
              </w:rPr>
              <w:t>路基工程在施工准备工作完成后尽早开工，涵洞与路基土石方同时施工，应控制时间提前一个月完成涵洞施工；铺轨采用人工铺轨，铺轨进度0.6km/工日。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392" w:type="dxa"/>
            <w:vAlign w:val="center"/>
          </w:tcPr>
          <w:p>
            <w:pPr>
              <w:adjustRightInd w:val="0"/>
              <w:snapToGrid w:val="0"/>
              <w:jc w:val="center"/>
              <w:rPr>
                <w:kern w:val="0"/>
                <w:szCs w:val="21"/>
              </w:rPr>
            </w:pPr>
            <w:r>
              <w:rPr>
                <w:kern w:val="0"/>
                <w:szCs w:val="21"/>
              </w:rPr>
              <w:t>其他</w:t>
            </w:r>
          </w:p>
        </w:tc>
        <w:tc>
          <w:tcPr>
            <w:tcW w:w="8698" w:type="dxa"/>
            <w:vAlign w:val="center"/>
          </w:tcPr>
          <w:p>
            <w:pPr>
              <w:autoSpaceDE w:val="0"/>
              <w:autoSpaceDN w:val="0"/>
              <w:adjustRightInd w:val="0"/>
              <w:spacing w:line="408" w:lineRule="auto"/>
              <w:ind w:firstLine="480" w:firstLineChars="200"/>
              <w:rPr>
                <w:rFonts w:ascii="宋体" w:hAnsi="宋体"/>
                <w:kern w:val="0"/>
                <w:sz w:val="24"/>
                <w:szCs w:val="30"/>
              </w:rPr>
            </w:pPr>
            <w:r>
              <w:rPr>
                <w:rFonts w:hint="eastAsia" w:ascii="宋体" w:hAnsi="宋体"/>
                <w:kern w:val="0"/>
                <w:sz w:val="24"/>
                <w:szCs w:val="30"/>
              </w:rPr>
              <w:t>在方案设计过程中，对专用线接轨站、接轨点进行了方案比选。</w:t>
            </w:r>
          </w:p>
          <w:p>
            <w:pPr>
              <w:autoSpaceDE w:val="0"/>
              <w:autoSpaceDN w:val="0"/>
              <w:adjustRightInd w:val="0"/>
              <w:spacing w:line="408" w:lineRule="auto"/>
              <w:ind w:firstLine="482" w:firstLineChars="200"/>
              <w:rPr>
                <w:rFonts w:ascii="宋体" w:hAnsi="宋体"/>
                <w:b/>
                <w:kern w:val="0"/>
                <w:sz w:val="24"/>
                <w:szCs w:val="30"/>
              </w:rPr>
            </w:pPr>
            <w:r>
              <w:rPr>
                <w:rFonts w:hint="eastAsia" w:ascii="宋体" w:hAnsi="宋体"/>
                <w:b/>
                <w:kern w:val="0"/>
                <w:sz w:val="24"/>
                <w:szCs w:val="30"/>
              </w:rPr>
              <w:t>1、接轨站方案比选</w:t>
            </w: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0" w:firstLineChars="200"/>
              <w:rPr>
                <w:rFonts w:ascii="宋体" w:hAnsi="宋体"/>
                <w:b/>
                <w:kern w:val="0"/>
                <w:sz w:val="24"/>
                <w:szCs w:val="30"/>
              </w:rPr>
            </w:pPr>
            <w:r>
              <w:rPr>
                <w:rFonts w:hint="eastAsia" w:ascii="宋体" w:hAnsi="宋体"/>
                <w:kern w:val="0"/>
                <w:sz w:val="24"/>
                <w:szCs w:val="30"/>
              </w:rPr>
              <w:drawing>
                <wp:anchor distT="0" distB="0" distL="114300" distR="114300" simplePos="0" relativeHeight="251659264" behindDoc="0" locked="0" layoutInCell="1" allowOverlap="1">
                  <wp:simplePos x="0" y="0"/>
                  <wp:positionH relativeFrom="column">
                    <wp:posOffset>1252220</wp:posOffset>
                  </wp:positionH>
                  <wp:positionV relativeFrom="paragraph">
                    <wp:posOffset>-764540</wp:posOffset>
                  </wp:positionV>
                  <wp:extent cx="2669540" cy="4428490"/>
                  <wp:effectExtent l="876300" t="0" r="8547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2669540" cy="4428490"/>
                          </a:xfrm>
                          <a:prstGeom prst="rect">
                            <a:avLst/>
                          </a:prstGeom>
                          <a:noFill/>
                          <a:ln>
                            <a:noFill/>
                          </a:ln>
                        </pic:spPr>
                      </pic:pic>
                    </a:graphicData>
                  </a:graphic>
                </wp:anchor>
              </w:drawing>
            </w: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ind w:firstLine="482" w:firstLineChars="200"/>
              <w:rPr>
                <w:rFonts w:ascii="宋体" w:hAnsi="宋体"/>
                <w:b/>
                <w:kern w:val="0"/>
                <w:sz w:val="24"/>
                <w:szCs w:val="30"/>
              </w:rPr>
            </w:pPr>
          </w:p>
          <w:p>
            <w:pPr>
              <w:autoSpaceDE w:val="0"/>
              <w:autoSpaceDN w:val="0"/>
              <w:adjustRightInd w:val="0"/>
              <w:spacing w:line="408" w:lineRule="auto"/>
              <w:rPr>
                <w:rFonts w:ascii="宋体" w:hAnsi="宋体"/>
                <w:b/>
                <w:kern w:val="0"/>
                <w:sz w:val="24"/>
                <w:szCs w:val="30"/>
              </w:rPr>
            </w:pPr>
          </w:p>
          <w:p>
            <w:pPr>
              <w:autoSpaceDE w:val="0"/>
              <w:autoSpaceDN w:val="0"/>
              <w:adjustRightInd w:val="0"/>
              <w:spacing w:line="408" w:lineRule="auto"/>
              <w:rPr>
                <w:rFonts w:ascii="宋体" w:hAnsi="宋体"/>
                <w:b/>
                <w:kern w:val="0"/>
                <w:sz w:val="24"/>
                <w:szCs w:val="30"/>
              </w:rPr>
            </w:pPr>
          </w:p>
          <w:p>
            <w:pPr>
              <w:autoSpaceDE w:val="0"/>
              <w:autoSpaceDN w:val="0"/>
              <w:adjustRightInd w:val="0"/>
              <w:spacing w:line="408" w:lineRule="auto"/>
              <w:rPr>
                <w:rFonts w:ascii="宋体" w:hAnsi="宋体"/>
                <w:b/>
                <w:kern w:val="0"/>
                <w:sz w:val="24"/>
                <w:szCs w:val="30"/>
              </w:rPr>
            </w:pPr>
          </w:p>
          <w:p>
            <w:pPr>
              <w:autoSpaceDE w:val="0"/>
              <w:autoSpaceDN w:val="0"/>
              <w:adjustRightInd w:val="0"/>
              <w:spacing w:line="408" w:lineRule="auto"/>
              <w:jc w:val="center"/>
              <w:rPr>
                <w:b/>
                <w:kern w:val="0"/>
                <w:szCs w:val="30"/>
              </w:rPr>
            </w:pPr>
            <w:r>
              <w:rPr>
                <w:b/>
                <w:kern w:val="0"/>
                <w:szCs w:val="30"/>
              </w:rPr>
              <w:t>图2 专用线接轨站布置图</w:t>
            </w:r>
          </w:p>
          <w:p>
            <w:pPr>
              <w:autoSpaceDE w:val="0"/>
              <w:autoSpaceDN w:val="0"/>
              <w:adjustRightInd w:val="0"/>
              <w:spacing w:line="408" w:lineRule="auto"/>
              <w:ind w:firstLine="480" w:firstLineChars="200"/>
              <w:rPr>
                <w:rFonts w:ascii="宋体" w:hAnsi="宋体"/>
                <w:kern w:val="0"/>
                <w:sz w:val="24"/>
                <w:szCs w:val="30"/>
              </w:rPr>
            </w:pPr>
            <w:r>
              <w:rPr>
                <w:rFonts w:hint="eastAsia" w:ascii="宋体" w:hAnsi="宋体"/>
                <w:kern w:val="0"/>
                <w:sz w:val="24"/>
                <w:szCs w:val="30"/>
              </w:rPr>
              <w:t>（1）既有接轨车站情况</w:t>
            </w:r>
          </w:p>
          <w:p>
            <w:pPr>
              <w:autoSpaceDE w:val="0"/>
              <w:autoSpaceDN w:val="0"/>
              <w:adjustRightInd w:val="0"/>
              <w:spacing w:line="408" w:lineRule="auto"/>
              <w:ind w:firstLine="480" w:firstLineChars="200"/>
              <w:rPr>
                <w:rFonts w:ascii="宋体" w:hAnsi="宋体"/>
                <w:kern w:val="0"/>
                <w:sz w:val="24"/>
                <w:szCs w:val="30"/>
              </w:rPr>
            </w:pPr>
            <w:r>
              <w:rPr>
                <w:kern w:val="0"/>
                <w:sz w:val="24"/>
                <w:szCs w:val="30"/>
              </w:rPr>
              <w:t>新疆大黄山豫新煤业有限责任公司位于天山北麓昌吉州阜康市境内，矿区距G216国道和G7京新高速公路约6.5km，根据本企业位置及项目选址规划，可选择接轨的车站有乌将线下南泉站和梧桐槽子站</w:t>
            </w:r>
            <w:r>
              <w:rPr>
                <w:rFonts w:hint="eastAsia" w:ascii="宋体" w:hAnsi="宋体"/>
                <w:kern w:val="0"/>
                <w:sz w:val="24"/>
                <w:szCs w:val="30"/>
              </w:rPr>
              <w:t>。</w:t>
            </w:r>
          </w:p>
          <w:p>
            <w:pPr>
              <w:autoSpaceDE w:val="0"/>
              <w:autoSpaceDN w:val="0"/>
              <w:adjustRightInd w:val="0"/>
              <w:spacing w:line="408" w:lineRule="auto"/>
              <w:ind w:firstLine="480" w:firstLineChars="200"/>
              <w:rPr>
                <w:rFonts w:ascii="宋体" w:hAnsi="宋体"/>
                <w:kern w:val="0"/>
                <w:sz w:val="24"/>
                <w:szCs w:val="30"/>
              </w:rPr>
            </w:pPr>
            <w:r>
              <w:rPr>
                <w:rFonts w:hint="eastAsia" w:ascii="宋体" w:hAnsi="宋体"/>
                <w:kern w:val="0"/>
                <w:sz w:val="24"/>
                <w:szCs w:val="30"/>
              </w:rPr>
              <w:t>（2）方案优缺点分析</w:t>
            </w:r>
          </w:p>
          <w:p>
            <w:pPr>
              <w:autoSpaceDE w:val="0"/>
              <w:autoSpaceDN w:val="0"/>
              <w:adjustRightInd w:val="0"/>
              <w:spacing w:line="408" w:lineRule="auto"/>
              <w:ind w:firstLine="422" w:firstLineChars="200"/>
              <w:jc w:val="center"/>
              <w:rPr>
                <w:rFonts w:ascii="宋体" w:hAnsi="宋体"/>
                <w:b/>
                <w:kern w:val="0"/>
                <w:szCs w:val="30"/>
              </w:rPr>
            </w:pPr>
            <w:r>
              <w:rPr>
                <w:rFonts w:hint="eastAsia" w:ascii="宋体" w:hAnsi="宋体"/>
                <w:b/>
                <w:kern w:val="0"/>
                <w:szCs w:val="30"/>
              </w:rPr>
              <w:t>表10</w:t>
            </w:r>
            <w:r>
              <w:rPr>
                <w:rFonts w:ascii="宋体" w:hAnsi="宋体"/>
                <w:b/>
                <w:kern w:val="0"/>
                <w:szCs w:val="30"/>
              </w:rPr>
              <w:t xml:space="preserve"> </w:t>
            </w:r>
            <w:r>
              <w:rPr>
                <w:rFonts w:hint="eastAsia" w:ascii="宋体" w:hAnsi="宋体"/>
                <w:b/>
                <w:kern w:val="0"/>
                <w:szCs w:val="30"/>
              </w:rPr>
              <w:t>接轨站优缺点分析</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3969"/>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autoSpaceDE w:val="0"/>
                    <w:autoSpaceDN w:val="0"/>
                    <w:adjustRightInd w:val="0"/>
                    <w:jc w:val="center"/>
                    <w:rPr>
                      <w:rFonts w:ascii="宋体" w:hAnsi="宋体"/>
                      <w:kern w:val="0"/>
                      <w:sz w:val="24"/>
                      <w:szCs w:val="30"/>
                    </w:rPr>
                  </w:pPr>
                </w:p>
              </w:tc>
              <w:tc>
                <w:tcPr>
                  <w:tcW w:w="3969"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下南泉站接轨方案</w:t>
                  </w:r>
                </w:p>
              </w:tc>
              <w:tc>
                <w:tcPr>
                  <w:tcW w:w="3602"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梧桐槽子站接轨方案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优点</w:t>
                  </w:r>
                </w:p>
              </w:tc>
              <w:tc>
                <w:tcPr>
                  <w:tcW w:w="3969" w:type="dxa"/>
                  <w:vAlign w:val="center"/>
                </w:tcPr>
                <w:p>
                  <w:pPr>
                    <w:autoSpaceDE w:val="0"/>
                    <w:autoSpaceDN w:val="0"/>
                    <w:adjustRightInd w:val="0"/>
                    <w:jc w:val="left"/>
                    <w:rPr>
                      <w:kern w:val="0"/>
                      <w:sz w:val="24"/>
                      <w:szCs w:val="18"/>
                    </w:rPr>
                  </w:pPr>
                  <w:r>
                    <w:rPr>
                      <w:kern w:val="0"/>
                      <w:sz w:val="24"/>
                      <w:szCs w:val="18"/>
                    </w:rPr>
                    <w:t>1、接轨站不增加到发线，投资较低；</w:t>
                  </w:r>
                </w:p>
                <w:p>
                  <w:pPr>
                    <w:autoSpaceDE w:val="0"/>
                    <w:autoSpaceDN w:val="0"/>
                    <w:adjustRightInd w:val="0"/>
                    <w:jc w:val="left"/>
                    <w:rPr>
                      <w:kern w:val="0"/>
                      <w:sz w:val="24"/>
                      <w:szCs w:val="18"/>
                    </w:rPr>
                  </w:pPr>
                  <w:r>
                    <w:rPr>
                      <w:kern w:val="0"/>
                      <w:sz w:val="24"/>
                      <w:szCs w:val="18"/>
                    </w:rPr>
                    <w:t>2、专用线货物主要发往疆外，2023年淖将线建成通车后，运输组织顺畅；</w:t>
                  </w:r>
                </w:p>
                <w:p>
                  <w:pPr>
                    <w:autoSpaceDE w:val="0"/>
                    <w:autoSpaceDN w:val="0"/>
                    <w:adjustRightInd w:val="0"/>
                    <w:jc w:val="left"/>
                    <w:rPr>
                      <w:kern w:val="0"/>
                      <w:sz w:val="24"/>
                      <w:szCs w:val="18"/>
                    </w:rPr>
                  </w:pPr>
                  <w:r>
                    <w:rPr>
                      <w:kern w:val="0"/>
                      <w:sz w:val="24"/>
                      <w:szCs w:val="18"/>
                    </w:rPr>
                    <w:t>3、下南泉站既有为中间站，车站配套设施齐全；</w:t>
                  </w:r>
                </w:p>
                <w:p>
                  <w:pPr>
                    <w:autoSpaceDE w:val="0"/>
                    <w:autoSpaceDN w:val="0"/>
                    <w:adjustRightInd w:val="0"/>
                    <w:jc w:val="left"/>
                    <w:rPr>
                      <w:kern w:val="0"/>
                      <w:sz w:val="24"/>
                      <w:szCs w:val="18"/>
                    </w:rPr>
                  </w:pPr>
                  <w:r>
                    <w:rPr>
                      <w:kern w:val="0"/>
                      <w:sz w:val="24"/>
                      <w:szCs w:val="18"/>
                    </w:rPr>
                    <w:t>4、距阜康产业园较近。可吸引产业园运量。</w:t>
                  </w:r>
                </w:p>
              </w:tc>
              <w:tc>
                <w:tcPr>
                  <w:tcW w:w="3602" w:type="dxa"/>
                  <w:vAlign w:val="center"/>
                </w:tcPr>
                <w:p>
                  <w:pPr>
                    <w:autoSpaceDE w:val="0"/>
                    <w:autoSpaceDN w:val="0"/>
                    <w:adjustRightInd w:val="0"/>
                    <w:jc w:val="left"/>
                    <w:rPr>
                      <w:kern w:val="0"/>
                      <w:sz w:val="24"/>
                      <w:szCs w:val="18"/>
                    </w:rPr>
                  </w:pPr>
                  <w:r>
                    <w:rPr>
                      <w:kern w:val="0"/>
                      <w:sz w:val="24"/>
                      <w:szCs w:val="18"/>
                    </w:rPr>
                    <w:t>1、运营距离较短</w:t>
                  </w:r>
                  <w:r>
                    <w:rPr>
                      <w:rFonts w:hint="eastAsia"/>
                      <w:kern w:val="0"/>
                      <w:sz w:val="24"/>
                      <w:szCs w:val="18"/>
                    </w:rPr>
                    <w:t>；</w:t>
                  </w:r>
                </w:p>
                <w:p>
                  <w:pPr>
                    <w:autoSpaceDE w:val="0"/>
                    <w:autoSpaceDN w:val="0"/>
                    <w:adjustRightInd w:val="0"/>
                    <w:jc w:val="left"/>
                    <w:rPr>
                      <w:kern w:val="0"/>
                      <w:sz w:val="24"/>
                      <w:szCs w:val="18"/>
                    </w:rPr>
                  </w:pPr>
                  <w:r>
                    <w:rPr>
                      <w:kern w:val="0"/>
                      <w:sz w:val="24"/>
                      <w:szCs w:val="18"/>
                    </w:rPr>
                    <w:t>2、距G216近，交通便利</w:t>
                  </w:r>
                  <w:r>
                    <w:rPr>
                      <w:rFonts w:hint="eastAsia"/>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缺点</w:t>
                  </w:r>
                </w:p>
              </w:tc>
              <w:tc>
                <w:tcPr>
                  <w:tcW w:w="3969" w:type="dxa"/>
                  <w:vAlign w:val="center"/>
                </w:tcPr>
                <w:p>
                  <w:pPr>
                    <w:autoSpaceDE w:val="0"/>
                    <w:autoSpaceDN w:val="0"/>
                    <w:adjustRightInd w:val="0"/>
                    <w:jc w:val="left"/>
                    <w:rPr>
                      <w:kern w:val="0"/>
                      <w:sz w:val="24"/>
                      <w:szCs w:val="18"/>
                    </w:rPr>
                  </w:pPr>
                  <w:r>
                    <w:rPr>
                      <w:kern w:val="0"/>
                      <w:sz w:val="24"/>
                      <w:szCs w:val="18"/>
                    </w:rPr>
                    <w:t>1、运营距离较长</w:t>
                  </w:r>
                  <w:r>
                    <w:rPr>
                      <w:rFonts w:hint="eastAsia"/>
                      <w:kern w:val="0"/>
                      <w:sz w:val="24"/>
                      <w:szCs w:val="18"/>
                    </w:rPr>
                    <w:t>；</w:t>
                  </w:r>
                </w:p>
                <w:p>
                  <w:pPr>
                    <w:autoSpaceDE w:val="0"/>
                    <w:autoSpaceDN w:val="0"/>
                    <w:adjustRightInd w:val="0"/>
                    <w:jc w:val="left"/>
                    <w:rPr>
                      <w:kern w:val="0"/>
                      <w:sz w:val="24"/>
                      <w:szCs w:val="18"/>
                    </w:rPr>
                  </w:pPr>
                  <w:r>
                    <w:rPr>
                      <w:kern w:val="0"/>
                      <w:sz w:val="24"/>
                      <w:szCs w:val="18"/>
                    </w:rPr>
                    <w:t>2、配套交通较差，需要修建外部通场道路。</w:t>
                  </w:r>
                </w:p>
              </w:tc>
              <w:tc>
                <w:tcPr>
                  <w:tcW w:w="3602" w:type="dxa"/>
                  <w:vAlign w:val="center"/>
                </w:tcPr>
                <w:p>
                  <w:pPr>
                    <w:autoSpaceDE w:val="0"/>
                    <w:autoSpaceDN w:val="0"/>
                    <w:adjustRightInd w:val="0"/>
                    <w:jc w:val="left"/>
                    <w:rPr>
                      <w:kern w:val="0"/>
                      <w:sz w:val="24"/>
                      <w:szCs w:val="18"/>
                    </w:rPr>
                  </w:pPr>
                  <w:r>
                    <w:rPr>
                      <w:kern w:val="0"/>
                      <w:sz w:val="24"/>
                      <w:szCs w:val="18"/>
                    </w:rPr>
                    <w:t>1、接轨站增加到发线，投资较高</w:t>
                  </w:r>
                  <w:r>
                    <w:rPr>
                      <w:rFonts w:hint="eastAsia"/>
                      <w:kern w:val="0"/>
                      <w:sz w:val="24"/>
                      <w:szCs w:val="18"/>
                    </w:rPr>
                    <w:t>；</w:t>
                  </w:r>
                </w:p>
                <w:p>
                  <w:pPr>
                    <w:autoSpaceDE w:val="0"/>
                    <w:autoSpaceDN w:val="0"/>
                    <w:adjustRightInd w:val="0"/>
                    <w:jc w:val="left"/>
                    <w:rPr>
                      <w:kern w:val="0"/>
                      <w:sz w:val="24"/>
                      <w:szCs w:val="18"/>
                    </w:rPr>
                  </w:pPr>
                  <w:r>
                    <w:rPr>
                      <w:kern w:val="0"/>
                      <w:sz w:val="24"/>
                      <w:szCs w:val="18"/>
                    </w:rPr>
                    <w:t>2、2023年淖将线建成通车后，货物列车经淖将线发往疆外，则存在折角运输</w:t>
                  </w:r>
                  <w:r>
                    <w:rPr>
                      <w:rFonts w:hint="eastAsia"/>
                      <w:kern w:val="0"/>
                      <w:sz w:val="24"/>
                      <w:szCs w:val="18"/>
                    </w:rPr>
                    <w:t>；</w:t>
                  </w:r>
                </w:p>
                <w:p>
                  <w:pPr>
                    <w:autoSpaceDE w:val="0"/>
                    <w:autoSpaceDN w:val="0"/>
                    <w:adjustRightInd w:val="0"/>
                    <w:jc w:val="left"/>
                    <w:rPr>
                      <w:kern w:val="0"/>
                      <w:sz w:val="24"/>
                      <w:szCs w:val="18"/>
                    </w:rPr>
                  </w:pPr>
                  <w:r>
                    <w:rPr>
                      <w:kern w:val="0"/>
                      <w:sz w:val="24"/>
                      <w:szCs w:val="18"/>
                    </w:rPr>
                    <w:t>3、梧桐槽子为越行站，需增开货运作业变更为中间站</w:t>
                  </w:r>
                  <w:r>
                    <w:rPr>
                      <w:rFonts w:hint="eastAsia"/>
                      <w:kern w:val="0"/>
                      <w:sz w:val="24"/>
                      <w:szCs w:val="18"/>
                    </w:rPr>
                    <w:t>；</w:t>
                  </w:r>
                </w:p>
                <w:p>
                  <w:pPr>
                    <w:autoSpaceDE w:val="0"/>
                    <w:autoSpaceDN w:val="0"/>
                    <w:adjustRightInd w:val="0"/>
                    <w:jc w:val="left"/>
                    <w:rPr>
                      <w:kern w:val="0"/>
                      <w:sz w:val="24"/>
                      <w:szCs w:val="18"/>
                    </w:rPr>
                  </w:pPr>
                  <w:r>
                    <w:rPr>
                      <w:kern w:val="0"/>
                      <w:sz w:val="24"/>
                      <w:szCs w:val="18"/>
                    </w:rPr>
                    <w:t>4、附近无大型工业园区，无法吸引更多的运量</w:t>
                  </w:r>
                  <w:r>
                    <w:rPr>
                      <w:rFonts w:hint="eastAsia"/>
                      <w:kern w:val="0"/>
                      <w:sz w:val="24"/>
                      <w:szCs w:val="18"/>
                    </w:rPr>
                    <w:t>。</w:t>
                  </w:r>
                </w:p>
              </w:tc>
            </w:tr>
          </w:tbl>
          <w:p>
            <w:pPr>
              <w:autoSpaceDE w:val="0"/>
              <w:autoSpaceDN w:val="0"/>
              <w:adjustRightInd w:val="0"/>
              <w:spacing w:line="408" w:lineRule="auto"/>
              <w:ind w:firstLine="480" w:firstLineChars="200"/>
              <w:jc w:val="left"/>
              <w:rPr>
                <w:kern w:val="0"/>
                <w:sz w:val="24"/>
                <w:szCs w:val="28"/>
              </w:rPr>
            </w:pPr>
            <w:r>
              <w:rPr>
                <w:kern w:val="0"/>
                <w:sz w:val="24"/>
                <w:szCs w:val="28"/>
              </w:rPr>
              <w:t>本专用线主要货物流向为山西等地，2023年淖将线开通后，梧桐槽子站接轨方案存在折角运输，且线路长度长，占地多，投资较高。下南泉站接轨方案运输组织顺畅，可吸引阜康产业园运量，且线路长度短，占地少，投资较低，故本次选择下南泉站接轨方案</w:t>
            </w:r>
            <w:r>
              <w:rPr>
                <w:rFonts w:hint="eastAsia"/>
                <w:kern w:val="0"/>
                <w:sz w:val="24"/>
                <w:szCs w:val="28"/>
              </w:rPr>
              <w:t>。</w:t>
            </w:r>
          </w:p>
          <w:p>
            <w:pPr>
              <w:autoSpaceDE w:val="0"/>
              <w:autoSpaceDN w:val="0"/>
              <w:adjustRightInd w:val="0"/>
              <w:spacing w:line="408" w:lineRule="auto"/>
              <w:ind w:firstLine="482" w:firstLineChars="200"/>
              <w:rPr>
                <w:rFonts w:ascii="宋体" w:hAnsi="宋体"/>
                <w:b/>
                <w:kern w:val="0"/>
                <w:sz w:val="24"/>
                <w:szCs w:val="30"/>
              </w:rPr>
            </w:pPr>
            <w:r>
              <w:rPr>
                <w:rFonts w:hint="eastAsia" w:ascii="宋体" w:hAnsi="宋体"/>
                <w:b/>
                <w:kern w:val="0"/>
                <w:sz w:val="24"/>
                <w:szCs w:val="30"/>
              </w:rPr>
              <w:t>2、接轨点方案比选</w:t>
            </w:r>
          </w:p>
          <w:p>
            <w:pPr>
              <w:autoSpaceDE w:val="0"/>
              <w:autoSpaceDN w:val="0"/>
              <w:adjustRightInd w:val="0"/>
              <w:spacing w:line="408" w:lineRule="auto"/>
              <w:ind w:firstLine="480" w:firstLineChars="200"/>
              <w:jc w:val="left"/>
              <w:rPr>
                <w:kern w:val="0"/>
                <w:sz w:val="24"/>
                <w:szCs w:val="30"/>
              </w:rPr>
            </w:pPr>
            <w:r>
              <w:rPr>
                <w:kern w:val="0"/>
                <w:sz w:val="24"/>
                <w:szCs w:val="30"/>
              </w:rPr>
              <w:t>（1）既有接轨点选择</w:t>
            </w:r>
          </w:p>
          <w:p>
            <w:pPr>
              <w:autoSpaceDE w:val="0"/>
              <w:autoSpaceDN w:val="0"/>
              <w:adjustRightInd w:val="0"/>
              <w:spacing w:line="408" w:lineRule="auto"/>
              <w:ind w:firstLine="480" w:firstLineChars="200"/>
              <w:jc w:val="left"/>
              <w:rPr>
                <w:kern w:val="0"/>
                <w:sz w:val="24"/>
                <w:szCs w:val="30"/>
              </w:rPr>
            </w:pPr>
            <w:r>
              <w:rPr>
                <w:kern w:val="0"/>
                <w:sz w:val="24"/>
                <w:szCs w:val="30"/>
              </w:rPr>
              <w:t>根据既有下南泉车站概况，第一象限、第四象限均为基本农田，本次研究了下南泉站第二象限接轨方案（CK）和下南泉站第三象限接轨方案（C2K）。</w:t>
            </w:r>
          </w:p>
          <w:p>
            <w:pPr>
              <w:autoSpaceDE w:val="0"/>
              <w:autoSpaceDN w:val="0"/>
              <w:adjustRightInd w:val="0"/>
              <w:spacing w:line="408" w:lineRule="auto"/>
              <w:ind w:firstLine="480" w:firstLineChars="200"/>
              <w:rPr>
                <w:kern w:val="0"/>
                <w:sz w:val="24"/>
                <w:szCs w:val="30"/>
              </w:rPr>
            </w:pPr>
            <w:r>
              <w:rPr>
                <w:rFonts w:hint="eastAsia"/>
                <w:kern w:val="0"/>
                <w:sz w:val="24"/>
                <w:szCs w:val="30"/>
              </w:rPr>
              <w:t>（2</w:t>
            </w:r>
            <w:r>
              <w:rPr>
                <w:kern w:val="0"/>
                <w:sz w:val="24"/>
                <w:szCs w:val="30"/>
              </w:rPr>
              <w:t>）方案优缺点分析</w:t>
            </w:r>
          </w:p>
          <w:p>
            <w:pPr>
              <w:autoSpaceDE w:val="0"/>
              <w:autoSpaceDN w:val="0"/>
              <w:adjustRightInd w:val="0"/>
              <w:spacing w:line="408" w:lineRule="auto"/>
              <w:ind w:firstLine="422" w:firstLineChars="200"/>
              <w:jc w:val="center"/>
              <w:rPr>
                <w:rFonts w:ascii="宋体" w:hAnsi="宋体"/>
                <w:b/>
                <w:kern w:val="0"/>
                <w:szCs w:val="30"/>
              </w:rPr>
            </w:pPr>
            <w:r>
              <w:rPr>
                <w:rFonts w:hint="eastAsia" w:ascii="宋体" w:hAnsi="宋体"/>
                <w:b/>
                <w:kern w:val="0"/>
                <w:szCs w:val="30"/>
              </w:rPr>
              <w:t>表11</w:t>
            </w:r>
            <w:r>
              <w:rPr>
                <w:rFonts w:ascii="宋体" w:hAnsi="宋体"/>
                <w:b/>
                <w:kern w:val="0"/>
                <w:szCs w:val="30"/>
              </w:rPr>
              <w:t xml:space="preserve"> </w:t>
            </w:r>
            <w:r>
              <w:rPr>
                <w:rFonts w:hint="eastAsia" w:ascii="宋体" w:hAnsi="宋体"/>
                <w:b/>
                <w:kern w:val="0"/>
                <w:szCs w:val="30"/>
              </w:rPr>
              <w:t>接轨点优缺点分析</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686"/>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center"/>
                </w:tcPr>
                <w:p>
                  <w:pPr>
                    <w:autoSpaceDE w:val="0"/>
                    <w:autoSpaceDN w:val="0"/>
                    <w:adjustRightInd w:val="0"/>
                    <w:jc w:val="center"/>
                    <w:rPr>
                      <w:rFonts w:ascii="宋体" w:hAnsi="宋体"/>
                      <w:kern w:val="0"/>
                      <w:sz w:val="24"/>
                      <w:szCs w:val="30"/>
                    </w:rPr>
                  </w:pPr>
                </w:p>
              </w:tc>
              <w:tc>
                <w:tcPr>
                  <w:tcW w:w="3686"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下南泉站第二象限接轨方案</w:t>
                  </w:r>
                </w:p>
              </w:tc>
              <w:tc>
                <w:tcPr>
                  <w:tcW w:w="3602"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下南泉站第三象限接轨方案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优点</w:t>
                  </w:r>
                </w:p>
              </w:tc>
              <w:tc>
                <w:tcPr>
                  <w:tcW w:w="3686" w:type="dxa"/>
                  <w:vAlign w:val="center"/>
                </w:tcPr>
                <w:p>
                  <w:pPr>
                    <w:autoSpaceDE w:val="0"/>
                    <w:autoSpaceDN w:val="0"/>
                    <w:adjustRightInd w:val="0"/>
                    <w:jc w:val="left"/>
                    <w:rPr>
                      <w:kern w:val="0"/>
                      <w:sz w:val="24"/>
                      <w:szCs w:val="18"/>
                    </w:rPr>
                  </w:pPr>
                  <w:r>
                    <w:rPr>
                      <w:kern w:val="0"/>
                      <w:sz w:val="24"/>
                      <w:szCs w:val="18"/>
                    </w:rPr>
                    <w:t>1、专用线长度短，占地少，投资较低；</w:t>
                  </w:r>
                </w:p>
                <w:p>
                  <w:pPr>
                    <w:autoSpaceDE w:val="0"/>
                    <w:autoSpaceDN w:val="0"/>
                    <w:adjustRightInd w:val="0"/>
                    <w:jc w:val="left"/>
                    <w:rPr>
                      <w:kern w:val="0"/>
                      <w:sz w:val="24"/>
                      <w:szCs w:val="18"/>
                    </w:rPr>
                  </w:pPr>
                  <w:r>
                    <w:rPr>
                      <w:kern w:val="0"/>
                      <w:sz w:val="24"/>
                      <w:szCs w:val="18"/>
                    </w:rPr>
                    <w:t>2、可以通过正线直接接发车。</w:t>
                  </w:r>
                </w:p>
                <w:p>
                  <w:pPr>
                    <w:autoSpaceDE w:val="0"/>
                    <w:autoSpaceDN w:val="0"/>
                    <w:adjustRightInd w:val="0"/>
                    <w:jc w:val="left"/>
                    <w:rPr>
                      <w:kern w:val="0"/>
                      <w:sz w:val="24"/>
                      <w:szCs w:val="18"/>
                    </w:rPr>
                  </w:pPr>
                  <w:r>
                    <w:rPr>
                      <w:kern w:val="0"/>
                      <w:sz w:val="24"/>
                      <w:szCs w:val="18"/>
                    </w:rPr>
                    <w:t>3、豫新装卸站位于下游，新建防洪设施少</w:t>
                  </w:r>
                </w:p>
              </w:tc>
              <w:tc>
                <w:tcPr>
                  <w:tcW w:w="3602" w:type="dxa"/>
                  <w:vAlign w:val="center"/>
                </w:tcPr>
                <w:p>
                  <w:pPr>
                    <w:autoSpaceDE w:val="0"/>
                    <w:autoSpaceDN w:val="0"/>
                    <w:adjustRightInd w:val="0"/>
                    <w:jc w:val="left"/>
                    <w:rPr>
                      <w:kern w:val="0"/>
                      <w:sz w:val="24"/>
                      <w:szCs w:val="18"/>
                    </w:rPr>
                  </w:pPr>
                  <w:r>
                    <w:rPr>
                      <w:kern w:val="0"/>
                      <w:sz w:val="24"/>
                      <w:szCs w:val="18"/>
                    </w:rPr>
                    <w:t>车站改造后，站房对侧有4条到发线，运输组织便利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center"/>
                </w:tcPr>
                <w:p>
                  <w:pPr>
                    <w:autoSpaceDE w:val="0"/>
                    <w:autoSpaceDN w:val="0"/>
                    <w:adjustRightInd w:val="0"/>
                    <w:jc w:val="center"/>
                    <w:rPr>
                      <w:rFonts w:ascii="宋体" w:hAnsi="宋体"/>
                      <w:kern w:val="0"/>
                      <w:sz w:val="24"/>
                      <w:szCs w:val="30"/>
                    </w:rPr>
                  </w:pPr>
                  <w:r>
                    <w:rPr>
                      <w:rFonts w:hint="eastAsia" w:ascii="宋体" w:hAnsi="宋体"/>
                      <w:kern w:val="0"/>
                      <w:sz w:val="24"/>
                      <w:szCs w:val="30"/>
                    </w:rPr>
                    <w:t>缺点</w:t>
                  </w:r>
                </w:p>
              </w:tc>
              <w:tc>
                <w:tcPr>
                  <w:tcW w:w="3686" w:type="dxa"/>
                  <w:vAlign w:val="center"/>
                </w:tcPr>
                <w:p>
                  <w:pPr>
                    <w:autoSpaceDE w:val="0"/>
                    <w:autoSpaceDN w:val="0"/>
                    <w:adjustRightInd w:val="0"/>
                    <w:jc w:val="left"/>
                    <w:rPr>
                      <w:kern w:val="0"/>
                      <w:sz w:val="24"/>
                      <w:szCs w:val="18"/>
                    </w:rPr>
                  </w:pPr>
                  <w:r>
                    <w:rPr>
                      <w:kern w:val="0"/>
                      <w:sz w:val="24"/>
                      <w:szCs w:val="18"/>
                    </w:rPr>
                    <w:t>站房同侧只有1条到发线，运输组织灵活性较差。</w:t>
                  </w:r>
                </w:p>
              </w:tc>
              <w:tc>
                <w:tcPr>
                  <w:tcW w:w="3602" w:type="dxa"/>
                  <w:vAlign w:val="center"/>
                </w:tcPr>
                <w:p>
                  <w:pPr>
                    <w:autoSpaceDE w:val="0"/>
                    <w:autoSpaceDN w:val="0"/>
                    <w:adjustRightInd w:val="0"/>
                    <w:jc w:val="left"/>
                    <w:rPr>
                      <w:kern w:val="0"/>
                      <w:sz w:val="24"/>
                      <w:szCs w:val="18"/>
                    </w:rPr>
                  </w:pPr>
                  <w:r>
                    <w:rPr>
                      <w:kern w:val="0"/>
                      <w:sz w:val="24"/>
                      <w:szCs w:val="18"/>
                    </w:rPr>
                    <w:t>1、专用线长度长，占地多，投资较高。</w:t>
                  </w:r>
                </w:p>
                <w:p>
                  <w:pPr>
                    <w:autoSpaceDE w:val="0"/>
                    <w:autoSpaceDN w:val="0"/>
                    <w:adjustRightInd w:val="0"/>
                    <w:jc w:val="left"/>
                    <w:rPr>
                      <w:kern w:val="0"/>
                      <w:sz w:val="24"/>
                      <w:szCs w:val="18"/>
                    </w:rPr>
                  </w:pPr>
                  <w:r>
                    <w:rPr>
                      <w:kern w:val="0"/>
                      <w:sz w:val="24"/>
                      <w:szCs w:val="18"/>
                    </w:rPr>
                    <w:t>2、接发车均需通过4道，占用到发线时间较长，影响到发线使用效率。</w:t>
                  </w:r>
                </w:p>
                <w:p>
                  <w:pPr>
                    <w:autoSpaceDE w:val="0"/>
                    <w:autoSpaceDN w:val="0"/>
                    <w:adjustRightInd w:val="0"/>
                    <w:jc w:val="left"/>
                    <w:rPr>
                      <w:kern w:val="0"/>
                      <w:sz w:val="24"/>
                      <w:szCs w:val="18"/>
                    </w:rPr>
                  </w:pPr>
                  <w:r>
                    <w:rPr>
                      <w:kern w:val="0"/>
                      <w:sz w:val="24"/>
                      <w:szCs w:val="18"/>
                    </w:rPr>
                    <w:t>3、豫新装卸站位于上游，需要设置更多的防洪设施。</w:t>
                  </w:r>
                </w:p>
                <w:p>
                  <w:pPr>
                    <w:autoSpaceDE w:val="0"/>
                    <w:autoSpaceDN w:val="0"/>
                    <w:adjustRightInd w:val="0"/>
                    <w:jc w:val="left"/>
                    <w:rPr>
                      <w:kern w:val="0"/>
                      <w:sz w:val="24"/>
                      <w:szCs w:val="18"/>
                    </w:rPr>
                  </w:pPr>
                  <w:r>
                    <w:rPr>
                      <w:kern w:val="0"/>
                      <w:sz w:val="24"/>
                      <w:szCs w:val="18"/>
                    </w:rPr>
                    <w:t>4、占用南泉物流专用线的用地，同时对南泉物流专用线进出场区造成一定影响。</w:t>
                  </w:r>
                </w:p>
              </w:tc>
            </w:tr>
          </w:tbl>
          <w:p>
            <w:pPr>
              <w:autoSpaceDE w:val="0"/>
              <w:autoSpaceDN w:val="0"/>
              <w:adjustRightInd w:val="0"/>
              <w:spacing w:line="408" w:lineRule="auto"/>
              <w:ind w:firstLine="480" w:firstLineChars="200"/>
              <w:jc w:val="left"/>
              <w:rPr>
                <w:rFonts w:ascii="宋体" w:hAnsi="宋体"/>
                <w:kern w:val="0"/>
                <w:sz w:val="24"/>
                <w:szCs w:val="28"/>
              </w:rPr>
            </w:pPr>
            <w:r>
              <w:rPr>
                <w:rFonts w:ascii="宋体" w:hAnsi="宋体"/>
                <w:kern w:val="0"/>
                <w:sz w:val="24"/>
                <w:szCs w:val="28"/>
              </w:rPr>
              <w:t>下南泉站第二象限方案专用线长度短，占地少，投资低。可以通过正线直接接发车，运输组织顺畅。因此本次研究</w:t>
            </w:r>
            <w:r>
              <w:rPr>
                <w:rFonts w:hint="eastAsia" w:ascii="宋体" w:hAnsi="宋体"/>
                <w:kern w:val="0"/>
                <w:sz w:val="24"/>
                <w:szCs w:val="28"/>
              </w:rPr>
              <w:t>选择</w:t>
            </w:r>
            <w:r>
              <w:rPr>
                <w:rFonts w:ascii="宋体" w:hAnsi="宋体"/>
                <w:kern w:val="0"/>
                <w:sz w:val="24"/>
                <w:szCs w:val="28"/>
              </w:rPr>
              <w:t>下南泉站第二象限接轨方案</w:t>
            </w:r>
            <w:r>
              <w:rPr>
                <w:rFonts w:hint="eastAsia" w:ascii="宋体" w:hAnsi="宋体"/>
                <w:kern w:val="0"/>
                <w:sz w:val="24"/>
                <w:szCs w:val="28"/>
              </w:rPr>
              <w:t>。</w:t>
            </w:r>
          </w:p>
        </w:tc>
      </w:tr>
    </w:tbl>
    <w:p>
      <w:pPr>
        <w:pStyle w:val="11"/>
        <w:jc w:val="center"/>
        <w:outlineLvl w:val="0"/>
        <w:rPr>
          <w:rFonts w:ascii="Times New Roman" w:hAnsi="Times New Roman" w:eastAsia="黑体"/>
          <w:snapToGrid w:val="0"/>
          <w:sz w:val="30"/>
          <w:szCs w:val="30"/>
        </w:rPr>
      </w:pPr>
      <w:r>
        <w:rPr>
          <w:rFonts w:ascii="Times New Roman" w:hAnsi="Times New Roman" w:eastAsia="仿宋_GB2312"/>
          <w:b/>
          <w:bCs/>
        </w:rPr>
        <w:br w:type="page"/>
      </w:r>
      <w:r>
        <w:rPr>
          <w:rFonts w:ascii="Times New Roman" w:hAnsi="Times New Roman" w:eastAsia="黑体"/>
          <w:snapToGrid w:val="0"/>
          <w:sz w:val="30"/>
          <w:szCs w:val="30"/>
        </w:rPr>
        <w:t>三、生态环境现状、保护目标及评价标准</w:t>
      </w:r>
    </w:p>
    <w:tbl>
      <w:tblPr>
        <w:tblStyle w:val="1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76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2" w:hRule="atLeast"/>
        </w:trPr>
        <w:tc>
          <w:tcPr>
            <w:tcW w:w="494" w:type="pct"/>
            <w:vAlign w:val="center"/>
          </w:tcPr>
          <w:p>
            <w:pPr>
              <w:adjustRightInd w:val="0"/>
              <w:snapToGrid w:val="0"/>
              <w:jc w:val="center"/>
              <w:rPr>
                <w:kern w:val="0"/>
                <w:szCs w:val="21"/>
              </w:rPr>
            </w:pPr>
            <w:r>
              <w:rPr>
                <w:kern w:val="0"/>
                <w:szCs w:val="21"/>
              </w:rPr>
              <w:t>生态环境现状</w:t>
            </w:r>
          </w:p>
        </w:tc>
        <w:tc>
          <w:tcPr>
            <w:tcW w:w="4506" w:type="pct"/>
          </w:tcPr>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1、项目所在地主体功能区划</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本项目位于昌吉州阜康市境内，乌将线下南泉站西北侧约3.0km处，根据《新疆维吾尔自治区主体功能区划》（自治区发改委2012年10月），本项目属于新疆国家级重点开发区域，为铁路专用线建设，主要为大黄山煤矿、乌昌周边矿区及阜康产业园区的煤炭等提供运输服务，运输量大成本低，加快实现企业货物畅通快捷运输，保障企业发展，带动地方发展，是不可或缺的配套运输方式。</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2、项目所在地生态功能区划</w:t>
            </w:r>
          </w:p>
          <w:p>
            <w:pPr>
              <w:adjustRightInd w:val="0"/>
              <w:snapToGrid w:val="0"/>
              <w:spacing w:line="360" w:lineRule="auto"/>
              <w:ind w:firstLine="520" w:firstLineChars="200"/>
              <w:jc w:val="left"/>
              <w:rPr>
                <w:bCs/>
                <w:spacing w:val="10"/>
                <w:sz w:val="24"/>
                <w:szCs w:val="21"/>
              </w:rPr>
            </w:pPr>
            <w:r>
              <w:rPr>
                <w:bCs/>
                <w:spacing w:val="10"/>
                <w:sz w:val="24"/>
                <w:szCs w:val="21"/>
              </w:rPr>
              <w:t>根据《新疆生态功能区划》，本项目所在区域属于“</w:t>
            </w:r>
            <w:r>
              <w:rPr>
                <w:rFonts w:hint="eastAsia"/>
                <w:bCs/>
                <w:spacing w:val="10"/>
                <w:sz w:val="24"/>
                <w:szCs w:val="21"/>
              </w:rPr>
              <w:t>准噶尔盆地温性荒漠与绿洲农业生态区</w:t>
            </w:r>
            <w:r>
              <w:rPr>
                <w:bCs/>
                <w:spacing w:val="10"/>
                <w:sz w:val="24"/>
                <w:szCs w:val="21"/>
              </w:rPr>
              <w:t>（</w:t>
            </w:r>
            <w:r>
              <w:rPr>
                <w:rFonts w:hint="eastAsia"/>
                <w:bCs/>
                <w:spacing w:val="10"/>
                <w:sz w:val="24"/>
                <w:szCs w:val="21"/>
              </w:rPr>
              <w:t>Ⅱ</w:t>
            </w:r>
            <w:r>
              <w:rPr>
                <w:bCs/>
                <w:spacing w:val="10"/>
                <w:sz w:val="24"/>
                <w:szCs w:val="21"/>
              </w:rPr>
              <w:t>）—</w:t>
            </w:r>
            <w:r>
              <w:rPr>
                <w:rFonts w:hint="eastAsia"/>
                <w:bCs/>
                <w:spacing w:val="10"/>
                <w:sz w:val="24"/>
                <w:szCs w:val="21"/>
              </w:rPr>
              <w:t>Ⅱ</w:t>
            </w:r>
            <w:r>
              <w:rPr>
                <w:bCs/>
                <w:spacing w:val="10"/>
                <w:sz w:val="24"/>
                <w:szCs w:val="21"/>
              </w:rPr>
              <w:t>5</w:t>
            </w:r>
            <w:r>
              <w:rPr>
                <w:rFonts w:hint="eastAsia"/>
                <w:bCs/>
                <w:spacing w:val="10"/>
                <w:sz w:val="24"/>
                <w:szCs w:val="21"/>
              </w:rPr>
              <w:t>准噶尔盆地南部荒漠绿洲农业生态亚区</w:t>
            </w:r>
            <w:r>
              <w:rPr>
                <w:bCs/>
                <w:spacing w:val="10"/>
                <w:sz w:val="24"/>
                <w:szCs w:val="21"/>
              </w:rPr>
              <w:t>—28</w:t>
            </w:r>
            <w:r>
              <w:rPr>
                <w:rFonts w:hint="eastAsia"/>
                <w:bCs/>
                <w:spacing w:val="10"/>
                <w:sz w:val="24"/>
                <w:szCs w:val="21"/>
              </w:rPr>
              <w:t>阜康一木垒绿洲农业荒漠草地保护生态功能区</w:t>
            </w:r>
            <w:r>
              <w:rPr>
                <w:bCs/>
                <w:spacing w:val="10"/>
                <w:sz w:val="24"/>
                <w:szCs w:val="21"/>
              </w:rPr>
              <w:t>，项目所在区域生态功能区划见下表</w:t>
            </w:r>
          </w:p>
          <w:p>
            <w:pPr>
              <w:spacing w:line="460" w:lineRule="exact"/>
              <w:ind w:firstLine="525" w:firstLineChars="249"/>
              <w:jc w:val="center"/>
              <w:rPr>
                <w:b/>
                <w:bCs/>
                <w:kern w:val="0"/>
                <w:szCs w:val="21"/>
              </w:rPr>
            </w:pPr>
            <w:r>
              <w:rPr>
                <w:b/>
                <w:bCs/>
                <w:kern w:val="0"/>
                <w:szCs w:val="21"/>
              </w:rPr>
              <w:t>表</w:t>
            </w:r>
            <w:r>
              <w:rPr>
                <w:rFonts w:hint="eastAsia"/>
                <w:b/>
                <w:bCs/>
                <w:kern w:val="0"/>
                <w:szCs w:val="21"/>
              </w:rPr>
              <w:t>12</w:t>
            </w:r>
            <w:r>
              <w:rPr>
                <w:b/>
                <w:bCs/>
                <w:kern w:val="0"/>
                <w:szCs w:val="21"/>
              </w:rPr>
              <w:t xml:space="preserve"> 项目所属区域生态功能</w:t>
            </w:r>
            <w:r>
              <w:rPr>
                <w:rFonts w:hint="eastAsia"/>
                <w:b/>
                <w:bCs/>
                <w:kern w:val="0"/>
                <w:szCs w:val="21"/>
              </w:rPr>
              <w:t>分区单元</w:t>
            </w:r>
            <w:r>
              <w:rPr>
                <w:b/>
                <w:bCs/>
                <w:kern w:val="0"/>
                <w:szCs w:val="21"/>
              </w:rPr>
              <w:t>情况</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5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5" w:type="pct"/>
                  <w:shd w:val="clear" w:color="auto" w:fill="FFFFFF"/>
                  <w:vAlign w:val="center"/>
                </w:tcPr>
                <w:p>
                  <w:pPr>
                    <w:pStyle w:val="42"/>
                    <w:spacing w:line="240" w:lineRule="auto"/>
                    <w:rPr>
                      <w:lang w:eastAsia="zh-CN" w:bidi="ar-SA"/>
                    </w:rPr>
                  </w:pPr>
                  <w:r>
                    <w:rPr>
                      <w:lang w:eastAsia="zh-CN" w:bidi="ar-SA"/>
                    </w:rPr>
                    <w:t>类别</w:t>
                  </w:r>
                </w:p>
              </w:tc>
              <w:tc>
                <w:tcPr>
                  <w:tcW w:w="3515" w:type="pct"/>
                  <w:shd w:val="clear" w:color="auto" w:fill="FFFFFF"/>
                  <w:vAlign w:val="center"/>
                </w:tcPr>
                <w:p>
                  <w:pPr>
                    <w:ind w:firstLine="1890" w:firstLineChars="900"/>
                    <w:rPr>
                      <w:kern w:val="0"/>
                      <w:szCs w:val="21"/>
                    </w:rPr>
                  </w:pPr>
                  <w:r>
                    <w:rPr>
                      <w:kern w:val="0"/>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85" w:type="pct"/>
                  <w:vAlign w:val="center"/>
                </w:tcPr>
                <w:p>
                  <w:pPr>
                    <w:pStyle w:val="42"/>
                    <w:spacing w:line="240" w:lineRule="auto"/>
                    <w:rPr>
                      <w:lang w:eastAsia="zh-CN" w:bidi="ar-SA"/>
                    </w:rPr>
                  </w:pPr>
                  <w:r>
                    <w:rPr>
                      <w:lang w:eastAsia="zh-CN" w:bidi="ar-SA"/>
                    </w:rPr>
                    <w:t>生态区</w:t>
                  </w:r>
                </w:p>
              </w:tc>
              <w:tc>
                <w:tcPr>
                  <w:tcW w:w="3515" w:type="pct"/>
                  <w:vAlign w:val="center"/>
                </w:tcPr>
                <w:p>
                  <w:pPr>
                    <w:pStyle w:val="42"/>
                    <w:spacing w:line="240" w:lineRule="auto"/>
                    <w:rPr>
                      <w:lang w:eastAsia="zh-CN" w:bidi="ar-SA"/>
                    </w:rPr>
                  </w:pPr>
                  <w:r>
                    <w:rPr>
                      <w:rFonts w:hint="eastAsia"/>
                      <w:lang w:eastAsia="zh-CN"/>
                    </w:rPr>
                    <w:t>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85" w:type="pct"/>
                  <w:vAlign w:val="center"/>
                </w:tcPr>
                <w:p>
                  <w:pPr>
                    <w:pStyle w:val="42"/>
                    <w:spacing w:line="240" w:lineRule="auto"/>
                    <w:rPr>
                      <w:lang w:eastAsia="zh-CN" w:bidi="ar-SA"/>
                    </w:rPr>
                  </w:pPr>
                  <w:r>
                    <w:rPr>
                      <w:lang w:eastAsia="zh-CN" w:bidi="ar-SA"/>
                    </w:rPr>
                    <w:t>生态亚区</w:t>
                  </w:r>
                </w:p>
              </w:tc>
              <w:tc>
                <w:tcPr>
                  <w:tcW w:w="3515" w:type="pct"/>
                  <w:vAlign w:val="center"/>
                </w:tcPr>
                <w:p>
                  <w:pPr>
                    <w:pStyle w:val="42"/>
                    <w:spacing w:line="240" w:lineRule="auto"/>
                    <w:rPr>
                      <w:lang w:eastAsia="zh-CN" w:bidi="ar-SA"/>
                    </w:rPr>
                  </w:pPr>
                  <w:r>
                    <w:rPr>
                      <w:rFonts w:hint="eastAsia"/>
                      <w:lang w:eastAsia="zh-CN"/>
                    </w:rPr>
                    <w:t>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5" w:type="pct"/>
                  <w:vAlign w:val="center"/>
                </w:tcPr>
                <w:p>
                  <w:pPr>
                    <w:pStyle w:val="42"/>
                    <w:spacing w:line="240" w:lineRule="auto"/>
                    <w:rPr>
                      <w:lang w:eastAsia="zh-CN" w:bidi="ar-SA"/>
                    </w:rPr>
                  </w:pPr>
                  <w:r>
                    <w:rPr>
                      <w:lang w:eastAsia="zh-CN" w:bidi="ar-SA"/>
                    </w:rPr>
                    <w:t>生态功能区</w:t>
                  </w:r>
                </w:p>
              </w:tc>
              <w:tc>
                <w:tcPr>
                  <w:tcW w:w="3515" w:type="pct"/>
                  <w:vAlign w:val="center"/>
                </w:tcPr>
                <w:p>
                  <w:pPr>
                    <w:pStyle w:val="42"/>
                    <w:spacing w:line="240" w:lineRule="auto"/>
                    <w:rPr>
                      <w:lang w:eastAsia="zh-CN" w:bidi="ar-SA"/>
                    </w:rPr>
                  </w:pPr>
                  <w:r>
                    <w:rPr>
                      <w:rFonts w:hint="eastAsia"/>
                      <w:lang w:eastAsia="zh-CN"/>
                    </w:rPr>
                    <w:t>阜康一木垒绿洲农业荒漠草地保护生态功能区</w:t>
                  </w:r>
                </w:p>
              </w:tc>
            </w:tr>
          </w:tbl>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该区位于准噶尔盆地东南缘博格达山北麓山前洪积冲积平原，是历史上开发较早的绿洲农业区，也是新疆重要的粮食基地。地带性植被为温性荒漠，包括土质、沙砾质和沙质荒漠等亚类。根据现场勘查，土质荒漠建群种为蒿类小半灌木，北部为沙质荒漠。生态系统结构单一，植被覆盖率低，风蚀强烈，易产生沙化，物种资源相对匮乏。</w:t>
            </w:r>
            <w:r>
              <w:rPr>
                <w:bCs/>
                <w:spacing w:val="10"/>
                <w:sz w:val="24"/>
                <w:szCs w:val="21"/>
              </w:rPr>
              <w:t>放牧、樵采、挖沙等人为活动，破坏植被、地表结皮，扰动地表，加剧土地沙化</w:t>
            </w:r>
            <w:r>
              <w:rPr>
                <w:rFonts w:hint="eastAsia"/>
                <w:bCs/>
                <w:spacing w:val="10"/>
                <w:sz w:val="24"/>
                <w:szCs w:val="21"/>
              </w:rPr>
              <w:t>。</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保护对策：禁止</w:t>
            </w:r>
            <w:r>
              <w:rPr>
                <w:bCs/>
                <w:spacing w:val="10"/>
                <w:sz w:val="24"/>
                <w:szCs w:val="21"/>
              </w:rPr>
              <w:t>车辆乱压等随意破坏地表的活动</w:t>
            </w:r>
            <w:r>
              <w:rPr>
                <w:rFonts w:hint="eastAsia"/>
                <w:bCs/>
                <w:spacing w:val="10"/>
                <w:sz w:val="24"/>
                <w:szCs w:val="21"/>
              </w:rPr>
              <w:t>；</w:t>
            </w:r>
            <w:r>
              <w:rPr>
                <w:bCs/>
                <w:spacing w:val="10"/>
                <w:sz w:val="24"/>
                <w:szCs w:val="21"/>
              </w:rPr>
              <w:t>保障</w:t>
            </w:r>
            <w:r>
              <w:rPr>
                <w:rFonts w:hint="eastAsia"/>
                <w:bCs/>
                <w:spacing w:val="10"/>
                <w:sz w:val="24"/>
                <w:szCs w:val="21"/>
              </w:rPr>
              <w:t>荒漠区农田灌溉</w:t>
            </w:r>
            <w:r>
              <w:rPr>
                <w:bCs/>
                <w:spacing w:val="10"/>
                <w:sz w:val="24"/>
                <w:szCs w:val="21"/>
              </w:rPr>
              <w:t>用水</w:t>
            </w:r>
            <w:r>
              <w:rPr>
                <w:rFonts w:hint="eastAsia"/>
                <w:bCs/>
                <w:spacing w:val="10"/>
                <w:sz w:val="24"/>
                <w:szCs w:val="21"/>
              </w:rPr>
              <w:t>；严格控制作业范围，</w:t>
            </w:r>
            <w:r>
              <w:rPr>
                <w:bCs/>
                <w:spacing w:val="10"/>
                <w:sz w:val="24"/>
                <w:szCs w:val="21"/>
              </w:rPr>
              <w:t>不得扰动或破坏工程区外</w:t>
            </w:r>
            <w:r>
              <w:rPr>
                <w:rFonts w:hint="eastAsia"/>
                <w:bCs/>
                <w:spacing w:val="10"/>
                <w:sz w:val="24"/>
                <w:szCs w:val="21"/>
              </w:rPr>
              <w:t>荒漠、砾幕等各类</w:t>
            </w:r>
            <w:r>
              <w:rPr>
                <w:bCs/>
                <w:spacing w:val="10"/>
                <w:sz w:val="24"/>
                <w:szCs w:val="21"/>
              </w:rPr>
              <w:t>地表形态</w:t>
            </w:r>
            <w:r>
              <w:rPr>
                <w:rFonts w:hint="eastAsia"/>
                <w:bCs/>
                <w:spacing w:val="10"/>
                <w:sz w:val="24"/>
                <w:szCs w:val="21"/>
              </w:rPr>
              <w:t>，减少对荒漠土地的占用；</w:t>
            </w:r>
            <w:r>
              <w:rPr>
                <w:bCs/>
                <w:spacing w:val="10"/>
                <w:sz w:val="24"/>
                <w:szCs w:val="21"/>
              </w:rPr>
              <w:t>加大天然植被保护，</w:t>
            </w:r>
            <w:r>
              <w:rPr>
                <w:rFonts w:hint="eastAsia"/>
                <w:bCs/>
                <w:spacing w:val="10"/>
                <w:sz w:val="24"/>
                <w:szCs w:val="21"/>
              </w:rPr>
              <w:t>施工期结束后，清理场地，</w:t>
            </w:r>
            <w:r>
              <w:rPr>
                <w:bCs/>
                <w:spacing w:val="10"/>
                <w:sz w:val="24"/>
                <w:szCs w:val="21"/>
              </w:rPr>
              <w:t>恢复自然植被，遏制沙漠化趋势</w:t>
            </w:r>
            <w:r>
              <w:rPr>
                <w:rFonts w:hint="eastAsia"/>
                <w:bCs/>
                <w:spacing w:val="10"/>
                <w:sz w:val="24"/>
                <w:szCs w:val="21"/>
              </w:rPr>
              <w:t>减少大风天气下的扬尘污染和土地沙化。</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3、生态环境现状调查与评价</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（1）地形地貌</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本专用线位于新疆维吾尔自治区昌吉州阜康市境内，准噶尔盆地南缘，博格达山前冲积戈壁平原，地势总体呈南高北低的态势，地表覆盖较多低矮草本植物。地带性植被为温性荒漠，包括土质、沙砾质和沙质荒漠等亚类。土质荒漠建群种为蒿类小半灌木，北部为沙质荒漠。根据现场调查，项目所在地地势平坦，占地为荒草戈壁滩，多为沙砾质荒漠和稀疏植被区。</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（2）植被类型</w:t>
            </w:r>
          </w:p>
          <w:p>
            <w:pPr>
              <w:autoSpaceDE w:val="0"/>
              <w:autoSpaceDN w:val="0"/>
              <w:adjustRightInd w:val="0"/>
              <w:spacing w:line="408" w:lineRule="auto"/>
              <w:ind w:firstLine="520" w:firstLineChars="200"/>
              <w:rPr>
                <w:bCs/>
                <w:spacing w:val="10"/>
                <w:sz w:val="24"/>
                <w:szCs w:val="21"/>
              </w:rPr>
            </w:pPr>
            <w:r>
              <w:rPr>
                <w:bCs/>
                <w:spacing w:val="10"/>
                <w:sz w:val="24"/>
                <w:szCs w:val="21"/>
              </w:rPr>
              <w:t>项目区地处</w:t>
            </w:r>
            <w:r>
              <w:rPr>
                <w:rFonts w:hint="eastAsia"/>
                <w:bCs/>
                <w:spacing w:val="10"/>
                <w:sz w:val="24"/>
                <w:szCs w:val="21"/>
              </w:rPr>
              <w:t>阜康一木垒绿洲农业荒漠草地保护生态功能区</w:t>
            </w:r>
            <w:r>
              <w:rPr>
                <w:bCs/>
                <w:spacing w:val="10"/>
                <w:sz w:val="24"/>
                <w:szCs w:val="21"/>
              </w:rPr>
              <w:t>，自然地带性植被以为</w:t>
            </w:r>
            <w:r>
              <w:rPr>
                <w:rFonts w:hint="eastAsia"/>
                <w:bCs/>
                <w:spacing w:val="10"/>
                <w:sz w:val="24"/>
                <w:szCs w:val="21"/>
              </w:rPr>
              <w:t>盐生草、骆驼蓬</w:t>
            </w:r>
            <w:r>
              <w:rPr>
                <w:bCs/>
                <w:spacing w:val="10"/>
                <w:sz w:val="24"/>
                <w:szCs w:val="21"/>
              </w:rPr>
              <w:t>为主。区域内天然植物种类贫乏，以超旱生、耐盐碱的荒漠成分占优势</w:t>
            </w:r>
            <w:r>
              <w:rPr>
                <w:rFonts w:hint="eastAsia"/>
                <w:bCs/>
                <w:spacing w:val="10"/>
                <w:sz w:val="24"/>
                <w:szCs w:val="21"/>
              </w:rPr>
              <w:t>，</w:t>
            </w:r>
            <w:r>
              <w:rPr>
                <w:bCs/>
                <w:spacing w:val="10"/>
                <w:sz w:val="24"/>
                <w:szCs w:val="21"/>
              </w:rPr>
              <w:t>根据现场勘察和收集资料，</w:t>
            </w:r>
            <w:r>
              <w:rPr>
                <w:rFonts w:hint="eastAsia"/>
                <w:bCs/>
                <w:spacing w:val="10"/>
                <w:sz w:val="24"/>
                <w:szCs w:val="21"/>
              </w:rPr>
              <w:t>项目</w:t>
            </w:r>
            <w:r>
              <w:rPr>
                <w:bCs/>
                <w:spacing w:val="10"/>
                <w:sz w:val="24"/>
                <w:szCs w:val="21"/>
              </w:rPr>
              <w:t>评价区域内占优势的植被为</w:t>
            </w:r>
            <w:r>
              <w:rPr>
                <w:rFonts w:hint="eastAsia"/>
                <w:bCs/>
                <w:spacing w:val="10"/>
                <w:sz w:val="24"/>
                <w:szCs w:val="21"/>
              </w:rPr>
              <w:t>骆驼蓬、盐生草</w:t>
            </w:r>
            <w:r>
              <w:rPr>
                <w:bCs/>
                <w:spacing w:val="10"/>
                <w:sz w:val="24"/>
                <w:szCs w:val="21"/>
              </w:rPr>
              <w:t>，其次还分布有</w:t>
            </w:r>
            <w:r>
              <w:rPr>
                <w:rFonts w:hint="eastAsia"/>
                <w:bCs/>
                <w:spacing w:val="10"/>
                <w:sz w:val="24"/>
                <w:szCs w:val="21"/>
              </w:rPr>
              <w:t>雾冰藜、红砂</w:t>
            </w:r>
            <w:r>
              <w:rPr>
                <w:bCs/>
                <w:spacing w:val="10"/>
                <w:sz w:val="24"/>
                <w:szCs w:val="21"/>
              </w:rPr>
              <w:t>等自然植被，</w:t>
            </w:r>
            <w:r>
              <w:rPr>
                <w:rFonts w:hint="eastAsia"/>
                <w:bCs/>
                <w:spacing w:val="10"/>
                <w:sz w:val="24"/>
                <w:szCs w:val="21"/>
              </w:rPr>
              <w:t>植被</w:t>
            </w:r>
            <w:r>
              <w:rPr>
                <w:bCs/>
                <w:spacing w:val="10"/>
                <w:sz w:val="24"/>
                <w:szCs w:val="21"/>
              </w:rPr>
              <w:t>覆盖度</w:t>
            </w:r>
            <w:r>
              <w:rPr>
                <w:rFonts w:hint="eastAsia"/>
                <w:bCs/>
                <w:spacing w:val="10"/>
                <w:sz w:val="24"/>
                <w:szCs w:val="21"/>
              </w:rPr>
              <w:t>不足5%</w:t>
            </w:r>
            <w:r>
              <w:rPr>
                <w:bCs/>
                <w:spacing w:val="10"/>
                <w:sz w:val="24"/>
                <w:szCs w:val="21"/>
              </w:rPr>
              <w:t>。</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主要植被种类及分布如下表所示：</w:t>
            </w:r>
          </w:p>
          <w:p>
            <w:pPr>
              <w:pStyle w:val="48"/>
              <w:spacing w:before="120" w:line="408" w:lineRule="auto"/>
              <w:ind w:firstLine="422"/>
              <w:jc w:val="center"/>
              <w:rPr>
                <w:rFonts w:ascii="宋体" w:hAnsi="宋体" w:eastAsia="宋体"/>
                <w:b/>
                <w:color w:val="auto"/>
                <w:sz w:val="21"/>
                <w:szCs w:val="21"/>
              </w:rPr>
            </w:pPr>
            <w:r>
              <w:rPr>
                <w:rFonts w:ascii="Times New Roman" w:hAnsi="Times New Roman" w:eastAsia="宋体"/>
                <w:b/>
                <w:color w:val="auto"/>
                <w:sz w:val="21"/>
                <w:szCs w:val="21"/>
              </w:rPr>
              <w:t>表13 评价区</w:t>
            </w:r>
            <w:r>
              <w:rPr>
                <w:rFonts w:ascii="宋体" w:hAnsi="宋体" w:eastAsia="宋体"/>
                <w:b/>
                <w:color w:val="auto"/>
                <w:sz w:val="21"/>
                <w:szCs w:val="21"/>
              </w:rPr>
              <w:t>常见高等植物种类及分布环境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4264"/>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28" w:type="pct"/>
                  <w:tcBorders>
                    <w:top w:val="single" w:color="auto" w:sz="4" w:space="0"/>
                    <w:left w:val="single" w:color="auto" w:sz="4" w:space="0"/>
                    <w:bottom w:val="single" w:color="auto" w:sz="4" w:space="0"/>
                    <w:right w:val="single" w:color="auto" w:sz="4" w:space="0"/>
                  </w:tcBorders>
                  <w:vAlign w:val="center"/>
                </w:tcPr>
                <w:p>
                  <w:pPr>
                    <w:pStyle w:val="42"/>
                  </w:pPr>
                  <w:r>
                    <w:t>中文名</w:t>
                  </w:r>
                </w:p>
              </w:tc>
              <w:tc>
                <w:tcPr>
                  <w:tcW w:w="2860" w:type="pct"/>
                  <w:tcBorders>
                    <w:top w:val="single" w:color="auto" w:sz="4" w:space="0"/>
                    <w:left w:val="single" w:color="auto" w:sz="4" w:space="0"/>
                    <w:bottom w:val="single" w:color="auto" w:sz="4" w:space="0"/>
                    <w:right w:val="single" w:color="auto" w:sz="4" w:space="0"/>
                  </w:tcBorders>
                  <w:vAlign w:val="center"/>
                </w:tcPr>
                <w:p>
                  <w:pPr>
                    <w:pStyle w:val="42"/>
                  </w:pPr>
                  <w:r>
                    <w:t>学名</w:t>
                  </w:r>
                </w:p>
              </w:tc>
              <w:tc>
                <w:tcPr>
                  <w:tcW w:w="1112" w:type="pct"/>
                  <w:tcBorders>
                    <w:top w:val="single" w:color="auto" w:sz="4" w:space="0"/>
                    <w:left w:val="single" w:color="auto" w:sz="4" w:space="0"/>
                    <w:bottom w:val="single" w:color="auto" w:sz="4" w:space="0"/>
                    <w:right w:val="single" w:color="auto" w:sz="4" w:space="0"/>
                  </w:tcBorders>
                  <w:vAlign w:val="center"/>
                </w:tcPr>
                <w:p>
                  <w:pPr>
                    <w:pStyle w:val="42"/>
                  </w:pPr>
                  <w: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lang w:eastAsia="zh-CN"/>
                    </w:rPr>
                    <w:t>盐生草</w:t>
                  </w:r>
                </w:p>
              </w:tc>
              <w:tc>
                <w:tcPr>
                  <w:tcW w:w="2860" w:type="pct"/>
                  <w:tcBorders>
                    <w:top w:val="single" w:color="auto" w:sz="4" w:space="0"/>
                    <w:left w:val="single" w:color="auto" w:sz="4" w:space="0"/>
                    <w:bottom w:val="single" w:color="auto" w:sz="4" w:space="0"/>
                    <w:right w:val="single" w:color="auto" w:sz="4" w:space="0"/>
                  </w:tcBorders>
                  <w:vAlign w:val="center"/>
                </w:tcPr>
                <w:p>
                  <w:pPr>
                    <w:pStyle w:val="42"/>
                  </w:pPr>
                  <w:r>
                    <w:t>Halogetonglomeratus</w:t>
                  </w:r>
                </w:p>
              </w:tc>
              <w:tc>
                <w:tcPr>
                  <w:tcW w:w="1112" w:type="pct"/>
                  <w:tcBorders>
                    <w:top w:val="single" w:color="auto" w:sz="4" w:space="0"/>
                    <w:left w:val="single" w:color="auto" w:sz="4" w:space="0"/>
                    <w:bottom w:val="single" w:color="auto" w:sz="4" w:space="0"/>
                    <w:right w:val="single" w:color="auto" w:sz="4" w:space="0"/>
                  </w:tcBorders>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lang w:eastAsia="zh-CN"/>
                    </w:rPr>
                    <w:t>骆驼蓬</w:t>
                  </w:r>
                </w:p>
              </w:tc>
              <w:tc>
                <w:tcPr>
                  <w:tcW w:w="2860" w:type="pct"/>
                  <w:tcBorders>
                    <w:top w:val="single" w:color="auto" w:sz="4" w:space="0"/>
                    <w:left w:val="single" w:color="auto" w:sz="4" w:space="0"/>
                    <w:bottom w:val="single" w:color="auto" w:sz="4" w:space="0"/>
                    <w:right w:val="single" w:color="auto" w:sz="4" w:space="0"/>
                  </w:tcBorders>
                  <w:vAlign w:val="center"/>
                </w:tcPr>
                <w:p>
                  <w:pPr>
                    <w:pStyle w:val="42"/>
                  </w:pPr>
                  <w:r>
                    <w:t>Peganumharmala</w:t>
                  </w:r>
                </w:p>
              </w:tc>
              <w:tc>
                <w:tcPr>
                  <w:tcW w:w="1112" w:type="pct"/>
                  <w:tcBorders>
                    <w:top w:val="single" w:color="auto" w:sz="4" w:space="0"/>
                    <w:left w:val="single" w:color="auto" w:sz="4" w:space="0"/>
                    <w:bottom w:val="single" w:color="auto" w:sz="4" w:space="0"/>
                    <w:right w:val="single" w:color="auto" w:sz="4" w:space="0"/>
                  </w:tcBorders>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lang w:eastAsia="zh-CN"/>
                    </w:rPr>
                    <w:t>雾冰藜</w:t>
                  </w:r>
                </w:p>
              </w:tc>
              <w:tc>
                <w:tcPr>
                  <w:tcW w:w="2860" w:type="pct"/>
                  <w:tcBorders>
                    <w:top w:val="single" w:color="auto" w:sz="4" w:space="0"/>
                    <w:left w:val="single" w:color="auto" w:sz="4" w:space="0"/>
                    <w:bottom w:val="single" w:color="auto" w:sz="4" w:space="0"/>
                    <w:right w:val="single" w:color="auto" w:sz="4" w:space="0"/>
                  </w:tcBorders>
                  <w:vAlign w:val="center"/>
                </w:tcPr>
                <w:p>
                  <w:pPr>
                    <w:pStyle w:val="42"/>
                  </w:pPr>
                  <w:r>
                    <w:t>Gruboviadasyphylla</w:t>
                  </w:r>
                </w:p>
              </w:tc>
              <w:tc>
                <w:tcPr>
                  <w:tcW w:w="1112" w:type="pct"/>
                  <w:tcBorders>
                    <w:top w:val="single" w:color="auto" w:sz="4" w:space="0"/>
                    <w:left w:val="single" w:color="auto" w:sz="4" w:space="0"/>
                    <w:bottom w:val="single" w:color="auto" w:sz="4" w:space="0"/>
                    <w:right w:val="single" w:color="auto" w:sz="4" w:space="0"/>
                  </w:tcBorders>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lang w:eastAsia="zh-CN"/>
                    </w:rPr>
                    <w:t>红砂</w:t>
                  </w:r>
                </w:p>
              </w:tc>
              <w:tc>
                <w:tcPr>
                  <w:tcW w:w="2860" w:type="pct"/>
                  <w:tcBorders>
                    <w:top w:val="single" w:color="auto" w:sz="4" w:space="0"/>
                    <w:left w:val="single" w:color="auto" w:sz="4" w:space="0"/>
                    <w:bottom w:val="single" w:color="auto" w:sz="4" w:space="0"/>
                    <w:right w:val="single" w:color="auto" w:sz="4" w:space="0"/>
                  </w:tcBorders>
                  <w:vAlign w:val="center"/>
                </w:tcPr>
                <w:p>
                  <w:pPr>
                    <w:pStyle w:val="42"/>
                  </w:pPr>
                  <w:r>
                    <w:t>Reaumuriasongarica</w:t>
                  </w:r>
                </w:p>
              </w:tc>
              <w:tc>
                <w:tcPr>
                  <w:tcW w:w="1112" w:type="pct"/>
                  <w:tcBorders>
                    <w:top w:val="single" w:color="auto" w:sz="4" w:space="0"/>
                    <w:left w:val="single" w:color="auto" w:sz="4" w:space="0"/>
                    <w:bottom w:val="single" w:color="auto" w:sz="4" w:space="0"/>
                    <w:right w:val="single" w:color="auto" w:sz="4" w:space="0"/>
                  </w:tcBorders>
                  <w:vAlign w:val="center"/>
                </w:tcPr>
                <w:p>
                  <w:pPr>
                    <w:pStyle w:val="42"/>
                  </w:pPr>
                  <w:r>
                    <w:t>＋</w:t>
                  </w:r>
                </w:p>
              </w:tc>
            </w:tr>
          </w:tbl>
          <w:p>
            <w:pPr>
              <w:pStyle w:val="50"/>
              <w:spacing w:line="408" w:lineRule="auto"/>
              <w:ind w:firstLine="361"/>
              <w:rPr>
                <w:rFonts w:ascii="Times New Roman" w:hAnsi="Times New Roman" w:cs="Times New Roman"/>
                <w:b/>
                <w:color w:val="auto"/>
                <w:sz w:val="18"/>
                <w:szCs w:val="18"/>
              </w:rPr>
            </w:pPr>
            <w:r>
              <w:rPr>
                <w:rFonts w:ascii="Times New Roman" w:hAnsi="Times New Roman" w:cs="Times New Roman"/>
                <w:b/>
                <w:color w:val="auto"/>
                <w:sz w:val="18"/>
                <w:szCs w:val="18"/>
              </w:rPr>
              <w:t>注：＋＋为多见；＋为少见。</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（3）土地利用现状</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根据现场勘查和新疆土地利用现状图，本项目土地利用类型为荒草地和裸露地块，不涉及林地和耕地。</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（3）土地沙化分析</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根据现场调查，项目区域内植被覆盖率低，土地沙化严重，尤其在大风天气下在风力侵蚀作用下易产生扬尘污染。</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（4）野生动物调查</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根据现场调查野生动物类型为老鼠等啮齿类动物、燕子麻雀等常见鸟类及其它爬行类动物，畜牧资源主要为牛、羊等，对照新疆国家重点保护野生植物名录、新疆维吾尔自治区重点保护野生植物名录（第一批）、新疆国家重点保护野生动物名录，项目区不涉及相关重点保护野生动物。</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4、环境空气质量现状调查与评价</w:t>
            </w:r>
          </w:p>
          <w:p>
            <w:pPr>
              <w:adjustRightInd w:val="0"/>
              <w:snapToGrid w:val="0"/>
              <w:spacing w:line="408" w:lineRule="auto"/>
              <w:ind w:firstLine="520" w:firstLineChars="200"/>
              <w:rPr>
                <w:bCs/>
                <w:spacing w:val="10"/>
                <w:sz w:val="24"/>
                <w:szCs w:val="21"/>
              </w:rPr>
            </w:pPr>
            <w:r>
              <w:rPr>
                <w:rFonts w:hint="eastAsia"/>
                <w:bCs/>
                <w:spacing w:val="10"/>
                <w:sz w:val="24"/>
                <w:szCs w:val="21"/>
              </w:rPr>
              <w:t>（1）数据来源</w:t>
            </w:r>
          </w:p>
          <w:p>
            <w:pPr>
              <w:adjustRightInd w:val="0"/>
              <w:snapToGrid w:val="0"/>
              <w:spacing w:line="408" w:lineRule="auto"/>
              <w:ind w:firstLine="520" w:firstLineChars="200"/>
              <w:rPr>
                <w:bCs/>
                <w:spacing w:val="10"/>
                <w:sz w:val="24"/>
                <w:szCs w:val="21"/>
              </w:rPr>
            </w:pPr>
            <w:r>
              <w:rPr>
                <w:rFonts w:hint="eastAsia"/>
                <w:bCs/>
                <w:spacing w:val="10"/>
                <w:sz w:val="24"/>
                <w:szCs w:val="21"/>
              </w:rPr>
              <w:t>根据《建设项目环境影响报告表编制技术指南（生态影响类）》要求，大气环境质量现状监测参照《建设项目环境影响报告表编制技术指南（污染影响类）》相关规定开展，本项目基本污染物环境质量现状评价采用根据《昌吉州2021年环境空气质量报告》，阜康市2021年</w:t>
            </w:r>
            <w:r>
              <w:rPr>
                <w:bCs/>
                <w:spacing w:val="10"/>
                <w:sz w:val="24"/>
                <w:szCs w:val="21"/>
              </w:rPr>
              <w:t>年SO</w:t>
            </w:r>
            <w:r>
              <w:rPr>
                <w:bCs/>
                <w:spacing w:val="10"/>
                <w:sz w:val="24"/>
                <w:szCs w:val="21"/>
                <w:vertAlign w:val="subscript"/>
              </w:rPr>
              <w:t>2</w:t>
            </w:r>
            <w:r>
              <w:rPr>
                <w:bCs/>
                <w:spacing w:val="10"/>
                <w:sz w:val="24"/>
                <w:szCs w:val="21"/>
              </w:rPr>
              <w:t>、NO</w:t>
            </w:r>
            <w:r>
              <w:rPr>
                <w:bCs/>
                <w:spacing w:val="10"/>
                <w:sz w:val="24"/>
                <w:szCs w:val="21"/>
                <w:vertAlign w:val="subscript"/>
              </w:rPr>
              <w:t>2</w:t>
            </w:r>
            <w:r>
              <w:rPr>
                <w:bCs/>
                <w:spacing w:val="10"/>
                <w:sz w:val="24"/>
                <w:szCs w:val="21"/>
              </w:rPr>
              <w:t>、PM</w:t>
            </w:r>
            <w:r>
              <w:rPr>
                <w:bCs/>
                <w:spacing w:val="10"/>
                <w:sz w:val="24"/>
                <w:szCs w:val="21"/>
                <w:vertAlign w:val="subscript"/>
              </w:rPr>
              <w:t>10</w:t>
            </w:r>
            <w:r>
              <w:rPr>
                <w:bCs/>
                <w:spacing w:val="10"/>
                <w:sz w:val="24"/>
                <w:szCs w:val="21"/>
              </w:rPr>
              <w:t>、PM</w:t>
            </w:r>
            <w:r>
              <w:rPr>
                <w:bCs/>
                <w:spacing w:val="10"/>
                <w:sz w:val="24"/>
                <w:szCs w:val="21"/>
                <w:vertAlign w:val="subscript"/>
              </w:rPr>
              <w:t>2.5</w:t>
            </w:r>
            <w:r>
              <w:rPr>
                <w:bCs/>
                <w:spacing w:val="10"/>
                <w:sz w:val="24"/>
                <w:szCs w:val="21"/>
              </w:rPr>
              <w:t>年均浓度分别为10μg/m</w:t>
            </w:r>
            <w:r>
              <w:rPr>
                <w:bCs/>
                <w:spacing w:val="10"/>
                <w:sz w:val="24"/>
                <w:szCs w:val="21"/>
                <w:vertAlign w:val="superscript"/>
              </w:rPr>
              <w:t>3</w:t>
            </w:r>
            <w:r>
              <w:rPr>
                <w:bCs/>
                <w:spacing w:val="10"/>
                <w:sz w:val="24"/>
                <w:szCs w:val="21"/>
              </w:rPr>
              <w:t>、38μg/m</w:t>
            </w:r>
            <w:r>
              <w:rPr>
                <w:bCs/>
                <w:spacing w:val="10"/>
                <w:sz w:val="24"/>
                <w:szCs w:val="21"/>
                <w:vertAlign w:val="superscript"/>
              </w:rPr>
              <w:t>3</w:t>
            </w:r>
            <w:r>
              <w:rPr>
                <w:bCs/>
                <w:spacing w:val="10"/>
                <w:sz w:val="24"/>
                <w:szCs w:val="21"/>
              </w:rPr>
              <w:t>、98μg/m</w:t>
            </w:r>
            <w:r>
              <w:rPr>
                <w:bCs/>
                <w:spacing w:val="10"/>
                <w:sz w:val="24"/>
                <w:szCs w:val="21"/>
                <w:vertAlign w:val="superscript"/>
              </w:rPr>
              <w:t>3</w:t>
            </w:r>
            <w:r>
              <w:rPr>
                <w:bCs/>
                <w:spacing w:val="10"/>
                <w:sz w:val="24"/>
                <w:szCs w:val="21"/>
              </w:rPr>
              <w:t>、57μg/m</w:t>
            </w:r>
            <w:r>
              <w:rPr>
                <w:bCs/>
                <w:spacing w:val="10"/>
                <w:sz w:val="24"/>
                <w:szCs w:val="21"/>
                <w:vertAlign w:val="superscript"/>
              </w:rPr>
              <w:t>3</w:t>
            </w:r>
            <w:r>
              <w:rPr>
                <w:bCs/>
                <w:spacing w:val="10"/>
                <w:sz w:val="24"/>
                <w:szCs w:val="21"/>
              </w:rPr>
              <w:t>；CO24小时平均第95百分位数为2.4mg/m</w:t>
            </w:r>
            <w:r>
              <w:rPr>
                <w:bCs/>
                <w:spacing w:val="10"/>
                <w:sz w:val="24"/>
                <w:szCs w:val="21"/>
                <w:vertAlign w:val="superscript"/>
              </w:rPr>
              <w:t>3</w:t>
            </w:r>
            <w:r>
              <w:rPr>
                <w:bCs/>
                <w:spacing w:val="10"/>
                <w:sz w:val="24"/>
                <w:szCs w:val="21"/>
              </w:rPr>
              <w:t>，O</w:t>
            </w:r>
            <w:r>
              <w:rPr>
                <w:bCs/>
                <w:spacing w:val="10"/>
                <w:sz w:val="24"/>
                <w:szCs w:val="21"/>
                <w:vertAlign w:val="subscript"/>
              </w:rPr>
              <w:t>3</w:t>
            </w:r>
            <w:r>
              <w:rPr>
                <w:bCs/>
                <w:spacing w:val="10"/>
                <w:sz w:val="24"/>
                <w:szCs w:val="21"/>
              </w:rPr>
              <w:t>日最大8小时平均第90百分位数为122μg/</w:t>
            </w:r>
            <w:r>
              <w:rPr>
                <w:rFonts w:hint="eastAsia"/>
                <w:bCs/>
                <w:spacing w:val="10"/>
                <w:sz w:val="24"/>
                <w:szCs w:val="21"/>
              </w:rPr>
              <w:t>m³。</w:t>
            </w:r>
          </w:p>
          <w:p>
            <w:pPr>
              <w:adjustRightInd w:val="0"/>
              <w:snapToGrid w:val="0"/>
              <w:spacing w:line="408" w:lineRule="auto"/>
              <w:ind w:firstLine="520" w:firstLineChars="200"/>
              <w:rPr>
                <w:bCs/>
                <w:spacing w:val="10"/>
                <w:sz w:val="24"/>
                <w:szCs w:val="21"/>
              </w:rPr>
            </w:pPr>
            <w:r>
              <w:rPr>
                <w:rFonts w:hint="eastAsia"/>
                <w:bCs/>
                <w:spacing w:val="10"/>
                <w:sz w:val="24"/>
                <w:szCs w:val="21"/>
              </w:rPr>
              <w:t>（2）</w:t>
            </w:r>
            <w:r>
              <w:rPr>
                <w:bCs/>
                <w:spacing w:val="10"/>
                <w:sz w:val="24"/>
                <w:szCs w:val="21"/>
              </w:rPr>
              <w:t>评价标准</w:t>
            </w:r>
          </w:p>
          <w:p>
            <w:pPr>
              <w:adjustRightInd w:val="0"/>
              <w:snapToGrid w:val="0"/>
              <w:spacing w:line="408" w:lineRule="auto"/>
              <w:ind w:firstLine="520" w:firstLineChars="200"/>
              <w:rPr>
                <w:bCs/>
                <w:spacing w:val="10"/>
                <w:sz w:val="24"/>
                <w:szCs w:val="21"/>
              </w:rPr>
            </w:pPr>
            <w:r>
              <w:rPr>
                <w:bCs/>
                <w:spacing w:val="10"/>
                <w:sz w:val="24"/>
                <w:szCs w:val="21"/>
              </w:rPr>
              <w:t>本次评价基本污染物执行《环境空气质量标准》（GB3095-2012）中的二级标准。</w:t>
            </w:r>
          </w:p>
          <w:p>
            <w:pPr>
              <w:adjustRightInd w:val="0"/>
              <w:snapToGrid w:val="0"/>
              <w:spacing w:line="408" w:lineRule="auto"/>
              <w:ind w:firstLine="520" w:firstLineChars="200"/>
              <w:rPr>
                <w:bCs/>
                <w:spacing w:val="10"/>
                <w:sz w:val="24"/>
                <w:szCs w:val="21"/>
              </w:rPr>
            </w:pPr>
            <w:r>
              <w:rPr>
                <w:rFonts w:hint="eastAsia"/>
                <w:bCs/>
                <w:spacing w:val="10"/>
                <w:sz w:val="24"/>
                <w:szCs w:val="21"/>
              </w:rPr>
              <w:t>（3）评价方法</w:t>
            </w:r>
          </w:p>
          <w:p>
            <w:pPr>
              <w:adjustRightInd w:val="0"/>
              <w:snapToGrid w:val="0"/>
              <w:spacing w:line="408" w:lineRule="auto"/>
              <w:ind w:firstLine="520" w:firstLineChars="200"/>
              <w:rPr>
                <w:bCs/>
                <w:spacing w:val="10"/>
                <w:sz w:val="24"/>
                <w:szCs w:val="21"/>
              </w:rPr>
            </w:pPr>
            <w:r>
              <w:rPr>
                <w:bCs/>
                <w:spacing w:val="10"/>
                <w:sz w:val="24"/>
                <w:szCs w:val="21"/>
              </w:rPr>
              <w:t>基本污染物按照《环境空气质量评价技术规范（试行）》（HJ663-2013）中各评价项目的年评价指标进行判定。年评价指标中的年均浓度和相应百分位数24h平均或8h平均质量浓度满足《环境空气质量标准》（GB3095-2012）中</w:t>
            </w:r>
            <w:r>
              <w:rPr>
                <w:rFonts w:hint="eastAsia"/>
                <w:bCs/>
                <w:spacing w:val="10"/>
                <w:sz w:val="24"/>
                <w:szCs w:val="21"/>
              </w:rPr>
              <w:t>二级标准</w:t>
            </w:r>
            <w:r>
              <w:rPr>
                <w:bCs/>
                <w:spacing w:val="10"/>
                <w:sz w:val="24"/>
                <w:szCs w:val="21"/>
              </w:rPr>
              <w:t>浓度限值要求的即为达标。对于超标的污染物，计算其超标倍数和超标率</w:t>
            </w:r>
          </w:p>
          <w:p>
            <w:pPr>
              <w:adjustRightInd w:val="0"/>
              <w:snapToGrid w:val="0"/>
              <w:spacing w:line="408" w:lineRule="auto"/>
              <w:ind w:firstLine="520" w:firstLineChars="200"/>
              <w:rPr>
                <w:bCs/>
                <w:spacing w:val="10"/>
                <w:sz w:val="24"/>
                <w:szCs w:val="21"/>
              </w:rPr>
            </w:pPr>
            <w:r>
              <w:rPr>
                <w:rFonts w:hint="eastAsia"/>
                <w:bCs/>
                <w:spacing w:val="10"/>
                <w:sz w:val="24"/>
                <w:szCs w:val="21"/>
              </w:rPr>
              <w:t>空气质量达标区判定结果见表</w:t>
            </w:r>
          </w:p>
          <w:p>
            <w:pPr>
              <w:spacing w:line="460" w:lineRule="exact"/>
              <w:ind w:firstLine="525" w:firstLineChars="249"/>
              <w:jc w:val="center"/>
              <w:rPr>
                <w:b/>
                <w:bCs/>
                <w:kern w:val="0"/>
                <w:szCs w:val="18"/>
              </w:rPr>
            </w:pPr>
            <w:r>
              <w:rPr>
                <w:b/>
                <w:bCs/>
                <w:kern w:val="0"/>
                <w:szCs w:val="18"/>
              </w:rPr>
              <w:t>表</w:t>
            </w:r>
            <w:r>
              <w:rPr>
                <w:rFonts w:hint="eastAsia"/>
                <w:b/>
                <w:bCs/>
                <w:kern w:val="0"/>
                <w:szCs w:val="18"/>
              </w:rPr>
              <w:t>14</w:t>
            </w:r>
            <w:r>
              <w:rPr>
                <w:b/>
                <w:bCs/>
                <w:kern w:val="0"/>
                <w:szCs w:val="18"/>
              </w:rPr>
              <w:t xml:space="preserve"> </w:t>
            </w:r>
            <w:r>
              <w:rPr>
                <w:rFonts w:hint="eastAsia"/>
                <w:b/>
                <w:bCs/>
                <w:kern w:val="0"/>
                <w:szCs w:val="18"/>
              </w:rPr>
              <w:t>阜康市</w:t>
            </w:r>
            <w:r>
              <w:rPr>
                <w:b/>
                <w:bCs/>
                <w:kern w:val="0"/>
                <w:szCs w:val="18"/>
              </w:rPr>
              <w:t>2021年空气质量达标区判定结果一览表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2226"/>
              <w:gridCol w:w="1047"/>
              <w:gridCol w:w="1048"/>
              <w:gridCol w:w="1048"/>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评</w:t>
                  </w:r>
                  <w:r>
                    <w:rPr>
                      <w:rFonts w:hint="eastAsia"/>
                      <w:lang w:eastAsia="zh-CN"/>
                    </w:rPr>
                    <w:t>价</w:t>
                  </w:r>
                  <w:r>
                    <w:rPr>
                      <w:lang w:eastAsia="zh-CN"/>
                    </w:rPr>
                    <w:t>因</w:t>
                  </w:r>
                  <w:r>
                    <w:rPr>
                      <w:rFonts w:hint="eastAsia"/>
                      <w:lang w:eastAsia="zh-CN"/>
                    </w:rPr>
                    <w:t>子</w:t>
                  </w:r>
                </w:p>
              </w:tc>
              <w:tc>
                <w:tcPr>
                  <w:tcW w:w="1493" w:type="pct"/>
                  <w:vAlign w:val="center"/>
                </w:tcPr>
                <w:p>
                  <w:pPr>
                    <w:pStyle w:val="42"/>
                    <w:spacing w:line="240" w:lineRule="auto"/>
                    <w:rPr>
                      <w:lang w:eastAsia="zh-CN"/>
                    </w:rPr>
                  </w:pPr>
                  <w:r>
                    <w:rPr>
                      <w:lang w:eastAsia="zh-CN"/>
                    </w:rPr>
                    <w:t>年评价指标</w:t>
                  </w:r>
                </w:p>
              </w:tc>
              <w:tc>
                <w:tcPr>
                  <w:tcW w:w="702" w:type="pct"/>
                  <w:vAlign w:val="center"/>
                </w:tcPr>
                <w:p>
                  <w:pPr>
                    <w:pStyle w:val="42"/>
                    <w:spacing w:line="240" w:lineRule="auto"/>
                    <w:rPr>
                      <w:lang w:eastAsia="zh-CN"/>
                    </w:rPr>
                  </w:pPr>
                  <w:r>
                    <w:rPr>
                      <w:lang w:eastAsia="zh-CN"/>
                    </w:rPr>
                    <w:t>现状浓度</w:t>
                  </w:r>
                  <w:r>
                    <w:t>μ</w:t>
                  </w:r>
                  <w:r>
                    <w:rPr>
                      <w:lang w:eastAsia="zh-CN"/>
                    </w:rPr>
                    <w:t>g/m</w:t>
                  </w:r>
                  <w:r>
                    <w:rPr>
                      <w:vertAlign w:val="superscript"/>
                      <w:lang w:eastAsia="zh-CN"/>
                    </w:rPr>
                    <w:t>3</w:t>
                  </w:r>
                </w:p>
              </w:tc>
              <w:tc>
                <w:tcPr>
                  <w:tcW w:w="703" w:type="pct"/>
                  <w:vAlign w:val="center"/>
                </w:tcPr>
                <w:p>
                  <w:pPr>
                    <w:pStyle w:val="42"/>
                    <w:spacing w:line="240" w:lineRule="auto"/>
                    <w:rPr>
                      <w:lang w:eastAsia="zh-CN"/>
                    </w:rPr>
                  </w:pPr>
                  <w:r>
                    <w:rPr>
                      <w:lang w:eastAsia="zh-CN"/>
                    </w:rPr>
                    <w:t>评价标准</w:t>
                  </w:r>
                  <w:r>
                    <w:t>μ</w:t>
                  </w:r>
                  <w:r>
                    <w:rPr>
                      <w:lang w:eastAsia="zh-CN"/>
                    </w:rPr>
                    <w:t>g/m</w:t>
                  </w:r>
                  <w:r>
                    <w:rPr>
                      <w:vertAlign w:val="superscript"/>
                      <w:lang w:eastAsia="zh-CN"/>
                    </w:rPr>
                    <w:t>3</w:t>
                  </w:r>
                </w:p>
              </w:tc>
              <w:tc>
                <w:tcPr>
                  <w:tcW w:w="703" w:type="pct"/>
                  <w:vAlign w:val="center"/>
                </w:tcPr>
                <w:p>
                  <w:pPr>
                    <w:pStyle w:val="42"/>
                    <w:spacing w:line="240" w:lineRule="auto"/>
                    <w:rPr>
                      <w:lang w:eastAsia="zh-CN"/>
                    </w:rPr>
                  </w:pPr>
                  <w:r>
                    <w:rPr>
                      <w:lang w:eastAsia="zh-CN"/>
                    </w:rPr>
                    <w:t>占标率/%</w:t>
                  </w:r>
                </w:p>
              </w:tc>
              <w:tc>
                <w:tcPr>
                  <w:tcW w:w="671" w:type="pct"/>
                  <w:vAlign w:val="center"/>
                </w:tcPr>
                <w:p>
                  <w:pPr>
                    <w:pStyle w:val="42"/>
                    <w:spacing w:line="240" w:lineRule="auto"/>
                    <w:rPr>
                      <w:lang w:eastAsia="zh-CN"/>
                    </w:rPr>
                  </w:pPr>
                  <w:r>
                    <w:rPr>
                      <w:lang w:eastAsia="zh-CN"/>
                    </w:rPr>
                    <w:t>达标情</w:t>
                  </w:r>
                  <w:r>
                    <w:rPr>
                      <w:rFonts w:hint="eastAsia"/>
                      <w:lang w:eastAsia="zh-CN"/>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SO</w:t>
                  </w:r>
                  <w:r>
                    <w:rPr>
                      <w:vertAlign w:val="subscript"/>
                      <w:lang w:eastAsia="zh-CN"/>
                    </w:rPr>
                    <w:t>2</w:t>
                  </w:r>
                </w:p>
              </w:tc>
              <w:tc>
                <w:tcPr>
                  <w:tcW w:w="1493" w:type="pct"/>
                  <w:vAlign w:val="center"/>
                </w:tcPr>
                <w:p>
                  <w:pPr>
                    <w:pStyle w:val="42"/>
                    <w:spacing w:line="240" w:lineRule="auto"/>
                    <w:rPr>
                      <w:lang w:eastAsia="zh-CN"/>
                    </w:rPr>
                  </w:pPr>
                  <w:r>
                    <w:rPr>
                      <w:lang w:eastAsia="zh-CN"/>
                    </w:rPr>
                    <w:t>年平均</w:t>
                  </w:r>
                </w:p>
              </w:tc>
              <w:tc>
                <w:tcPr>
                  <w:tcW w:w="702" w:type="pct"/>
                  <w:vAlign w:val="center"/>
                </w:tcPr>
                <w:p>
                  <w:pPr>
                    <w:pStyle w:val="42"/>
                    <w:spacing w:line="240" w:lineRule="auto"/>
                    <w:rPr>
                      <w:lang w:eastAsia="zh-CN"/>
                    </w:rPr>
                  </w:pPr>
                  <w:r>
                    <w:rPr>
                      <w:lang w:eastAsia="zh-CN"/>
                    </w:rPr>
                    <w:t>10</w:t>
                  </w:r>
                </w:p>
              </w:tc>
              <w:tc>
                <w:tcPr>
                  <w:tcW w:w="703" w:type="pct"/>
                  <w:vAlign w:val="center"/>
                </w:tcPr>
                <w:p>
                  <w:pPr>
                    <w:pStyle w:val="42"/>
                    <w:spacing w:line="240" w:lineRule="auto"/>
                    <w:rPr>
                      <w:lang w:eastAsia="zh-CN"/>
                    </w:rPr>
                  </w:pPr>
                  <w:r>
                    <w:rPr>
                      <w:lang w:eastAsia="zh-CN"/>
                    </w:rPr>
                    <w:t>60</w:t>
                  </w:r>
                </w:p>
              </w:tc>
              <w:tc>
                <w:tcPr>
                  <w:tcW w:w="703" w:type="pct"/>
                  <w:vAlign w:val="center"/>
                </w:tcPr>
                <w:p>
                  <w:pPr>
                    <w:pStyle w:val="42"/>
                    <w:spacing w:line="240" w:lineRule="auto"/>
                    <w:rPr>
                      <w:lang w:eastAsia="zh-CN"/>
                    </w:rPr>
                  </w:pPr>
                  <w:r>
                    <w:rPr>
                      <w:lang w:eastAsia="zh-CN"/>
                    </w:rPr>
                    <w:t>16.</w:t>
                  </w:r>
                  <w:r>
                    <w:rPr>
                      <w:rFonts w:hint="eastAsia"/>
                      <w:lang w:eastAsia="zh-CN"/>
                    </w:rPr>
                    <w:t>7</w:t>
                  </w:r>
                  <w:r>
                    <w:rPr>
                      <w:lang w:eastAsia="zh-CN"/>
                    </w:rPr>
                    <w:t>%</w:t>
                  </w:r>
                </w:p>
              </w:tc>
              <w:tc>
                <w:tcPr>
                  <w:tcW w:w="671" w:type="pct"/>
                  <w:vAlign w:val="center"/>
                </w:tcPr>
                <w:p>
                  <w:pPr>
                    <w:pStyle w:val="42"/>
                    <w:spacing w:line="240" w:lineRule="auto"/>
                    <w:rPr>
                      <w:lang w:eastAsia="zh-CN"/>
                    </w:rPr>
                  </w:pPr>
                  <w:r>
                    <w:rPr>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NO</w:t>
                  </w:r>
                  <w:r>
                    <w:rPr>
                      <w:vertAlign w:val="subscript"/>
                      <w:lang w:eastAsia="zh-CN"/>
                    </w:rPr>
                    <w:t>2</w:t>
                  </w:r>
                </w:p>
              </w:tc>
              <w:tc>
                <w:tcPr>
                  <w:tcW w:w="1493" w:type="pct"/>
                  <w:vAlign w:val="center"/>
                </w:tcPr>
                <w:p>
                  <w:pPr>
                    <w:pStyle w:val="42"/>
                    <w:spacing w:line="240" w:lineRule="auto"/>
                    <w:rPr>
                      <w:lang w:eastAsia="zh-CN"/>
                    </w:rPr>
                  </w:pPr>
                  <w:r>
                    <w:rPr>
                      <w:lang w:eastAsia="zh-CN"/>
                    </w:rPr>
                    <w:t>年平均</w:t>
                  </w:r>
                </w:p>
              </w:tc>
              <w:tc>
                <w:tcPr>
                  <w:tcW w:w="702" w:type="pct"/>
                  <w:vAlign w:val="center"/>
                </w:tcPr>
                <w:p>
                  <w:pPr>
                    <w:pStyle w:val="42"/>
                    <w:spacing w:line="240" w:lineRule="auto"/>
                    <w:rPr>
                      <w:lang w:eastAsia="zh-CN"/>
                    </w:rPr>
                  </w:pPr>
                  <w:r>
                    <w:rPr>
                      <w:lang w:eastAsia="zh-CN"/>
                    </w:rPr>
                    <w:t>38</w:t>
                  </w:r>
                </w:p>
              </w:tc>
              <w:tc>
                <w:tcPr>
                  <w:tcW w:w="703" w:type="pct"/>
                  <w:vAlign w:val="center"/>
                </w:tcPr>
                <w:p>
                  <w:pPr>
                    <w:pStyle w:val="42"/>
                    <w:spacing w:line="240" w:lineRule="auto"/>
                    <w:rPr>
                      <w:lang w:eastAsia="zh-CN"/>
                    </w:rPr>
                  </w:pPr>
                  <w:r>
                    <w:rPr>
                      <w:lang w:eastAsia="zh-CN"/>
                    </w:rPr>
                    <w:t>40</w:t>
                  </w:r>
                </w:p>
              </w:tc>
              <w:tc>
                <w:tcPr>
                  <w:tcW w:w="703" w:type="pct"/>
                  <w:vAlign w:val="center"/>
                </w:tcPr>
                <w:p>
                  <w:pPr>
                    <w:pStyle w:val="42"/>
                    <w:spacing w:line="240" w:lineRule="auto"/>
                    <w:rPr>
                      <w:lang w:eastAsia="zh-CN"/>
                    </w:rPr>
                  </w:pPr>
                  <w:r>
                    <w:rPr>
                      <w:lang w:eastAsia="zh-CN"/>
                    </w:rPr>
                    <w:t>95%</w:t>
                  </w:r>
                </w:p>
              </w:tc>
              <w:tc>
                <w:tcPr>
                  <w:tcW w:w="671" w:type="pct"/>
                  <w:vAlign w:val="center"/>
                </w:tcPr>
                <w:p>
                  <w:pPr>
                    <w:pStyle w:val="42"/>
                    <w:spacing w:line="240" w:lineRule="auto"/>
                    <w:rPr>
                      <w:lang w:eastAsia="zh-CN"/>
                    </w:rPr>
                  </w:pPr>
                  <w:r>
                    <w:rPr>
                      <w:lang w:eastAsia="zh-CN"/>
                    </w:rPr>
                    <w:t>达</w:t>
                  </w:r>
                  <w:r>
                    <w:rPr>
                      <w:rFonts w:hint="eastAsia"/>
                      <w:lang w:eastAsia="zh-CN"/>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rFonts w:hint="eastAsia"/>
                      <w:lang w:eastAsia="zh-CN"/>
                    </w:rPr>
                    <w:t>C</w:t>
                  </w:r>
                  <w:r>
                    <w:rPr>
                      <w:lang w:eastAsia="zh-CN"/>
                    </w:rPr>
                    <w:t>O</w:t>
                  </w:r>
                </w:p>
              </w:tc>
              <w:tc>
                <w:tcPr>
                  <w:tcW w:w="1493" w:type="pct"/>
                  <w:vAlign w:val="center"/>
                </w:tcPr>
                <w:p>
                  <w:pPr>
                    <w:pStyle w:val="42"/>
                    <w:spacing w:line="240" w:lineRule="auto"/>
                    <w:rPr>
                      <w:lang w:eastAsia="zh-CN"/>
                    </w:rPr>
                  </w:pPr>
                  <w:r>
                    <w:rPr>
                      <w:lang w:eastAsia="zh-CN"/>
                    </w:rPr>
                    <w:t>日平均第95百分位数</w:t>
                  </w:r>
                </w:p>
              </w:tc>
              <w:tc>
                <w:tcPr>
                  <w:tcW w:w="702" w:type="pct"/>
                  <w:vAlign w:val="center"/>
                </w:tcPr>
                <w:p>
                  <w:pPr>
                    <w:pStyle w:val="42"/>
                    <w:spacing w:line="240" w:lineRule="auto"/>
                    <w:rPr>
                      <w:lang w:eastAsia="zh-CN"/>
                    </w:rPr>
                  </w:pPr>
                  <w:r>
                    <w:rPr>
                      <w:lang w:eastAsia="zh-CN"/>
                    </w:rPr>
                    <w:t>2.4mg/m</w:t>
                  </w:r>
                  <w:r>
                    <w:rPr>
                      <w:vertAlign w:val="superscript"/>
                      <w:lang w:eastAsia="zh-CN"/>
                    </w:rPr>
                    <w:t>3</w:t>
                  </w:r>
                </w:p>
              </w:tc>
              <w:tc>
                <w:tcPr>
                  <w:tcW w:w="703" w:type="pct"/>
                  <w:vAlign w:val="center"/>
                </w:tcPr>
                <w:p>
                  <w:pPr>
                    <w:pStyle w:val="42"/>
                    <w:spacing w:line="240" w:lineRule="auto"/>
                    <w:rPr>
                      <w:lang w:eastAsia="zh-CN"/>
                    </w:rPr>
                  </w:pPr>
                  <w:r>
                    <w:rPr>
                      <w:lang w:eastAsia="zh-CN"/>
                    </w:rPr>
                    <w:t>4mg/m</w:t>
                  </w:r>
                  <w:r>
                    <w:rPr>
                      <w:vertAlign w:val="superscript"/>
                      <w:lang w:eastAsia="zh-CN"/>
                    </w:rPr>
                    <w:t>3</w:t>
                  </w:r>
                </w:p>
              </w:tc>
              <w:tc>
                <w:tcPr>
                  <w:tcW w:w="703" w:type="pct"/>
                  <w:vAlign w:val="center"/>
                </w:tcPr>
                <w:p>
                  <w:pPr>
                    <w:pStyle w:val="42"/>
                    <w:spacing w:line="240" w:lineRule="auto"/>
                    <w:rPr>
                      <w:lang w:eastAsia="zh-CN"/>
                    </w:rPr>
                  </w:pPr>
                  <w:r>
                    <w:rPr>
                      <w:lang w:eastAsia="zh-CN"/>
                    </w:rPr>
                    <w:t>60%</w:t>
                  </w:r>
                </w:p>
              </w:tc>
              <w:tc>
                <w:tcPr>
                  <w:tcW w:w="671" w:type="pct"/>
                  <w:vAlign w:val="center"/>
                </w:tcPr>
                <w:p>
                  <w:pPr>
                    <w:pStyle w:val="42"/>
                    <w:spacing w:line="240" w:lineRule="auto"/>
                    <w:rPr>
                      <w:lang w:eastAsia="zh-CN"/>
                    </w:rPr>
                  </w:pPr>
                  <w:r>
                    <w:rPr>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O</w:t>
                  </w:r>
                  <w:r>
                    <w:rPr>
                      <w:vertAlign w:val="subscript"/>
                      <w:lang w:eastAsia="zh-CN"/>
                    </w:rPr>
                    <w:t>3</w:t>
                  </w:r>
                </w:p>
              </w:tc>
              <w:tc>
                <w:tcPr>
                  <w:tcW w:w="1493" w:type="pct"/>
                  <w:vAlign w:val="center"/>
                </w:tcPr>
                <w:p>
                  <w:pPr>
                    <w:pStyle w:val="42"/>
                    <w:spacing w:line="240" w:lineRule="auto"/>
                    <w:rPr>
                      <w:lang w:eastAsia="zh-CN"/>
                    </w:rPr>
                  </w:pPr>
                  <w:r>
                    <w:rPr>
                      <w:lang w:eastAsia="zh-CN"/>
                    </w:rPr>
                    <w:t>日平均第90百分位数</w:t>
                  </w:r>
                </w:p>
              </w:tc>
              <w:tc>
                <w:tcPr>
                  <w:tcW w:w="702" w:type="pct"/>
                  <w:vAlign w:val="center"/>
                </w:tcPr>
                <w:p>
                  <w:pPr>
                    <w:pStyle w:val="42"/>
                    <w:spacing w:line="240" w:lineRule="auto"/>
                    <w:rPr>
                      <w:lang w:eastAsia="zh-CN"/>
                    </w:rPr>
                  </w:pPr>
                  <w:r>
                    <w:rPr>
                      <w:lang w:eastAsia="zh-CN"/>
                    </w:rPr>
                    <w:t>122</w:t>
                  </w:r>
                </w:p>
              </w:tc>
              <w:tc>
                <w:tcPr>
                  <w:tcW w:w="703" w:type="pct"/>
                  <w:vAlign w:val="center"/>
                </w:tcPr>
                <w:p>
                  <w:pPr>
                    <w:pStyle w:val="42"/>
                    <w:spacing w:line="240" w:lineRule="auto"/>
                    <w:rPr>
                      <w:lang w:eastAsia="zh-CN"/>
                    </w:rPr>
                  </w:pPr>
                  <w:r>
                    <w:rPr>
                      <w:rFonts w:hint="eastAsia"/>
                      <w:lang w:eastAsia="zh-CN"/>
                    </w:rPr>
                    <w:t>1</w:t>
                  </w:r>
                  <w:r>
                    <w:rPr>
                      <w:lang w:eastAsia="zh-CN"/>
                    </w:rPr>
                    <w:t>60</w:t>
                  </w:r>
                </w:p>
              </w:tc>
              <w:tc>
                <w:tcPr>
                  <w:tcW w:w="703" w:type="pct"/>
                  <w:vAlign w:val="center"/>
                </w:tcPr>
                <w:p>
                  <w:pPr>
                    <w:pStyle w:val="42"/>
                    <w:spacing w:line="240" w:lineRule="auto"/>
                    <w:rPr>
                      <w:lang w:eastAsia="zh-CN"/>
                    </w:rPr>
                  </w:pPr>
                  <w:r>
                    <w:rPr>
                      <w:lang w:eastAsia="zh-CN"/>
                    </w:rPr>
                    <w:t>76.3%</w:t>
                  </w:r>
                </w:p>
              </w:tc>
              <w:tc>
                <w:tcPr>
                  <w:tcW w:w="671" w:type="pct"/>
                  <w:vAlign w:val="center"/>
                </w:tcPr>
                <w:p>
                  <w:pPr>
                    <w:pStyle w:val="42"/>
                    <w:spacing w:line="240" w:lineRule="auto"/>
                    <w:rPr>
                      <w:lang w:eastAsia="zh-CN"/>
                    </w:rPr>
                  </w:pPr>
                  <w:r>
                    <w:rPr>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PM</w:t>
                  </w:r>
                  <w:r>
                    <w:rPr>
                      <w:vertAlign w:val="subscript"/>
                      <w:lang w:eastAsia="zh-CN"/>
                    </w:rPr>
                    <w:t>10</w:t>
                  </w:r>
                </w:p>
              </w:tc>
              <w:tc>
                <w:tcPr>
                  <w:tcW w:w="1493" w:type="pct"/>
                  <w:vAlign w:val="center"/>
                </w:tcPr>
                <w:p>
                  <w:pPr>
                    <w:pStyle w:val="42"/>
                    <w:spacing w:line="240" w:lineRule="auto"/>
                    <w:rPr>
                      <w:lang w:eastAsia="zh-CN"/>
                    </w:rPr>
                  </w:pPr>
                  <w:r>
                    <w:rPr>
                      <w:lang w:eastAsia="zh-CN"/>
                    </w:rPr>
                    <w:t>年平均</w:t>
                  </w:r>
                </w:p>
              </w:tc>
              <w:tc>
                <w:tcPr>
                  <w:tcW w:w="702" w:type="pct"/>
                  <w:vAlign w:val="center"/>
                </w:tcPr>
                <w:p>
                  <w:pPr>
                    <w:pStyle w:val="42"/>
                    <w:spacing w:line="240" w:lineRule="auto"/>
                    <w:rPr>
                      <w:lang w:eastAsia="zh-CN"/>
                    </w:rPr>
                  </w:pPr>
                  <w:r>
                    <w:rPr>
                      <w:lang w:eastAsia="zh-CN"/>
                    </w:rPr>
                    <w:t>98</w:t>
                  </w:r>
                </w:p>
              </w:tc>
              <w:tc>
                <w:tcPr>
                  <w:tcW w:w="703" w:type="pct"/>
                  <w:vAlign w:val="center"/>
                </w:tcPr>
                <w:p>
                  <w:pPr>
                    <w:pStyle w:val="42"/>
                    <w:spacing w:line="240" w:lineRule="auto"/>
                    <w:rPr>
                      <w:lang w:eastAsia="zh-CN"/>
                    </w:rPr>
                  </w:pPr>
                  <w:r>
                    <w:rPr>
                      <w:lang w:eastAsia="zh-CN"/>
                    </w:rPr>
                    <w:t>70</w:t>
                  </w:r>
                </w:p>
              </w:tc>
              <w:tc>
                <w:tcPr>
                  <w:tcW w:w="703" w:type="pct"/>
                  <w:vAlign w:val="center"/>
                </w:tcPr>
                <w:p>
                  <w:pPr>
                    <w:pStyle w:val="42"/>
                    <w:spacing w:line="240" w:lineRule="auto"/>
                    <w:rPr>
                      <w:lang w:eastAsia="zh-CN"/>
                    </w:rPr>
                  </w:pPr>
                  <w:r>
                    <w:rPr>
                      <w:lang w:eastAsia="zh-CN"/>
                    </w:rPr>
                    <w:t>130.7%</w:t>
                  </w:r>
                </w:p>
              </w:tc>
              <w:tc>
                <w:tcPr>
                  <w:tcW w:w="671" w:type="pct"/>
                  <w:vAlign w:val="center"/>
                </w:tcPr>
                <w:p>
                  <w:pPr>
                    <w:pStyle w:val="42"/>
                    <w:spacing w:line="240" w:lineRule="auto"/>
                    <w:rPr>
                      <w:lang w:eastAsia="zh-CN"/>
                    </w:rPr>
                  </w:pPr>
                  <w:r>
                    <w:rPr>
                      <w:rFonts w:hint="eastAsia"/>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Align w:val="center"/>
                </w:tcPr>
                <w:p>
                  <w:pPr>
                    <w:pStyle w:val="42"/>
                    <w:spacing w:line="240" w:lineRule="auto"/>
                    <w:rPr>
                      <w:lang w:eastAsia="zh-CN"/>
                    </w:rPr>
                  </w:pPr>
                  <w:r>
                    <w:rPr>
                      <w:lang w:eastAsia="zh-CN"/>
                    </w:rPr>
                    <w:t>PM</w:t>
                  </w:r>
                  <w:r>
                    <w:rPr>
                      <w:vertAlign w:val="subscript"/>
                      <w:lang w:eastAsia="zh-CN"/>
                    </w:rPr>
                    <w:t>2.5</w:t>
                  </w:r>
                </w:p>
              </w:tc>
              <w:tc>
                <w:tcPr>
                  <w:tcW w:w="1493" w:type="pct"/>
                  <w:vAlign w:val="center"/>
                </w:tcPr>
                <w:p>
                  <w:pPr>
                    <w:pStyle w:val="42"/>
                    <w:spacing w:line="240" w:lineRule="auto"/>
                    <w:rPr>
                      <w:lang w:eastAsia="zh-CN"/>
                    </w:rPr>
                  </w:pPr>
                  <w:r>
                    <w:rPr>
                      <w:lang w:eastAsia="zh-CN"/>
                    </w:rPr>
                    <w:t>年均</w:t>
                  </w:r>
                </w:p>
              </w:tc>
              <w:tc>
                <w:tcPr>
                  <w:tcW w:w="702" w:type="pct"/>
                  <w:vAlign w:val="center"/>
                </w:tcPr>
                <w:p>
                  <w:pPr>
                    <w:pStyle w:val="42"/>
                    <w:spacing w:line="240" w:lineRule="auto"/>
                    <w:rPr>
                      <w:lang w:eastAsia="zh-CN"/>
                    </w:rPr>
                  </w:pPr>
                  <w:r>
                    <w:rPr>
                      <w:lang w:eastAsia="zh-CN"/>
                    </w:rPr>
                    <w:t>57</w:t>
                  </w:r>
                </w:p>
              </w:tc>
              <w:tc>
                <w:tcPr>
                  <w:tcW w:w="703" w:type="pct"/>
                  <w:vAlign w:val="center"/>
                </w:tcPr>
                <w:p>
                  <w:pPr>
                    <w:pStyle w:val="42"/>
                    <w:spacing w:line="240" w:lineRule="auto"/>
                    <w:rPr>
                      <w:lang w:eastAsia="zh-CN"/>
                    </w:rPr>
                  </w:pPr>
                  <w:r>
                    <w:rPr>
                      <w:lang w:eastAsia="zh-CN"/>
                    </w:rPr>
                    <w:t>35</w:t>
                  </w:r>
                </w:p>
              </w:tc>
              <w:tc>
                <w:tcPr>
                  <w:tcW w:w="703" w:type="pct"/>
                  <w:vAlign w:val="center"/>
                </w:tcPr>
                <w:p>
                  <w:pPr>
                    <w:pStyle w:val="42"/>
                    <w:spacing w:line="240" w:lineRule="auto"/>
                    <w:rPr>
                      <w:lang w:eastAsia="zh-CN"/>
                    </w:rPr>
                  </w:pPr>
                  <w:r>
                    <w:rPr>
                      <w:lang w:eastAsia="zh-CN"/>
                    </w:rPr>
                    <w:t>162.9%</w:t>
                  </w:r>
                </w:p>
              </w:tc>
              <w:tc>
                <w:tcPr>
                  <w:tcW w:w="671" w:type="pct"/>
                  <w:vAlign w:val="center"/>
                </w:tcPr>
                <w:p>
                  <w:pPr>
                    <w:pStyle w:val="42"/>
                    <w:spacing w:line="240" w:lineRule="auto"/>
                    <w:rPr>
                      <w:lang w:eastAsia="zh-CN"/>
                    </w:rPr>
                  </w:pPr>
                  <w:r>
                    <w:rPr>
                      <w:rFonts w:hint="eastAsia"/>
                      <w:lang w:eastAsia="zh-CN"/>
                    </w:rPr>
                    <w:t>不达标</w:t>
                  </w:r>
                </w:p>
              </w:tc>
            </w:tr>
          </w:tbl>
          <w:p>
            <w:pPr>
              <w:adjustRightInd w:val="0"/>
              <w:snapToGrid w:val="0"/>
              <w:spacing w:line="408" w:lineRule="auto"/>
              <w:ind w:firstLine="520" w:firstLineChars="200"/>
              <w:rPr>
                <w:bCs/>
                <w:spacing w:val="10"/>
                <w:sz w:val="24"/>
                <w:szCs w:val="21"/>
              </w:rPr>
            </w:pPr>
            <w:r>
              <w:rPr>
                <w:rFonts w:hint="eastAsia"/>
                <w:bCs/>
                <w:spacing w:val="10"/>
                <w:sz w:val="24"/>
                <w:szCs w:val="21"/>
              </w:rPr>
              <w:t>由上表可以看出：项目所在区域PM</w:t>
            </w:r>
            <w:r>
              <w:rPr>
                <w:rFonts w:hint="eastAsia"/>
                <w:bCs/>
                <w:spacing w:val="10"/>
                <w:sz w:val="24"/>
                <w:szCs w:val="21"/>
                <w:vertAlign w:val="subscript"/>
              </w:rPr>
              <w:t>10</w:t>
            </w:r>
            <w:r>
              <w:rPr>
                <w:rFonts w:hint="eastAsia"/>
                <w:bCs/>
                <w:spacing w:val="10"/>
                <w:sz w:val="24"/>
                <w:szCs w:val="21"/>
              </w:rPr>
              <w:t>和PM</w:t>
            </w:r>
            <w:r>
              <w:rPr>
                <w:rFonts w:hint="eastAsia"/>
                <w:bCs/>
                <w:spacing w:val="10"/>
                <w:sz w:val="24"/>
                <w:szCs w:val="21"/>
                <w:vertAlign w:val="subscript"/>
              </w:rPr>
              <w:t>2.5</w:t>
            </w:r>
            <w:r>
              <w:rPr>
                <w:rFonts w:hint="eastAsia"/>
                <w:bCs/>
                <w:spacing w:val="10"/>
                <w:sz w:val="24"/>
                <w:szCs w:val="21"/>
              </w:rPr>
              <w:t>的年平均浓度超过《环境空气质量标准》（GB3095-2012）的二级标准要求；CO第95百分位数日平均浓度、O</w:t>
            </w:r>
            <w:r>
              <w:rPr>
                <w:rFonts w:hint="eastAsia"/>
                <w:bCs/>
                <w:spacing w:val="10"/>
                <w:sz w:val="24"/>
                <w:szCs w:val="21"/>
                <w:vertAlign w:val="subscript"/>
              </w:rPr>
              <w:t>3</w:t>
            </w:r>
            <w:r>
              <w:rPr>
                <w:rFonts w:hint="eastAsia"/>
                <w:bCs/>
                <w:spacing w:val="10"/>
                <w:sz w:val="24"/>
                <w:szCs w:val="21"/>
              </w:rPr>
              <w:t>最大8小时第90百分位数日平均浓度、SO</w:t>
            </w:r>
            <w:r>
              <w:rPr>
                <w:rFonts w:hint="eastAsia"/>
                <w:bCs/>
                <w:spacing w:val="10"/>
                <w:sz w:val="24"/>
                <w:szCs w:val="21"/>
                <w:vertAlign w:val="subscript"/>
              </w:rPr>
              <w:t>2</w:t>
            </w:r>
            <w:r>
              <w:rPr>
                <w:rFonts w:hint="eastAsia"/>
                <w:bCs/>
                <w:spacing w:val="10"/>
                <w:sz w:val="24"/>
                <w:szCs w:val="21"/>
              </w:rPr>
              <w:t>的年均浓度和NO</w:t>
            </w:r>
            <w:r>
              <w:rPr>
                <w:rFonts w:hint="eastAsia"/>
                <w:bCs/>
                <w:spacing w:val="10"/>
                <w:sz w:val="24"/>
                <w:szCs w:val="21"/>
                <w:vertAlign w:val="subscript"/>
              </w:rPr>
              <w:t>2</w:t>
            </w:r>
            <w:r>
              <w:rPr>
                <w:rFonts w:hint="eastAsia"/>
                <w:bCs/>
                <w:spacing w:val="10"/>
                <w:sz w:val="24"/>
                <w:szCs w:val="21"/>
              </w:rPr>
              <w:t>的</w:t>
            </w:r>
            <w:r>
              <w:rPr>
                <w:bCs/>
                <w:spacing w:val="10"/>
                <w:sz w:val="24"/>
                <w:szCs w:val="21"/>
              </w:rPr>
              <w:t>年均浓度</w:t>
            </w:r>
            <w:r>
              <w:rPr>
                <w:rFonts w:hint="eastAsia"/>
                <w:bCs/>
                <w:spacing w:val="10"/>
                <w:sz w:val="24"/>
                <w:szCs w:val="21"/>
              </w:rPr>
              <w:t>满足《环境空气质量标准》GB3095-2012）的二级标准要求，故本项目所在区域为不达标区域。</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5、地下水环境质量现状调查与评价</w:t>
            </w:r>
          </w:p>
          <w:p>
            <w:pPr>
              <w:autoSpaceDE w:val="0"/>
              <w:autoSpaceDN w:val="0"/>
              <w:adjustRightInd w:val="0"/>
              <w:spacing w:line="408" w:lineRule="auto"/>
              <w:ind w:firstLine="520" w:firstLineChars="200"/>
              <w:rPr>
                <w:bCs/>
                <w:spacing w:val="10"/>
                <w:sz w:val="24"/>
                <w:szCs w:val="21"/>
              </w:rPr>
            </w:pPr>
            <w:r>
              <w:rPr>
                <w:rFonts w:hint="eastAsia"/>
                <w:bCs/>
                <w:spacing w:val="10"/>
                <w:sz w:val="24"/>
                <w:szCs w:val="21"/>
              </w:rPr>
              <w:t>根据《环境影响评价技术导则地下水环境》（</w:t>
            </w:r>
            <w:r>
              <w:rPr>
                <w:bCs/>
                <w:spacing w:val="10"/>
                <w:sz w:val="24"/>
                <w:szCs w:val="21"/>
              </w:rPr>
              <w:t>HJ610-2016</w:t>
            </w:r>
            <w:r>
              <w:rPr>
                <w:rFonts w:hint="eastAsia"/>
                <w:bCs/>
                <w:spacing w:val="10"/>
                <w:sz w:val="24"/>
                <w:szCs w:val="21"/>
              </w:rPr>
              <w:t>）中附录</w:t>
            </w:r>
            <w:r>
              <w:rPr>
                <w:bCs/>
                <w:spacing w:val="10"/>
                <w:sz w:val="24"/>
                <w:szCs w:val="21"/>
              </w:rPr>
              <w:t>A</w:t>
            </w:r>
            <w:r>
              <w:rPr>
                <w:rFonts w:hint="eastAsia"/>
                <w:bCs/>
                <w:spacing w:val="10"/>
                <w:sz w:val="24"/>
                <w:szCs w:val="21"/>
              </w:rPr>
              <w:t>地下水环境影响评价行业分类表，本项目属于</w:t>
            </w:r>
            <w:r>
              <w:rPr>
                <w:bCs/>
                <w:spacing w:val="10"/>
                <w:sz w:val="24"/>
                <w:szCs w:val="21"/>
              </w:rPr>
              <w:t>“</w:t>
            </w:r>
            <w:r>
              <w:rPr>
                <w:rFonts w:hint="eastAsia"/>
                <w:bCs/>
                <w:spacing w:val="10"/>
                <w:sz w:val="24"/>
                <w:szCs w:val="21"/>
              </w:rPr>
              <w:t>124、新建铁路</w:t>
            </w:r>
            <w:r>
              <w:rPr>
                <w:bCs/>
                <w:spacing w:val="10"/>
                <w:sz w:val="24"/>
                <w:szCs w:val="21"/>
              </w:rPr>
              <w:t>”</w:t>
            </w:r>
            <w:r>
              <w:rPr>
                <w:rFonts w:hint="eastAsia"/>
                <w:bCs/>
                <w:spacing w:val="10"/>
                <w:sz w:val="24"/>
                <w:szCs w:val="21"/>
              </w:rPr>
              <w:t>，地下水环境影响评价类别属于Ⅳ类。根据导则要求，Ⅳ类建设项目不开展地下水环境影响评价，故本次评价不进行地下水质量现状调查。</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6、地表水环境质量质量现状调查与评价</w:t>
            </w:r>
          </w:p>
          <w:p>
            <w:pPr>
              <w:adjustRightInd w:val="0"/>
              <w:snapToGrid w:val="0"/>
              <w:spacing w:line="408" w:lineRule="auto"/>
              <w:ind w:firstLine="520" w:firstLineChars="200"/>
              <w:rPr>
                <w:bCs/>
                <w:spacing w:val="10"/>
                <w:sz w:val="24"/>
                <w:szCs w:val="21"/>
              </w:rPr>
            </w:pPr>
            <w:r>
              <w:rPr>
                <w:rFonts w:hint="eastAsia"/>
                <w:bCs/>
                <w:spacing w:val="10"/>
                <w:sz w:val="24"/>
                <w:szCs w:val="21"/>
              </w:rPr>
              <w:t>根据《环境影响评价技术导则地表水环境》（HJ2.3-2018），结合本项目工程特点，运营期无生产废水产生；</w:t>
            </w:r>
            <w:r>
              <w:rPr>
                <w:bCs/>
                <w:spacing w:val="10"/>
                <w:sz w:val="24"/>
                <w:szCs w:val="21"/>
              </w:rPr>
              <w:t>生活污水</w:t>
            </w:r>
            <w:r>
              <w:rPr>
                <w:rFonts w:hint="eastAsia"/>
                <w:bCs/>
                <w:spacing w:val="10"/>
                <w:sz w:val="24"/>
                <w:szCs w:val="21"/>
              </w:rPr>
              <w:t>排放量较小，</w:t>
            </w:r>
            <w:r>
              <w:rPr>
                <w:rFonts w:hint="eastAsia" w:hAnsi="宋体"/>
                <w:kern w:val="0"/>
                <w:sz w:val="24"/>
              </w:rPr>
              <w:t>排入新建化粪池</w:t>
            </w:r>
            <w:r>
              <w:rPr>
                <w:rFonts w:hAnsi="宋体"/>
                <w:kern w:val="0"/>
                <w:sz w:val="24"/>
              </w:rPr>
              <w:t>收集后</w:t>
            </w:r>
            <w:r>
              <w:rPr>
                <w:rFonts w:hint="eastAsia" w:hAnsi="宋体"/>
                <w:kern w:val="0"/>
                <w:sz w:val="24"/>
              </w:rPr>
              <w:t>，定期委托环卫部门吸污车清运集中处理，不外排</w:t>
            </w:r>
            <w:r>
              <w:rPr>
                <w:rFonts w:hint="eastAsia"/>
                <w:bCs/>
                <w:spacing w:val="10"/>
                <w:sz w:val="24"/>
                <w:szCs w:val="21"/>
              </w:rPr>
              <w:t>。本项目地表水评价等级判定为三级B，因此不开展区域地表水污染源调查与评价。</w:t>
            </w:r>
          </w:p>
          <w:p>
            <w:pPr>
              <w:autoSpaceDE w:val="0"/>
              <w:autoSpaceDN w:val="0"/>
              <w:adjustRightInd w:val="0"/>
              <w:spacing w:line="408" w:lineRule="auto"/>
              <w:ind w:firstLine="522" w:firstLineChars="200"/>
              <w:rPr>
                <w:b/>
                <w:bCs/>
                <w:spacing w:val="10"/>
                <w:sz w:val="24"/>
                <w:szCs w:val="21"/>
              </w:rPr>
            </w:pPr>
            <w:r>
              <w:rPr>
                <w:rFonts w:hint="eastAsia"/>
                <w:b/>
                <w:bCs/>
                <w:spacing w:val="10"/>
                <w:sz w:val="24"/>
                <w:szCs w:val="21"/>
              </w:rPr>
              <w:t>7、声环境质量调查与评价</w:t>
            </w:r>
          </w:p>
          <w:p>
            <w:pPr>
              <w:autoSpaceDE w:val="0"/>
              <w:autoSpaceDN w:val="0"/>
              <w:adjustRightInd w:val="0"/>
              <w:spacing w:line="408" w:lineRule="auto"/>
              <w:ind w:firstLine="520" w:firstLineChars="200"/>
              <w:rPr>
                <w:kern w:val="0"/>
                <w:sz w:val="24"/>
              </w:rPr>
            </w:pPr>
            <w:r>
              <w:rPr>
                <w:rFonts w:hint="eastAsia"/>
                <w:bCs/>
                <w:spacing w:val="10"/>
                <w:sz w:val="24"/>
                <w:szCs w:val="21"/>
              </w:rPr>
              <w:t>根据《建设项目环境影响报告表编制技术指南（生态影响类）》要求，固定声源环境质量现状监测参照《建设项目环境影响报告表编制技术指南（污染影响类）》相关规定开展。《建设项目环境影响报告表编制技术指南（污染影响类）》中要求：厂界外周边50米范围内存在声环境保护目标的建设项目，应监测保护目标声环境质量现状并评价达标情况。各点位应监测昼夜间噪声，监测时间不少于1天，项目夜间不生产则仅监测昼间噪声。本专用线范围内无声环境保护目标，因此未进行环境质量现状监测。</w:t>
            </w:r>
          </w:p>
          <w:p>
            <w:pPr>
              <w:adjustRightInd w:val="0"/>
              <w:snapToGrid w:val="0"/>
              <w:spacing w:line="408" w:lineRule="auto"/>
              <w:ind w:firstLine="522" w:firstLineChars="200"/>
              <w:rPr>
                <w:b/>
                <w:bCs/>
                <w:spacing w:val="10"/>
                <w:sz w:val="24"/>
                <w:szCs w:val="21"/>
              </w:rPr>
            </w:pPr>
            <w:r>
              <w:rPr>
                <w:rFonts w:hint="eastAsia"/>
                <w:b/>
                <w:bCs/>
                <w:spacing w:val="10"/>
                <w:sz w:val="24"/>
                <w:szCs w:val="21"/>
              </w:rPr>
              <w:t>8、土壤环境质量调查与评价</w:t>
            </w:r>
          </w:p>
          <w:p>
            <w:pPr>
              <w:adjustRightInd w:val="0"/>
              <w:snapToGrid w:val="0"/>
              <w:spacing w:line="408" w:lineRule="auto"/>
              <w:ind w:firstLine="520" w:firstLineChars="200"/>
              <w:rPr>
                <w:bCs/>
                <w:spacing w:val="10"/>
                <w:sz w:val="24"/>
                <w:szCs w:val="21"/>
              </w:rPr>
            </w:pPr>
            <w:r>
              <w:rPr>
                <w:rFonts w:hint="eastAsia"/>
                <w:bCs/>
                <w:spacing w:val="10"/>
                <w:sz w:val="24"/>
                <w:szCs w:val="21"/>
              </w:rPr>
              <w:t>根据《环境影响评价分类管理名录》（2021版），本项目属于</w:t>
            </w:r>
            <w:r>
              <w:rPr>
                <w:bCs/>
                <w:spacing w:val="10"/>
                <w:sz w:val="24"/>
                <w:szCs w:val="21"/>
              </w:rPr>
              <w:t>五十二、交通运输业、管道运输业132新建、增建铁路30公里及以下铁路联络线和30公里及以下铁路专用线</w:t>
            </w:r>
            <w:r>
              <w:rPr>
                <w:rFonts w:hint="eastAsia"/>
                <w:bCs/>
                <w:spacing w:val="10"/>
                <w:sz w:val="24"/>
                <w:szCs w:val="21"/>
              </w:rPr>
              <w:t>建设项目，根据《环境影响评价技术导则土壤环境（试行）》（</w:t>
            </w:r>
            <w:r>
              <w:rPr>
                <w:bCs/>
                <w:spacing w:val="10"/>
                <w:sz w:val="24"/>
                <w:szCs w:val="21"/>
              </w:rPr>
              <w:t>HJ964-2018</w:t>
            </w:r>
            <w:r>
              <w:rPr>
                <w:rFonts w:hint="eastAsia"/>
                <w:bCs/>
                <w:spacing w:val="10"/>
                <w:sz w:val="24"/>
                <w:szCs w:val="21"/>
              </w:rPr>
              <w:t>）中附录</w:t>
            </w:r>
            <w:r>
              <w:rPr>
                <w:bCs/>
                <w:spacing w:val="10"/>
                <w:sz w:val="24"/>
                <w:szCs w:val="21"/>
              </w:rPr>
              <w:t>A.1</w:t>
            </w:r>
            <w:r>
              <w:rPr>
                <w:rFonts w:hint="eastAsia"/>
                <w:bCs/>
                <w:spacing w:val="10"/>
                <w:sz w:val="24"/>
                <w:szCs w:val="21"/>
              </w:rPr>
              <w:t>土壤环境影响评价项目类别，本项目属于Ⅳ类建设项目。依据《环境影响评价技术导则土壤环境（试行）》（</w:t>
            </w:r>
            <w:r>
              <w:rPr>
                <w:bCs/>
                <w:spacing w:val="10"/>
                <w:sz w:val="24"/>
                <w:szCs w:val="21"/>
              </w:rPr>
              <w:t>HJ964-2018</w:t>
            </w:r>
            <w:r>
              <w:rPr>
                <w:rFonts w:hint="eastAsia"/>
                <w:bCs/>
                <w:spacing w:val="10"/>
                <w:sz w:val="24"/>
                <w:szCs w:val="21"/>
              </w:rPr>
              <w:t>）</w:t>
            </w:r>
            <w:r>
              <w:rPr>
                <w:bCs/>
                <w:spacing w:val="10"/>
                <w:sz w:val="24"/>
                <w:szCs w:val="21"/>
              </w:rPr>
              <w:t>4.2.2</w:t>
            </w:r>
            <w:r>
              <w:rPr>
                <w:rFonts w:hint="eastAsia"/>
                <w:bCs/>
                <w:spacing w:val="10"/>
                <w:sz w:val="24"/>
                <w:szCs w:val="21"/>
              </w:rPr>
              <w:t>本项目可不开展土壤环境影响评价工作。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trPr>
        <w:tc>
          <w:tcPr>
            <w:tcW w:w="494" w:type="pct"/>
            <w:vAlign w:val="center"/>
          </w:tcPr>
          <w:p>
            <w:pPr>
              <w:adjustRightInd w:val="0"/>
              <w:snapToGrid w:val="0"/>
              <w:jc w:val="center"/>
              <w:rPr>
                <w:kern w:val="0"/>
                <w:szCs w:val="21"/>
              </w:rPr>
            </w:pPr>
            <w:r>
              <w:rPr>
                <w:bCs/>
                <w:szCs w:val="21"/>
              </w:rPr>
              <w:t>与项目有关的原有环境污染和生态破坏问题</w:t>
            </w:r>
          </w:p>
        </w:tc>
        <w:tc>
          <w:tcPr>
            <w:tcW w:w="4506" w:type="pct"/>
            <w:vAlign w:val="center"/>
          </w:tcPr>
          <w:p>
            <w:pPr>
              <w:adjustRightInd w:val="0"/>
              <w:snapToGrid w:val="0"/>
              <w:spacing w:line="408" w:lineRule="auto"/>
              <w:ind w:firstLine="480" w:firstLineChars="200"/>
              <w:rPr>
                <w:kern w:val="0"/>
                <w:szCs w:val="21"/>
              </w:rPr>
            </w:pPr>
            <w:r>
              <w:rPr>
                <w:rFonts w:hint="eastAsia"/>
                <w:kern w:val="0"/>
                <w:sz w:val="24"/>
                <w:szCs w:val="21"/>
              </w:rPr>
              <w:t>本项目为新建铁路专用线项目，不存在原有环境污染问题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trPr>
        <w:tc>
          <w:tcPr>
            <w:tcW w:w="494" w:type="pct"/>
            <w:vAlign w:val="center"/>
          </w:tcPr>
          <w:p>
            <w:pPr>
              <w:adjustRightInd w:val="0"/>
              <w:snapToGrid w:val="0"/>
              <w:jc w:val="center"/>
              <w:rPr>
                <w:kern w:val="0"/>
                <w:szCs w:val="21"/>
              </w:rPr>
            </w:pPr>
            <w:r>
              <w:rPr>
                <w:kern w:val="0"/>
                <w:szCs w:val="21"/>
              </w:rPr>
              <w:t>生态环境保护目标</w:t>
            </w:r>
          </w:p>
        </w:tc>
        <w:tc>
          <w:tcPr>
            <w:tcW w:w="4506" w:type="pct"/>
          </w:tcPr>
          <w:p>
            <w:pPr>
              <w:adjustRightInd w:val="0"/>
              <w:snapToGrid w:val="0"/>
              <w:spacing w:line="408" w:lineRule="auto"/>
              <w:ind w:firstLine="520" w:firstLineChars="200"/>
              <w:rPr>
                <w:bCs/>
                <w:spacing w:val="10"/>
                <w:sz w:val="24"/>
                <w:szCs w:val="21"/>
              </w:rPr>
            </w:pPr>
            <w:r>
              <w:rPr>
                <w:rFonts w:hint="eastAsia"/>
                <w:bCs/>
                <w:spacing w:val="10"/>
                <w:sz w:val="24"/>
                <w:szCs w:val="21"/>
              </w:rPr>
              <w:t>（1）大气环境：确保项目所在区域的环境空气质量保持现有水平；</w:t>
            </w:r>
          </w:p>
          <w:p>
            <w:pPr>
              <w:adjustRightInd w:val="0"/>
              <w:snapToGrid w:val="0"/>
              <w:spacing w:line="408" w:lineRule="auto"/>
              <w:ind w:firstLine="520" w:firstLineChars="200"/>
              <w:rPr>
                <w:bCs/>
                <w:spacing w:val="10"/>
                <w:sz w:val="24"/>
                <w:szCs w:val="21"/>
              </w:rPr>
            </w:pPr>
            <w:r>
              <w:rPr>
                <w:rFonts w:hint="eastAsia"/>
                <w:bCs/>
                <w:spacing w:val="10"/>
                <w:sz w:val="24"/>
                <w:szCs w:val="21"/>
              </w:rPr>
              <w:t>（2）声环境：确保项目区域声环境满足《声环境质量标准》（GB3096-2008）所属声环境功能区（3类）的环境噪声限值；</w:t>
            </w:r>
          </w:p>
          <w:p>
            <w:pPr>
              <w:adjustRightInd w:val="0"/>
              <w:snapToGrid w:val="0"/>
              <w:spacing w:line="408" w:lineRule="auto"/>
              <w:ind w:firstLine="520" w:firstLineChars="200"/>
              <w:rPr>
                <w:bCs/>
                <w:spacing w:val="10"/>
                <w:sz w:val="24"/>
                <w:szCs w:val="21"/>
              </w:rPr>
            </w:pPr>
            <w:r>
              <w:rPr>
                <w:rFonts w:hint="eastAsia"/>
                <w:bCs/>
                <w:spacing w:val="10"/>
                <w:sz w:val="24"/>
                <w:szCs w:val="21"/>
              </w:rPr>
              <w:t>（3）固体废物：妥善处理本项目产生的固体废物，一般固体废弃物处置满足</w:t>
            </w:r>
            <w:r>
              <w:rPr>
                <w:bCs/>
                <w:spacing w:val="10"/>
                <w:sz w:val="24"/>
                <w:szCs w:val="21"/>
              </w:rPr>
              <w:t>《一般工业固体废弃物贮存</w:t>
            </w:r>
            <w:r>
              <w:rPr>
                <w:rFonts w:hint="eastAsia"/>
                <w:bCs/>
                <w:spacing w:val="10"/>
                <w:sz w:val="24"/>
                <w:szCs w:val="21"/>
              </w:rPr>
              <w:t>和填埋</w:t>
            </w:r>
            <w:r>
              <w:rPr>
                <w:bCs/>
                <w:spacing w:val="10"/>
                <w:sz w:val="24"/>
                <w:szCs w:val="21"/>
              </w:rPr>
              <w:t>污染控制标准》</w:t>
            </w:r>
            <w:r>
              <w:rPr>
                <w:rFonts w:hint="eastAsia"/>
                <w:bCs/>
                <w:spacing w:val="10"/>
                <w:sz w:val="24"/>
                <w:szCs w:val="21"/>
              </w:rPr>
              <w:t>（</w:t>
            </w:r>
            <w:r>
              <w:rPr>
                <w:bCs/>
                <w:spacing w:val="10"/>
                <w:sz w:val="24"/>
                <w:szCs w:val="21"/>
              </w:rPr>
              <w:t>GB18599-2020</w:t>
            </w:r>
            <w:r>
              <w:rPr>
                <w:rFonts w:hint="eastAsia"/>
                <w:bCs/>
                <w:spacing w:val="10"/>
                <w:sz w:val="24"/>
                <w:szCs w:val="21"/>
              </w:rPr>
              <w:t>），避免对项目所在区域环境造成影响。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494" w:type="pct"/>
            <w:vAlign w:val="center"/>
          </w:tcPr>
          <w:p>
            <w:pPr>
              <w:adjustRightInd w:val="0"/>
              <w:snapToGrid w:val="0"/>
              <w:jc w:val="center"/>
              <w:rPr>
                <w:kern w:val="0"/>
                <w:szCs w:val="21"/>
              </w:rPr>
            </w:pPr>
            <w:r>
              <w:rPr>
                <w:kern w:val="0"/>
                <w:szCs w:val="21"/>
              </w:rPr>
              <w:t>评价</w:t>
            </w:r>
          </w:p>
          <w:p>
            <w:pPr>
              <w:adjustRightInd w:val="0"/>
              <w:snapToGrid w:val="0"/>
              <w:jc w:val="center"/>
              <w:rPr>
                <w:kern w:val="0"/>
                <w:szCs w:val="21"/>
              </w:rPr>
            </w:pPr>
            <w:r>
              <w:rPr>
                <w:kern w:val="0"/>
                <w:szCs w:val="21"/>
              </w:rPr>
              <w:t>标准</w:t>
            </w:r>
          </w:p>
        </w:tc>
        <w:tc>
          <w:tcPr>
            <w:tcW w:w="4506" w:type="pct"/>
          </w:tcPr>
          <w:p>
            <w:pPr>
              <w:adjustRightInd w:val="0"/>
              <w:snapToGrid w:val="0"/>
              <w:spacing w:line="408" w:lineRule="auto"/>
              <w:ind w:firstLine="520" w:firstLineChars="200"/>
              <w:rPr>
                <w:bCs/>
                <w:spacing w:val="10"/>
                <w:sz w:val="24"/>
                <w:szCs w:val="21"/>
              </w:rPr>
            </w:pPr>
            <w:r>
              <w:rPr>
                <w:rFonts w:hint="eastAsia"/>
                <w:bCs/>
                <w:spacing w:val="10"/>
                <w:sz w:val="24"/>
                <w:szCs w:val="21"/>
              </w:rPr>
              <w:t>环境质量标准：</w:t>
            </w:r>
          </w:p>
          <w:p>
            <w:pPr>
              <w:adjustRightInd w:val="0"/>
              <w:snapToGrid w:val="0"/>
              <w:spacing w:line="408" w:lineRule="auto"/>
              <w:ind w:firstLine="520" w:firstLineChars="200"/>
              <w:rPr>
                <w:bCs/>
                <w:spacing w:val="10"/>
                <w:sz w:val="24"/>
                <w:szCs w:val="21"/>
              </w:rPr>
            </w:pPr>
            <w:r>
              <w:rPr>
                <w:rFonts w:hint="eastAsia"/>
                <w:bCs/>
                <w:spacing w:val="10"/>
                <w:sz w:val="24"/>
                <w:szCs w:val="21"/>
              </w:rPr>
              <w:t>（1）环境空气执行《环境空气质量标准》（GB3095-2012）中二级标准</w:t>
            </w:r>
          </w:p>
          <w:p>
            <w:pPr>
              <w:adjustRightInd w:val="0"/>
              <w:snapToGrid w:val="0"/>
              <w:spacing w:line="408" w:lineRule="auto"/>
              <w:ind w:firstLine="520" w:firstLineChars="200"/>
              <w:rPr>
                <w:bCs/>
                <w:spacing w:val="10"/>
                <w:sz w:val="24"/>
                <w:szCs w:val="21"/>
              </w:rPr>
            </w:pPr>
            <w:r>
              <w:rPr>
                <w:rFonts w:hint="eastAsia"/>
                <w:bCs/>
                <w:spacing w:val="10"/>
                <w:sz w:val="24"/>
                <w:szCs w:val="21"/>
              </w:rPr>
              <w:t>污染物排放标准：</w:t>
            </w:r>
          </w:p>
          <w:p>
            <w:pPr>
              <w:adjustRightInd w:val="0"/>
              <w:snapToGrid w:val="0"/>
              <w:spacing w:line="408" w:lineRule="auto"/>
              <w:ind w:firstLine="520" w:firstLineChars="200"/>
              <w:rPr>
                <w:bCs/>
                <w:spacing w:val="10"/>
                <w:sz w:val="24"/>
                <w:szCs w:val="21"/>
              </w:rPr>
            </w:pPr>
            <w:r>
              <w:rPr>
                <w:rFonts w:hint="eastAsia"/>
                <w:bCs/>
                <w:spacing w:val="10"/>
                <w:sz w:val="24"/>
                <w:szCs w:val="21"/>
              </w:rPr>
              <w:t>（1）施工期噪声执行《建筑施工厂界噪声排放标准》（GB12348</w:t>
            </w:r>
            <w:r>
              <w:rPr>
                <w:bCs/>
                <w:spacing w:val="10"/>
                <w:sz w:val="24"/>
                <w:szCs w:val="21"/>
              </w:rPr>
              <w:t>-2011</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（2）运营期铁路边界噪声执行《声环境质量标准》（GB3096-2008）所属声环境功能区（3类）的环境噪声限值要求；</w:t>
            </w:r>
          </w:p>
          <w:p>
            <w:pPr>
              <w:adjustRightInd w:val="0"/>
              <w:snapToGrid w:val="0"/>
              <w:spacing w:line="408" w:lineRule="auto"/>
              <w:ind w:firstLine="520" w:firstLineChars="200"/>
              <w:rPr>
                <w:bCs/>
                <w:spacing w:val="10"/>
                <w:sz w:val="24"/>
                <w:szCs w:val="21"/>
              </w:rPr>
            </w:pPr>
            <w:r>
              <w:rPr>
                <w:rFonts w:hint="eastAsia"/>
                <w:bCs/>
                <w:spacing w:val="10"/>
                <w:sz w:val="24"/>
                <w:szCs w:val="21"/>
              </w:rPr>
              <w:t>（3）固体废物：一般固体废弃物处置满足</w:t>
            </w:r>
            <w:r>
              <w:rPr>
                <w:bCs/>
                <w:spacing w:val="10"/>
                <w:sz w:val="24"/>
                <w:szCs w:val="21"/>
              </w:rPr>
              <w:t>《一般工业固体废弃物贮存</w:t>
            </w:r>
            <w:r>
              <w:rPr>
                <w:rFonts w:hint="eastAsia"/>
                <w:bCs/>
                <w:spacing w:val="10"/>
                <w:sz w:val="24"/>
                <w:szCs w:val="21"/>
              </w:rPr>
              <w:t>和填埋</w:t>
            </w:r>
            <w:r>
              <w:rPr>
                <w:bCs/>
                <w:spacing w:val="10"/>
                <w:sz w:val="24"/>
                <w:szCs w:val="21"/>
              </w:rPr>
              <w:t>污染控制标准》</w:t>
            </w:r>
            <w:r>
              <w:rPr>
                <w:rFonts w:hint="eastAsia"/>
                <w:bCs/>
                <w:spacing w:val="10"/>
                <w:sz w:val="24"/>
                <w:szCs w:val="21"/>
              </w:rPr>
              <w:t>（</w:t>
            </w:r>
            <w:r>
              <w:rPr>
                <w:bCs/>
                <w:spacing w:val="10"/>
                <w:sz w:val="24"/>
                <w:szCs w:val="21"/>
              </w:rPr>
              <w:t>GB18599-2020</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（4）食堂油烟满足《饮食业油烟排放标准（试行）》（GB</w:t>
            </w:r>
            <w:r>
              <w:rPr>
                <w:bCs/>
                <w:spacing w:val="10"/>
                <w:sz w:val="24"/>
                <w:szCs w:val="21"/>
              </w:rPr>
              <w:t>18483-2001</w:t>
            </w:r>
            <w:r>
              <w:rPr>
                <w:rFonts w:hint="eastAsia"/>
                <w:bCs/>
                <w:spacing w:val="10"/>
                <w:sz w:val="24"/>
                <w:szCs w:val="21"/>
              </w:rPr>
              <w:t>）中限值要求；</w:t>
            </w:r>
          </w:p>
          <w:p>
            <w:pPr>
              <w:adjustRightInd w:val="0"/>
              <w:snapToGrid w:val="0"/>
              <w:spacing w:line="408" w:lineRule="auto"/>
              <w:ind w:firstLine="520" w:firstLineChars="200"/>
              <w:rPr>
                <w:bCs/>
                <w:spacing w:val="10"/>
                <w:sz w:val="24"/>
                <w:szCs w:val="21"/>
              </w:rPr>
            </w:pPr>
            <w:r>
              <w:rPr>
                <w:rFonts w:hint="eastAsia"/>
                <w:bCs/>
                <w:spacing w:val="10"/>
                <w:sz w:val="24"/>
                <w:szCs w:val="21"/>
              </w:rPr>
              <w:t>（5）生活污水排放质量标准执行《污水综合排放标准（GB8978-1996）表4三级标准。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494" w:type="pct"/>
            <w:vAlign w:val="center"/>
          </w:tcPr>
          <w:p>
            <w:pPr>
              <w:adjustRightInd w:val="0"/>
              <w:snapToGrid w:val="0"/>
              <w:jc w:val="center"/>
              <w:rPr>
                <w:kern w:val="0"/>
                <w:szCs w:val="21"/>
              </w:rPr>
            </w:pPr>
            <w:r>
              <w:rPr>
                <w:kern w:val="0"/>
                <w:szCs w:val="21"/>
              </w:rPr>
              <w:t>其他</w:t>
            </w:r>
          </w:p>
        </w:tc>
        <w:tc>
          <w:tcPr>
            <w:tcW w:w="4506" w:type="pct"/>
            <w:vAlign w:val="center"/>
          </w:tcPr>
          <w:p>
            <w:pPr>
              <w:adjustRightInd w:val="0"/>
              <w:snapToGrid w:val="0"/>
              <w:jc w:val="center"/>
              <w:rPr>
                <w:kern w:val="0"/>
                <w:szCs w:val="21"/>
              </w:rPr>
            </w:pPr>
            <w:r>
              <w:rPr>
                <w:rFonts w:hint="eastAsia"/>
                <w:kern w:val="0"/>
                <w:szCs w:val="21"/>
              </w:rPr>
              <w:t>/</w:t>
            </w:r>
          </w:p>
        </w:tc>
      </w:tr>
    </w:tbl>
    <w:p>
      <w:pPr>
        <w:pStyle w:val="11"/>
        <w:jc w:val="center"/>
        <w:outlineLvl w:val="0"/>
        <w:rPr>
          <w:rFonts w:ascii="Times New Roman" w:hAnsi="Times New Roman" w:eastAsia="黑体"/>
          <w:snapToGrid w:val="0"/>
          <w:sz w:val="30"/>
          <w:szCs w:val="30"/>
        </w:rPr>
      </w:pPr>
      <w:r>
        <w:rPr>
          <w:rFonts w:ascii="Times New Roman" w:hAnsi="Times New Roman" w:eastAsia="黑体"/>
          <w:snapToGrid w:val="0"/>
          <w:kern w:val="2"/>
          <w:sz w:val="36"/>
          <w:szCs w:val="36"/>
        </w:rPr>
        <w:br w:type="page"/>
      </w:r>
      <w:r>
        <w:rPr>
          <w:rFonts w:ascii="Times New Roman" w:hAnsi="Times New Roman" w:eastAsia="黑体"/>
          <w:snapToGrid w:val="0"/>
          <w:sz w:val="30"/>
          <w:szCs w:val="30"/>
        </w:rPr>
        <w:t>四、生态环境影响分析</w:t>
      </w:r>
    </w:p>
    <w:tbl>
      <w:tblPr>
        <w:tblStyle w:val="1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11"/>
              <w:adjustRightInd w:val="0"/>
              <w:snapToGrid w:val="0"/>
              <w:spacing w:before="0" w:beforeAutospacing="0" w:after="0" w:afterAutospacing="0"/>
              <w:jc w:val="center"/>
              <w:rPr>
                <w:rFonts w:ascii="Times New Roman" w:hAnsi="Times New Roman"/>
                <w:bCs/>
                <w:kern w:val="2"/>
                <w:sz w:val="21"/>
                <w:szCs w:val="21"/>
              </w:rPr>
            </w:pPr>
            <w:bookmarkStart w:id="3" w:name="_Hlk49796138"/>
            <w:r>
              <w:rPr>
                <w:rFonts w:ascii="Times New Roman" w:hAnsi="Times New Roman"/>
                <w:bCs/>
                <w:spacing w:val="10"/>
                <w:kern w:val="2"/>
                <w:sz w:val="21"/>
                <w:szCs w:val="21"/>
              </w:rPr>
              <w:t>施工期生态环境影响分析</w:t>
            </w:r>
            <w:bookmarkEnd w:id="3"/>
          </w:p>
        </w:tc>
        <w:tc>
          <w:tcPr>
            <w:tcW w:w="8363" w:type="dxa"/>
          </w:tcPr>
          <w:p>
            <w:pPr>
              <w:adjustRightInd w:val="0"/>
              <w:snapToGrid w:val="0"/>
              <w:spacing w:line="408" w:lineRule="auto"/>
              <w:ind w:firstLine="520" w:firstLineChars="200"/>
              <w:rPr>
                <w:bCs/>
                <w:spacing w:val="10"/>
                <w:sz w:val="24"/>
                <w:szCs w:val="21"/>
              </w:rPr>
            </w:pPr>
            <w:r>
              <w:rPr>
                <w:rFonts w:hint="eastAsia"/>
                <w:bCs/>
                <w:spacing w:val="10"/>
                <w:sz w:val="24"/>
                <w:szCs w:val="21"/>
              </w:rPr>
              <w:t>本项目为铁路专用线建设项目，</w:t>
            </w:r>
            <w:r>
              <w:rPr>
                <w:rFonts w:hint="eastAsia"/>
                <w:bCs/>
                <w:spacing w:val="10"/>
                <w:sz w:val="24"/>
                <w:szCs w:val="28"/>
              </w:rPr>
              <w:t>周围无无自然保护区、风景名胜区，不在生态保护红线范围内，且无居民区等声环境保护目标，</w:t>
            </w:r>
            <w:r>
              <w:rPr>
                <w:rFonts w:hint="eastAsia"/>
                <w:bCs/>
                <w:spacing w:val="10"/>
                <w:sz w:val="24"/>
                <w:szCs w:val="21"/>
              </w:rPr>
              <w:t>施工期主要内容为路基工程、桥涵工程、装卸站、土石方施工等，对土地的占用，改变了土地利用现状，破坏原有土壤结构，降低评价范围内植被覆盖率；路基的填方破坏地表植被和地形地貌；施工建设过程在一定时间和空间内造成水土流失，土壤肥力下降；施工活动一定程度改变原有自然生态环境，对评价范围内动植物的生长、分布和栖息活动产生一定的不利影响。</w:t>
            </w:r>
          </w:p>
          <w:p>
            <w:pPr>
              <w:adjustRightInd w:val="0"/>
              <w:snapToGrid w:val="0"/>
              <w:spacing w:line="408" w:lineRule="auto"/>
              <w:ind w:firstLine="520" w:firstLineChars="200"/>
              <w:rPr>
                <w:bCs/>
                <w:spacing w:val="10"/>
                <w:sz w:val="24"/>
                <w:szCs w:val="21"/>
              </w:rPr>
            </w:pPr>
            <w:r>
              <w:rPr>
                <w:rFonts w:hint="eastAsia"/>
                <w:bCs/>
                <w:spacing w:val="10"/>
                <w:sz w:val="24"/>
                <w:szCs w:val="21"/>
              </w:rPr>
              <w:t>（1）路基工程</w:t>
            </w:r>
          </w:p>
          <w:p>
            <w:pPr>
              <w:adjustRightInd w:val="0"/>
              <w:snapToGrid w:val="0"/>
              <w:spacing w:line="408" w:lineRule="auto"/>
              <w:ind w:firstLine="520" w:firstLineChars="200"/>
              <w:rPr>
                <w:bCs/>
                <w:spacing w:val="10"/>
                <w:sz w:val="24"/>
                <w:szCs w:val="21"/>
              </w:rPr>
            </w:pPr>
            <w:r>
              <w:rPr>
                <w:rFonts w:hint="eastAsia"/>
                <w:bCs/>
                <w:spacing w:val="10"/>
                <w:sz w:val="24"/>
                <w:szCs w:val="21"/>
              </w:rPr>
              <w:t>新建铁路专用线占地为荒草地，全长3.16km，区间路基总长度为1.1km，现状为戈壁荒草地，未穿越相关敏感区和敏感目标。</w:t>
            </w:r>
          </w:p>
          <w:p>
            <w:pPr>
              <w:adjustRightInd w:val="0"/>
              <w:snapToGrid w:val="0"/>
              <w:spacing w:line="408" w:lineRule="auto"/>
              <w:ind w:firstLine="520" w:firstLineChars="200"/>
              <w:rPr>
                <w:bCs/>
                <w:spacing w:val="10"/>
                <w:sz w:val="24"/>
                <w:szCs w:val="21"/>
              </w:rPr>
            </w:pPr>
            <w:r>
              <w:rPr>
                <w:rFonts w:hint="eastAsia"/>
                <w:bCs/>
                <w:spacing w:val="10"/>
                <w:sz w:val="24"/>
                <w:szCs w:val="21"/>
              </w:rPr>
              <w:t>（2）桥涵工程</w:t>
            </w:r>
          </w:p>
          <w:p>
            <w:pPr>
              <w:adjustRightInd w:val="0"/>
              <w:snapToGrid w:val="0"/>
              <w:spacing w:line="408" w:lineRule="auto"/>
              <w:ind w:firstLine="520" w:firstLineChars="200"/>
              <w:rPr>
                <w:bCs/>
                <w:spacing w:val="10"/>
                <w:sz w:val="24"/>
                <w:szCs w:val="21"/>
              </w:rPr>
            </w:pPr>
            <w:r>
              <w:rPr>
                <w:rFonts w:hint="eastAsia"/>
                <w:bCs/>
                <w:spacing w:val="10"/>
                <w:sz w:val="24"/>
                <w:szCs w:val="21"/>
              </w:rPr>
              <w:t>工程范围内途径灌溉水渠2条，对横穿装卸站灌溉渠进行改移至</w:t>
            </w:r>
            <w:r>
              <w:rPr>
                <w:bCs/>
                <w:spacing w:val="10"/>
                <w:sz w:val="24"/>
                <w:szCs w:val="21"/>
              </w:rPr>
              <w:t>CK3+529</w:t>
            </w:r>
            <w:r>
              <w:rPr>
                <w:rFonts w:hint="eastAsia"/>
                <w:bCs/>
                <w:spacing w:val="10"/>
                <w:sz w:val="24"/>
                <w:szCs w:val="21"/>
              </w:rPr>
              <w:t>处，通过渠道后在CK3</w:t>
            </w:r>
            <w:r>
              <w:rPr>
                <w:bCs/>
                <w:spacing w:val="10"/>
                <w:sz w:val="24"/>
                <w:szCs w:val="21"/>
              </w:rPr>
              <w:t>+420</w:t>
            </w:r>
            <w:r>
              <w:rPr>
                <w:rFonts w:hint="eastAsia"/>
                <w:bCs/>
                <w:spacing w:val="10"/>
                <w:sz w:val="24"/>
                <w:szCs w:val="21"/>
              </w:rPr>
              <w:t>涵洞下游采用1-1.5m渡槽平行汇入原渠道，另一条灌溉渠处新建涵洞，改移施工避开灌溉期，尽可能缩短工期，减少对农田灌溉水的影响；途径天然气管道1条，基本平行于本专用线，根据《中华人民共和国石油天然气管道保护法》（主席令11届第30号）相关规定，对其进行改移，根据《中国铁路乌鲁木齐局集团有限公司关于新疆大黄山豫新煤业有限责任公司下南泉铁路专用线可行性研究的技术审查意见》：对穿越燃气管线涵洞采取封堵措施，在</w:t>
            </w:r>
            <w:r>
              <w:rPr>
                <w:bCs/>
                <w:spacing w:val="10"/>
                <w:sz w:val="24"/>
                <w:szCs w:val="21"/>
              </w:rPr>
              <w:t>CK3+981处设置套管圆涵</w:t>
            </w:r>
            <w:r>
              <w:rPr>
                <w:rFonts w:hint="eastAsia"/>
                <w:bCs/>
                <w:spacing w:val="10"/>
                <w:sz w:val="24"/>
                <w:szCs w:val="21"/>
              </w:rPr>
              <w:t>。施工前由建设单位沟通，经管道所有方同意后方可施工；其他畜牧通道等根据乌将线既有涵洞情况，在专用线对应位置设置同孔径、同样式涵洞。</w:t>
            </w:r>
          </w:p>
          <w:p>
            <w:pPr>
              <w:adjustRightInd w:val="0"/>
              <w:snapToGrid w:val="0"/>
              <w:spacing w:line="408" w:lineRule="auto"/>
              <w:ind w:firstLine="520" w:firstLineChars="200"/>
              <w:rPr>
                <w:bCs/>
                <w:spacing w:val="10"/>
                <w:sz w:val="24"/>
                <w:szCs w:val="21"/>
              </w:rPr>
            </w:pPr>
            <w:r>
              <w:rPr>
                <w:rFonts w:hint="eastAsia"/>
                <w:bCs/>
                <w:spacing w:val="10"/>
                <w:sz w:val="24"/>
                <w:szCs w:val="21"/>
              </w:rPr>
              <w:t>（3）土石方工程</w:t>
            </w:r>
          </w:p>
          <w:p>
            <w:pPr>
              <w:adjustRightInd w:val="0"/>
              <w:snapToGrid w:val="0"/>
              <w:spacing w:line="408" w:lineRule="auto"/>
              <w:ind w:firstLine="520" w:firstLineChars="200"/>
              <w:rPr>
                <w:bCs/>
                <w:spacing w:val="10"/>
                <w:sz w:val="24"/>
                <w:szCs w:val="21"/>
              </w:rPr>
            </w:pPr>
            <w:r>
              <w:rPr>
                <w:rFonts w:hint="eastAsia"/>
                <w:bCs/>
                <w:spacing w:val="10"/>
                <w:sz w:val="24"/>
                <w:szCs w:val="21"/>
              </w:rPr>
              <w:t>本项目专用线区间借土填方110800m</w:t>
            </w:r>
            <w:r>
              <w:rPr>
                <w:bCs/>
                <w:spacing w:val="10"/>
                <w:sz w:val="24"/>
                <w:szCs w:val="21"/>
                <w:vertAlign w:val="superscript"/>
              </w:rPr>
              <w:t>3</w:t>
            </w:r>
            <w:r>
              <w:rPr>
                <w:rFonts w:hint="eastAsia"/>
                <w:bCs/>
                <w:spacing w:val="10"/>
                <w:sz w:val="24"/>
                <w:szCs w:val="21"/>
              </w:rPr>
              <w:t>，装卸站场借土填方776000m</w:t>
            </w:r>
            <w:r>
              <w:rPr>
                <w:bCs/>
                <w:spacing w:val="10"/>
                <w:sz w:val="24"/>
                <w:szCs w:val="21"/>
                <w:vertAlign w:val="superscript"/>
              </w:rPr>
              <w:t>3</w:t>
            </w:r>
            <w:r>
              <w:rPr>
                <w:rFonts w:hint="eastAsia"/>
                <w:bCs/>
                <w:spacing w:val="10"/>
                <w:sz w:val="24"/>
                <w:szCs w:val="21"/>
              </w:rPr>
              <w:t>，土石方来源均为外购，土石方合理调配，无弃方产生，无相关取土场和弃土场。</w:t>
            </w:r>
          </w:p>
          <w:p>
            <w:pPr>
              <w:adjustRightInd w:val="0"/>
              <w:snapToGrid w:val="0"/>
              <w:spacing w:line="408" w:lineRule="auto"/>
              <w:ind w:firstLine="520" w:firstLineChars="200"/>
              <w:rPr>
                <w:bCs/>
                <w:spacing w:val="10"/>
                <w:sz w:val="24"/>
                <w:szCs w:val="21"/>
              </w:rPr>
            </w:pPr>
            <w:r>
              <w:rPr>
                <w:rFonts w:hint="eastAsia"/>
                <w:bCs/>
                <w:spacing w:val="10"/>
                <w:sz w:val="24"/>
                <w:szCs w:val="21"/>
              </w:rPr>
              <w:t>（4）临时工程</w:t>
            </w:r>
          </w:p>
          <w:p>
            <w:pPr>
              <w:adjustRightInd w:val="0"/>
              <w:snapToGrid w:val="0"/>
              <w:spacing w:line="408" w:lineRule="auto"/>
              <w:ind w:firstLine="520" w:firstLineChars="200"/>
              <w:rPr>
                <w:bCs/>
                <w:spacing w:val="10"/>
                <w:sz w:val="24"/>
                <w:szCs w:val="21"/>
              </w:rPr>
            </w:pPr>
            <w:r>
              <w:rPr>
                <w:rFonts w:hint="eastAsia"/>
                <w:bCs/>
                <w:spacing w:val="10"/>
                <w:sz w:val="24"/>
                <w:szCs w:val="21"/>
              </w:rPr>
              <w:t>本项目在用地范围内设置施工营地，主要包括临时生活区和办公区，施工营地设于下南泉站和专用线起点中间位置，依托下南泉站用水和用电等，便于施工管理，施工结束后对其临时占地进行生态恢复。</w:t>
            </w:r>
          </w:p>
          <w:p>
            <w:pPr>
              <w:adjustRightInd w:val="0"/>
              <w:snapToGrid w:val="0"/>
              <w:spacing w:line="408" w:lineRule="auto"/>
              <w:ind w:firstLine="482" w:firstLineChars="200"/>
              <w:rPr>
                <w:b/>
                <w:bCs/>
                <w:sz w:val="24"/>
              </w:rPr>
            </w:pPr>
            <w:r>
              <w:rPr>
                <w:b/>
                <w:bCs/>
                <w:sz w:val="24"/>
              </w:rPr>
              <w:t>1</w:t>
            </w:r>
            <w:r>
              <w:rPr>
                <w:rFonts w:hint="eastAsia"/>
                <w:b/>
                <w:bCs/>
                <w:sz w:val="24"/>
              </w:rPr>
              <w:t>、施工期生态影响分析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（1）野生动物影响分析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位于阜康市境内，乌将线下南泉站西北侧约3.0km处，区域内占地为荒草地和裸露地块，现状为戈壁滩，根据现场调查野生动物类型为老鼠等啮齿类动物、常见鸟类及其它爬行类动物，畜牧资源主要为牛、羊等，对照新疆国家重点保护野生植物名录、新疆维吾尔自治区重点保护野生植物名录（第一批）、新疆国家重点保护野生动物名录，项目区不涉及相关重点保护野生动物。</w:t>
            </w:r>
          </w:p>
          <w:p>
            <w:pPr>
              <w:adjustRightInd w:val="0"/>
              <w:snapToGrid w:val="0"/>
              <w:spacing w:line="408" w:lineRule="auto"/>
              <w:ind w:firstLine="520" w:firstLineChars="200"/>
              <w:rPr>
                <w:bCs/>
                <w:spacing w:val="10"/>
                <w:sz w:val="24"/>
                <w:szCs w:val="21"/>
              </w:rPr>
            </w:pPr>
            <w:r>
              <w:rPr>
                <w:rFonts w:hint="eastAsia"/>
                <w:bCs/>
                <w:spacing w:val="10"/>
                <w:sz w:val="24"/>
                <w:szCs w:val="21"/>
              </w:rPr>
              <w:t>（2）水环境影响分析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建设区内涉及水体为2条农田灌溉水渠，水量存在季节性变化，灌溉渠旁施工容易造成施工材料洒落，或涵洞基础开挖出的土石方洒落，造成灌溉渠受阻或污染灌溉渠，要求施工单位在灌溉渠施工处设置围挡，防止施工材料或临时土方洒落，因此通过采取措施对区域内农田灌溉水环境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（3）土地占用影响分析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本专用线线路全长3.16km，沿线征收用地6</w:t>
            </w:r>
            <w:r>
              <w:rPr>
                <w:bCs/>
                <w:spacing w:val="10"/>
                <w:sz w:val="24"/>
                <w:szCs w:val="21"/>
              </w:rPr>
              <w:t>26.9</w:t>
            </w:r>
            <w:r>
              <w:rPr>
                <w:rFonts w:hint="eastAsia"/>
                <w:bCs/>
                <w:spacing w:val="10"/>
                <w:sz w:val="24"/>
                <w:szCs w:val="21"/>
              </w:rPr>
              <w:t>亩，土地类型为荒草地和裸露地块，地表植被覆盖率不足5%，覆盖率低。路基填方、桥涵基础开挖、临时施工营地建设造成沿线部分植被破坏，地表裸露，从而造成沿线植被量的损失。项目建成后及时对施工营地区进行土地平整，对破坏的野生植被进行自然生态恢复，专用线两侧边坡铺设碎石，适当洒水降尘等，因此土地占用对生态环境的影响是可以接受的。</w:t>
            </w:r>
          </w:p>
          <w:p>
            <w:pPr>
              <w:adjustRightInd w:val="0"/>
              <w:snapToGrid w:val="0"/>
              <w:spacing w:line="408" w:lineRule="auto"/>
              <w:ind w:firstLine="520" w:firstLineChars="200"/>
              <w:rPr>
                <w:bCs/>
                <w:spacing w:val="10"/>
                <w:sz w:val="24"/>
                <w:szCs w:val="21"/>
              </w:rPr>
            </w:pPr>
            <w:r>
              <w:rPr>
                <w:rFonts w:hint="eastAsia"/>
                <w:bCs/>
                <w:spacing w:val="10"/>
                <w:sz w:val="24"/>
                <w:szCs w:val="21"/>
              </w:rPr>
              <w:t>（4）植被损失影响分析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w:t>
            </w:r>
            <w:r>
              <w:rPr>
                <w:bCs/>
                <w:spacing w:val="10"/>
                <w:sz w:val="24"/>
                <w:szCs w:val="21"/>
              </w:rPr>
              <w:t>地处</w:t>
            </w:r>
            <w:r>
              <w:rPr>
                <w:rFonts w:hint="eastAsia"/>
                <w:bCs/>
                <w:spacing w:val="10"/>
                <w:sz w:val="24"/>
                <w:szCs w:val="21"/>
              </w:rPr>
              <w:t>阜康一木垒绿洲农业荒漠草地保护生态功能区</w:t>
            </w:r>
            <w:r>
              <w:rPr>
                <w:bCs/>
                <w:spacing w:val="10"/>
                <w:sz w:val="24"/>
                <w:szCs w:val="21"/>
              </w:rPr>
              <w:t>，自然地带性植被以为</w:t>
            </w:r>
            <w:r>
              <w:rPr>
                <w:rFonts w:hint="eastAsia"/>
                <w:bCs/>
                <w:spacing w:val="10"/>
                <w:sz w:val="24"/>
                <w:szCs w:val="21"/>
              </w:rPr>
              <w:t>盐生草、骆驼蓬</w:t>
            </w:r>
            <w:r>
              <w:rPr>
                <w:bCs/>
                <w:spacing w:val="10"/>
                <w:sz w:val="24"/>
                <w:szCs w:val="21"/>
              </w:rPr>
              <w:t>为主。根据现场勘察和收集资料，</w:t>
            </w:r>
            <w:r>
              <w:rPr>
                <w:rFonts w:hint="eastAsia"/>
                <w:bCs/>
                <w:spacing w:val="10"/>
                <w:sz w:val="24"/>
                <w:szCs w:val="21"/>
              </w:rPr>
              <w:t>项目区占地为荒草地和裸露地块，项目</w:t>
            </w:r>
            <w:r>
              <w:rPr>
                <w:bCs/>
                <w:spacing w:val="10"/>
                <w:sz w:val="24"/>
                <w:szCs w:val="21"/>
              </w:rPr>
              <w:t>评价区域内占优势的植被为</w:t>
            </w:r>
            <w:r>
              <w:rPr>
                <w:rFonts w:hint="eastAsia"/>
                <w:bCs/>
                <w:spacing w:val="10"/>
                <w:sz w:val="24"/>
                <w:szCs w:val="21"/>
              </w:rPr>
              <w:t>骆驼蓬、盐生草</w:t>
            </w:r>
            <w:r>
              <w:rPr>
                <w:bCs/>
                <w:spacing w:val="10"/>
                <w:sz w:val="24"/>
                <w:szCs w:val="21"/>
              </w:rPr>
              <w:t>，其次还分布有</w:t>
            </w:r>
            <w:r>
              <w:rPr>
                <w:rFonts w:hint="eastAsia"/>
                <w:bCs/>
                <w:spacing w:val="10"/>
                <w:sz w:val="24"/>
                <w:szCs w:val="21"/>
              </w:rPr>
              <w:t>雾冰藜、红砂</w:t>
            </w:r>
            <w:r>
              <w:rPr>
                <w:bCs/>
                <w:spacing w:val="10"/>
                <w:sz w:val="24"/>
                <w:szCs w:val="21"/>
              </w:rPr>
              <w:t>等自然植被，</w:t>
            </w:r>
            <w:r>
              <w:rPr>
                <w:rFonts w:hint="eastAsia"/>
                <w:bCs/>
                <w:spacing w:val="10"/>
                <w:sz w:val="24"/>
                <w:szCs w:val="21"/>
              </w:rPr>
              <w:t>植被</w:t>
            </w:r>
            <w:r>
              <w:rPr>
                <w:bCs/>
                <w:spacing w:val="10"/>
                <w:sz w:val="24"/>
                <w:szCs w:val="21"/>
              </w:rPr>
              <w:t>覆盖度</w:t>
            </w:r>
            <w:r>
              <w:rPr>
                <w:rFonts w:hint="eastAsia"/>
                <w:bCs/>
                <w:spacing w:val="10"/>
                <w:sz w:val="24"/>
                <w:szCs w:val="21"/>
              </w:rPr>
              <w:t>小于5%，植被覆盖率低。项目对评价区植被的影响主要是路基和装卸站填方、桥涵基础开挖、临时施工营地建设造成的植被破坏而导致的生物量减少以及植被覆盖率降低，改变或破损原有植被、地形地貌，使表层土裸露或形成堆积体，降低原有植被防风固土能力等。施工期路基工程、临时占地将破坏范围内植被和土壤，损失一定的生物量。从铁路建设条状特点分析，由于植被损失面积占沿线地区同一植被类型面积的比例极小，故工程占地对沿线植被资源数量影响不大，仅是造成沿线植被的生物量略有减少，对区域生态完整性的破坏影响较小。由于这些植物种类均为区域内常见种，分布范围广，分布面积大，因此本工程建设不会造成评价区域内植物种类的减少，也不会造成区域植物区系发生改变，因此在采取有效措施后对植被损失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工程施工前对施工人员进行环保培训，加强宣教工作：加强对施工人员爱护野生植物的宣传教育工作，制定相关规定和监管制度，禁止施工人员采摘、践踏及随意铲除植被。在工程施工过程中，严格控制施工人员、车辆在规定的施工临时场地、施工便道内活动、行驶，以减少对沿线植被的破坏：运输等活动尽量利用沿线已有道路，以减少新开辟的施工便道，减少施工临时占地面积。桥涵基础开挖处的表层土应单独收集、妥善保存，并按照土层顺序回填；及时夯实或回填土方，减少区域水土流失。施工结束后，应及时清理施工现场，做到“工完、料净、场地清”，同时进行植被种植和生态恢复，最大限度减轻施工占地对环境的影响。采取有效措施后，本专用线建设项目对沿线植被产生的影响在可接受范围内。</w:t>
            </w:r>
          </w:p>
          <w:p>
            <w:pPr>
              <w:adjustRightInd w:val="0"/>
              <w:snapToGrid w:val="0"/>
              <w:spacing w:line="408" w:lineRule="auto"/>
              <w:ind w:firstLine="520" w:firstLineChars="200"/>
              <w:rPr>
                <w:bCs/>
                <w:spacing w:val="10"/>
                <w:sz w:val="24"/>
                <w:szCs w:val="21"/>
              </w:rPr>
            </w:pPr>
            <w:r>
              <w:rPr>
                <w:rFonts w:hint="eastAsia"/>
                <w:bCs/>
                <w:spacing w:val="10"/>
                <w:sz w:val="24"/>
                <w:szCs w:val="21"/>
              </w:rPr>
              <w:t>（5）水土流失影响分析</w:t>
            </w:r>
          </w:p>
          <w:p>
            <w:pPr>
              <w:adjustRightInd w:val="0"/>
              <w:snapToGrid w:val="0"/>
              <w:spacing w:line="408" w:lineRule="auto"/>
              <w:ind w:firstLine="520" w:firstLineChars="200"/>
              <w:rPr>
                <w:bCs/>
                <w:spacing w:val="10"/>
                <w:sz w:val="24"/>
                <w:szCs w:val="21"/>
              </w:rPr>
            </w:pPr>
            <w:r>
              <w:rPr>
                <w:bCs/>
                <w:spacing w:val="10"/>
                <w:sz w:val="24"/>
                <w:szCs w:val="21"/>
              </w:rPr>
              <w:t>项目建设过程中由于机械作业</w:t>
            </w:r>
            <w:r>
              <w:rPr>
                <w:rFonts w:hint="eastAsia"/>
                <w:bCs/>
                <w:spacing w:val="10"/>
                <w:sz w:val="24"/>
                <w:szCs w:val="21"/>
              </w:rPr>
              <w:t>和桥涵施工基础</w:t>
            </w:r>
            <w:r>
              <w:rPr>
                <w:bCs/>
                <w:spacing w:val="10"/>
                <w:sz w:val="24"/>
                <w:szCs w:val="21"/>
              </w:rPr>
              <w:t>开挖等，会对地表植被及土壤结构造成一定的破坏，形成地面裸露，遇到下雨及大风天气将会造成土壤侵蚀和水土流失。</w:t>
            </w:r>
            <w:r>
              <w:rPr>
                <w:rFonts w:hint="eastAsia"/>
                <w:bCs/>
                <w:spacing w:val="10"/>
                <w:sz w:val="24"/>
                <w:szCs w:val="21"/>
              </w:rPr>
              <w:t>路基填方、装卸站填方会造成原始植被的覆盖，一定程度降低植被覆盖率。</w:t>
            </w:r>
            <w:r>
              <w:rPr>
                <w:bCs/>
                <w:spacing w:val="10"/>
                <w:sz w:val="24"/>
                <w:szCs w:val="21"/>
              </w:rPr>
              <w:t>施工期间对原生地表的扰动和破坏是不可避免的，尽量控制施工期工程范围，合理安排工程进度，尽量减少不必要的动土工程</w:t>
            </w:r>
            <w:r>
              <w:rPr>
                <w:rFonts w:hint="eastAsia"/>
                <w:bCs/>
                <w:spacing w:val="10"/>
                <w:sz w:val="24"/>
                <w:szCs w:val="21"/>
              </w:rPr>
              <w:t>。</w:t>
            </w:r>
          </w:p>
          <w:p>
            <w:pPr>
              <w:adjustRightInd w:val="0"/>
              <w:snapToGrid w:val="0"/>
              <w:spacing w:line="408" w:lineRule="auto"/>
              <w:ind w:firstLine="482" w:firstLineChars="200"/>
              <w:rPr>
                <w:b/>
                <w:bCs/>
                <w:sz w:val="24"/>
              </w:rPr>
            </w:pPr>
            <w:r>
              <w:rPr>
                <w:rFonts w:hint="eastAsia"/>
                <w:b/>
                <w:bCs/>
                <w:sz w:val="24"/>
              </w:rPr>
              <w:t>2、施工期水环境影响分析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本项目施工期设置临时施工营地，水环境影响包括生活污水和施工废水。</w:t>
            </w:r>
          </w:p>
          <w:p>
            <w:pPr>
              <w:adjustRightInd w:val="0"/>
              <w:snapToGrid w:val="0"/>
              <w:spacing w:line="408" w:lineRule="auto"/>
              <w:ind w:firstLine="520" w:firstLineChars="200"/>
              <w:rPr>
                <w:bCs/>
                <w:spacing w:val="10"/>
                <w:sz w:val="24"/>
                <w:szCs w:val="21"/>
              </w:rPr>
            </w:pPr>
            <w:r>
              <w:rPr>
                <w:rFonts w:hint="eastAsia"/>
                <w:bCs/>
                <w:spacing w:val="10"/>
                <w:sz w:val="24"/>
                <w:szCs w:val="21"/>
              </w:rPr>
              <w:t>（1）生活污水</w:t>
            </w:r>
          </w:p>
          <w:p>
            <w:pPr>
              <w:adjustRightInd w:val="0"/>
              <w:snapToGrid w:val="0"/>
              <w:spacing w:line="408" w:lineRule="auto"/>
              <w:ind w:firstLine="520" w:firstLineChars="200"/>
              <w:rPr>
                <w:bCs/>
                <w:spacing w:val="10"/>
                <w:sz w:val="24"/>
                <w:szCs w:val="21"/>
              </w:rPr>
            </w:pPr>
            <w:r>
              <w:rPr>
                <w:rFonts w:hint="eastAsia"/>
                <w:bCs/>
                <w:spacing w:val="10"/>
                <w:sz w:val="24"/>
                <w:szCs w:val="21"/>
              </w:rPr>
              <w:t>施工人员按50人计算，施工人员生活用水量按</w:t>
            </w:r>
            <w:r>
              <w:rPr>
                <w:bCs/>
                <w:spacing w:val="10"/>
                <w:sz w:val="24"/>
                <w:szCs w:val="21"/>
              </w:rPr>
              <w:t>80</w:t>
            </w:r>
            <w:r>
              <w:rPr>
                <w:rFonts w:hint="eastAsia"/>
                <w:bCs/>
                <w:spacing w:val="10"/>
                <w:sz w:val="24"/>
                <w:szCs w:val="21"/>
              </w:rPr>
              <w:t>L/d·人，生活用水量为4m³/d，排水量按用水量80%计算，污水排放量为3.2m³/d。施工人员生活污水</w:t>
            </w:r>
            <w:r>
              <w:rPr>
                <w:sz w:val="24"/>
              </w:rPr>
              <w:t>中CODcr约300mg/L，</w:t>
            </w:r>
            <w:r>
              <w:rPr>
                <w:rFonts w:hint="eastAsia"/>
                <w:sz w:val="24"/>
              </w:rPr>
              <w:t>氨氮</w:t>
            </w:r>
            <w:r>
              <w:rPr>
                <w:sz w:val="24"/>
              </w:rPr>
              <w:t>约25mg/L</w:t>
            </w:r>
            <w:r>
              <w:rPr>
                <w:rFonts w:hint="eastAsia"/>
                <w:sz w:val="24"/>
              </w:rPr>
              <w:t>，施工期1</w:t>
            </w:r>
            <w:r>
              <w:rPr>
                <w:sz w:val="24"/>
              </w:rPr>
              <w:t>2</w:t>
            </w:r>
            <w:r>
              <w:rPr>
                <w:rFonts w:hint="eastAsia"/>
                <w:sz w:val="24"/>
              </w:rPr>
              <w:t>个月，则</w:t>
            </w:r>
            <w:r>
              <w:rPr>
                <w:sz w:val="24"/>
              </w:rPr>
              <w:t>施工期产生CODcr0.35t，氨氮0.029t</w:t>
            </w:r>
            <w:r>
              <w:rPr>
                <w:rFonts w:hint="eastAsia"/>
                <w:sz w:val="24"/>
              </w:rPr>
              <w:t>，因此</w:t>
            </w:r>
            <w:r>
              <w:rPr>
                <w:sz w:val="24"/>
              </w:rPr>
              <w:t>，生活污水产生的污染物非常少</w:t>
            </w:r>
            <w:r>
              <w:rPr>
                <w:rFonts w:hint="eastAsia"/>
                <w:sz w:val="24"/>
              </w:rPr>
              <w:t>，</w:t>
            </w:r>
            <w:r>
              <w:rPr>
                <w:rFonts w:hint="eastAsia"/>
                <w:bCs/>
                <w:spacing w:val="10"/>
                <w:sz w:val="24"/>
                <w:szCs w:val="21"/>
              </w:rPr>
              <w:t>施工场地新建化粪池处理后定期</w:t>
            </w:r>
            <w:r>
              <w:rPr>
                <w:rFonts w:hint="eastAsia" w:hAnsi="宋体"/>
                <w:kern w:val="0"/>
                <w:sz w:val="24"/>
              </w:rPr>
              <w:t>委托环卫部门吸污车清运集中处理</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（2）施工废水</w:t>
            </w:r>
          </w:p>
          <w:p>
            <w:pPr>
              <w:adjustRightInd w:val="0"/>
              <w:snapToGrid w:val="0"/>
              <w:spacing w:line="408" w:lineRule="auto"/>
              <w:ind w:firstLine="520" w:firstLineChars="200"/>
              <w:rPr>
                <w:bCs/>
                <w:spacing w:val="10"/>
                <w:sz w:val="24"/>
                <w:szCs w:val="21"/>
              </w:rPr>
            </w:pPr>
            <w:r>
              <w:rPr>
                <w:rFonts w:hint="eastAsia"/>
                <w:bCs/>
                <w:spacing w:val="10"/>
                <w:sz w:val="24"/>
                <w:szCs w:val="21"/>
              </w:rPr>
              <w:t>项目施工期用水主要为装卸站场地硬化养护用水、桥涵基础施工混凝土搅拌用水等，由于天气干燥，养护用水通过自然蒸发，对周围环境几乎不会产生影响。桥涵基础施工混凝土搅拌废水，泥沙含量较高，在施工场地设置沉淀池，</w:t>
            </w:r>
            <w:r>
              <w:rPr>
                <w:bCs/>
                <w:spacing w:val="10"/>
                <w:sz w:val="24"/>
                <w:szCs w:val="21"/>
              </w:rPr>
              <w:t>将施工废水沉淀后回用于抑尘洒水</w:t>
            </w:r>
            <w:r>
              <w:rPr>
                <w:rFonts w:hint="eastAsia"/>
                <w:bCs/>
                <w:spacing w:val="10"/>
                <w:sz w:val="24"/>
                <w:szCs w:val="21"/>
              </w:rPr>
              <w:t>。采取措施后，施工废水对周围环境影响较小。</w:t>
            </w:r>
          </w:p>
          <w:p>
            <w:pPr>
              <w:adjustRightInd w:val="0"/>
              <w:snapToGrid w:val="0"/>
              <w:spacing w:line="408" w:lineRule="auto"/>
              <w:ind w:firstLine="482" w:firstLineChars="200"/>
              <w:rPr>
                <w:b/>
                <w:bCs/>
                <w:sz w:val="24"/>
              </w:rPr>
            </w:pPr>
            <w:r>
              <w:rPr>
                <w:rFonts w:hint="eastAsia"/>
                <w:b/>
                <w:bCs/>
                <w:sz w:val="24"/>
              </w:rPr>
              <w:t>3、施工期大气环境影响分析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本项目施工期对周围大气环境的影响主要有施工机械和运输车辆尾气排放产生的大气污染和施工运输全过程产生的扬尘污染等。</w:t>
            </w:r>
          </w:p>
          <w:p>
            <w:pPr>
              <w:adjustRightInd w:val="0"/>
              <w:snapToGrid w:val="0"/>
              <w:spacing w:line="408" w:lineRule="auto"/>
              <w:ind w:firstLine="522" w:firstLineChars="200"/>
              <w:rPr>
                <w:b/>
                <w:bCs/>
                <w:spacing w:val="10"/>
                <w:sz w:val="24"/>
                <w:szCs w:val="21"/>
              </w:rPr>
            </w:pPr>
            <w:r>
              <w:rPr>
                <w:rFonts w:hint="eastAsia"/>
                <w:b/>
                <w:bCs/>
                <w:spacing w:val="10"/>
                <w:sz w:val="24"/>
                <w:szCs w:val="21"/>
              </w:rPr>
              <w:t>（1）施工机械、车辆尾气影响分析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在施工现场所用的压路机、装载机、运输车辆等，主要以柴油、汽油为动力，特别是土石方工程中大量使用工程机械，这些机械设备尾气的排放，导致该施工区域废气污染。本项目施工期施工机械废气排放总量较少，影响范围亦仅局限于施工机械和施工运输道路周围局部区域，且该影响随着施工的结束而终止。因此，工程施工期间施工机械产生的废气对区域环境空气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建议建设单位定期维修保养施工机械和运输车辆；选用正规燃油；加强管理，避免排放黑烟，减轻机械废气对周围环境的影响。</w:t>
            </w:r>
          </w:p>
          <w:p>
            <w:pPr>
              <w:adjustRightInd w:val="0"/>
              <w:snapToGrid w:val="0"/>
              <w:spacing w:line="408" w:lineRule="auto"/>
              <w:ind w:firstLine="522" w:firstLineChars="200"/>
              <w:rPr>
                <w:b/>
                <w:bCs/>
                <w:spacing w:val="10"/>
                <w:sz w:val="24"/>
                <w:szCs w:val="21"/>
              </w:rPr>
            </w:pPr>
            <w:r>
              <w:rPr>
                <w:rFonts w:hint="eastAsia"/>
                <w:b/>
                <w:bCs/>
                <w:spacing w:val="10"/>
                <w:sz w:val="24"/>
                <w:szCs w:val="21"/>
              </w:rPr>
              <w:t>（2）施工扬尘</w:t>
            </w:r>
          </w:p>
          <w:p>
            <w:pPr>
              <w:adjustRightInd w:val="0"/>
              <w:snapToGrid w:val="0"/>
              <w:spacing w:line="408" w:lineRule="auto"/>
              <w:ind w:firstLine="520" w:firstLineChars="200"/>
              <w:rPr>
                <w:bCs/>
                <w:spacing w:val="10"/>
                <w:sz w:val="24"/>
                <w:szCs w:val="21"/>
              </w:rPr>
            </w:pPr>
            <w:r>
              <w:rPr>
                <w:rFonts w:hint="eastAsia"/>
                <w:bCs/>
                <w:spacing w:val="10"/>
                <w:sz w:val="24"/>
                <w:szCs w:val="21"/>
              </w:rPr>
              <w:t>从场地平整、土石方工程、路基工程、施工物料运输及竣工后施工场地清理，施工扬尘污染贯穿整个施工期，运输车辆产生的二次扬尘影响较大，随着施工场地内地面裸露，影响明显加重。土石方调配、物料运输产生的扬尘污染道路两侧大气环境，污染程度与气候、车速、路况等有关。施工扬尘主要危害是对景观和环境卫生的影响，此外，影响局部植被正常生长。</w:t>
            </w:r>
          </w:p>
          <w:p>
            <w:pPr>
              <w:adjustRightInd w:val="0"/>
              <w:snapToGrid w:val="0"/>
              <w:spacing w:line="408" w:lineRule="auto"/>
              <w:ind w:firstLine="520" w:firstLineChars="200"/>
              <w:rPr>
                <w:bCs/>
                <w:spacing w:val="10"/>
                <w:sz w:val="24"/>
                <w:szCs w:val="21"/>
              </w:rPr>
            </w:pPr>
            <w:r>
              <w:rPr>
                <w:rFonts w:hint="eastAsia"/>
                <w:bCs/>
                <w:spacing w:val="10"/>
                <w:sz w:val="24"/>
                <w:szCs w:val="21"/>
              </w:rPr>
              <w:t>为减轻施工扬尘对周边环境的影响，建议采取以下防治措施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施工场地：</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w:t>
            </w:r>
            <w:r>
              <w:rPr>
                <w:rFonts w:hint="eastAsia"/>
                <w:bCs/>
                <w:spacing w:val="10"/>
                <w:sz w:val="24"/>
                <w:szCs w:val="21"/>
              </w:rPr>
              <w:t>建立施工工地管理清单，将施工工地扬尘污染防治纳入文明施工管理范畴，建立扬尘控制责任制度。</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施工工地周边设置围挡、砂石料道砟等物料临时堆放区覆盖防尘网、涵洞基础开挖土方时适当洒水增加地面湿度、渣土车辆密闭运输。</w:t>
            </w:r>
          </w:p>
          <w:p>
            <w:pPr>
              <w:adjustRightInd w:val="0"/>
              <w:snapToGrid w:val="0"/>
              <w:spacing w:line="408" w:lineRule="auto"/>
              <w:ind w:firstLine="520" w:firstLineChars="200"/>
              <w:rPr>
                <w:bCs/>
                <w:spacing w:val="10"/>
                <w:sz w:val="24"/>
                <w:szCs w:val="21"/>
              </w:rPr>
            </w:pPr>
            <w:r>
              <w:rPr>
                <w:rFonts w:hint="eastAsia"/>
                <w:bCs/>
                <w:spacing w:val="10"/>
                <w:sz w:val="24"/>
                <w:szCs w:val="21"/>
              </w:rPr>
              <w:t>物料运输：</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w:t>
            </w:r>
            <w:r>
              <w:rPr>
                <w:rFonts w:hint="eastAsia"/>
                <w:bCs/>
                <w:spacing w:val="10"/>
                <w:sz w:val="24"/>
                <w:szCs w:val="21"/>
              </w:rPr>
              <w:t>土方来源为外购，外购来源暂未明确，初步暂定为附近砂石料场；土石方运输环节易产生扬尘，污染环境，要求严格渣土运输车辆规范化管理，渣土运输车要密闭。</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进出工地的物料、渣土、垃圾运输车辆，应尽可能采用密闭车斗，并保证物料不遗撒外漏。</w:t>
            </w:r>
          </w:p>
          <w:p>
            <w:pPr>
              <w:adjustRightInd w:val="0"/>
              <w:snapToGrid w:val="0"/>
              <w:spacing w:line="408" w:lineRule="auto"/>
              <w:ind w:firstLine="520" w:firstLineChars="200"/>
              <w:rPr>
                <w:bCs/>
                <w:spacing w:val="10"/>
                <w:sz w:val="24"/>
                <w:szCs w:val="21"/>
              </w:rPr>
            </w:pPr>
            <w:r>
              <w:rPr>
                <w:rFonts w:hint="eastAsia"/>
                <w:bCs/>
                <w:spacing w:val="10"/>
                <w:sz w:val="24"/>
                <w:szCs w:val="21"/>
              </w:rPr>
              <w:t>临时土方：</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①涵洞基础开挖临时土方堆放处</w:t>
            </w:r>
            <w:r>
              <w:rPr>
                <w:rFonts w:hint="eastAsia"/>
                <w:bCs/>
                <w:spacing w:val="10"/>
                <w:sz w:val="24"/>
                <w:szCs w:val="21"/>
              </w:rPr>
              <w:t>应覆盖防尘布或防尘网、裸露地块定时水雾喷洒降低施工场地扬尘、文明施工等措施防止扬尘对周围环境造成影响。</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遇到四级或四级以上大风天气，应停止土方作业，同时作业处覆以防尘网。</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③</w:t>
            </w:r>
            <w:r>
              <w:rPr>
                <w:rFonts w:hint="eastAsia"/>
                <w:bCs/>
                <w:spacing w:val="10"/>
                <w:sz w:val="24"/>
                <w:szCs w:val="21"/>
              </w:rPr>
              <w:t>涵洞基础开挖产生临时土方，</w:t>
            </w:r>
            <w:r>
              <w:rPr>
                <w:rFonts w:hint="eastAsia"/>
                <w:bCs/>
                <w:sz w:val="24"/>
              </w:rPr>
              <w:t>临时土方堆区等易发生水土流失处，施工单位须在边缘修建拦渣墙和排水沟，减少水土流失量；遮盖防尘网等措施，减少大风天气产生的扬尘污染。</w:t>
            </w:r>
          </w:p>
          <w:p>
            <w:pPr>
              <w:adjustRightInd w:val="0"/>
              <w:snapToGrid w:val="0"/>
              <w:spacing w:line="408" w:lineRule="auto"/>
              <w:ind w:firstLine="520" w:firstLineChars="200"/>
              <w:rPr>
                <w:rFonts w:ascii="宋体" w:hAnsi="宋体" w:cs="宋体"/>
                <w:bCs/>
                <w:spacing w:val="10"/>
                <w:sz w:val="24"/>
                <w:szCs w:val="21"/>
              </w:rPr>
            </w:pPr>
            <w:r>
              <w:rPr>
                <w:rFonts w:hint="eastAsia" w:ascii="宋体" w:hAnsi="宋体" w:cs="宋体"/>
                <w:bCs/>
                <w:spacing w:val="10"/>
                <w:sz w:val="24"/>
                <w:szCs w:val="21"/>
              </w:rPr>
              <w:t>运输车辆管理：</w:t>
            </w:r>
          </w:p>
          <w:p>
            <w:pPr>
              <w:adjustRightInd w:val="0"/>
              <w:snapToGrid w:val="0"/>
              <w:spacing w:line="408" w:lineRule="auto"/>
              <w:ind w:firstLine="520" w:firstLineChars="200"/>
              <w:rPr>
                <w:rFonts w:ascii="宋体" w:hAnsi="宋体" w:cs="宋体"/>
                <w:bCs/>
                <w:spacing w:val="10"/>
                <w:sz w:val="24"/>
                <w:szCs w:val="21"/>
              </w:rPr>
            </w:pPr>
            <w:r>
              <w:rPr>
                <w:rFonts w:hint="eastAsia"/>
                <w:bCs/>
                <w:spacing w:val="10"/>
                <w:sz w:val="24"/>
                <w:szCs w:val="21"/>
              </w:rPr>
              <w:t>加强施工期机械、车辆行驶路线管理，划定明确的施工作业范围和行驶路线</w:t>
            </w:r>
            <w:r>
              <w:rPr>
                <w:rFonts w:hint="eastAsia" w:ascii="宋体" w:hAnsi="宋体" w:cs="宋体"/>
                <w:bCs/>
                <w:spacing w:val="10"/>
                <w:sz w:val="24"/>
                <w:szCs w:val="21"/>
              </w:rPr>
              <w:t>，运输过程控制车速，避免因车速过快造成物料洒落。</w:t>
            </w:r>
          </w:p>
          <w:p>
            <w:pPr>
              <w:adjustRightInd w:val="0"/>
              <w:snapToGrid w:val="0"/>
              <w:spacing w:line="408" w:lineRule="auto"/>
              <w:ind w:firstLine="520" w:firstLineChars="200"/>
              <w:rPr>
                <w:bCs/>
                <w:spacing w:val="10"/>
                <w:sz w:val="24"/>
                <w:szCs w:val="21"/>
              </w:rPr>
            </w:pPr>
            <w:r>
              <w:rPr>
                <w:rFonts w:hint="eastAsia"/>
                <w:bCs/>
                <w:spacing w:val="10"/>
                <w:sz w:val="24"/>
                <w:szCs w:val="21"/>
              </w:rPr>
              <w:t>施工扬尘对施工场地内及周围大气环境质量的不利影响是短暂的、局部的，也是施工中不可避免的，其将随施工的结束而消失。</w:t>
            </w:r>
            <w:r>
              <w:rPr>
                <w:bCs/>
                <w:spacing w:val="10"/>
                <w:sz w:val="24"/>
                <w:szCs w:val="21"/>
              </w:rPr>
              <w:t>采取上述措施后，可有效降低施工扬尘排放量，对周边环境空气质量影响较小</w:t>
            </w:r>
            <w:r>
              <w:rPr>
                <w:rFonts w:hint="eastAsia"/>
                <w:bCs/>
                <w:spacing w:val="10"/>
                <w:sz w:val="24"/>
                <w:szCs w:val="21"/>
              </w:rPr>
              <w:t>。</w:t>
            </w:r>
          </w:p>
          <w:p>
            <w:pPr>
              <w:adjustRightInd w:val="0"/>
              <w:snapToGrid w:val="0"/>
              <w:spacing w:line="408" w:lineRule="auto"/>
              <w:ind w:firstLine="522" w:firstLineChars="200"/>
              <w:rPr>
                <w:b/>
                <w:bCs/>
                <w:spacing w:val="10"/>
                <w:sz w:val="24"/>
                <w:szCs w:val="21"/>
              </w:rPr>
            </w:pPr>
            <w:r>
              <w:rPr>
                <w:rFonts w:hint="eastAsia"/>
                <w:b/>
                <w:bCs/>
                <w:spacing w:val="10"/>
                <w:sz w:val="24"/>
                <w:szCs w:val="21"/>
              </w:rPr>
              <w:t>4、施工期声环境影响分析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（1）源强分析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本项目施工期路基工程、桥涵工程、站场建设等，建设期间涉及挖掘机、装载机、大型载重汽车及混凝土搅拌运输车、压路机等将会产生较强噪声，主要施工机械噪声值如下：</w:t>
            </w:r>
          </w:p>
          <w:p>
            <w:pPr>
              <w:adjustRightInd w:val="0"/>
              <w:snapToGrid w:val="0"/>
              <w:spacing w:line="408" w:lineRule="auto"/>
              <w:ind w:firstLine="422" w:firstLineChars="200"/>
              <w:jc w:val="center"/>
              <w:rPr>
                <w:b/>
                <w:bCs/>
              </w:rPr>
            </w:pPr>
            <w:r>
              <w:rPr>
                <w:rFonts w:hint="eastAsia"/>
                <w:b/>
                <w:bCs/>
              </w:rPr>
              <w:t>表15</w:t>
            </w:r>
            <w:r>
              <w:rPr>
                <w:b/>
                <w:bCs/>
              </w:rPr>
              <w:t xml:space="preserve"> </w:t>
            </w:r>
            <w:r>
              <w:rPr>
                <w:rFonts w:hint="eastAsia"/>
                <w:b/>
                <w:bCs/>
              </w:rPr>
              <w:t>项目主要噪声设备声级值</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36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序号</w:t>
                  </w:r>
                </w:p>
              </w:tc>
              <w:tc>
                <w:tcPr>
                  <w:tcW w:w="3685" w:type="dxa"/>
                  <w:vAlign w:val="center"/>
                </w:tcPr>
                <w:p>
                  <w:pPr>
                    <w:adjustRightInd w:val="0"/>
                    <w:snapToGrid w:val="0"/>
                    <w:jc w:val="center"/>
                    <w:rPr>
                      <w:bCs/>
                      <w:sz w:val="24"/>
                    </w:rPr>
                  </w:pPr>
                  <w:r>
                    <w:rPr>
                      <w:rFonts w:hint="eastAsia"/>
                      <w:bCs/>
                      <w:sz w:val="24"/>
                    </w:rPr>
                    <w:t>名称</w:t>
                  </w:r>
                </w:p>
              </w:tc>
              <w:tc>
                <w:tcPr>
                  <w:tcW w:w="2977" w:type="dxa"/>
                  <w:vAlign w:val="center"/>
                </w:tcPr>
                <w:p>
                  <w:pPr>
                    <w:adjustRightInd w:val="0"/>
                    <w:snapToGrid w:val="0"/>
                    <w:jc w:val="center"/>
                    <w:rPr>
                      <w:bCs/>
                      <w:sz w:val="24"/>
                    </w:rPr>
                  </w:pPr>
                  <w:r>
                    <w:rPr>
                      <w:rFonts w:hint="eastAsia"/>
                      <w:bCs/>
                      <w:sz w:val="24"/>
                    </w:rPr>
                    <w:t>源强范围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1</w:t>
                  </w:r>
                </w:p>
              </w:tc>
              <w:tc>
                <w:tcPr>
                  <w:tcW w:w="3685" w:type="dxa"/>
                  <w:vAlign w:val="center"/>
                </w:tcPr>
                <w:p>
                  <w:pPr>
                    <w:adjustRightInd w:val="0"/>
                    <w:snapToGrid w:val="0"/>
                    <w:jc w:val="center"/>
                    <w:rPr>
                      <w:bCs/>
                      <w:sz w:val="24"/>
                    </w:rPr>
                  </w:pPr>
                  <w:r>
                    <w:rPr>
                      <w:rFonts w:hint="eastAsia"/>
                      <w:bCs/>
                      <w:sz w:val="24"/>
                    </w:rPr>
                    <w:t>挖掘机</w:t>
                  </w:r>
                </w:p>
              </w:tc>
              <w:tc>
                <w:tcPr>
                  <w:tcW w:w="2977" w:type="dxa"/>
                  <w:vAlign w:val="center"/>
                </w:tcPr>
                <w:p>
                  <w:pPr>
                    <w:adjustRightInd w:val="0"/>
                    <w:snapToGrid w:val="0"/>
                    <w:jc w:val="center"/>
                    <w:rPr>
                      <w:bCs/>
                      <w:sz w:val="24"/>
                    </w:rPr>
                  </w:pPr>
                  <w:r>
                    <w:rPr>
                      <w:rFonts w:hint="eastAsia"/>
                      <w:bCs/>
                      <w:sz w:val="24"/>
                    </w:rPr>
                    <w:t>75-95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2</w:t>
                  </w:r>
                </w:p>
              </w:tc>
              <w:tc>
                <w:tcPr>
                  <w:tcW w:w="3685" w:type="dxa"/>
                  <w:vAlign w:val="center"/>
                </w:tcPr>
                <w:p>
                  <w:pPr>
                    <w:adjustRightInd w:val="0"/>
                    <w:snapToGrid w:val="0"/>
                    <w:jc w:val="center"/>
                    <w:rPr>
                      <w:bCs/>
                      <w:sz w:val="24"/>
                    </w:rPr>
                  </w:pPr>
                  <w:r>
                    <w:rPr>
                      <w:rFonts w:hint="eastAsia"/>
                      <w:bCs/>
                      <w:sz w:val="24"/>
                    </w:rPr>
                    <w:t>装载机</w:t>
                  </w:r>
                </w:p>
              </w:tc>
              <w:tc>
                <w:tcPr>
                  <w:tcW w:w="2977" w:type="dxa"/>
                  <w:vAlign w:val="center"/>
                </w:tcPr>
                <w:p>
                  <w:pPr>
                    <w:adjustRightInd w:val="0"/>
                    <w:snapToGrid w:val="0"/>
                    <w:jc w:val="center"/>
                    <w:rPr>
                      <w:bCs/>
                      <w:sz w:val="24"/>
                    </w:rPr>
                  </w:pPr>
                  <w:r>
                    <w:rPr>
                      <w:rFonts w:hint="eastAsia"/>
                      <w:bCs/>
                      <w:sz w:val="24"/>
                    </w:rPr>
                    <w:t>85-95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3</w:t>
                  </w:r>
                </w:p>
              </w:tc>
              <w:tc>
                <w:tcPr>
                  <w:tcW w:w="3685" w:type="dxa"/>
                  <w:vAlign w:val="center"/>
                </w:tcPr>
                <w:p>
                  <w:pPr>
                    <w:adjustRightInd w:val="0"/>
                    <w:snapToGrid w:val="0"/>
                    <w:jc w:val="center"/>
                    <w:rPr>
                      <w:bCs/>
                      <w:sz w:val="24"/>
                    </w:rPr>
                  </w:pPr>
                  <w:r>
                    <w:rPr>
                      <w:rFonts w:hint="eastAsia"/>
                      <w:bCs/>
                      <w:sz w:val="24"/>
                    </w:rPr>
                    <w:t>大型载重汽车</w:t>
                  </w:r>
                </w:p>
              </w:tc>
              <w:tc>
                <w:tcPr>
                  <w:tcW w:w="2977" w:type="dxa"/>
                  <w:vAlign w:val="center"/>
                </w:tcPr>
                <w:p>
                  <w:pPr>
                    <w:adjustRightInd w:val="0"/>
                    <w:snapToGrid w:val="0"/>
                    <w:jc w:val="center"/>
                    <w:rPr>
                      <w:bCs/>
                      <w:sz w:val="24"/>
                    </w:rPr>
                  </w:pPr>
                  <w:r>
                    <w:rPr>
                      <w:rFonts w:hint="eastAsia"/>
                      <w:bCs/>
                      <w:sz w:val="24"/>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4</w:t>
                  </w:r>
                </w:p>
              </w:tc>
              <w:tc>
                <w:tcPr>
                  <w:tcW w:w="3685" w:type="dxa"/>
                  <w:vAlign w:val="center"/>
                </w:tcPr>
                <w:p>
                  <w:pPr>
                    <w:adjustRightInd w:val="0"/>
                    <w:snapToGrid w:val="0"/>
                    <w:jc w:val="center"/>
                    <w:rPr>
                      <w:bCs/>
                      <w:sz w:val="24"/>
                    </w:rPr>
                  </w:pPr>
                  <w:r>
                    <w:rPr>
                      <w:rFonts w:hint="eastAsia"/>
                      <w:bCs/>
                      <w:sz w:val="24"/>
                    </w:rPr>
                    <w:t>压路机</w:t>
                  </w:r>
                </w:p>
              </w:tc>
              <w:tc>
                <w:tcPr>
                  <w:tcW w:w="2977" w:type="dxa"/>
                  <w:vAlign w:val="center"/>
                </w:tcPr>
                <w:p>
                  <w:pPr>
                    <w:adjustRightInd w:val="0"/>
                    <w:snapToGrid w:val="0"/>
                    <w:jc w:val="center"/>
                    <w:rPr>
                      <w:bCs/>
                      <w:sz w:val="24"/>
                    </w:rPr>
                  </w:pPr>
                  <w:r>
                    <w:rPr>
                      <w:rFonts w:hint="eastAsia"/>
                      <w:bCs/>
                      <w:sz w:val="24"/>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vAlign w:val="center"/>
                </w:tcPr>
                <w:p>
                  <w:pPr>
                    <w:adjustRightInd w:val="0"/>
                    <w:snapToGrid w:val="0"/>
                    <w:jc w:val="center"/>
                    <w:rPr>
                      <w:bCs/>
                      <w:sz w:val="24"/>
                    </w:rPr>
                  </w:pPr>
                  <w:r>
                    <w:rPr>
                      <w:rFonts w:hint="eastAsia"/>
                      <w:bCs/>
                      <w:sz w:val="24"/>
                    </w:rPr>
                    <w:t>5</w:t>
                  </w:r>
                </w:p>
              </w:tc>
              <w:tc>
                <w:tcPr>
                  <w:tcW w:w="3685" w:type="dxa"/>
                  <w:vAlign w:val="center"/>
                </w:tcPr>
                <w:p>
                  <w:pPr>
                    <w:adjustRightInd w:val="0"/>
                    <w:snapToGrid w:val="0"/>
                    <w:jc w:val="center"/>
                    <w:rPr>
                      <w:bCs/>
                      <w:sz w:val="24"/>
                    </w:rPr>
                  </w:pPr>
                  <w:r>
                    <w:rPr>
                      <w:rFonts w:hint="eastAsia"/>
                      <w:bCs/>
                      <w:sz w:val="24"/>
                    </w:rPr>
                    <w:t>混凝土搅拌运输车</w:t>
                  </w:r>
                </w:p>
              </w:tc>
              <w:tc>
                <w:tcPr>
                  <w:tcW w:w="2977" w:type="dxa"/>
                  <w:vAlign w:val="center"/>
                </w:tcPr>
                <w:p>
                  <w:pPr>
                    <w:adjustRightInd w:val="0"/>
                    <w:snapToGrid w:val="0"/>
                    <w:jc w:val="center"/>
                    <w:rPr>
                      <w:bCs/>
                      <w:sz w:val="24"/>
                    </w:rPr>
                  </w:pPr>
                  <w:r>
                    <w:rPr>
                      <w:rFonts w:hint="eastAsia"/>
                      <w:bCs/>
                      <w:sz w:val="24"/>
                    </w:rPr>
                    <w:t>80-85</w:t>
                  </w:r>
                </w:p>
              </w:tc>
            </w:tr>
          </w:tbl>
          <w:p>
            <w:pPr>
              <w:adjustRightInd w:val="0"/>
              <w:snapToGrid w:val="0"/>
              <w:spacing w:line="408" w:lineRule="auto"/>
              <w:ind w:firstLine="480" w:firstLineChars="200"/>
              <w:rPr>
                <w:bCs/>
                <w:sz w:val="24"/>
              </w:rPr>
            </w:pPr>
            <w:r>
              <w:rPr>
                <w:rFonts w:hint="eastAsia"/>
                <w:bCs/>
                <w:sz w:val="24"/>
              </w:rPr>
              <w:t>（2）施工期噪声预测模式</w:t>
            </w:r>
          </w:p>
          <w:p>
            <w:pPr>
              <w:pStyle w:val="38"/>
              <w:spacing w:line="408" w:lineRule="auto"/>
              <w:ind w:firstLine="520"/>
              <w:rPr>
                <w:bCs/>
                <w:spacing w:val="10"/>
                <w:kern w:val="2"/>
                <w:szCs w:val="21"/>
              </w:rPr>
            </w:pPr>
            <w:r>
              <w:rPr>
                <w:rFonts w:hint="eastAsia"/>
                <w:bCs/>
                <w:spacing w:val="10"/>
                <w:kern w:val="2"/>
                <w:szCs w:val="21"/>
              </w:rPr>
              <w:t>本项目参照《建筑施工厂界噪声环境噪声排放标准》（GB</w:t>
            </w:r>
            <w:r>
              <w:rPr>
                <w:bCs/>
                <w:spacing w:val="10"/>
                <w:kern w:val="2"/>
                <w:szCs w:val="21"/>
              </w:rPr>
              <w:t>12523-2011</w:t>
            </w:r>
            <w:r>
              <w:rPr>
                <w:rFonts w:hint="eastAsia"/>
                <w:bCs/>
                <w:spacing w:val="10"/>
                <w:kern w:val="2"/>
                <w:szCs w:val="21"/>
              </w:rPr>
              <w:t>）标准评价（昼间70d</w:t>
            </w:r>
            <w:r>
              <w:rPr>
                <w:bCs/>
                <w:spacing w:val="10"/>
                <w:kern w:val="2"/>
                <w:szCs w:val="21"/>
              </w:rPr>
              <w:t>B</w:t>
            </w:r>
            <w:r>
              <w:rPr>
                <w:rFonts w:hint="eastAsia"/>
                <w:bCs/>
                <w:spacing w:val="10"/>
                <w:kern w:val="2"/>
                <w:szCs w:val="21"/>
              </w:rPr>
              <w:t>，夜间55d</w:t>
            </w:r>
            <w:r>
              <w:rPr>
                <w:bCs/>
                <w:spacing w:val="10"/>
                <w:kern w:val="2"/>
                <w:szCs w:val="21"/>
              </w:rPr>
              <w:t>B</w:t>
            </w:r>
            <w:r>
              <w:rPr>
                <w:rFonts w:hint="eastAsia"/>
                <w:bCs/>
                <w:spacing w:val="10"/>
                <w:kern w:val="2"/>
                <w:szCs w:val="21"/>
              </w:rPr>
              <w:t>）。</w:t>
            </w:r>
          </w:p>
          <w:p>
            <w:pPr>
              <w:pStyle w:val="38"/>
              <w:spacing w:line="408" w:lineRule="auto"/>
              <w:ind w:firstLine="520"/>
              <w:rPr>
                <w:bCs/>
                <w:spacing w:val="10"/>
                <w:kern w:val="2"/>
                <w:szCs w:val="21"/>
              </w:rPr>
            </w:pPr>
            <w:r>
              <w:rPr>
                <w:rFonts w:hint="eastAsia"/>
                <w:bCs/>
                <w:spacing w:val="10"/>
                <w:kern w:val="2"/>
                <w:szCs w:val="21"/>
              </w:rPr>
              <w:t>噪声预测模式为：</w:t>
            </w:r>
          </w:p>
          <w:p>
            <w:pPr>
              <w:pStyle w:val="38"/>
              <w:spacing w:line="408" w:lineRule="auto"/>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r>
                  <m:rPr/>
                  <w:rPr>
                    <w:rFonts w:ascii="Cambria Math" w:hAnsi="Cambria Math"/>
                  </w:rPr>
                  <m:t>−20lg</m:t>
                </m:r>
                <m:d>
                  <m:dPr>
                    <m:ctrlPr>
                      <w:rPr>
                        <w:rFonts w:ascii="Cambria Math" w:hAnsi="Cambria Math"/>
                        <w:i/>
                      </w:rPr>
                    </m:ctrlPr>
                  </m:dPr>
                  <m:e>
                    <m:f>
                      <m:fPr>
                        <m:type m:val="skw"/>
                        <m:ctrlPr>
                          <w:rPr>
                            <w:rFonts w:ascii="Cambria Math" w:hAnsi="Cambria Math"/>
                            <w:i/>
                          </w:rPr>
                        </m:ctrlPr>
                      </m:fPr>
                      <m:num>
                        <m:r>
                          <m:rPr/>
                          <w:rPr>
                            <w:rFonts w:ascii="Cambria Math" w:hAnsi="Cambria Math"/>
                          </w:rPr>
                          <m:t>r</m:t>
                        </m:r>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pStyle w:val="38"/>
              <w:spacing w:line="408" w:lineRule="auto"/>
              <w:ind w:firstLine="480"/>
            </w:pPr>
            <w:r>
              <w:t>式中：</w:t>
            </w:r>
            <w:r>
              <w:rPr>
                <w:i/>
              </w:rPr>
              <w:t>L</w:t>
            </w:r>
            <w:r>
              <w:rPr>
                <w:i/>
                <w:vertAlign w:val="subscript"/>
              </w:rPr>
              <w:t>p(r0)</w:t>
            </w:r>
            <w:r>
              <w:t>—噪声源在预测点的声压级，dB(A)；</w:t>
            </w:r>
          </w:p>
          <w:p>
            <w:pPr>
              <w:pStyle w:val="38"/>
              <w:spacing w:line="408" w:lineRule="auto"/>
              <w:ind w:firstLine="480"/>
            </w:pPr>
            <w:r>
              <w:rPr>
                <w:i/>
              </w:rPr>
              <w:t>L</w:t>
            </w:r>
            <w:r>
              <w:rPr>
                <w:i/>
                <w:vertAlign w:val="subscript"/>
              </w:rPr>
              <w:t>p</w:t>
            </w:r>
            <w:r>
              <w:rPr>
                <w:i/>
              </w:rPr>
              <w:t>(r</w:t>
            </w:r>
            <w:r>
              <w:rPr>
                <w:i/>
                <w:vertAlign w:val="subscript"/>
              </w:rPr>
              <w:t>0</w:t>
            </w:r>
            <w:r>
              <w:rPr>
                <w:i/>
              </w:rPr>
              <w:t>)</w:t>
            </w:r>
            <w:r>
              <w:t>—参考位置r</w:t>
            </w:r>
            <w:r>
              <w:rPr>
                <w:vertAlign w:val="subscript"/>
              </w:rPr>
              <w:t>0</w:t>
            </w:r>
            <w:r>
              <w:t>处的声压级，dB(A)；</w:t>
            </w:r>
          </w:p>
          <w:p>
            <w:pPr>
              <w:pStyle w:val="38"/>
              <w:spacing w:line="408" w:lineRule="auto"/>
              <w:ind w:firstLine="480"/>
            </w:pPr>
            <w:r>
              <w:rPr>
                <w:i/>
              </w:rPr>
              <w:t>r</w:t>
            </w:r>
            <w:r>
              <w:rPr>
                <w:i/>
                <w:vertAlign w:val="subscript"/>
              </w:rPr>
              <w:t>0</w:t>
            </w:r>
            <w:r>
              <w:t>—参考位置距声源中心的位置，m；</w:t>
            </w:r>
          </w:p>
          <w:p>
            <w:pPr>
              <w:pStyle w:val="38"/>
              <w:spacing w:line="408" w:lineRule="auto"/>
              <w:ind w:firstLine="480"/>
            </w:pPr>
            <w:r>
              <w:rPr>
                <w:i/>
              </w:rPr>
              <w:t>r</w:t>
            </w:r>
            <w:r>
              <w:t>—声源中心至预测点的距离，m；</w:t>
            </w:r>
          </w:p>
          <w:p>
            <w:pPr>
              <w:pStyle w:val="38"/>
              <w:spacing w:line="408" w:lineRule="auto"/>
              <w:ind w:firstLine="480"/>
            </w:pPr>
            <w:r>
              <w:rPr>
                <w:rFonts w:hint="eastAsia"/>
              </w:rPr>
              <w:t>（3）噪声影响范围计算和分析</w:t>
            </w:r>
          </w:p>
          <w:p>
            <w:pPr>
              <w:pStyle w:val="38"/>
              <w:spacing w:line="360" w:lineRule="auto"/>
              <w:ind w:firstLine="422"/>
              <w:jc w:val="center"/>
              <w:rPr>
                <w:b/>
                <w:sz w:val="21"/>
              </w:rPr>
            </w:pPr>
            <w:r>
              <w:rPr>
                <w:rFonts w:hint="eastAsia"/>
                <w:b/>
                <w:sz w:val="21"/>
              </w:rPr>
              <w:t>表16</w:t>
            </w:r>
            <w:r>
              <w:rPr>
                <w:b/>
                <w:sz w:val="21"/>
              </w:rPr>
              <w:t xml:space="preserve"> </w:t>
            </w:r>
            <w:r>
              <w:rPr>
                <w:rFonts w:hint="eastAsia"/>
                <w:b/>
                <w:sz w:val="21"/>
              </w:rPr>
              <w:t>施工机械不同距离处的噪声值</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2"/>
              <w:gridCol w:w="503"/>
              <w:gridCol w:w="584"/>
              <w:gridCol w:w="584"/>
              <w:gridCol w:w="584"/>
              <w:gridCol w:w="584"/>
              <w:gridCol w:w="531"/>
              <w:gridCol w:w="584"/>
              <w:gridCol w:w="584"/>
              <w:gridCol w:w="585"/>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pStyle w:val="38"/>
                    <w:spacing w:line="240" w:lineRule="auto"/>
                    <w:ind w:firstLine="0" w:firstLineChars="0"/>
                    <w:jc w:val="center"/>
                    <w:rPr>
                      <w:sz w:val="21"/>
                      <w:szCs w:val="21"/>
                    </w:rPr>
                  </w:pPr>
                  <w:r>
                    <w:rPr>
                      <w:rFonts w:hint="eastAsia"/>
                      <w:sz w:val="21"/>
                      <w:szCs w:val="21"/>
                    </w:rPr>
                    <w:t>机械名称</w:t>
                  </w:r>
                </w:p>
              </w:tc>
              <w:tc>
                <w:tcPr>
                  <w:tcW w:w="348" w:type="pct"/>
                  <w:vAlign w:val="center"/>
                </w:tcPr>
                <w:p>
                  <w:pPr>
                    <w:pStyle w:val="38"/>
                    <w:spacing w:line="240" w:lineRule="auto"/>
                    <w:ind w:firstLine="0" w:firstLineChars="0"/>
                    <w:jc w:val="center"/>
                    <w:rPr>
                      <w:sz w:val="21"/>
                      <w:szCs w:val="21"/>
                    </w:rPr>
                  </w:pPr>
                  <w:r>
                    <w:rPr>
                      <w:rFonts w:hint="eastAsia"/>
                      <w:sz w:val="21"/>
                      <w:szCs w:val="21"/>
                    </w:rPr>
                    <w:t>10</w:t>
                  </w:r>
                </w:p>
              </w:tc>
              <w:tc>
                <w:tcPr>
                  <w:tcW w:w="349" w:type="pct"/>
                  <w:vAlign w:val="center"/>
                </w:tcPr>
                <w:p>
                  <w:pPr>
                    <w:pStyle w:val="38"/>
                    <w:spacing w:line="240" w:lineRule="auto"/>
                    <w:ind w:firstLine="0" w:firstLineChars="0"/>
                    <w:jc w:val="center"/>
                    <w:rPr>
                      <w:sz w:val="21"/>
                      <w:szCs w:val="21"/>
                    </w:rPr>
                  </w:pPr>
                  <w:r>
                    <w:rPr>
                      <w:rFonts w:hint="eastAsia"/>
                      <w:sz w:val="21"/>
                      <w:szCs w:val="21"/>
                    </w:rPr>
                    <w:t>20</w:t>
                  </w:r>
                </w:p>
              </w:tc>
              <w:tc>
                <w:tcPr>
                  <w:tcW w:w="348" w:type="pct"/>
                  <w:vAlign w:val="center"/>
                </w:tcPr>
                <w:p>
                  <w:pPr>
                    <w:pStyle w:val="38"/>
                    <w:spacing w:line="240" w:lineRule="auto"/>
                    <w:ind w:firstLine="0" w:firstLineChars="0"/>
                    <w:jc w:val="center"/>
                    <w:rPr>
                      <w:sz w:val="21"/>
                      <w:szCs w:val="21"/>
                    </w:rPr>
                  </w:pPr>
                  <w:r>
                    <w:rPr>
                      <w:rFonts w:hint="eastAsia"/>
                      <w:sz w:val="21"/>
                      <w:szCs w:val="21"/>
                    </w:rPr>
                    <w:t>40</w:t>
                  </w:r>
                </w:p>
              </w:tc>
              <w:tc>
                <w:tcPr>
                  <w:tcW w:w="349" w:type="pct"/>
                  <w:vAlign w:val="center"/>
                </w:tcPr>
                <w:p>
                  <w:pPr>
                    <w:pStyle w:val="38"/>
                    <w:spacing w:line="240" w:lineRule="auto"/>
                    <w:ind w:firstLine="0" w:firstLineChars="0"/>
                    <w:jc w:val="center"/>
                    <w:rPr>
                      <w:sz w:val="21"/>
                      <w:szCs w:val="21"/>
                    </w:rPr>
                  </w:pPr>
                  <w:r>
                    <w:rPr>
                      <w:rFonts w:hint="eastAsia"/>
                      <w:sz w:val="21"/>
                      <w:szCs w:val="21"/>
                    </w:rPr>
                    <w:t>60</w:t>
                  </w:r>
                </w:p>
              </w:tc>
              <w:tc>
                <w:tcPr>
                  <w:tcW w:w="348" w:type="pct"/>
                  <w:vAlign w:val="center"/>
                </w:tcPr>
                <w:p>
                  <w:pPr>
                    <w:pStyle w:val="38"/>
                    <w:spacing w:line="240" w:lineRule="auto"/>
                    <w:ind w:firstLine="0" w:firstLineChars="0"/>
                    <w:jc w:val="center"/>
                    <w:rPr>
                      <w:sz w:val="21"/>
                      <w:szCs w:val="21"/>
                    </w:rPr>
                  </w:pPr>
                  <w:r>
                    <w:rPr>
                      <w:rFonts w:hint="eastAsia"/>
                      <w:sz w:val="21"/>
                      <w:szCs w:val="21"/>
                    </w:rPr>
                    <w:t>80</w:t>
                  </w:r>
                </w:p>
              </w:tc>
              <w:tc>
                <w:tcPr>
                  <w:tcW w:w="349" w:type="pct"/>
                  <w:vAlign w:val="center"/>
                </w:tcPr>
                <w:p>
                  <w:pPr>
                    <w:pStyle w:val="38"/>
                    <w:spacing w:line="240" w:lineRule="auto"/>
                    <w:ind w:firstLine="0" w:firstLineChars="0"/>
                    <w:jc w:val="center"/>
                    <w:rPr>
                      <w:sz w:val="21"/>
                      <w:szCs w:val="21"/>
                    </w:rPr>
                  </w:pPr>
                  <w:r>
                    <w:rPr>
                      <w:rFonts w:hint="eastAsia"/>
                      <w:sz w:val="21"/>
                      <w:szCs w:val="21"/>
                    </w:rPr>
                    <w:t>100</w:t>
                  </w:r>
                </w:p>
              </w:tc>
              <w:tc>
                <w:tcPr>
                  <w:tcW w:w="348" w:type="pct"/>
                  <w:vAlign w:val="center"/>
                </w:tcPr>
                <w:p>
                  <w:pPr>
                    <w:pStyle w:val="38"/>
                    <w:spacing w:line="240" w:lineRule="auto"/>
                    <w:ind w:firstLine="0" w:firstLineChars="0"/>
                    <w:jc w:val="center"/>
                    <w:rPr>
                      <w:sz w:val="21"/>
                      <w:szCs w:val="21"/>
                    </w:rPr>
                  </w:pPr>
                  <w:r>
                    <w:rPr>
                      <w:rFonts w:hint="eastAsia"/>
                      <w:sz w:val="21"/>
                      <w:szCs w:val="21"/>
                    </w:rPr>
                    <w:t>150</w:t>
                  </w:r>
                </w:p>
              </w:tc>
              <w:tc>
                <w:tcPr>
                  <w:tcW w:w="349" w:type="pct"/>
                  <w:vAlign w:val="center"/>
                </w:tcPr>
                <w:p>
                  <w:pPr>
                    <w:pStyle w:val="38"/>
                    <w:spacing w:line="240" w:lineRule="auto"/>
                    <w:ind w:firstLine="0" w:firstLineChars="0"/>
                    <w:jc w:val="center"/>
                    <w:rPr>
                      <w:sz w:val="21"/>
                      <w:szCs w:val="21"/>
                    </w:rPr>
                  </w:pPr>
                  <w:r>
                    <w:rPr>
                      <w:rFonts w:hint="eastAsia"/>
                      <w:sz w:val="21"/>
                      <w:szCs w:val="21"/>
                    </w:rPr>
                    <w:t>200</w:t>
                  </w:r>
                </w:p>
              </w:tc>
              <w:tc>
                <w:tcPr>
                  <w:tcW w:w="348" w:type="pct"/>
                  <w:vAlign w:val="center"/>
                </w:tcPr>
                <w:p>
                  <w:pPr>
                    <w:pStyle w:val="38"/>
                    <w:spacing w:line="240" w:lineRule="auto"/>
                    <w:ind w:firstLine="0" w:firstLineChars="0"/>
                    <w:jc w:val="center"/>
                    <w:rPr>
                      <w:sz w:val="21"/>
                      <w:szCs w:val="21"/>
                    </w:rPr>
                  </w:pPr>
                  <w:r>
                    <w:rPr>
                      <w:rFonts w:hint="eastAsia"/>
                      <w:sz w:val="21"/>
                      <w:szCs w:val="21"/>
                    </w:rPr>
                    <w:t>300</w:t>
                  </w:r>
                </w:p>
              </w:tc>
              <w:tc>
                <w:tcPr>
                  <w:tcW w:w="301" w:type="pct"/>
                  <w:vAlign w:val="center"/>
                </w:tcPr>
                <w:p>
                  <w:pPr>
                    <w:pStyle w:val="38"/>
                    <w:spacing w:line="240" w:lineRule="auto"/>
                    <w:ind w:firstLine="0" w:firstLineChars="0"/>
                    <w:jc w:val="center"/>
                    <w:rPr>
                      <w:sz w:val="21"/>
                      <w:szCs w:val="21"/>
                    </w:rPr>
                  </w:pPr>
                  <w:r>
                    <w:rPr>
                      <w:rFonts w:hint="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adjustRightInd w:val="0"/>
                    <w:snapToGrid w:val="0"/>
                    <w:jc w:val="center"/>
                    <w:rPr>
                      <w:bCs/>
                      <w:szCs w:val="21"/>
                    </w:rPr>
                  </w:pPr>
                  <w:r>
                    <w:rPr>
                      <w:rFonts w:hint="eastAsia"/>
                      <w:bCs/>
                      <w:szCs w:val="21"/>
                    </w:rPr>
                    <w:t>挖掘机</w:t>
                  </w:r>
                </w:p>
              </w:tc>
              <w:tc>
                <w:tcPr>
                  <w:tcW w:w="348" w:type="pct"/>
                  <w:vAlign w:val="center"/>
                </w:tcPr>
                <w:p>
                  <w:pPr>
                    <w:pStyle w:val="38"/>
                    <w:spacing w:line="240" w:lineRule="auto"/>
                    <w:ind w:firstLine="0" w:firstLineChars="0"/>
                    <w:jc w:val="center"/>
                    <w:rPr>
                      <w:sz w:val="21"/>
                      <w:szCs w:val="21"/>
                    </w:rPr>
                  </w:pPr>
                  <w:r>
                    <w:rPr>
                      <w:rFonts w:hint="eastAsia"/>
                      <w:sz w:val="21"/>
                      <w:szCs w:val="21"/>
                    </w:rPr>
                    <w:t>96</w:t>
                  </w:r>
                </w:p>
              </w:tc>
              <w:tc>
                <w:tcPr>
                  <w:tcW w:w="349" w:type="pct"/>
                  <w:vAlign w:val="center"/>
                </w:tcPr>
                <w:p>
                  <w:pPr>
                    <w:pStyle w:val="38"/>
                    <w:spacing w:line="240" w:lineRule="auto"/>
                    <w:ind w:firstLine="0" w:firstLineChars="0"/>
                    <w:jc w:val="center"/>
                    <w:rPr>
                      <w:sz w:val="21"/>
                      <w:szCs w:val="21"/>
                    </w:rPr>
                  </w:pPr>
                  <w:r>
                    <w:rPr>
                      <w:rFonts w:hint="eastAsia"/>
                      <w:sz w:val="21"/>
                      <w:szCs w:val="21"/>
                    </w:rPr>
                    <w:t>90</w:t>
                  </w:r>
                </w:p>
              </w:tc>
              <w:tc>
                <w:tcPr>
                  <w:tcW w:w="348" w:type="pct"/>
                  <w:vAlign w:val="center"/>
                </w:tcPr>
                <w:p>
                  <w:pPr>
                    <w:pStyle w:val="38"/>
                    <w:spacing w:line="240" w:lineRule="auto"/>
                    <w:ind w:firstLine="0" w:firstLineChars="0"/>
                    <w:jc w:val="center"/>
                    <w:rPr>
                      <w:sz w:val="21"/>
                      <w:szCs w:val="21"/>
                    </w:rPr>
                  </w:pPr>
                  <w:r>
                    <w:rPr>
                      <w:rFonts w:hint="eastAsia"/>
                      <w:sz w:val="21"/>
                      <w:szCs w:val="21"/>
                    </w:rPr>
                    <w:t>84</w:t>
                  </w:r>
                </w:p>
              </w:tc>
              <w:tc>
                <w:tcPr>
                  <w:tcW w:w="349" w:type="pct"/>
                  <w:vAlign w:val="center"/>
                </w:tcPr>
                <w:p>
                  <w:pPr>
                    <w:pStyle w:val="38"/>
                    <w:spacing w:line="240" w:lineRule="auto"/>
                    <w:ind w:firstLine="0" w:firstLineChars="0"/>
                    <w:jc w:val="center"/>
                    <w:rPr>
                      <w:sz w:val="21"/>
                      <w:szCs w:val="21"/>
                    </w:rPr>
                  </w:pPr>
                  <w:r>
                    <w:rPr>
                      <w:rFonts w:hint="eastAsia"/>
                      <w:sz w:val="21"/>
                      <w:szCs w:val="21"/>
                    </w:rPr>
                    <w:t>81.5</w:t>
                  </w:r>
                </w:p>
              </w:tc>
              <w:tc>
                <w:tcPr>
                  <w:tcW w:w="348" w:type="pct"/>
                  <w:vAlign w:val="center"/>
                </w:tcPr>
                <w:p>
                  <w:pPr>
                    <w:pStyle w:val="38"/>
                    <w:spacing w:line="240" w:lineRule="auto"/>
                    <w:ind w:firstLine="0" w:firstLineChars="0"/>
                    <w:jc w:val="center"/>
                    <w:rPr>
                      <w:sz w:val="21"/>
                      <w:szCs w:val="21"/>
                    </w:rPr>
                  </w:pPr>
                  <w:r>
                    <w:rPr>
                      <w:rFonts w:hint="eastAsia"/>
                      <w:sz w:val="21"/>
                      <w:szCs w:val="21"/>
                    </w:rPr>
                    <w:t>78</w:t>
                  </w:r>
                </w:p>
              </w:tc>
              <w:tc>
                <w:tcPr>
                  <w:tcW w:w="349" w:type="pct"/>
                  <w:vAlign w:val="center"/>
                </w:tcPr>
                <w:p>
                  <w:pPr>
                    <w:pStyle w:val="38"/>
                    <w:spacing w:line="240" w:lineRule="auto"/>
                    <w:ind w:firstLine="0" w:firstLineChars="0"/>
                    <w:jc w:val="center"/>
                    <w:rPr>
                      <w:sz w:val="21"/>
                      <w:szCs w:val="21"/>
                    </w:rPr>
                  </w:pPr>
                  <w:r>
                    <w:rPr>
                      <w:rFonts w:hint="eastAsia"/>
                      <w:sz w:val="21"/>
                      <w:szCs w:val="21"/>
                    </w:rPr>
                    <w:t>76</w:t>
                  </w:r>
                </w:p>
              </w:tc>
              <w:tc>
                <w:tcPr>
                  <w:tcW w:w="348" w:type="pct"/>
                  <w:vAlign w:val="center"/>
                </w:tcPr>
                <w:p>
                  <w:pPr>
                    <w:pStyle w:val="38"/>
                    <w:spacing w:line="240" w:lineRule="auto"/>
                    <w:ind w:firstLine="0" w:firstLineChars="0"/>
                    <w:jc w:val="center"/>
                    <w:rPr>
                      <w:sz w:val="21"/>
                      <w:szCs w:val="21"/>
                    </w:rPr>
                  </w:pPr>
                  <w:r>
                    <w:rPr>
                      <w:rFonts w:hint="eastAsia"/>
                      <w:sz w:val="21"/>
                      <w:szCs w:val="21"/>
                    </w:rPr>
                    <w:t>72.5</w:t>
                  </w:r>
                </w:p>
              </w:tc>
              <w:tc>
                <w:tcPr>
                  <w:tcW w:w="349" w:type="pct"/>
                  <w:vAlign w:val="center"/>
                </w:tcPr>
                <w:p>
                  <w:pPr>
                    <w:pStyle w:val="38"/>
                    <w:spacing w:line="240" w:lineRule="auto"/>
                    <w:ind w:firstLine="0" w:firstLineChars="0"/>
                    <w:jc w:val="center"/>
                    <w:rPr>
                      <w:sz w:val="21"/>
                      <w:szCs w:val="21"/>
                    </w:rPr>
                  </w:pPr>
                  <w:r>
                    <w:rPr>
                      <w:rFonts w:hint="eastAsia"/>
                      <w:sz w:val="21"/>
                      <w:szCs w:val="21"/>
                    </w:rPr>
                    <w:t>66</w:t>
                  </w:r>
                </w:p>
              </w:tc>
              <w:tc>
                <w:tcPr>
                  <w:tcW w:w="348" w:type="pct"/>
                  <w:vAlign w:val="center"/>
                </w:tcPr>
                <w:p>
                  <w:pPr>
                    <w:pStyle w:val="38"/>
                    <w:spacing w:line="240" w:lineRule="auto"/>
                    <w:ind w:firstLine="0" w:firstLineChars="0"/>
                    <w:jc w:val="center"/>
                    <w:rPr>
                      <w:sz w:val="21"/>
                      <w:szCs w:val="21"/>
                    </w:rPr>
                  </w:pPr>
                  <w:r>
                    <w:rPr>
                      <w:rFonts w:hint="eastAsia"/>
                      <w:sz w:val="21"/>
                      <w:szCs w:val="21"/>
                    </w:rPr>
                    <w:t>62.5</w:t>
                  </w:r>
                </w:p>
              </w:tc>
              <w:tc>
                <w:tcPr>
                  <w:tcW w:w="301" w:type="pct"/>
                  <w:vAlign w:val="center"/>
                </w:tcPr>
                <w:p>
                  <w:pPr>
                    <w:pStyle w:val="38"/>
                    <w:spacing w:line="240" w:lineRule="auto"/>
                    <w:ind w:firstLine="0" w:firstLineChars="0"/>
                    <w:jc w:val="center"/>
                    <w:rPr>
                      <w:sz w:val="21"/>
                      <w:szCs w:val="21"/>
                    </w:rPr>
                  </w:pPr>
                  <w:r>
                    <w:rPr>
                      <w:rFonts w:hint="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adjustRightInd w:val="0"/>
                    <w:snapToGrid w:val="0"/>
                    <w:jc w:val="center"/>
                    <w:rPr>
                      <w:bCs/>
                      <w:szCs w:val="21"/>
                    </w:rPr>
                  </w:pPr>
                  <w:r>
                    <w:rPr>
                      <w:rFonts w:hint="eastAsia"/>
                      <w:bCs/>
                      <w:szCs w:val="21"/>
                    </w:rPr>
                    <w:t>装载机</w:t>
                  </w:r>
                </w:p>
              </w:tc>
              <w:tc>
                <w:tcPr>
                  <w:tcW w:w="348" w:type="pct"/>
                  <w:vAlign w:val="center"/>
                </w:tcPr>
                <w:p>
                  <w:pPr>
                    <w:pStyle w:val="38"/>
                    <w:spacing w:line="240" w:lineRule="auto"/>
                    <w:ind w:firstLine="0" w:firstLineChars="0"/>
                    <w:jc w:val="center"/>
                    <w:rPr>
                      <w:sz w:val="21"/>
                      <w:szCs w:val="21"/>
                    </w:rPr>
                  </w:pPr>
                  <w:r>
                    <w:rPr>
                      <w:rFonts w:hint="eastAsia"/>
                      <w:sz w:val="21"/>
                      <w:szCs w:val="21"/>
                    </w:rPr>
                    <w:t>84</w:t>
                  </w:r>
                </w:p>
              </w:tc>
              <w:tc>
                <w:tcPr>
                  <w:tcW w:w="349" w:type="pct"/>
                  <w:vAlign w:val="center"/>
                </w:tcPr>
                <w:p>
                  <w:pPr>
                    <w:pStyle w:val="38"/>
                    <w:spacing w:line="240" w:lineRule="auto"/>
                    <w:ind w:firstLine="0" w:firstLineChars="0"/>
                    <w:jc w:val="center"/>
                    <w:rPr>
                      <w:sz w:val="21"/>
                      <w:szCs w:val="21"/>
                    </w:rPr>
                  </w:pPr>
                  <w:r>
                    <w:rPr>
                      <w:rFonts w:hint="eastAsia"/>
                      <w:sz w:val="21"/>
                      <w:szCs w:val="21"/>
                    </w:rPr>
                    <w:t>78</w:t>
                  </w:r>
                </w:p>
              </w:tc>
              <w:tc>
                <w:tcPr>
                  <w:tcW w:w="348" w:type="pct"/>
                  <w:vAlign w:val="center"/>
                </w:tcPr>
                <w:p>
                  <w:pPr>
                    <w:pStyle w:val="38"/>
                    <w:spacing w:line="240" w:lineRule="auto"/>
                    <w:ind w:firstLine="0" w:firstLineChars="0"/>
                    <w:jc w:val="center"/>
                    <w:rPr>
                      <w:sz w:val="21"/>
                      <w:szCs w:val="21"/>
                    </w:rPr>
                  </w:pPr>
                  <w:r>
                    <w:rPr>
                      <w:rFonts w:hint="eastAsia"/>
                      <w:sz w:val="21"/>
                      <w:szCs w:val="21"/>
                    </w:rPr>
                    <w:t>72</w:t>
                  </w:r>
                </w:p>
              </w:tc>
              <w:tc>
                <w:tcPr>
                  <w:tcW w:w="349" w:type="pct"/>
                  <w:vAlign w:val="center"/>
                </w:tcPr>
                <w:p>
                  <w:pPr>
                    <w:pStyle w:val="38"/>
                    <w:spacing w:line="240" w:lineRule="auto"/>
                    <w:ind w:firstLine="0" w:firstLineChars="0"/>
                    <w:jc w:val="center"/>
                    <w:rPr>
                      <w:sz w:val="21"/>
                      <w:szCs w:val="21"/>
                    </w:rPr>
                  </w:pPr>
                  <w:r>
                    <w:rPr>
                      <w:rFonts w:hint="eastAsia"/>
                      <w:sz w:val="21"/>
                      <w:szCs w:val="21"/>
                    </w:rPr>
                    <w:t>68.5</w:t>
                  </w:r>
                </w:p>
              </w:tc>
              <w:tc>
                <w:tcPr>
                  <w:tcW w:w="348" w:type="pct"/>
                  <w:vAlign w:val="center"/>
                </w:tcPr>
                <w:p>
                  <w:pPr>
                    <w:pStyle w:val="38"/>
                    <w:spacing w:line="240" w:lineRule="auto"/>
                    <w:ind w:firstLine="0" w:firstLineChars="0"/>
                    <w:jc w:val="center"/>
                    <w:rPr>
                      <w:sz w:val="21"/>
                      <w:szCs w:val="21"/>
                    </w:rPr>
                  </w:pPr>
                  <w:r>
                    <w:rPr>
                      <w:rFonts w:hint="eastAsia"/>
                      <w:sz w:val="21"/>
                      <w:szCs w:val="21"/>
                    </w:rPr>
                    <w:t>66</w:t>
                  </w:r>
                </w:p>
              </w:tc>
              <w:tc>
                <w:tcPr>
                  <w:tcW w:w="349" w:type="pct"/>
                  <w:vAlign w:val="center"/>
                </w:tcPr>
                <w:p>
                  <w:pPr>
                    <w:pStyle w:val="38"/>
                    <w:spacing w:line="240" w:lineRule="auto"/>
                    <w:ind w:firstLine="0" w:firstLineChars="0"/>
                    <w:jc w:val="center"/>
                    <w:rPr>
                      <w:sz w:val="21"/>
                      <w:szCs w:val="21"/>
                    </w:rPr>
                  </w:pPr>
                  <w:r>
                    <w:rPr>
                      <w:rFonts w:hint="eastAsia"/>
                      <w:sz w:val="21"/>
                      <w:szCs w:val="21"/>
                    </w:rPr>
                    <w:t>64</w:t>
                  </w:r>
                </w:p>
              </w:tc>
              <w:tc>
                <w:tcPr>
                  <w:tcW w:w="348" w:type="pct"/>
                  <w:vAlign w:val="center"/>
                </w:tcPr>
                <w:p>
                  <w:pPr>
                    <w:pStyle w:val="38"/>
                    <w:spacing w:line="240" w:lineRule="auto"/>
                    <w:ind w:firstLine="0" w:firstLineChars="0"/>
                    <w:jc w:val="center"/>
                    <w:rPr>
                      <w:sz w:val="21"/>
                      <w:szCs w:val="21"/>
                    </w:rPr>
                  </w:pPr>
                  <w:r>
                    <w:rPr>
                      <w:rFonts w:hint="eastAsia"/>
                      <w:sz w:val="21"/>
                      <w:szCs w:val="21"/>
                    </w:rPr>
                    <w:t>60.5</w:t>
                  </w:r>
                </w:p>
              </w:tc>
              <w:tc>
                <w:tcPr>
                  <w:tcW w:w="349" w:type="pct"/>
                  <w:vAlign w:val="center"/>
                </w:tcPr>
                <w:p>
                  <w:pPr>
                    <w:pStyle w:val="38"/>
                    <w:spacing w:line="240" w:lineRule="auto"/>
                    <w:ind w:firstLine="0" w:firstLineChars="0"/>
                    <w:jc w:val="center"/>
                    <w:rPr>
                      <w:sz w:val="21"/>
                      <w:szCs w:val="21"/>
                    </w:rPr>
                  </w:pPr>
                  <w:r>
                    <w:rPr>
                      <w:rFonts w:hint="eastAsia"/>
                      <w:sz w:val="21"/>
                      <w:szCs w:val="21"/>
                    </w:rPr>
                    <w:t>58</w:t>
                  </w:r>
                </w:p>
              </w:tc>
              <w:tc>
                <w:tcPr>
                  <w:tcW w:w="348" w:type="pct"/>
                  <w:vAlign w:val="center"/>
                </w:tcPr>
                <w:p>
                  <w:pPr>
                    <w:pStyle w:val="38"/>
                    <w:spacing w:line="240" w:lineRule="auto"/>
                    <w:ind w:firstLine="0" w:firstLineChars="0"/>
                    <w:jc w:val="center"/>
                    <w:rPr>
                      <w:sz w:val="21"/>
                      <w:szCs w:val="21"/>
                    </w:rPr>
                  </w:pPr>
                  <w:r>
                    <w:rPr>
                      <w:rFonts w:hint="eastAsia"/>
                      <w:sz w:val="21"/>
                      <w:szCs w:val="21"/>
                    </w:rPr>
                    <w:t>54.5</w:t>
                  </w:r>
                </w:p>
              </w:tc>
              <w:tc>
                <w:tcPr>
                  <w:tcW w:w="301" w:type="pct"/>
                  <w:vAlign w:val="center"/>
                </w:tcPr>
                <w:p>
                  <w:pPr>
                    <w:pStyle w:val="38"/>
                    <w:spacing w:line="240" w:lineRule="auto"/>
                    <w:ind w:firstLine="0" w:firstLineChars="0"/>
                    <w:jc w:val="center"/>
                    <w:rPr>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adjustRightInd w:val="0"/>
                    <w:snapToGrid w:val="0"/>
                    <w:jc w:val="center"/>
                    <w:rPr>
                      <w:bCs/>
                      <w:szCs w:val="21"/>
                    </w:rPr>
                  </w:pPr>
                  <w:r>
                    <w:rPr>
                      <w:rFonts w:hint="eastAsia"/>
                      <w:bCs/>
                      <w:szCs w:val="21"/>
                    </w:rPr>
                    <w:t>大型载重汽车</w:t>
                  </w:r>
                </w:p>
              </w:tc>
              <w:tc>
                <w:tcPr>
                  <w:tcW w:w="348" w:type="pct"/>
                  <w:vAlign w:val="center"/>
                </w:tcPr>
                <w:p>
                  <w:pPr>
                    <w:pStyle w:val="38"/>
                    <w:spacing w:line="240" w:lineRule="auto"/>
                    <w:ind w:firstLine="0" w:firstLineChars="0"/>
                    <w:jc w:val="center"/>
                    <w:rPr>
                      <w:sz w:val="21"/>
                      <w:szCs w:val="21"/>
                    </w:rPr>
                  </w:pPr>
                  <w:r>
                    <w:rPr>
                      <w:rFonts w:hint="eastAsia"/>
                      <w:sz w:val="21"/>
                      <w:szCs w:val="21"/>
                    </w:rPr>
                    <w:t>70</w:t>
                  </w:r>
                </w:p>
              </w:tc>
              <w:tc>
                <w:tcPr>
                  <w:tcW w:w="349" w:type="pct"/>
                  <w:vAlign w:val="center"/>
                </w:tcPr>
                <w:p>
                  <w:pPr>
                    <w:pStyle w:val="38"/>
                    <w:spacing w:line="240" w:lineRule="auto"/>
                    <w:ind w:firstLine="0" w:firstLineChars="0"/>
                    <w:jc w:val="center"/>
                    <w:rPr>
                      <w:sz w:val="21"/>
                      <w:szCs w:val="21"/>
                    </w:rPr>
                  </w:pPr>
                  <w:r>
                    <w:rPr>
                      <w:rFonts w:hint="eastAsia"/>
                      <w:sz w:val="21"/>
                      <w:szCs w:val="21"/>
                    </w:rPr>
                    <w:t>64</w:t>
                  </w:r>
                </w:p>
              </w:tc>
              <w:tc>
                <w:tcPr>
                  <w:tcW w:w="348" w:type="pct"/>
                  <w:vAlign w:val="center"/>
                </w:tcPr>
                <w:p>
                  <w:pPr>
                    <w:pStyle w:val="38"/>
                    <w:spacing w:line="240" w:lineRule="auto"/>
                    <w:ind w:firstLine="0" w:firstLineChars="0"/>
                    <w:jc w:val="center"/>
                    <w:rPr>
                      <w:sz w:val="21"/>
                      <w:szCs w:val="21"/>
                    </w:rPr>
                  </w:pPr>
                  <w:r>
                    <w:rPr>
                      <w:rFonts w:hint="eastAsia"/>
                      <w:sz w:val="21"/>
                      <w:szCs w:val="21"/>
                    </w:rPr>
                    <w:t>57.9</w:t>
                  </w:r>
                </w:p>
              </w:tc>
              <w:tc>
                <w:tcPr>
                  <w:tcW w:w="349" w:type="pct"/>
                  <w:vAlign w:val="center"/>
                </w:tcPr>
                <w:p>
                  <w:pPr>
                    <w:pStyle w:val="38"/>
                    <w:spacing w:line="240" w:lineRule="auto"/>
                    <w:ind w:firstLine="0" w:firstLineChars="0"/>
                    <w:jc w:val="center"/>
                    <w:rPr>
                      <w:sz w:val="21"/>
                      <w:szCs w:val="21"/>
                    </w:rPr>
                  </w:pPr>
                  <w:r>
                    <w:rPr>
                      <w:rFonts w:hint="eastAsia"/>
                      <w:sz w:val="21"/>
                      <w:szCs w:val="21"/>
                    </w:rPr>
                    <w:t>54.4</w:t>
                  </w:r>
                </w:p>
              </w:tc>
              <w:tc>
                <w:tcPr>
                  <w:tcW w:w="348" w:type="pct"/>
                  <w:vAlign w:val="center"/>
                </w:tcPr>
                <w:p>
                  <w:pPr>
                    <w:pStyle w:val="38"/>
                    <w:spacing w:line="240" w:lineRule="auto"/>
                    <w:ind w:firstLine="0" w:firstLineChars="0"/>
                    <w:jc w:val="center"/>
                    <w:rPr>
                      <w:sz w:val="21"/>
                      <w:szCs w:val="21"/>
                    </w:rPr>
                  </w:pPr>
                  <w:r>
                    <w:rPr>
                      <w:rFonts w:hint="eastAsia"/>
                      <w:sz w:val="21"/>
                      <w:szCs w:val="21"/>
                    </w:rPr>
                    <w:t>51.9</w:t>
                  </w:r>
                </w:p>
              </w:tc>
              <w:tc>
                <w:tcPr>
                  <w:tcW w:w="349" w:type="pct"/>
                  <w:vAlign w:val="center"/>
                </w:tcPr>
                <w:p>
                  <w:pPr>
                    <w:pStyle w:val="38"/>
                    <w:spacing w:line="240" w:lineRule="auto"/>
                    <w:ind w:firstLine="0" w:firstLineChars="0"/>
                    <w:jc w:val="center"/>
                    <w:rPr>
                      <w:sz w:val="21"/>
                      <w:szCs w:val="21"/>
                    </w:rPr>
                  </w:pPr>
                  <w:r>
                    <w:rPr>
                      <w:rFonts w:hint="eastAsia"/>
                      <w:sz w:val="21"/>
                      <w:szCs w:val="21"/>
                    </w:rPr>
                    <w:t>50</w:t>
                  </w:r>
                </w:p>
              </w:tc>
              <w:tc>
                <w:tcPr>
                  <w:tcW w:w="348" w:type="pct"/>
                  <w:vAlign w:val="center"/>
                </w:tcPr>
                <w:p>
                  <w:pPr>
                    <w:pStyle w:val="38"/>
                    <w:spacing w:line="240" w:lineRule="auto"/>
                    <w:ind w:firstLine="0" w:firstLineChars="0"/>
                    <w:jc w:val="center"/>
                    <w:rPr>
                      <w:sz w:val="21"/>
                      <w:szCs w:val="21"/>
                    </w:rPr>
                  </w:pPr>
                  <w:r>
                    <w:rPr>
                      <w:rFonts w:hint="eastAsia"/>
                      <w:sz w:val="21"/>
                      <w:szCs w:val="21"/>
                    </w:rPr>
                    <w:t>46.5</w:t>
                  </w:r>
                </w:p>
              </w:tc>
              <w:tc>
                <w:tcPr>
                  <w:tcW w:w="349" w:type="pct"/>
                  <w:vAlign w:val="center"/>
                </w:tcPr>
                <w:p>
                  <w:pPr>
                    <w:pStyle w:val="38"/>
                    <w:spacing w:line="240" w:lineRule="auto"/>
                    <w:ind w:firstLine="0" w:firstLineChars="0"/>
                    <w:jc w:val="center"/>
                    <w:rPr>
                      <w:sz w:val="21"/>
                      <w:szCs w:val="21"/>
                    </w:rPr>
                  </w:pPr>
                  <w:r>
                    <w:rPr>
                      <w:rFonts w:hint="eastAsia"/>
                      <w:sz w:val="21"/>
                      <w:szCs w:val="21"/>
                    </w:rPr>
                    <w:t>43.9</w:t>
                  </w:r>
                </w:p>
              </w:tc>
              <w:tc>
                <w:tcPr>
                  <w:tcW w:w="348" w:type="pct"/>
                  <w:vAlign w:val="center"/>
                </w:tcPr>
                <w:p>
                  <w:pPr>
                    <w:pStyle w:val="38"/>
                    <w:spacing w:line="240" w:lineRule="auto"/>
                    <w:ind w:firstLine="0" w:firstLineChars="0"/>
                    <w:jc w:val="center"/>
                    <w:rPr>
                      <w:sz w:val="21"/>
                      <w:szCs w:val="21"/>
                    </w:rPr>
                  </w:pPr>
                  <w:r>
                    <w:rPr>
                      <w:rFonts w:hint="eastAsia"/>
                      <w:sz w:val="21"/>
                      <w:szCs w:val="21"/>
                    </w:rPr>
                    <w:t>40.</w:t>
                  </w:r>
                  <w:r>
                    <w:rPr>
                      <w:sz w:val="21"/>
                      <w:szCs w:val="21"/>
                    </w:rPr>
                    <w:t>5</w:t>
                  </w:r>
                </w:p>
              </w:tc>
              <w:tc>
                <w:tcPr>
                  <w:tcW w:w="301" w:type="pct"/>
                  <w:vAlign w:val="center"/>
                </w:tcPr>
                <w:p>
                  <w:pPr>
                    <w:pStyle w:val="38"/>
                    <w:spacing w:line="240" w:lineRule="auto"/>
                    <w:ind w:firstLine="0" w:firstLineChars="0"/>
                    <w:jc w:val="center"/>
                    <w:rPr>
                      <w:sz w:val="21"/>
                      <w:szCs w:val="21"/>
                    </w:rPr>
                  </w:pPr>
                  <w:r>
                    <w:rPr>
                      <w:rFonts w:hint="eastAsia"/>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adjustRightInd w:val="0"/>
                    <w:snapToGrid w:val="0"/>
                    <w:jc w:val="center"/>
                    <w:rPr>
                      <w:bCs/>
                      <w:szCs w:val="21"/>
                    </w:rPr>
                  </w:pPr>
                  <w:r>
                    <w:rPr>
                      <w:rFonts w:hint="eastAsia"/>
                      <w:bCs/>
                      <w:szCs w:val="21"/>
                    </w:rPr>
                    <w:t>压路机</w:t>
                  </w:r>
                </w:p>
              </w:tc>
              <w:tc>
                <w:tcPr>
                  <w:tcW w:w="348" w:type="pct"/>
                  <w:vAlign w:val="center"/>
                </w:tcPr>
                <w:p>
                  <w:pPr>
                    <w:pStyle w:val="38"/>
                    <w:spacing w:line="240" w:lineRule="auto"/>
                    <w:ind w:firstLine="0" w:firstLineChars="0"/>
                    <w:jc w:val="center"/>
                    <w:rPr>
                      <w:sz w:val="21"/>
                      <w:szCs w:val="21"/>
                    </w:rPr>
                  </w:pPr>
                  <w:r>
                    <w:rPr>
                      <w:rFonts w:hint="eastAsia"/>
                      <w:sz w:val="21"/>
                      <w:szCs w:val="21"/>
                    </w:rPr>
                    <w:t>69</w:t>
                  </w:r>
                </w:p>
              </w:tc>
              <w:tc>
                <w:tcPr>
                  <w:tcW w:w="349" w:type="pct"/>
                  <w:vAlign w:val="center"/>
                </w:tcPr>
                <w:p>
                  <w:pPr>
                    <w:pStyle w:val="38"/>
                    <w:spacing w:line="240" w:lineRule="auto"/>
                    <w:ind w:firstLine="0" w:firstLineChars="0"/>
                    <w:jc w:val="center"/>
                    <w:rPr>
                      <w:sz w:val="21"/>
                      <w:szCs w:val="21"/>
                    </w:rPr>
                  </w:pPr>
                  <w:r>
                    <w:rPr>
                      <w:rFonts w:hint="eastAsia"/>
                      <w:sz w:val="21"/>
                      <w:szCs w:val="21"/>
                    </w:rPr>
                    <w:t>63.5</w:t>
                  </w:r>
                </w:p>
              </w:tc>
              <w:tc>
                <w:tcPr>
                  <w:tcW w:w="348" w:type="pct"/>
                  <w:vAlign w:val="center"/>
                </w:tcPr>
                <w:p>
                  <w:pPr>
                    <w:pStyle w:val="38"/>
                    <w:spacing w:line="240" w:lineRule="auto"/>
                    <w:ind w:firstLine="0" w:firstLineChars="0"/>
                    <w:jc w:val="center"/>
                    <w:rPr>
                      <w:sz w:val="21"/>
                      <w:szCs w:val="21"/>
                    </w:rPr>
                  </w:pPr>
                  <w:r>
                    <w:rPr>
                      <w:rFonts w:hint="eastAsia"/>
                      <w:sz w:val="21"/>
                      <w:szCs w:val="21"/>
                    </w:rPr>
                    <w:t>57.5</w:t>
                  </w:r>
                </w:p>
              </w:tc>
              <w:tc>
                <w:tcPr>
                  <w:tcW w:w="349" w:type="pct"/>
                  <w:vAlign w:val="center"/>
                </w:tcPr>
                <w:p>
                  <w:pPr>
                    <w:pStyle w:val="38"/>
                    <w:spacing w:line="240" w:lineRule="auto"/>
                    <w:ind w:firstLine="0" w:firstLineChars="0"/>
                    <w:jc w:val="center"/>
                    <w:rPr>
                      <w:sz w:val="21"/>
                      <w:szCs w:val="21"/>
                    </w:rPr>
                  </w:pPr>
                  <w:r>
                    <w:rPr>
                      <w:rFonts w:hint="eastAsia"/>
                      <w:sz w:val="21"/>
                      <w:szCs w:val="21"/>
                    </w:rPr>
                    <w:t>54</w:t>
                  </w:r>
                </w:p>
              </w:tc>
              <w:tc>
                <w:tcPr>
                  <w:tcW w:w="348" w:type="pct"/>
                  <w:vAlign w:val="center"/>
                </w:tcPr>
                <w:p>
                  <w:pPr>
                    <w:pStyle w:val="38"/>
                    <w:spacing w:line="240" w:lineRule="auto"/>
                    <w:ind w:firstLine="0" w:firstLineChars="0"/>
                    <w:jc w:val="center"/>
                    <w:rPr>
                      <w:sz w:val="21"/>
                      <w:szCs w:val="21"/>
                    </w:rPr>
                  </w:pPr>
                  <w:r>
                    <w:rPr>
                      <w:rFonts w:hint="eastAsia"/>
                      <w:sz w:val="21"/>
                      <w:szCs w:val="21"/>
                    </w:rPr>
                    <w:t>51.4</w:t>
                  </w:r>
                </w:p>
              </w:tc>
              <w:tc>
                <w:tcPr>
                  <w:tcW w:w="349" w:type="pct"/>
                  <w:vAlign w:val="center"/>
                </w:tcPr>
                <w:p>
                  <w:pPr>
                    <w:pStyle w:val="38"/>
                    <w:spacing w:line="240" w:lineRule="auto"/>
                    <w:ind w:firstLine="0" w:firstLineChars="0"/>
                    <w:jc w:val="center"/>
                    <w:rPr>
                      <w:sz w:val="21"/>
                      <w:szCs w:val="21"/>
                    </w:rPr>
                  </w:pPr>
                  <w:r>
                    <w:rPr>
                      <w:rFonts w:hint="eastAsia"/>
                      <w:sz w:val="21"/>
                      <w:szCs w:val="21"/>
                    </w:rPr>
                    <w:t>49</w:t>
                  </w:r>
                </w:p>
              </w:tc>
              <w:tc>
                <w:tcPr>
                  <w:tcW w:w="348" w:type="pct"/>
                  <w:vAlign w:val="center"/>
                </w:tcPr>
                <w:p>
                  <w:pPr>
                    <w:pStyle w:val="38"/>
                    <w:spacing w:line="240" w:lineRule="auto"/>
                    <w:ind w:firstLine="0" w:firstLineChars="0"/>
                    <w:jc w:val="center"/>
                    <w:rPr>
                      <w:sz w:val="21"/>
                      <w:szCs w:val="21"/>
                    </w:rPr>
                  </w:pPr>
                  <w:r>
                    <w:rPr>
                      <w:rFonts w:hint="eastAsia"/>
                      <w:sz w:val="21"/>
                      <w:szCs w:val="21"/>
                    </w:rPr>
                    <w:t>45.9</w:t>
                  </w:r>
                </w:p>
              </w:tc>
              <w:tc>
                <w:tcPr>
                  <w:tcW w:w="349" w:type="pct"/>
                  <w:vAlign w:val="center"/>
                </w:tcPr>
                <w:p>
                  <w:pPr>
                    <w:pStyle w:val="38"/>
                    <w:spacing w:line="240" w:lineRule="auto"/>
                    <w:ind w:firstLine="0" w:firstLineChars="0"/>
                    <w:jc w:val="center"/>
                    <w:rPr>
                      <w:sz w:val="21"/>
                      <w:szCs w:val="21"/>
                    </w:rPr>
                  </w:pPr>
                  <w:r>
                    <w:rPr>
                      <w:rFonts w:hint="eastAsia"/>
                      <w:sz w:val="21"/>
                      <w:szCs w:val="21"/>
                    </w:rPr>
                    <w:t>43.4</w:t>
                  </w:r>
                </w:p>
              </w:tc>
              <w:tc>
                <w:tcPr>
                  <w:tcW w:w="348" w:type="pct"/>
                  <w:vAlign w:val="center"/>
                </w:tcPr>
                <w:p>
                  <w:pPr>
                    <w:pStyle w:val="38"/>
                    <w:spacing w:line="240" w:lineRule="auto"/>
                    <w:ind w:firstLine="0" w:firstLineChars="0"/>
                    <w:jc w:val="center"/>
                    <w:rPr>
                      <w:sz w:val="21"/>
                      <w:szCs w:val="21"/>
                    </w:rPr>
                  </w:pPr>
                  <w:r>
                    <w:rPr>
                      <w:rFonts w:hint="eastAsia"/>
                      <w:sz w:val="21"/>
                      <w:szCs w:val="21"/>
                    </w:rPr>
                    <w:t>39.5</w:t>
                  </w:r>
                </w:p>
              </w:tc>
              <w:tc>
                <w:tcPr>
                  <w:tcW w:w="301" w:type="pct"/>
                  <w:vAlign w:val="center"/>
                </w:tcPr>
                <w:p>
                  <w:pPr>
                    <w:pStyle w:val="38"/>
                    <w:spacing w:line="240" w:lineRule="auto"/>
                    <w:ind w:firstLine="0" w:firstLineChars="0"/>
                    <w:jc w:val="center"/>
                    <w:rPr>
                      <w:sz w:val="21"/>
                      <w:szCs w:val="21"/>
                    </w:rPr>
                  </w:pPr>
                  <w:r>
                    <w:rPr>
                      <w:rFonts w:hint="eastAsia"/>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Align w:val="center"/>
                </w:tcPr>
                <w:p>
                  <w:pPr>
                    <w:adjustRightInd w:val="0"/>
                    <w:snapToGrid w:val="0"/>
                    <w:jc w:val="center"/>
                    <w:rPr>
                      <w:bCs/>
                      <w:szCs w:val="21"/>
                    </w:rPr>
                  </w:pPr>
                  <w:r>
                    <w:rPr>
                      <w:rFonts w:hint="eastAsia"/>
                      <w:bCs/>
                      <w:szCs w:val="21"/>
                    </w:rPr>
                    <w:t>混凝土搅拌机</w:t>
                  </w:r>
                </w:p>
              </w:tc>
              <w:tc>
                <w:tcPr>
                  <w:tcW w:w="348" w:type="pct"/>
                  <w:vAlign w:val="center"/>
                </w:tcPr>
                <w:p>
                  <w:pPr>
                    <w:pStyle w:val="38"/>
                    <w:spacing w:line="240" w:lineRule="auto"/>
                    <w:ind w:firstLine="0" w:firstLineChars="0"/>
                    <w:jc w:val="center"/>
                    <w:rPr>
                      <w:sz w:val="21"/>
                      <w:szCs w:val="21"/>
                    </w:rPr>
                  </w:pPr>
                  <w:r>
                    <w:rPr>
                      <w:rFonts w:hint="eastAsia"/>
                      <w:sz w:val="21"/>
                      <w:szCs w:val="21"/>
                    </w:rPr>
                    <w:t>63</w:t>
                  </w:r>
                </w:p>
              </w:tc>
              <w:tc>
                <w:tcPr>
                  <w:tcW w:w="349" w:type="pct"/>
                  <w:vAlign w:val="center"/>
                </w:tcPr>
                <w:p>
                  <w:pPr>
                    <w:pStyle w:val="38"/>
                    <w:spacing w:line="240" w:lineRule="auto"/>
                    <w:ind w:firstLine="0" w:firstLineChars="0"/>
                    <w:jc w:val="center"/>
                    <w:rPr>
                      <w:sz w:val="21"/>
                      <w:szCs w:val="21"/>
                    </w:rPr>
                  </w:pPr>
                  <w:r>
                    <w:rPr>
                      <w:rFonts w:hint="eastAsia"/>
                      <w:sz w:val="21"/>
                      <w:szCs w:val="21"/>
                    </w:rPr>
                    <w:t>56.9</w:t>
                  </w:r>
                </w:p>
              </w:tc>
              <w:tc>
                <w:tcPr>
                  <w:tcW w:w="348" w:type="pct"/>
                  <w:vAlign w:val="center"/>
                </w:tcPr>
                <w:p>
                  <w:pPr>
                    <w:pStyle w:val="38"/>
                    <w:spacing w:line="240" w:lineRule="auto"/>
                    <w:ind w:firstLine="0" w:firstLineChars="0"/>
                    <w:jc w:val="center"/>
                    <w:rPr>
                      <w:sz w:val="21"/>
                      <w:szCs w:val="21"/>
                    </w:rPr>
                  </w:pPr>
                  <w:r>
                    <w:rPr>
                      <w:rFonts w:hint="eastAsia"/>
                      <w:sz w:val="21"/>
                      <w:szCs w:val="21"/>
                    </w:rPr>
                    <w:t>50.9</w:t>
                  </w:r>
                </w:p>
              </w:tc>
              <w:tc>
                <w:tcPr>
                  <w:tcW w:w="349" w:type="pct"/>
                  <w:vAlign w:val="center"/>
                </w:tcPr>
                <w:p>
                  <w:pPr>
                    <w:pStyle w:val="38"/>
                    <w:spacing w:line="240" w:lineRule="auto"/>
                    <w:ind w:firstLine="0" w:firstLineChars="0"/>
                    <w:jc w:val="center"/>
                    <w:rPr>
                      <w:sz w:val="21"/>
                      <w:szCs w:val="21"/>
                    </w:rPr>
                  </w:pPr>
                  <w:r>
                    <w:rPr>
                      <w:rFonts w:hint="eastAsia"/>
                      <w:sz w:val="21"/>
                      <w:szCs w:val="21"/>
                    </w:rPr>
                    <w:t>47.4</w:t>
                  </w:r>
                </w:p>
              </w:tc>
              <w:tc>
                <w:tcPr>
                  <w:tcW w:w="348" w:type="pct"/>
                  <w:vAlign w:val="center"/>
                </w:tcPr>
                <w:p>
                  <w:pPr>
                    <w:pStyle w:val="38"/>
                    <w:spacing w:line="240" w:lineRule="auto"/>
                    <w:ind w:firstLine="0" w:firstLineChars="0"/>
                    <w:jc w:val="center"/>
                    <w:rPr>
                      <w:sz w:val="21"/>
                      <w:szCs w:val="21"/>
                    </w:rPr>
                  </w:pPr>
                  <w:r>
                    <w:rPr>
                      <w:rFonts w:hint="eastAsia"/>
                      <w:sz w:val="21"/>
                      <w:szCs w:val="21"/>
                    </w:rPr>
                    <w:t>44.9</w:t>
                  </w:r>
                </w:p>
              </w:tc>
              <w:tc>
                <w:tcPr>
                  <w:tcW w:w="349" w:type="pct"/>
                  <w:vAlign w:val="center"/>
                </w:tcPr>
                <w:p>
                  <w:pPr>
                    <w:pStyle w:val="38"/>
                    <w:spacing w:line="240" w:lineRule="auto"/>
                    <w:ind w:firstLine="0" w:firstLineChars="0"/>
                    <w:jc w:val="center"/>
                    <w:rPr>
                      <w:sz w:val="21"/>
                      <w:szCs w:val="21"/>
                    </w:rPr>
                  </w:pPr>
                  <w:r>
                    <w:rPr>
                      <w:rFonts w:hint="eastAsia"/>
                      <w:sz w:val="21"/>
                      <w:szCs w:val="21"/>
                    </w:rPr>
                    <w:t>43</w:t>
                  </w:r>
                </w:p>
              </w:tc>
              <w:tc>
                <w:tcPr>
                  <w:tcW w:w="348" w:type="pct"/>
                  <w:vAlign w:val="center"/>
                </w:tcPr>
                <w:p>
                  <w:pPr>
                    <w:pStyle w:val="38"/>
                    <w:spacing w:line="240" w:lineRule="auto"/>
                    <w:ind w:firstLine="0" w:firstLineChars="0"/>
                    <w:jc w:val="center"/>
                    <w:rPr>
                      <w:sz w:val="21"/>
                      <w:szCs w:val="21"/>
                    </w:rPr>
                  </w:pPr>
                  <w:r>
                    <w:rPr>
                      <w:rFonts w:hint="eastAsia"/>
                      <w:sz w:val="21"/>
                      <w:szCs w:val="21"/>
                    </w:rPr>
                    <w:t>39.5</w:t>
                  </w:r>
                </w:p>
              </w:tc>
              <w:tc>
                <w:tcPr>
                  <w:tcW w:w="349" w:type="pct"/>
                  <w:vAlign w:val="center"/>
                </w:tcPr>
                <w:p>
                  <w:pPr>
                    <w:pStyle w:val="38"/>
                    <w:spacing w:line="240" w:lineRule="auto"/>
                    <w:ind w:firstLine="0" w:firstLineChars="0"/>
                    <w:jc w:val="center"/>
                    <w:rPr>
                      <w:sz w:val="21"/>
                      <w:szCs w:val="21"/>
                    </w:rPr>
                  </w:pPr>
                  <w:r>
                    <w:rPr>
                      <w:rFonts w:hint="eastAsia"/>
                      <w:sz w:val="21"/>
                      <w:szCs w:val="21"/>
                    </w:rPr>
                    <w:t>36.9</w:t>
                  </w:r>
                </w:p>
              </w:tc>
              <w:tc>
                <w:tcPr>
                  <w:tcW w:w="348" w:type="pct"/>
                  <w:vAlign w:val="center"/>
                </w:tcPr>
                <w:p>
                  <w:pPr>
                    <w:pStyle w:val="38"/>
                    <w:spacing w:line="240" w:lineRule="auto"/>
                    <w:ind w:firstLine="0" w:firstLineChars="0"/>
                    <w:jc w:val="center"/>
                    <w:rPr>
                      <w:sz w:val="21"/>
                      <w:szCs w:val="21"/>
                    </w:rPr>
                  </w:pPr>
                  <w:r>
                    <w:rPr>
                      <w:rFonts w:hint="eastAsia"/>
                      <w:sz w:val="21"/>
                      <w:szCs w:val="21"/>
                    </w:rPr>
                    <w:t>33.5</w:t>
                  </w:r>
                </w:p>
              </w:tc>
              <w:tc>
                <w:tcPr>
                  <w:tcW w:w="301" w:type="pct"/>
                  <w:vAlign w:val="center"/>
                </w:tcPr>
                <w:p>
                  <w:pPr>
                    <w:pStyle w:val="38"/>
                    <w:spacing w:line="240" w:lineRule="auto"/>
                    <w:ind w:firstLine="0" w:firstLineChars="0"/>
                    <w:jc w:val="center"/>
                    <w:rPr>
                      <w:sz w:val="21"/>
                      <w:szCs w:val="21"/>
                    </w:rPr>
                  </w:pPr>
                  <w:r>
                    <w:rPr>
                      <w:rFonts w:hint="eastAsia"/>
                      <w:sz w:val="21"/>
                      <w:szCs w:val="21"/>
                    </w:rPr>
                    <w:t>29</w:t>
                  </w:r>
                </w:p>
              </w:tc>
            </w:tr>
          </w:tbl>
          <w:p>
            <w:pPr>
              <w:pStyle w:val="38"/>
              <w:spacing w:line="408" w:lineRule="auto"/>
              <w:ind w:firstLine="520"/>
              <w:rPr>
                <w:bCs/>
                <w:spacing w:val="10"/>
                <w:kern w:val="2"/>
                <w:szCs w:val="21"/>
              </w:rPr>
            </w:pPr>
            <w:r>
              <w:rPr>
                <w:rFonts w:hint="eastAsia"/>
                <w:bCs/>
                <w:spacing w:val="10"/>
                <w:kern w:val="2"/>
                <w:szCs w:val="21"/>
              </w:rPr>
              <w:t>由上表可知，施工期噪声对周围声环境质量产生一定影响，白天影响最大范围为距施工场地150m内区域，夜间最大影响范围为距施工场地约500m范围内区域。为减轻本工程施工期噪声影响，要求建设单位采取必要噪声控制措施。</w:t>
            </w:r>
          </w:p>
          <w:p>
            <w:pPr>
              <w:pStyle w:val="38"/>
              <w:spacing w:line="408" w:lineRule="auto"/>
              <w:ind w:firstLine="520"/>
              <w:rPr>
                <w:bCs/>
                <w:spacing w:val="10"/>
                <w:kern w:val="2"/>
                <w:szCs w:val="21"/>
              </w:rPr>
            </w:pPr>
            <w:r>
              <w:rPr>
                <w:rFonts w:hint="eastAsia"/>
                <w:bCs/>
                <w:spacing w:val="10"/>
                <w:kern w:val="2"/>
                <w:szCs w:val="21"/>
              </w:rPr>
              <w:t>施工单位应按照《中华人民共和国噪声污染防治法》、《建筑施工场界环境噪声排放标准》有关要求，采取相应降噪措施。</w:t>
            </w:r>
          </w:p>
          <w:p>
            <w:pPr>
              <w:pStyle w:val="38"/>
              <w:spacing w:line="408" w:lineRule="auto"/>
              <w:ind w:firstLine="520"/>
              <w:rPr>
                <w:bCs/>
                <w:spacing w:val="10"/>
                <w:kern w:val="2"/>
              </w:rPr>
            </w:pPr>
            <w:r>
              <w:rPr>
                <w:bCs/>
                <w:spacing w:val="10"/>
                <w:kern w:val="2"/>
              </w:rPr>
              <w:t>（1）强化车辆管理，严禁鸣笛，最大限度的减少流动噪声。</w:t>
            </w:r>
          </w:p>
          <w:p>
            <w:pPr>
              <w:pStyle w:val="38"/>
              <w:spacing w:line="408" w:lineRule="auto"/>
              <w:ind w:firstLine="520"/>
              <w:rPr>
                <w:bCs/>
                <w:spacing w:val="10"/>
                <w:kern w:val="2"/>
              </w:rPr>
            </w:pPr>
            <w:r>
              <w:rPr>
                <w:bCs/>
                <w:spacing w:val="10"/>
                <w:kern w:val="2"/>
              </w:rPr>
              <w:t>（2）在施工作业过程中，合理安排施工机械的工作时间，尽量避免施工机械集中工作。</w:t>
            </w:r>
          </w:p>
          <w:p>
            <w:pPr>
              <w:pStyle w:val="38"/>
              <w:spacing w:line="408" w:lineRule="auto"/>
              <w:ind w:firstLine="520"/>
              <w:rPr>
                <w:bCs/>
                <w:spacing w:val="10"/>
                <w:kern w:val="2"/>
              </w:rPr>
            </w:pPr>
            <w:r>
              <w:rPr>
                <w:bCs/>
                <w:spacing w:val="10"/>
                <w:kern w:val="2"/>
              </w:rPr>
              <w:t>（3）采用先进的低噪声施工设备。</w:t>
            </w:r>
          </w:p>
          <w:p>
            <w:pPr>
              <w:pStyle w:val="38"/>
              <w:spacing w:line="408" w:lineRule="auto"/>
              <w:ind w:firstLine="520"/>
              <w:rPr>
                <w:bCs/>
                <w:spacing w:val="10"/>
                <w:kern w:val="2"/>
              </w:rPr>
            </w:pPr>
            <w:r>
              <w:rPr>
                <w:bCs/>
                <w:spacing w:val="10"/>
                <w:kern w:val="2"/>
              </w:rPr>
              <w:t>（4）加强施工机械的维护及保养，防止设备故障形成的非正常噪声，确保减振及隔声设施发挥最佳功效。</w:t>
            </w:r>
          </w:p>
          <w:p>
            <w:pPr>
              <w:pStyle w:val="38"/>
              <w:spacing w:line="408" w:lineRule="auto"/>
              <w:ind w:firstLine="520"/>
              <w:rPr>
                <w:bCs/>
                <w:spacing w:val="10"/>
                <w:kern w:val="2"/>
                <w:szCs w:val="21"/>
              </w:rPr>
            </w:pPr>
            <w:r>
              <w:rPr>
                <w:bCs/>
                <w:spacing w:val="10"/>
                <w:kern w:val="2"/>
                <w:szCs w:val="21"/>
              </w:rPr>
              <w:t>（5）做好宣传工作，倡导科学管理和文明施工</w:t>
            </w:r>
            <w:r>
              <w:rPr>
                <w:rFonts w:hint="eastAsia"/>
                <w:bCs/>
                <w:spacing w:val="10"/>
                <w:kern w:val="2"/>
                <w:szCs w:val="21"/>
              </w:rPr>
              <w:t>，</w:t>
            </w:r>
            <w:r>
              <w:rPr>
                <w:bCs/>
                <w:spacing w:val="10"/>
                <w:kern w:val="2"/>
                <w:szCs w:val="21"/>
              </w:rPr>
              <w:t>同时施工时做好施工人员的环保意识教育，降低人为因素造成的噪声污染；</w:t>
            </w:r>
          </w:p>
          <w:p>
            <w:pPr>
              <w:pStyle w:val="38"/>
              <w:spacing w:line="408" w:lineRule="auto"/>
              <w:ind w:firstLine="520"/>
              <w:rPr>
                <w:bCs/>
                <w:spacing w:val="10"/>
                <w:kern w:val="2"/>
                <w:szCs w:val="21"/>
              </w:rPr>
            </w:pPr>
            <w:r>
              <w:rPr>
                <w:bCs/>
                <w:spacing w:val="10"/>
                <w:kern w:val="2"/>
                <w:szCs w:val="21"/>
              </w:rPr>
              <w:t>（6）加强环境管理，严格执行国家、地方有关规定。通过以上噪声防治措施后，施工期噪声对周围环境的影</w:t>
            </w:r>
            <w:r>
              <w:rPr>
                <w:rFonts w:hint="eastAsia"/>
                <w:bCs/>
                <w:spacing w:val="10"/>
                <w:kern w:val="2"/>
                <w:szCs w:val="21"/>
              </w:rPr>
              <w:t>响可降低到最低程度。</w:t>
            </w:r>
          </w:p>
          <w:p>
            <w:pPr>
              <w:pStyle w:val="38"/>
              <w:spacing w:line="408" w:lineRule="auto"/>
              <w:ind w:firstLine="520"/>
              <w:rPr>
                <w:bCs/>
                <w:spacing w:val="10"/>
                <w:kern w:val="2"/>
                <w:szCs w:val="21"/>
              </w:rPr>
            </w:pPr>
            <w:r>
              <w:rPr>
                <w:rFonts w:hint="eastAsia"/>
                <w:bCs/>
                <w:spacing w:val="10"/>
                <w:kern w:val="2"/>
                <w:szCs w:val="21"/>
              </w:rPr>
              <w:t>项目周围无声环境保护目标，通过采取以上降噪措施对周围声环境质量影响较小。</w:t>
            </w:r>
          </w:p>
          <w:p>
            <w:pPr>
              <w:pStyle w:val="38"/>
              <w:spacing w:line="408" w:lineRule="auto"/>
              <w:ind w:firstLine="522"/>
              <w:rPr>
                <w:b/>
                <w:bCs/>
                <w:spacing w:val="10"/>
                <w:kern w:val="2"/>
                <w:szCs w:val="21"/>
              </w:rPr>
            </w:pPr>
            <w:r>
              <w:rPr>
                <w:rFonts w:hint="eastAsia"/>
                <w:b/>
                <w:bCs/>
                <w:spacing w:val="10"/>
                <w:kern w:val="2"/>
                <w:szCs w:val="21"/>
              </w:rPr>
              <w:t>5、施工期固废影响分析</w:t>
            </w:r>
          </w:p>
          <w:p>
            <w:pPr>
              <w:pStyle w:val="38"/>
              <w:spacing w:line="408" w:lineRule="auto"/>
              <w:ind w:firstLine="520"/>
              <w:rPr>
                <w:bCs/>
                <w:spacing w:val="10"/>
                <w:kern w:val="2"/>
                <w:szCs w:val="21"/>
              </w:rPr>
            </w:pPr>
            <w:r>
              <w:rPr>
                <w:rFonts w:hint="eastAsia"/>
                <w:bCs/>
                <w:spacing w:val="10"/>
                <w:kern w:val="2"/>
                <w:szCs w:val="21"/>
              </w:rPr>
              <w:t>施工期固体废物主要来自建筑垃圾和施工人员少量的生活垃圾。</w:t>
            </w:r>
          </w:p>
          <w:p>
            <w:pPr>
              <w:pStyle w:val="38"/>
              <w:spacing w:line="408" w:lineRule="auto"/>
              <w:ind w:firstLine="520"/>
              <w:rPr>
                <w:bCs/>
                <w:spacing w:val="10"/>
                <w:kern w:val="2"/>
                <w:szCs w:val="21"/>
              </w:rPr>
            </w:pPr>
            <w:r>
              <w:rPr>
                <w:rFonts w:hint="eastAsia"/>
                <w:bCs/>
                <w:spacing w:val="10"/>
                <w:kern w:val="2"/>
                <w:szCs w:val="21"/>
              </w:rPr>
              <w:t>本项目土石方总量88</w:t>
            </w:r>
            <w:r>
              <w:rPr>
                <w:bCs/>
                <w:spacing w:val="10"/>
                <w:kern w:val="2"/>
                <w:szCs w:val="21"/>
              </w:rPr>
              <w:t>6800</w:t>
            </w:r>
            <w:r>
              <w:rPr>
                <w:rFonts w:hint="eastAsia"/>
                <w:bCs/>
                <w:spacing w:val="10"/>
                <w:kern w:val="2"/>
                <w:szCs w:val="21"/>
              </w:rPr>
              <w:t>m³，路基借土填方110800m³，站场借土填方776000m³，无废弃土方，土方来源为外购，无取土场、弃土场等。</w:t>
            </w:r>
          </w:p>
          <w:p>
            <w:pPr>
              <w:pStyle w:val="38"/>
              <w:spacing w:line="408" w:lineRule="auto"/>
              <w:ind w:firstLine="520"/>
              <w:rPr>
                <w:bCs/>
                <w:spacing w:val="10"/>
                <w:kern w:val="2"/>
                <w:szCs w:val="21"/>
              </w:rPr>
            </w:pPr>
            <w:r>
              <w:rPr>
                <w:rFonts w:hint="eastAsia"/>
                <w:bCs/>
                <w:spacing w:val="10"/>
                <w:kern w:val="2"/>
                <w:szCs w:val="21"/>
              </w:rPr>
              <w:t>施工期施工人员以50人计，每人每天按0.6kg计算生活垃圾产生量，则施工人员生活垃圾产生量为30kg</w:t>
            </w:r>
            <w:r>
              <w:rPr>
                <w:bCs/>
                <w:spacing w:val="10"/>
                <w:kern w:val="2"/>
                <w:szCs w:val="21"/>
              </w:rPr>
              <w:t>/</w:t>
            </w:r>
            <w:r>
              <w:rPr>
                <w:rFonts w:hint="eastAsia"/>
                <w:bCs/>
                <w:spacing w:val="10"/>
                <w:kern w:val="2"/>
                <w:szCs w:val="21"/>
              </w:rPr>
              <w:t>d，施工区设置垃圾桶分类收集后，由环卫部门定期清运，避免生活垃圾不适当处置或堆置对周围环境卫生和景观产生影响。</w:t>
            </w:r>
          </w:p>
          <w:p>
            <w:pPr>
              <w:pStyle w:val="38"/>
              <w:spacing w:line="408" w:lineRule="auto"/>
              <w:ind w:firstLine="520"/>
              <w:rPr>
                <w:bCs/>
                <w:spacing w:val="10"/>
                <w:kern w:val="2"/>
                <w:szCs w:val="21"/>
              </w:rPr>
            </w:pPr>
            <w:r>
              <w:rPr>
                <w:rFonts w:hint="eastAsia"/>
                <w:bCs/>
                <w:spacing w:val="10"/>
                <w:kern w:val="2"/>
                <w:szCs w:val="21"/>
              </w:rPr>
              <w:t>项目完工后，会残留少量废建筑材料，影响环境景观质量，因此施工单位应采取以下防治措施：</w:t>
            </w:r>
          </w:p>
          <w:p>
            <w:pPr>
              <w:pStyle w:val="38"/>
              <w:spacing w:line="408" w:lineRule="auto"/>
              <w:ind w:firstLine="520"/>
              <w:rPr>
                <w:bCs/>
                <w:spacing w:val="10"/>
                <w:kern w:val="2"/>
                <w:szCs w:val="21"/>
              </w:rPr>
            </w:pPr>
            <w:r>
              <w:rPr>
                <w:rFonts w:hint="eastAsia" w:ascii="宋体" w:hAnsi="宋体" w:cs="宋体"/>
                <w:bCs/>
                <w:spacing w:val="10"/>
                <w:kern w:val="2"/>
                <w:szCs w:val="21"/>
              </w:rPr>
              <w:t>①</w:t>
            </w:r>
            <w:r>
              <w:rPr>
                <w:rFonts w:hint="eastAsia"/>
                <w:bCs/>
                <w:spacing w:val="10"/>
                <w:kern w:val="2"/>
                <w:szCs w:val="21"/>
              </w:rPr>
              <w:t>遗留在现场的建筑废弃物应及时清运或回填；</w:t>
            </w:r>
          </w:p>
          <w:p>
            <w:pPr>
              <w:pStyle w:val="38"/>
              <w:spacing w:line="408" w:lineRule="auto"/>
              <w:ind w:firstLine="520"/>
              <w:rPr>
                <w:bCs/>
                <w:spacing w:val="10"/>
                <w:kern w:val="2"/>
                <w:szCs w:val="21"/>
              </w:rPr>
            </w:pPr>
            <w:r>
              <w:rPr>
                <w:rFonts w:hint="eastAsia" w:ascii="宋体" w:hAnsi="宋体" w:cs="宋体"/>
                <w:bCs/>
                <w:spacing w:val="10"/>
                <w:kern w:val="2"/>
                <w:szCs w:val="21"/>
              </w:rPr>
              <w:t>②</w:t>
            </w:r>
            <w:r>
              <w:rPr>
                <w:rFonts w:hint="eastAsia"/>
                <w:bCs/>
                <w:spacing w:val="10"/>
                <w:kern w:val="2"/>
                <w:szCs w:val="21"/>
              </w:rPr>
              <w:t>运送建筑垃圾的车辆应加盖篷布；</w:t>
            </w:r>
          </w:p>
          <w:p>
            <w:pPr>
              <w:pStyle w:val="38"/>
              <w:spacing w:line="408" w:lineRule="auto"/>
              <w:ind w:firstLine="520"/>
              <w:rPr>
                <w:bCs/>
                <w:spacing w:val="10"/>
                <w:kern w:val="2"/>
                <w:szCs w:val="21"/>
              </w:rPr>
            </w:pPr>
            <w:r>
              <w:rPr>
                <w:rFonts w:hint="eastAsia" w:ascii="宋体" w:hAnsi="宋体" w:cs="宋体"/>
                <w:bCs/>
                <w:spacing w:val="10"/>
                <w:kern w:val="2"/>
                <w:szCs w:val="21"/>
              </w:rPr>
              <w:t>③</w:t>
            </w:r>
            <w:r>
              <w:rPr>
                <w:rFonts w:hint="eastAsia"/>
                <w:bCs/>
                <w:spacing w:val="10"/>
                <w:kern w:val="2"/>
                <w:szCs w:val="21"/>
              </w:rPr>
              <w:t>建筑金属废物在施工现场应及时回收；</w:t>
            </w:r>
          </w:p>
          <w:p>
            <w:pPr>
              <w:pStyle w:val="38"/>
              <w:spacing w:line="408" w:lineRule="auto"/>
              <w:ind w:firstLine="520"/>
              <w:rPr>
                <w:bCs/>
                <w:spacing w:val="10"/>
                <w:kern w:val="2"/>
                <w:szCs w:val="21"/>
              </w:rPr>
            </w:pPr>
            <w:r>
              <w:rPr>
                <w:rFonts w:hint="eastAsia" w:ascii="宋体" w:hAnsi="宋体" w:cs="宋体"/>
                <w:bCs/>
                <w:spacing w:val="10"/>
                <w:kern w:val="2"/>
                <w:szCs w:val="21"/>
              </w:rPr>
              <w:t>④</w:t>
            </w:r>
            <w:r>
              <w:rPr>
                <w:rFonts w:hint="eastAsia"/>
                <w:bCs/>
                <w:spacing w:val="10"/>
                <w:kern w:val="2"/>
                <w:szCs w:val="21"/>
              </w:rPr>
              <w:t>建筑垃圾应运送到指定地点，不得随意倾倒。</w:t>
            </w:r>
          </w:p>
          <w:p>
            <w:pPr>
              <w:pStyle w:val="38"/>
              <w:spacing w:line="408" w:lineRule="auto"/>
              <w:ind w:firstLine="520"/>
            </w:pPr>
            <w:r>
              <w:rPr>
                <w:rFonts w:hint="eastAsia"/>
                <w:bCs/>
                <w:spacing w:val="10"/>
                <w:kern w:val="2"/>
                <w:szCs w:val="21"/>
              </w:rPr>
              <w:t>施工时按照以上提出的各项要求防治，可以使其对环境的影响降至最小程度，影响将随着项目的完工而结束，因此项目施工期固废对环境的影响较小。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4" w:hRule="atLeast"/>
          <w:jc w:val="center"/>
        </w:trPr>
        <w:tc>
          <w:tcPr>
            <w:tcW w:w="879" w:type="dxa"/>
            <w:tcMar>
              <w:left w:w="28" w:type="dxa"/>
              <w:right w:w="28" w:type="dxa"/>
            </w:tcMar>
            <w:vAlign w:val="center"/>
          </w:tcPr>
          <w:p>
            <w:pPr>
              <w:pStyle w:val="1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t>运营期生态环境影响分析</w:t>
            </w:r>
          </w:p>
        </w:tc>
        <w:tc>
          <w:tcPr>
            <w:tcW w:w="8363" w:type="dxa"/>
          </w:tcPr>
          <w:p>
            <w:pPr>
              <w:adjustRightInd w:val="0"/>
              <w:snapToGrid w:val="0"/>
              <w:spacing w:line="408" w:lineRule="auto"/>
              <w:ind w:firstLine="522" w:firstLineChars="200"/>
              <w:rPr>
                <w:b/>
                <w:bCs/>
                <w:spacing w:val="10"/>
                <w:sz w:val="24"/>
                <w:szCs w:val="21"/>
              </w:rPr>
            </w:pPr>
            <w:r>
              <w:rPr>
                <w:rFonts w:hint="eastAsia"/>
                <w:b/>
                <w:bCs/>
                <w:spacing w:val="10"/>
                <w:sz w:val="24"/>
                <w:szCs w:val="21"/>
              </w:rPr>
              <w:t>1、运营期生态影响分析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（1）植被影响分析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永久占地范围内部分植被被破坏，包括房屋建筑及专用线轨道占地等，工程建设临时用地施工结束后恢复植被，破坏植被能够得到一定恢复，加上一定区域内的绿化补偿，随着运营期延长，植被影响逐渐减小。专用线两侧生态环境相似，受影响的植被在沿线为常见类型，影响在局部范围内，不会对生物多样性造成影响，因此，在严格落实生态保护措施的前提下，项目运营期植被影响在可接受范围。</w:t>
            </w:r>
          </w:p>
          <w:p>
            <w:pPr>
              <w:adjustRightInd w:val="0"/>
              <w:snapToGrid w:val="0"/>
              <w:spacing w:line="408" w:lineRule="auto"/>
              <w:ind w:firstLine="520" w:firstLineChars="200"/>
              <w:rPr>
                <w:bCs/>
                <w:spacing w:val="10"/>
                <w:sz w:val="24"/>
                <w:szCs w:val="21"/>
              </w:rPr>
            </w:pPr>
            <w:r>
              <w:rPr>
                <w:rFonts w:hint="eastAsia"/>
                <w:bCs/>
                <w:spacing w:val="10"/>
                <w:sz w:val="24"/>
                <w:szCs w:val="21"/>
              </w:rPr>
              <w:t>（2）动物影响分析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本项目为铁路专用线建设项目，属于典型的线性工程，对野生动物产生一定阻隔影响。本专用线占地及两侧为荒草地和裸露地块，野生动物类型为啮齿类动物和常见鸟类等，</w:t>
            </w:r>
            <w:r>
              <w:rPr>
                <w:bCs/>
                <w:spacing w:val="10"/>
                <w:sz w:val="24"/>
                <w:szCs w:val="21"/>
              </w:rPr>
              <w:t>不涉及国家和省级重点保护野生动物，</w:t>
            </w:r>
            <w:r>
              <w:rPr>
                <w:rFonts w:hint="eastAsia"/>
                <w:bCs/>
                <w:spacing w:val="10"/>
                <w:sz w:val="24"/>
                <w:szCs w:val="21"/>
              </w:rPr>
              <w:t>运营期</w:t>
            </w:r>
            <w:r>
              <w:rPr>
                <w:bCs/>
                <w:spacing w:val="10"/>
                <w:sz w:val="24"/>
                <w:szCs w:val="21"/>
              </w:rPr>
              <w:t>不会破坏</w:t>
            </w:r>
            <w:r>
              <w:rPr>
                <w:rFonts w:hint="eastAsia"/>
                <w:bCs/>
                <w:spacing w:val="10"/>
                <w:sz w:val="24"/>
                <w:szCs w:val="21"/>
              </w:rPr>
              <w:t>相关</w:t>
            </w:r>
            <w:r>
              <w:rPr>
                <w:bCs/>
                <w:spacing w:val="10"/>
                <w:sz w:val="24"/>
                <w:szCs w:val="21"/>
              </w:rPr>
              <w:t>国家和省级重点野生动物</w:t>
            </w:r>
            <w:r>
              <w:rPr>
                <w:rFonts w:hint="eastAsia"/>
                <w:bCs/>
                <w:spacing w:val="10"/>
                <w:sz w:val="24"/>
                <w:szCs w:val="21"/>
              </w:rPr>
              <w:t>的活动行为。专用线全长3.16km，长度较短，设置有畜牧通道，不会对正常畜牧产生影响，因此，运营期对动物影响较小。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（3）水土流失影响分析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随着施工期的结束，项目建成后，人为活动对地表的影响减少。装卸站地面硬化、专用线沿线坡面铺设碎石，可有效防止和减少水土流失。</w:t>
            </w:r>
          </w:p>
          <w:p>
            <w:pPr>
              <w:adjustRightInd w:val="0"/>
              <w:snapToGrid w:val="0"/>
              <w:spacing w:line="408" w:lineRule="auto"/>
              <w:ind w:firstLine="520" w:firstLineChars="200"/>
              <w:rPr>
                <w:bCs/>
                <w:spacing w:val="10"/>
                <w:sz w:val="24"/>
                <w:szCs w:val="21"/>
              </w:rPr>
            </w:pPr>
            <w:r>
              <w:rPr>
                <w:rFonts w:hint="eastAsia"/>
                <w:bCs/>
                <w:spacing w:val="10"/>
                <w:sz w:val="24"/>
                <w:szCs w:val="21"/>
              </w:rPr>
              <w:t>（4）水环境影响分析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专用线通过涵洞横穿灌溉水渠，水量变化存在季节性变化。专用线运营期间采用集装箱封闭运输，不存在运输物料洒落、大风天气造成的扬尘污染等情况，对灌溉水影响较小。</w:t>
            </w:r>
          </w:p>
          <w:p>
            <w:pPr>
              <w:adjustRightInd w:val="0"/>
              <w:snapToGrid w:val="0"/>
              <w:spacing w:line="408" w:lineRule="auto"/>
              <w:ind w:firstLine="522" w:firstLineChars="200"/>
              <w:rPr>
                <w:b/>
                <w:bCs/>
                <w:spacing w:val="10"/>
                <w:sz w:val="24"/>
                <w:szCs w:val="21"/>
              </w:rPr>
            </w:pPr>
            <w:r>
              <w:rPr>
                <w:rFonts w:hint="eastAsia"/>
                <w:b/>
                <w:bCs/>
                <w:spacing w:val="10"/>
                <w:sz w:val="24"/>
                <w:szCs w:val="21"/>
              </w:rPr>
              <w:t>2、运营期水环境影响分析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运营期无生产废水产生，全线劳动定员50人，本项目生活用水定额取50</w:t>
            </w:r>
            <w:r>
              <w:rPr>
                <w:bCs/>
                <w:spacing w:val="10"/>
                <w:sz w:val="24"/>
                <w:szCs w:val="21"/>
              </w:rPr>
              <w:t>L/</w:t>
            </w:r>
            <w:r>
              <w:rPr>
                <w:rFonts w:hint="eastAsia"/>
                <w:bCs/>
                <w:spacing w:val="10"/>
                <w:sz w:val="24"/>
                <w:szCs w:val="21"/>
              </w:rPr>
              <w:t>人·天，生活用水量为</w:t>
            </w:r>
            <w:r>
              <w:rPr>
                <w:bCs/>
                <w:spacing w:val="10"/>
                <w:sz w:val="24"/>
                <w:szCs w:val="21"/>
              </w:rPr>
              <w:t>2.5</w:t>
            </w:r>
            <w:r>
              <w:rPr>
                <w:rFonts w:hint="eastAsia"/>
                <w:bCs/>
                <w:spacing w:val="10"/>
                <w:sz w:val="24"/>
                <w:szCs w:val="21"/>
              </w:rPr>
              <w:t>m³/d，污水排放量按用水量80%计算，生活污水排放量为</w:t>
            </w:r>
            <w:r>
              <w:rPr>
                <w:bCs/>
                <w:spacing w:val="10"/>
                <w:sz w:val="24"/>
                <w:szCs w:val="21"/>
              </w:rPr>
              <w:t>2</w:t>
            </w:r>
            <w:r>
              <w:rPr>
                <w:rFonts w:hint="eastAsia"/>
                <w:bCs/>
                <w:spacing w:val="10"/>
                <w:sz w:val="24"/>
                <w:szCs w:val="21"/>
              </w:rPr>
              <w:t>m³/d，污水量较小，主要污染物为COD、BOD、SS、氨氮等。</w:t>
            </w:r>
            <w:r>
              <w:rPr>
                <w:bCs/>
                <w:spacing w:val="10"/>
                <w:sz w:val="24"/>
                <w:szCs w:val="21"/>
              </w:rPr>
              <w:t>生活污水</w:t>
            </w:r>
            <w:r>
              <w:rPr>
                <w:rFonts w:hint="eastAsia" w:hAnsi="宋体"/>
                <w:kern w:val="0"/>
                <w:sz w:val="24"/>
              </w:rPr>
              <w:t>排入新建化粪池</w:t>
            </w:r>
            <w:r>
              <w:rPr>
                <w:rFonts w:hAnsi="宋体"/>
                <w:kern w:val="0"/>
                <w:sz w:val="24"/>
              </w:rPr>
              <w:t>收集后</w:t>
            </w:r>
            <w:r>
              <w:rPr>
                <w:rFonts w:hint="eastAsia" w:hAnsi="宋体"/>
                <w:kern w:val="0"/>
                <w:sz w:val="24"/>
              </w:rPr>
              <w:t>，定期委托环卫部门吸污车清运至阜康市污水处理厂处理，不外排</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依托可行性分析：阜康市东部城区排水-污水处理厂于2017年建设，采用A2/O污水处理工艺，设计规模为4万立方米/日，出水水质达到《城镇污水处理厂污染物排放标准》(GB18918-2002)一级B标准。</w:t>
            </w:r>
          </w:p>
          <w:p>
            <w:pPr>
              <w:adjustRightInd w:val="0"/>
              <w:snapToGrid w:val="0"/>
              <w:spacing w:line="408" w:lineRule="auto"/>
              <w:ind w:firstLine="522" w:firstLineChars="200"/>
              <w:rPr>
                <w:b/>
                <w:bCs/>
                <w:spacing w:val="10"/>
                <w:sz w:val="24"/>
                <w:szCs w:val="21"/>
              </w:rPr>
            </w:pPr>
            <w:r>
              <w:rPr>
                <w:rFonts w:hint="eastAsia"/>
                <w:b/>
                <w:bCs/>
                <w:spacing w:val="10"/>
                <w:sz w:val="24"/>
                <w:szCs w:val="21"/>
              </w:rPr>
              <w:t>3、运营期大气环境影响分析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本专用线牵引种类为电力牵引，不涉及内燃机废气，因此运营期大气污染物主要为装卸扬尘和食堂油烟等。</w:t>
            </w:r>
          </w:p>
          <w:p>
            <w:pPr>
              <w:adjustRightInd w:val="0"/>
              <w:snapToGrid w:val="0"/>
              <w:spacing w:line="408" w:lineRule="auto"/>
              <w:ind w:firstLine="520" w:firstLineChars="200"/>
              <w:rPr>
                <w:bCs/>
                <w:spacing w:val="10"/>
                <w:sz w:val="24"/>
                <w:szCs w:val="21"/>
              </w:rPr>
            </w:pPr>
            <w:r>
              <w:rPr>
                <w:rFonts w:hint="eastAsia"/>
                <w:bCs/>
                <w:spacing w:val="10"/>
                <w:sz w:val="24"/>
                <w:szCs w:val="21"/>
              </w:rPr>
              <w:t>（1）装卸扬尘</w:t>
            </w:r>
          </w:p>
          <w:p>
            <w:pPr>
              <w:adjustRightInd w:val="0"/>
              <w:snapToGrid w:val="0"/>
              <w:spacing w:line="408" w:lineRule="auto"/>
              <w:ind w:firstLine="520" w:firstLineChars="200"/>
              <w:rPr>
                <w:bCs/>
                <w:spacing w:val="10"/>
                <w:sz w:val="24"/>
                <w:szCs w:val="21"/>
              </w:rPr>
            </w:pPr>
            <w:r>
              <w:rPr>
                <w:rFonts w:hint="eastAsia"/>
                <w:bCs/>
                <w:spacing w:val="10"/>
                <w:sz w:val="24"/>
                <w:szCs w:val="21"/>
              </w:rPr>
              <w:t>煤炭装卸环节原煤在重力作用下或风力下产生扬尘，其中装卸设备采用正面吊、棚车采用叉车、敞车采用快速定量装车系统（内部安装喷淋抑尘系统），装卸站快速装车过程配备自动喷淋抑尘设施，定期对场地洒水抑尘，能够有效减少无组织废气产生，对环境影响较小。运输采用全封闭式集装箱运输，能够有效防止扬尘污染，对周围环境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（2）食堂油烟</w:t>
            </w:r>
          </w:p>
          <w:p>
            <w:pPr>
              <w:adjustRightInd w:val="0"/>
              <w:snapToGrid w:val="0"/>
              <w:spacing w:line="408" w:lineRule="auto"/>
              <w:ind w:firstLine="520" w:firstLineChars="200"/>
              <w:rPr>
                <w:bCs/>
                <w:spacing w:val="10"/>
                <w:sz w:val="24"/>
                <w:szCs w:val="21"/>
              </w:rPr>
            </w:pPr>
            <w:r>
              <w:rPr>
                <w:rFonts w:hint="eastAsia"/>
                <w:bCs/>
                <w:spacing w:val="10"/>
                <w:sz w:val="24"/>
                <w:szCs w:val="21"/>
              </w:rPr>
              <w:t>运营期设置食堂，运行时间4h</w:t>
            </w:r>
            <w:r>
              <w:rPr>
                <w:bCs/>
                <w:spacing w:val="10"/>
                <w:sz w:val="24"/>
                <w:szCs w:val="21"/>
              </w:rPr>
              <w:t>/</w:t>
            </w:r>
            <w:r>
              <w:rPr>
                <w:rFonts w:hint="eastAsia"/>
                <w:bCs/>
                <w:spacing w:val="10"/>
                <w:sz w:val="24"/>
                <w:szCs w:val="21"/>
              </w:rPr>
              <w:t>d。耗油量按20g</w:t>
            </w:r>
            <w:r>
              <w:rPr>
                <w:bCs/>
                <w:spacing w:val="10"/>
                <w:sz w:val="24"/>
                <w:szCs w:val="21"/>
              </w:rPr>
              <w:t>/</w:t>
            </w:r>
            <w:r>
              <w:rPr>
                <w:rFonts w:hint="eastAsia"/>
                <w:bCs/>
                <w:spacing w:val="10"/>
                <w:sz w:val="24"/>
                <w:szCs w:val="21"/>
              </w:rPr>
              <w:t>人·d计算，则耗油量为1.14kg</w:t>
            </w:r>
            <w:r>
              <w:rPr>
                <w:bCs/>
                <w:spacing w:val="10"/>
                <w:sz w:val="24"/>
                <w:szCs w:val="21"/>
              </w:rPr>
              <w:t>/</w:t>
            </w:r>
            <w:r>
              <w:rPr>
                <w:rFonts w:hint="eastAsia"/>
                <w:bCs/>
                <w:spacing w:val="10"/>
                <w:sz w:val="24"/>
                <w:szCs w:val="21"/>
              </w:rPr>
              <w:t>d，油类挥发按3%计算，则挥发烟量为0.034kg</w:t>
            </w:r>
            <w:r>
              <w:rPr>
                <w:bCs/>
                <w:spacing w:val="10"/>
                <w:sz w:val="24"/>
                <w:szCs w:val="21"/>
              </w:rPr>
              <w:t>/</w:t>
            </w:r>
            <w:r>
              <w:rPr>
                <w:rFonts w:hint="eastAsia"/>
                <w:bCs/>
                <w:spacing w:val="10"/>
                <w:sz w:val="24"/>
                <w:szCs w:val="21"/>
              </w:rPr>
              <w:t>d，产生油烟经烟气净化器（风机量按2000m³/h）处理后排放，处理效率按60%，经计算排放浓度为1.7</w:t>
            </w:r>
            <w:r>
              <w:rPr>
                <w:bCs/>
                <w:spacing w:val="10"/>
                <w:sz w:val="24"/>
                <w:szCs w:val="21"/>
              </w:rPr>
              <w:t>mg/</w:t>
            </w:r>
            <w:r>
              <w:rPr>
                <w:rFonts w:hint="eastAsia"/>
                <w:bCs/>
                <w:spacing w:val="10"/>
                <w:sz w:val="24"/>
                <w:szCs w:val="21"/>
              </w:rPr>
              <w:t>m³，</w:t>
            </w:r>
            <w:r>
              <w:rPr>
                <w:bCs/>
                <w:spacing w:val="10"/>
                <w:sz w:val="24"/>
                <w:szCs w:val="21"/>
              </w:rPr>
              <w:t>满足《饮食业油烟排放标准（试行）》（GB18483-2001）中最高允许排放浓度2.0mg/</w:t>
            </w:r>
            <w:r>
              <w:rPr>
                <w:rFonts w:hint="eastAsia"/>
                <w:bCs/>
                <w:spacing w:val="10"/>
                <w:sz w:val="24"/>
                <w:szCs w:val="21"/>
              </w:rPr>
              <w:t>m³。</w:t>
            </w:r>
          </w:p>
          <w:p>
            <w:pPr>
              <w:adjustRightInd w:val="0"/>
              <w:snapToGrid w:val="0"/>
              <w:spacing w:line="408" w:lineRule="auto"/>
              <w:ind w:firstLine="522" w:firstLineChars="200"/>
              <w:rPr>
                <w:b/>
                <w:bCs/>
                <w:spacing w:val="10"/>
                <w:sz w:val="24"/>
                <w:szCs w:val="21"/>
              </w:rPr>
            </w:pPr>
            <w:r>
              <w:rPr>
                <w:rFonts w:hint="eastAsia"/>
                <w:b/>
                <w:bCs/>
                <w:spacing w:val="10"/>
                <w:sz w:val="24"/>
                <w:szCs w:val="21"/>
              </w:rPr>
              <w:t>4、运营期声环境影响分析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运营期噪声源主要为列车运行产生的铁路噪声和装卸站货物装卸产生的噪声。</w:t>
            </w:r>
          </w:p>
          <w:p>
            <w:pPr>
              <w:adjustRightInd w:val="0"/>
              <w:snapToGrid w:val="0"/>
              <w:spacing w:line="408" w:lineRule="auto"/>
              <w:ind w:firstLine="522" w:firstLineChars="200"/>
              <w:rPr>
                <w:b/>
                <w:bCs/>
                <w:spacing w:val="10"/>
                <w:sz w:val="24"/>
                <w:szCs w:val="21"/>
              </w:rPr>
            </w:pPr>
            <w:r>
              <w:rPr>
                <w:rFonts w:hint="eastAsia"/>
                <w:b/>
                <w:bCs/>
                <w:spacing w:val="10"/>
                <w:sz w:val="24"/>
                <w:szCs w:val="21"/>
              </w:rPr>
              <w:t>铁路噪声</w:t>
            </w:r>
          </w:p>
          <w:p>
            <w:pPr>
              <w:adjustRightInd w:val="0"/>
              <w:snapToGrid w:val="0"/>
              <w:spacing w:line="408" w:lineRule="auto"/>
              <w:ind w:firstLine="520" w:firstLineChars="200"/>
              <w:rPr>
                <w:bCs/>
                <w:spacing w:val="10"/>
                <w:sz w:val="24"/>
                <w:szCs w:val="21"/>
              </w:rPr>
            </w:pPr>
            <w:r>
              <w:rPr>
                <w:rFonts w:hint="eastAsia"/>
                <w:bCs/>
                <w:spacing w:val="10"/>
                <w:sz w:val="24"/>
                <w:szCs w:val="21"/>
              </w:rPr>
              <w:t>铁路噪声主要包括货运列车产生的牵引噪声，列车与轨道相互作用产生的轮轨噪声和机车制动噪声等连续性噪声，除此，鸣笛噪声为偶发性噪声根据《铁路建设项目环境影响评价噪声振动源强取值和治理原则指导意见（2010修订稿）》(铁计（2010）44号)中的表3普通货物列车噪声源强确定本项目噪声源强；</w:t>
            </w:r>
          </w:p>
          <w:p>
            <w:pPr>
              <w:adjustRightInd w:val="0"/>
              <w:snapToGrid w:val="0"/>
              <w:spacing w:line="408" w:lineRule="auto"/>
              <w:ind w:firstLine="462" w:firstLineChars="200"/>
              <w:jc w:val="center"/>
              <w:rPr>
                <w:b/>
                <w:bCs/>
                <w:spacing w:val="10"/>
                <w:szCs w:val="21"/>
              </w:rPr>
            </w:pPr>
            <w:r>
              <w:rPr>
                <w:rFonts w:hint="eastAsia"/>
                <w:b/>
                <w:bCs/>
                <w:spacing w:val="10"/>
                <w:szCs w:val="21"/>
              </w:rPr>
              <w:t>表17 普通货物列车噪声源强表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62"/>
              <w:gridCol w:w="1162"/>
              <w:gridCol w:w="1162"/>
              <w:gridCol w:w="1163"/>
              <w:gridCol w:w="1163"/>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62" w:type="dxa"/>
                  <w:vAlign w:val="center"/>
                </w:tcPr>
                <w:p>
                  <w:pPr>
                    <w:pStyle w:val="38"/>
                    <w:spacing w:line="240" w:lineRule="auto"/>
                    <w:ind w:firstLine="0" w:firstLineChars="0"/>
                    <w:jc w:val="center"/>
                    <w:rPr>
                      <w:sz w:val="21"/>
                      <w:szCs w:val="21"/>
                    </w:rPr>
                  </w:pPr>
                  <w:r>
                    <w:rPr>
                      <w:rFonts w:hint="eastAsia"/>
                      <w:sz w:val="21"/>
                      <w:szCs w:val="21"/>
                    </w:rPr>
                    <w:t>速度</w:t>
                  </w:r>
                </w:p>
              </w:tc>
              <w:tc>
                <w:tcPr>
                  <w:tcW w:w="1162" w:type="dxa"/>
                  <w:vAlign w:val="center"/>
                </w:tcPr>
                <w:p>
                  <w:pPr>
                    <w:pStyle w:val="38"/>
                    <w:spacing w:line="240" w:lineRule="auto"/>
                    <w:ind w:firstLine="0" w:firstLineChars="0"/>
                    <w:jc w:val="center"/>
                    <w:rPr>
                      <w:sz w:val="21"/>
                      <w:szCs w:val="21"/>
                    </w:rPr>
                  </w:pPr>
                  <w:r>
                    <w:rPr>
                      <w:rFonts w:hint="eastAsia"/>
                      <w:sz w:val="21"/>
                      <w:szCs w:val="21"/>
                    </w:rPr>
                    <w:t>30</w:t>
                  </w:r>
                </w:p>
              </w:tc>
              <w:tc>
                <w:tcPr>
                  <w:tcW w:w="1162" w:type="dxa"/>
                  <w:vAlign w:val="center"/>
                </w:tcPr>
                <w:p>
                  <w:pPr>
                    <w:pStyle w:val="38"/>
                    <w:spacing w:line="240" w:lineRule="auto"/>
                    <w:ind w:firstLine="0" w:firstLineChars="0"/>
                    <w:jc w:val="center"/>
                    <w:rPr>
                      <w:sz w:val="21"/>
                      <w:szCs w:val="21"/>
                    </w:rPr>
                  </w:pPr>
                  <w:r>
                    <w:rPr>
                      <w:rFonts w:hint="eastAsia"/>
                      <w:sz w:val="21"/>
                      <w:szCs w:val="21"/>
                    </w:rPr>
                    <w:t>40</w:t>
                  </w:r>
                </w:p>
              </w:tc>
              <w:tc>
                <w:tcPr>
                  <w:tcW w:w="1162" w:type="dxa"/>
                  <w:vAlign w:val="center"/>
                </w:tcPr>
                <w:p>
                  <w:pPr>
                    <w:pStyle w:val="38"/>
                    <w:spacing w:line="240" w:lineRule="auto"/>
                    <w:ind w:firstLine="0" w:firstLineChars="0"/>
                    <w:jc w:val="center"/>
                    <w:rPr>
                      <w:sz w:val="21"/>
                      <w:szCs w:val="21"/>
                    </w:rPr>
                  </w:pPr>
                  <w:r>
                    <w:rPr>
                      <w:rFonts w:hint="eastAsia"/>
                      <w:sz w:val="21"/>
                      <w:szCs w:val="21"/>
                    </w:rPr>
                    <w:t>50</w:t>
                  </w:r>
                </w:p>
              </w:tc>
              <w:tc>
                <w:tcPr>
                  <w:tcW w:w="1163" w:type="dxa"/>
                  <w:vAlign w:val="center"/>
                </w:tcPr>
                <w:p>
                  <w:pPr>
                    <w:pStyle w:val="38"/>
                    <w:spacing w:line="240" w:lineRule="auto"/>
                    <w:ind w:firstLine="0" w:firstLineChars="0"/>
                    <w:jc w:val="center"/>
                    <w:rPr>
                      <w:sz w:val="21"/>
                      <w:szCs w:val="21"/>
                    </w:rPr>
                  </w:pPr>
                  <w:r>
                    <w:rPr>
                      <w:rFonts w:hint="eastAsia"/>
                      <w:sz w:val="21"/>
                      <w:szCs w:val="21"/>
                    </w:rPr>
                    <w:t>60</w:t>
                  </w:r>
                </w:p>
              </w:tc>
              <w:tc>
                <w:tcPr>
                  <w:tcW w:w="1163" w:type="dxa"/>
                  <w:vAlign w:val="center"/>
                </w:tcPr>
                <w:p>
                  <w:pPr>
                    <w:pStyle w:val="38"/>
                    <w:spacing w:line="240" w:lineRule="auto"/>
                    <w:ind w:firstLine="0" w:firstLineChars="0"/>
                    <w:jc w:val="center"/>
                    <w:rPr>
                      <w:sz w:val="21"/>
                      <w:szCs w:val="21"/>
                    </w:rPr>
                  </w:pPr>
                  <w:r>
                    <w:rPr>
                      <w:rFonts w:hint="eastAsia"/>
                      <w:sz w:val="21"/>
                      <w:szCs w:val="21"/>
                    </w:rPr>
                    <w:t>70</w:t>
                  </w:r>
                </w:p>
              </w:tc>
              <w:tc>
                <w:tcPr>
                  <w:tcW w:w="1163" w:type="dxa"/>
                  <w:vAlign w:val="center"/>
                </w:tcPr>
                <w:p>
                  <w:pPr>
                    <w:pStyle w:val="38"/>
                    <w:spacing w:line="240" w:lineRule="auto"/>
                    <w:ind w:firstLine="0" w:firstLineChars="0"/>
                    <w:jc w:val="center"/>
                    <w:rPr>
                      <w:sz w:val="21"/>
                      <w:szCs w:val="21"/>
                    </w:rPr>
                  </w:pPr>
                  <w:r>
                    <w:rPr>
                      <w:rFonts w:hint="eastAsia"/>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pPr>
                    <w:pStyle w:val="38"/>
                    <w:spacing w:line="240" w:lineRule="auto"/>
                    <w:ind w:firstLine="0" w:firstLineChars="0"/>
                    <w:jc w:val="center"/>
                    <w:rPr>
                      <w:sz w:val="21"/>
                      <w:szCs w:val="21"/>
                    </w:rPr>
                  </w:pPr>
                  <w:r>
                    <w:rPr>
                      <w:rFonts w:hint="eastAsia"/>
                      <w:sz w:val="21"/>
                      <w:szCs w:val="21"/>
                    </w:rPr>
                    <w:t>源强</w:t>
                  </w:r>
                </w:p>
              </w:tc>
              <w:tc>
                <w:tcPr>
                  <w:tcW w:w="1162" w:type="dxa"/>
                  <w:vAlign w:val="center"/>
                </w:tcPr>
                <w:p>
                  <w:pPr>
                    <w:pStyle w:val="38"/>
                    <w:spacing w:line="240" w:lineRule="auto"/>
                    <w:ind w:firstLine="0" w:firstLineChars="0"/>
                    <w:jc w:val="center"/>
                    <w:rPr>
                      <w:sz w:val="21"/>
                      <w:szCs w:val="21"/>
                    </w:rPr>
                  </w:pPr>
                  <w:r>
                    <w:rPr>
                      <w:rFonts w:hint="eastAsia"/>
                      <w:sz w:val="21"/>
                      <w:szCs w:val="21"/>
                    </w:rPr>
                    <w:t>75.0</w:t>
                  </w:r>
                </w:p>
              </w:tc>
              <w:tc>
                <w:tcPr>
                  <w:tcW w:w="1162" w:type="dxa"/>
                  <w:vAlign w:val="center"/>
                </w:tcPr>
                <w:p>
                  <w:pPr>
                    <w:pStyle w:val="38"/>
                    <w:spacing w:line="240" w:lineRule="auto"/>
                    <w:ind w:firstLine="0" w:firstLineChars="0"/>
                    <w:jc w:val="center"/>
                    <w:rPr>
                      <w:sz w:val="21"/>
                      <w:szCs w:val="21"/>
                    </w:rPr>
                  </w:pPr>
                  <w:r>
                    <w:rPr>
                      <w:rFonts w:hint="eastAsia"/>
                      <w:sz w:val="21"/>
                      <w:szCs w:val="21"/>
                    </w:rPr>
                    <w:t>76.7</w:t>
                  </w:r>
                </w:p>
              </w:tc>
              <w:tc>
                <w:tcPr>
                  <w:tcW w:w="1162" w:type="dxa"/>
                  <w:vAlign w:val="center"/>
                </w:tcPr>
                <w:p>
                  <w:pPr>
                    <w:pStyle w:val="38"/>
                    <w:spacing w:line="240" w:lineRule="auto"/>
                    <w:ind w:firstLine="0" w:firstLineChars="0"/>
                    <w:jc w:val="center"/>
                    <w:rPr>
                      <w:sz w:val="21"/>
                      <w:szCs w:val="21"/>
                    </w:rPr>
                  </w:pPr>
                  <w:r>
                    <w:rPr>
                      <w:rFonts w:hint="eastAsia"/>
                      <w:sz w:val="21"/>
                      <w:szCs w:val="21"/>
                    </w:rPr>
                    <w:t>78.2</w:t>
                  </w:r>
                </w:p>
              </w:tc>
              <w:tc>
                <w:tcPr>
                  <w:tcW w:w="1163" w:type="dxa"/>
                  <w:vAlign w:val="center"/>
                </w:tcPr>
                <w:p>
                  <w:pPr>
                    <w:pStyle w:val="38"/>
                    <w:spacing w:line="240" w:lineRule="auto"/>
                    <w:ind w:firstLine="0" w:firstLineChars="0"/>
                    <w:jc w:val="center"/>
                    <w:rPr>
                      <w:sz w:val="21"/>
                      <w:szCs w:val="21"/>
                    </w:rPr>
                  </w:pPr>
                  <w:r>
                    <w:rPr>
                      <w:rFonts w:hint="eastAsia"/>
                      <w:sz w:val="21"/>
                      <w:szCs w:val="21"/>
                    </w:rPr>
                    <w:t>79.5</w:t>
                  </w:r>
                </w:p>
              </w:tc>
              <w:tc>
                <w:tcPr>
                  <w:tcW w:w="1163" w:type="dxa"/>
                  <w:vAlign w:val="center"/>
                </w:tcPr>
                <w:p>
                  <w:pPr>
                    <w:pStyle w:val="38"/>
                    <w:spacing w:line="240" w:lineRule="auto"/>
                    <w:ind w:firstLine="0" w:firstLineChars="0"/>
                    <w:jc w:val="center"/>
                    <w:rPr>
                      <w:sz w:val="21"/>
                      <w:szCs w:val="21"/>
                    </w:rPr>
                  </w:pPr>
                  <w:r>
                    <w:rPr>
                      <w:rFonts w:hint="eastAsia"/>
                      <w:sz w:val="21"/>
                      <w:szCs w:val="21"/>
                    </w:rPr>
                    <w:t>80.8</w:t>
                  </w:r>
                </w:p>
              </w:tc>
              <w:tc>
                <w:tcPr>
                  <w:tcW w:w="1163" w:type="dxa"/>
                  <w:vAlign w:val="center"/>
                </w:tcPr>
                <w:p>
                  <w:pPr>
                    <w:pStyle w:val="38"/>
                    <w:spacing w:line="240" w:lineRule="auto"/>
                    <w:ind w:firstLine="0" w:firstLineChars="0"/>
                    <w:jc w:val="center"/>
                    <w:rPr>
                      <w:sz w:val="21"/>
                      <w:szCs w:val="21"/>
                    </w:rPr>
                  </w:pPr>
                  <w:r>
                    <w:rPr>
                      <w:rFonts w:hint="eastAsia"/>
                      <w:sz w:val="21"/>
                      <w:szCs w:val="21"/>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7" w:type="dxa"/>
                  <w:gridSpan w:val="7"/>
                </w:tcPr>
                <w:p>
                  <w:pPr>
                    <w:adjustRightInd w:val="0"/>
                    <w:snapToGrid w:val="0"/>
                    <w:spacing w:line="408" w:lineRule="auto"/>
                    <w:rPr>
                      <w:bCs/>
                      <w:spacing w:val="10"/>
                      <w:szCs w:val="21"/>
                    </w:rPr>
                  </w:pPr>
                  <w:r>
                    <w:rPr>
                      <w:rFonts w:hint="eastAsia"/>
                      <w:bCs/>
                      <w:spacing w:val="10"/>
                      <w:szCs w:val="21"/>
                    </w:rPr>
                    <w:t>注：</w:t>
                  </w:r>
                  <w:r>
                    <w:rPr>
                      <w:rFonts w:hint="eastAsia" w:ascii="宋体" w:hAnsi="宋体" w:cs="宋体"/>
                      <w:bCs/>
                      <w:spacing w:val="10"/>
                      <w:szCs w:val="21"/>
                    </w:rPr>
                    <w:t>①</w:t>
                  </w:r>
                  <w:r>
                    <w:rPr>
                      <w:rFonts w:hint="eastAsia"/>
                      <w:bCs/>
                      <w:spacing w:val="10"/>
                      <w:szCs w:val="21"/>
                    </w:rPr>
                    <w:t>线路条件：[级铁路，无缝、60kg/m钢轨，轨面状况良好，混凝土轨枕，有碴道床，平直、4m高路堤线路。对于桥梁线路的源强值，在上表基础上增加3dBA。2车辆条件：构造速度小于100km/h，转8A型转向架。B参考点位置：距列车运行线路中心25m，轨面以上3.5m处。</w:t>
                  </w:r>
                </w:p>
              </w:tc>
            </w:tr>
          </w:tbl>
          <w:p>
            <w:pPr>
              <w:adjustRightInd w:val="0"/>
              <w:snapToGrid w:val="0"/>
              <w:spacing w:line="408" w:lineRule="auto"/>
              <w:ind w:firstLine="480" w:firstLineChars="200"/>
              <w:rPr>
                <w:kern w:val="0"/>
                <w:sz w:val="24"/>
              </w:rPr>
            </w:pPr>
            <w:r>
              <w:rPr>
                <w:rFonts w:hint="eastAsia" w:ascii="宋体" w:cs="宋体"/>
                <w:kern w:val="0"/>
                <w:sz w:val="24"/>
              </w:rPr>
              <w:t>本专用线设计速</w:t>
            </w:r>
            <w:r>
              <w:rPr>
                <w:kern w:val="0"/>
                <w:sz w:val="24"/>
              </w:rPr>
              <w:t>度为60km/h，故噪声源强为79.5dB（A）</w:t>
            </w:r>
            <w:r>
              <w:rPr>
                <w:rFonts w:hint="eastAsia"/>
                <w:kern w:val="0"/>
                <w:sz w:val="24"/>
              </w:rPr>
              <w:t>。</w:t>
            </w:r>
          </w:p>
          <w:p>
            <w:pPr>
              <w:adjustRightInd w:val="0"/>
              <w:snapToGrid w:val="0"/>
              <w:spacing w:line="408" w:lineRule="auto"/>
              <w:ind w:firstLine="480" w:firstLineChars="200"/>
              <w:rPr>
                <w:bCs/>
                <w:sz w:val="24"/>
              </w:rPr>
            </w:pPr>
            <w:r>
              <w:rPr>
                <w:rFonts w:hint="eastAsia"/>
                <w:bCs/>
                <w:sz w:val="24"/>
              </w:rPr>
              <w:t>（1）运营期铁路噪声预测模式</w:t>
            </w:r>
          </w:p>
          <w:p>
            <w:pPr>
              <w:pStyle w:val="38"/>
              <w:spacing w:line="408" w:lineRule="auto"/>
              <w:ind w:firstLine="480"/>
              <w:rPr>
                <w:bCs/>
                <w:kern w:val="2"/>
              </w:rPr>
            </w:pPr>
            <w:r>
              <w:rPr>
                <w:rFonts w:hint="eastAsia"/>
                <w:bCs/>
                <w:kern w:val="2"/>
              </w:rPr>
              <w:t>依据《关于铁路专用线噪声检测及执行标准问题的回复》，，铁路专用线不属于铁路干线（交通干线），本项目参照《声环境质量标准》（GB3096-2008）按所属声环境功能区（3类）执行相应的环境噪声限值（昼间65d</w:t>
            </w:r>
            <w:r>
              <w:rPr>
                <w:bCs/>
                <w:kern w:val="2"/>
              </w:rPr>
              <w:t>B</w:t>
            </w:r>
            <w:r>
              <w:rPr>
                <w:rFonts w:hint="eastAsia"/>
                <w:bCs/>
                <w:kern w:val="2"/>
              </w:rPr>
              <w:t>，夜间55d</w:t>
            </w:r>
            <w:r>
              <w:rPr>
                <w:bCs/>
                <w:kern w:val="2"/>
              </w:rPr>
              <w:t>B</w:t>
            </w:r>
            <w:r>
              <w:rPr>
                <w:rFonts w:hint="eastAsia"/>
                <w:bCs/>
                <w:kern w:val="2"/>
              </w:rPr>
              <w:t>）。</w:t>
            </w:r>
          </w:p>
          <w:p>
            <w:pPr>
              <w:pStyle w:val="38"/>
              <w:spacing w:line="408" w:lineRule="auto"/>
              <w:ind w:firstLine="520"/>
              <w:rPr>
                <w:bCs/>
                <w:spacing w:val="10"/>
                <w:kern w:val="2"/>
                <w:szCs w:val="21"/>
              </w:rPr>
            </w:pPr>
            <w:r>
              <w:rPr>
                <w:rFonts w:hint="eastAsia"/>
                <w:bCs/>
                <w:spacing w:val="10"/>
                <w:kern w:val="2"/>
                <w:szCs w:val="21"/>
              </w:rPr>
              <w:t>噪声预测模式为：</w:t>
            </w:r>
          </w:p>
          <w:p>
            <w:pPr>
              <w:pStyle w:val="38"/>
              <w:spacing w:line="408" w:lineRule="auto"/>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r>
                  <m:rPr/>
                  <w:rPr>
                    <w:rFonts w:ascii="Cambria Math" w:hAnsi="Cambria Math"/>
                  </w:rPr>
                  <m:t>−20lg</m:t>
                </m:r>
                <m:d>
                  <m:dPr>
                    <m:ctrlPr>
                      <w:rPr>
                        <w:rFonts w:ascii="Cambria Math" w:hAnsi="Cambria Math"/>
                        <w:i/>
                      </w:rPr>
                    </m:ctrlPr>
                  </m:dPr>
                  <m:e>
                    <m:f>
                      <m:fPr>
                        <m:type m:val="skw"/>
                        <m:ctrlPr>
                          <w:rPr>
                            <w:rFonts w:ascii="Cambria Math" w:hAnsi="Cambria Math"/>
                            <w:i/>
                          </w:rPr>
                        </m:ctrlPr>
                      </m:fPr>
                      <m:num>
                        <m:r>
                          <m:rPr/>
                          <w:rPr>
                            <w:rFonts w:ascii="Cambria Math" w:hAnsi="Cambria Math"/>
                          </w:rPr>
                          <m:t>r</m:t>
                        </m:r>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pStyle w:val="38"/>
              <w:spacing w:line="408" w:lineRule="auto"/>
              <w:ind w:firstLine="480"/>
            </w:pPr>
            <w:r>
              <w:t>式中：</w:t>
            </w:r>
            <w:r>
              <w:rPr>
                <w:i/>
              </w:rPr>
              <w:t>L</w:t>
            </w:r>
            <w:r>
              <w:rPr>
                <w:i/>
                <w:vertAlign w:val="subscript"/>
              </w:rPr>
              <w:t>p(r0)</w:t>
            </w:r>
            <w:r>
              <w:t>—噪声源在预测点的声压级，dB(A)；</w:t>
            </w:r>
          </w:p>
          <w:p>
            <w:pPr>
              <w:pStyle w:val="38"/>
              <w:spacing w:line="408" w:lineRule="auto"/>
              <w:ind w:firstLine="480"/>
            </w:pPr>
            <w:r>
              <w:rPr>
                <w:i/>
              </w:rPr>
              <w:t>L</w:t>
            </w:r>
            <w:r>
              <w:rPr>
                <w:i/>
                <w:vertAlign w:val="subscript"/>
              </w:rPr>
              <w:t>p</w:t>
            </w:r>
            <w:r>
              <w:rPr>
                <w:i/>
              </w:rPr>
              <w:t>(r</w:t>
            </w:r>
            <w:r>
              <w:rPr>
                <w:i/>
                <w:vertAlign w:val="subscript"/>
              </w:rPr>
              <w:t>0</w:t>
            </w:r>
            <w:r>
              <w:rPr>
                <w:i/>
              </w:rPr>
              <w:t>)</w:t>
            </w:r>
            <w:r>
              <w:t>—参考位置r</w:t>
            </w:r>
            <w:r>
              <w:rPr>
                <w:vertAlign w:val="subscript"/>
              </w:rPr>
              <w:t>0</w:t>
            </w:r>
            <w:r>
              <w:t>处的声压级，dB(A)；</w:t>
            </w:r>
          </w:p>
          <w:p>
            <w:pPr>
              <w:pStyle w:val="38"/>
              <w:spacing w:line="408" w:lineRule="auto"/>
              <w:ind w:firstLine="480"/>
            </w:pPr>
            <w:r>
              <w:rPr>
                <w:i/>
              </w:rPr>
              <w:t>r</w:t>
            </w:r>
            <w:r>
              <w:rPr>
                <w:i/>
                <w:vertAlign w:val="subscript"/>
              </w:rPr>
              <w:t>0</w:t>
            </w:r>
            <w:r>
              <w:t>—参考位置距声源中心的位置，m；</w:t>
            </w:r>
          </w:p>
          <w:p>
            <w:pPr>
              <w:pStyle w:val="38"/>
              <w:spacing w:line="408" w:lineRule="auto"/>
              <w:ind w:firstLine="480"/>
            </w:pPr>
            <w:r>
              <w:rPr>
                <w:i/>
              </w:rPr>
              <w:t>r</w:t>
            </w:r>
            <w:r>
              <w:t>—声源中心至预测点的距离，m；</w:t>
            </w:r>
          </w:p>
          <w:p>
            <w:pPr>
              <w:pStyle w:val="38"/>
              <w:spacing w:line="408" w:lineRule="auto"/>
              <w:ind w:firstLine="480"/>
            </w:pPr>
            <w:r>
              <w:rPr>
                <w:rFonts w:hint="eastAsia"/>
              </w:rPr>
              <w:t>（2）铁路噪声影响范围计算和分析</w:t>
            </w:r>
          </w:p>
          <w:p>
            <w:pPr>
              <w:pStyle w:val="38"/>
              <w:spacing w:line="360" w:lineRule="auto"/>
              <w:ind w:firstLine="422"/>
              <w:jc w:val="center"/>
              <w:rPr>
                <w:b/>
                <w:sz w:val="21"/>
              </w:rPr>
            </w:pPr>
            <w:r>
              <w:rPr>
                <w:rFonts w:hint="eastAsia"/>
                <w:b/>
                <w:sz w:val="21"/>
              </w:rPr>
              <w:t>表18 铁路噪声不同距离处的噪声值</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584"/>
              <w:gridCol w:w="673"/>
              <w:gridCol w:w="673"/>
              <w:gridCol w:w="673"/>
              <w:gridCol w:w="673"/>
              <w:gridCol w:w="673"/>
              <w:gridCol w:w="674"/>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噪声源强</w:t>
                  </w:r>
                </w:p>
              </w:tc>
              <w:tc>
                <w:tcPr>
                  <w:tcW w:w="340" w:type="pct"/>
                  <w:vAlign w:val="center"/>
                </w:tcPr>
                <w:p>
                  <w:pPr>
                    <w:pStyle w:val="38"/>
                    <w:spacing w:line="240" w:lineRule="auto"/>
                    <w:ind w:firstLine="0" w:firstLineChars="0"/>
                    <w:jc w:val="center"/>
                    <w:rPr>
                      <w:sz w:val="21"/>
                      <w:szCs w:val="21"/>
                    </w:rPr>
                  </w:pPr>
                  <w:r>
                    <w:rPr>
                      <w:rFonts w:hint="eastAsia"/>
                      <w:sz w:val="21"/>
                      <w:szCs w:val="21"/>
                    </w:rPr>
                    <w:t>10</w:t>
                  </w:r>
                </w:p>
              </w:tc>
              <w:tc>
                <w:tcPr>
                  <w:tcW w:w="416" w:type="pct"/>
                  <w:vAlign w:val="center"/>
                </w:tcPr>
                <w:p>
                  <w:pPr>
                    <w:pStyle w:val="38"/>
                    <w:spacing w:line="240" w:lineRule="auto"/>
                    <w:ind w:firstLine="0" w:firstLineChars="0"/>
                    <w:jc w:val="center"/>
                    <w:rPr>
                      <w:sz w:val="21"/>
                      <w:szCs w:val="21"/>
                    </w:rPr>
                  </w:pPr>
                  <w:r>
                    <w:rPr>
                      <w:rFonts w:hint="eastAsia"/>
                      <w:sz w:val="21"/>
                      <w:szCs w:val="21"/>
                    </w:rPr>
                    <w:t>20</w:t>
                  </w:r>
                </w:p>
              </w:tc>
              <w:tc>
                <w:tcPr>
                  <w:tcW w:w="416" w:type="pct"/>
                  <w:vAlign w:val="center"/>
                </w:tcPr>
                <w:p>
                  <w:pPr>
                    <w:pStyle w:val="38"/>
                    <w:spacing w:line="240" w:lineRule="auto"/>
                    <w:ind w:firstLine="0" w:firstLineChars="0"/>
                    <w:jc w:val="center"/>
                    <w:rPr>
                      <w:sz w:val="21"/>
                      <w:szCs w:val="21"/>
                    </w:rPr>
                  </w:pPr>
                  <w:r>
                    <w:rPr>
                      <w:rFonts w:hint="eastAsia"/>
                      <w:sz w:val="21"/>
                      <w:szCs w:val="21"/>
                    </w:rPr>
                    <w:t>40</w:t>
                  </w:r>
                </w:p>
              </w:tc>
              <w:tc>
                <w:tcPr>
                  <w:tcW w:w="416" w:type="pct"/>
                  <w:vAlign w:val="center"/>
                </w:tcPr>
                <w:p>
                  <w:pPr>
                    <w:pStyle w:val="38"/>
                    <w:spacing w:line="240" w:lineRule="auto"/>
                    <w:ind w:firstLine="0" w:firstLineChars="0"/>
                    <w:jc w:val="center"/>
                    <w:rPr>
                      <w:sz w:val="21"/>
                      <w:szCs w:val="21"/>
                    </w:rPr>
                  </w:pPr>
                  <w:r>
                    <w:rPr>
                      <w:rFonts w:hint="eastAsia"/>
                      <w:sz w:val="21"/>
                      <w:szCs w:val="21"/>
                    </w:rPr>
                    <w:t>60</w:t>
                  </w:r>
                </w:p>
              </w:tc>
              <w:tc>
                <w:tcPr>
                  <w:tcW w:w="416" w:type="pct"/>
                  <w:vAlign w:val="center"/>
                </w:tcPr>
                <w:p>
                  <w:pPr>
                    <w:pStyle w:val="38"/>
                    <w:spacing w:line="240" w:lineRule="auto"/>
                    <w:ind w:firstLine="0" w:firstLineChars="0"/>
                    <w:jc w:val="center"/>
                    <w:rPr>
                      <w:sz w:val="21"/>
                      <w:szCs w:val="21"/>
                    </w:rPr>
                  </w:pPr>
                  <w:r>
                    <w:rPr>
                      <w:rFonts w:hint="eastAsia"/>
                      <w:sz w:val="21"/>
                      <w:szCs w:val="21"/>
                    </w:rPr>
                    <w:t>80</w:t>
                  </w:r>
                </w:p>
              </w:tc>
              <w:tc>
                <w:tcPr>
                  <w:tcW w:w="416" w:type="pct"/>
                  <w:vAlign w:val="center"/>
                </w:tcPr>
                <w:p>
                  <w:pPr>
                    <w:pStyle w:val="38"/>
                    <w:spacing w:line="240" w:lineRule="auto"/>
                    <w:ind w:firstLine="0" w:firstLineChars="0"/>
                    <w:jc w:val="center"/>
                    <w:rPr>
                      <w:sz w:val="21"/>
                      <w:szCs w:val="21"/>
                    </w:rPr>
                  </w:pPr>
                  <w:r>
                    <w:rPr>
                      <w:rFonts w:hint="eastAsia"/>
                      <w:sz w:val="21"/>
                      <w:szCs w:val="21"/>
                    </w:rPr>
                    <w:t>100</w:t>
                  </w:r>
                </w:p>
              </w:tc>
              <w:tc>
                <w:tcPr>
                  <w:tcW w:w="416" w:type="pct"/>
                  <w:vAlign w:val="center"/>
                </w:tcPr>
                <w:p>
                  <w:pPr>
                    <w:pStyle w:val="38"/>
                    <w:spacing w:line="240" w:lineRule="auto"/>
                    <w:ind w:firstLine="0" w:firstLineChars="0"/>
                    <w:jc w:val="center"/>
                    <w:rPr>
                      <w:sz w:val="21"/>
                      <w:szCs w:val="21"/>
                    </w:rPr>
                  </w:pPr>
                  <w:r>
                    <w:rPr>
                      <w:rFonts w:hint="eastAsia"/>
                      <w:sz w:val="21"/>
                      <w:szCs w:val="21"/>
                    </w:rPr>
                    <w:t>150</w:t>
                  </w:r>
                </w:p>
              </w:tc>
              <w:tc>
                <w:tcPr>
                  <w:tcW w:w="416" w:type="pct"/>
                  <w:vAlign w:val="center"/>
                </w:tcPr>
                <w:p>
                  <w:pPr>
                    <w:pStyle w:val="38"/>
                    <w:spacing w:line="240" w:lineRule="auto"/>
                    <w:ind w:firstLine="0" w:firstLineChars="0"/>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7</w:t>
                  </w:r>
                  <w:r>
                    <w:rPr>
                      <w:sz w:val="21"/>
                      <w:szCs w:val="21"/>
                    </w:rPr>
                    <w:t>9.5</w:t>
                  </w:r>
                </w:p>
              </w:tc>
              <w:tc>
                <w:tcPr>
                  <w:tcW w:w="340" w:type="pct"/>
                  <w:vAlign w:val="center"/>
                </w:tcPr>
                <w:p>
                  <w:pPr>
                    <w:pStyle w:val="38"/>
                    <w:spacing w:line="240" w:lineRule="auto"/>
                    <w:ind w:firstLine="0" w:firstLineChars="0"/>
                    <w:jc w:val="center"/>
                    <w:rPr>
                      <w:sz w:val="21"/>
                      <w:szCs w:val="21"/>
                    </w:rPr>
                  </w:pPr>
                  <w:r>
                    <w:rPr>
                      <w:sz w:val="21"/>
                      <w:szCs w:val="21"/>
                    </w:rPr>
                    <w:t>79.5</w:t>
                  </w:r>
                </w:p>
              </w:tc>
              <w:tc>
                <w:tcPr>
                  <w:tcW w:w="416" w:type="pct"/>
                  <w:vAlign w:val="center"/>
                </w:tcPr>
                <w:p>
                  <w:pPr>
                    <w:pStyle w:val="38"/>
                    <w:spacing w:line="240" w:lineRule="auto"/>
                    <w:ind w:firstLine="0" w:firstLineChars="0"/>
                    <w:jc w:val="center"/>
                    <w:rPr>
                      <w:sz w:val="21"/>
                      <w:szCs w:val="21"/>
                    </w:rPr>
                  </w:pPr>
                  <w:r>
                    <w:rPr>
                      <w:sz w:val="21"/>
                      <w:szCs w:val="21"/>
                    </w:rPr>
                    <w:t>75</w:t>
                  </w:r>
                </w:p>
              </w:tc>
              <w:tc>
                <w:tcPr>
                  <w:tcW w:w="416" w:type="pct"/>
                  <w:vAlign w:val="center"/>
                </w:tcPr>
                <w:p>
                  <w:pPr>
                    <w:pStyle w:val="38"/>
                    <w:spacing w:line="240" w:lineRule="auto"/>
                    <w:ind w:firstLine="0" w:firstLineChars="0"/>
                    <w:jc w:val="center"/>
                    <w:rPr>
                      <w:sz w:val="21"/>
                      <w:szCs w:val="21"/>
                    </w:rPr>
                  </w:pPr>
                  <w:r>
                    <w:rPr>
                      <w:sz w:val="21"/>
                      <w:szCs w:val="21"/>
                    </w:rPr>
                    <w:t>71.5</w:t>
                  </w:r>
                </w:p>
              </w:tc>
              <w:tc>
                <w:tcPr>
                  <w:tcW w:w="416" w:type="pct"/>
                  <w:vAlign w:val="center"/>
                </w:tcPr>
                <w:p>
                  <w:pPr>
                    <w:pStyle w:val="38"/>
                    <w:spacing w:line="240" w:lineRule="auto"/>
                    <w:ind w:firstLine="0" w:firstLineChars="0"/>
                    <w:jc w:val="center"/>
                    <w:rPr>
                      <w:sz w:val="21"/>
                      <w:szCs w:val="21"/>
                    </w:rPr>
                  </w:pPr>
                  <w:r>
                    <w:rPr>
                      <w:sz w:val="21"/>
                      <w:szCs w:val="21"/>
                    </w:rPr>
                    <w:t>67.4</w:t>
                  </w:r>
                </w:p>
              </w:tc>
              <w:tc>
                <w:tcPr>
                  <w:tcW w:w="416" w:type="pct"/>
                  <w:vAlign w:val="center"/>
                </w:tcPr>
                <w:p>
                  <w:pPr>
                    <w:pStyle w:val="38"/>
                    <w:spacing w:line="240" w:lineRule="auto"/>
                    <w:ind w:firstLine="0" w:firstLineChars="0"/>
                    <w:jc w:val="center"/>
                    <w:rPr>
                      <w:sz w:val="21"/>
                      <w:szCs w:val="21"/>
                    </w:rPr>
                  </w:pPr>
                  <w:r>
                    <w:rPr>
                      <w:sz w:val="21"/>
                      <w:szCs w:val="21"/>
                    </w:rPr>
                    <w:t>64.5</w:t>
                  </w:r>
                </w:p>
              </w:tc>
              <w:tc>
                <w:tcPr>
                  <w:tcW w:w="416" w:type="pct"/>
                  <w:vAlign w:val="center"/>
                </w:tcPr>
                <w:p>
                  <w:pPr>
                    <w:pStyle w:val="38"/>
                    <w:spacing w:line="240" w:lineRule="auto"/>
                    <w:ind w:firstLine="0" w:firstLineChars="0"/>
                    <w:jc w:val="center"/>
                    <w:rPr>
                      <w:sz w:val="21"/>
                      <w:szCs w:val="21"/>
                    </w:rPr>
                  </w:pPr>
                  <w:r>
                    <w:rPr>
                      <w:sz w:val="21"/>
                      <w:szCs w:val="21"/>
                    </w:rPr>
                    <w:t>61</w:t>
                  </w:r>
                </w:p>
              </w:tc>
              <w:tc>
                <w:tcPr>
                  <w:tcW w:w="416" w:type="pct"/>
                  <w:vAlign w:val="center"/>
                </w:tcPr>
                <w:p>
                  <w:pPr>
                    <w:pStyle w:val="38"/>
                    <w:spacing w:line="240" w:lineRule="auto"/>
                    <w:ind w:firstLine="0" w:firstLineChars="0"/>
                    <w:jc w:val="center"/>
                    <w:rPr>
                      <w:sz w:val="21"/>
                      <w:szCs w:val="21"/>
                    </w:rPr>
                  </w:pPr>
                  <w:r>
                    <w:rPr>
                      <w:sz w:val="21"/>
                      <w:szCs w:val="21"/>
                    </w:rPr>
                    <w:t>57</w:t>
                  </w:r>
                </w:p>
              </w:tc>
              <w:tc>
                <w:tcPr>
                  <w:tcW w:w="416" w:type="pct"/>
                  <w:vAlign w:val="center"/>
                </w:tcPr>
                <w:p>
                  <w:pPr>
                    <w:pStyle w:val="38"/>
                    <w:spacing w:line="240" w:lineRule="auto"/>
                    <w:ind w:firstLine="0" w:firstLineChars="0"/>
                    <w:jc w:val="center"/>
                    <w:rPr>
                      <w:sz w:val="21"/>
                      <w:szCs w:val="21"/>
                    </w:rPr>
                  </w:pPr>
                  <w:r>
                    <w:rPr>
                      <w:sz w:val="21"/>
                      <w:szCs w:val="21"/>
                    </w:rPr>
                    <w:t>51</w:t>
                  </w:r>
                </w:p>
              </w:tc>
            </w:tr>
          </w:tbl>
          <w:p>
            <w:pPr>
              <w:adjustRightInd w:val="0"/>
              <w:snapToGrid w:val="0"/>
              <w:spacing w:line="408" w:lineRule="auto"/>
              <w:ind w:firstLine="480" w:firstLineChars="200"/>
              <w:rPr>
                <w:kern w:val="0"/>
                <w:sz w:val="24"/>
              </w:rPr>
            </w:pPr>
            <w:r>
              <w:rPr>
                <w:rFonts w:hint="eastAsia"/>
                <w:kern w:val="0"/>
                <w:sz w:val="24"/>
              </w:rPr>
              <w:t>本专用线评价范围内无声环境保护目标，列车运行距离较短，铁路噪声持续时间短，随着距离衰减和运营期绿化作用下吸声，运营期铁路噪声对周围声环境质量影响较小。</w:t>
            </w:r>
          </w:p>
          <w:p>
            <w:pPr>
              <w:adjustRightInd w:val="0"/>
              <w:snapToGrid w:val="0"/>
              <w:spacing w:line="408" w:lineRule="auto"/>
              <w:ind w:firstLine="482" w:firstLineChars="200"/>
              <w:rPr>
                <w:b/>
                <w:kern w:val="0"/>
                <w:sz w:val="24"/>
              </w:rPr>
            </w:pPr>
            <w:r>
              <w:rPr>
                <w:rFonts w:hint="eastAsia"/>
                <w:b/>
                <w:kern w:val="0"/>
                <w:sz w:val="24"/>
              </w:rPr>
              <w:t>货物装卸噪声</w:t>
            </w:r>
          </w:p>
          <w:p>
            <w:pPr>
              <w:adjustRightInd w:val="0"/>
              <w:snapToGrid w:val="0"/>
              <w:spacing w:line="408" w:lineRule="auto"/>
              <w:ind w:firstLine="520" w:firstLineChars="200"/>
              <w:rPr>
                <w:bCs/>
                <w:spacing w:val="10"/>
                <w:sz w:val="24"/>
                <w:szCs w:val="21"/>
              </w:rPr>
            </w:pPr>
            <w:r>
              <w:rPr>
                <w:rFonts w:hint="eastAsia"/>
                <w:bCs/>
                <w:spacing w:val="10"/>
                <w:sz w:val="24"/>
                <w:szCs w:val="21"/>
              </w:rPr>
              <w:t>装卸场在装卸货物时会产生噪声，主要来源于正面吊、平板车、敞车、叉车等。</w:t>
            </w:r>
          </w:p>
          <w:p>
            <w:pPr>
              <w:adjustRightInd w:val="0"/>
              <w:snapToGrid w:val="0"/>
              <w:spacing w:line="408" w:lineRule="auto"/>
              <w:ind w:firstLine="462" w:firstLineChars="200"/>
              <w:jc w:val="center"/>
              <w:rPr>
                <w:b/>
                <w:bCs/>
                <w:spacing w:val="10"/>
                <w:szCs w:val="21"/>
              </w:rPr>
            </w:pPr>
            <w:r>
              <w:rPr>
                <w:rFonts w:hint="eastAsia"/>
                <w:b/>
                <w:bCs/>
                <w:spacing w:val="10"/>
                <w:szCs w:val="21"/>
              </w:rPr>
              <w:t>表19 主要设备噪声源强</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627"/>
              <w:gridCol w:w="1627"/>
              <w:gridCol w:w="1628"/>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pStyle w:val="38"/>
                    <w:spacing w:line="240" w:lineRule="auto"/>
                    <w:ind w:firstLine="0" w:firstLineChars="0"/>
                    <w:jc w:val="center"/>
                    <w:rPr>
                      <w:sz w:val="21"/>
                      <w:szCs w:val="21"/>
                    </w:rPr>
                  </w:pPr>
                  <w:r>
                    <w:rPr>
                      <w:rFonts w:hint="eastAsia"/>
                      <w:sz w:val="21"/>
                      <w:szCs w:val="21"/>
                    </w:rPr>
                    <w:t>序号</w:t>
                  </w:r>
                </w:p>
              </w:tc>
              <w:tc>
                <w:tcPr>
                  <w:tcW w:w="1627" w:type="dxa"/>
                  <w:vAlign w:val="center"/>
                </w:tcPr>
                <w:p>
                  <w:pPr>
                    <w:pStyle w:val="38"/>
                    <w:spacing w:line="240" w:lineRule="auto"/>
                    <w:ind w:firstLine="0" w:firstLineChars="0"/>
                    <w:jc w:val="center"/>
                    <w:rPr>
                      <w:sz w:val="21"/>
                      <w:szCs w:val="21"/>
                    </w:rPr>
                  </w:pPr>
                  <w:r>
                    <w:rPr>
                      <w:rFonts w:hint="eastAsia"/>
                      <w:sz w:val="21"/>
                      <w:szCs w:val="21"/>
                    </w:rPr>
                    <w:t>产噪设备</w:t>
                  </w:r>
                </w:p>
              </w:tc>
              <w:tc>
                <w:tcPr>
                  <w:tcW w:w="1627" w:type="dxa"/>
                  <w:vAlign w:val="center"/>
                </w:tcPr>
                <w:p>
                  <w:pPr>
                    <w:pStyle w:val="38"/>
                    <w:spacing w:line="240" w:lineRule="auto"/>
                    <w:ind w:firstLine="0" w:firstLineChars="0"/>
                    <w:jc w:val="center"/>
                    <w:rPr>
                      <w:sz w:val="21"/>
                      <w:szCs w:val="21"/>
                    </w:rPr>
                  </w:pPr>
                  <w:r>
                    <w:rPr>
                      <w:rFonts w:hint="eastAsia"/>
                      <w:sz w:val="21"/>
                      <w:szCs w:val="21"/>
                    </w:rPr>
                    <w:t>噪声源强</w:t>
                  </w:r>
                </w:p>
              </w:tc>
              <w:tc>
                <w:tcPr>
                  <w:tcW w:w="1628" w:type="dxa"/>
                  <w:vAlign w:val="center"/>
                </w:tcPr>
                <w:p>
                  <w:pPr>
                    <w:pStyle w:val="38"/>
                    <w:spacing w:line="240" w:lineRule="auto"/>
                    <w:ind w:firstLine="0" w:firstLineChars="0"/>
                    <w:jc w:val="center"/>
                    <w:rPr>
                      <w:sz w:val="21"/>
                      <w:szCs w:val="21"/>
                    </w:rPr>
                  </w:pPr>
                  <w:r>
                    <w:rPr>
                      <w:rFonts w:hint="eastAsia"/>
                      <w:sz w:val="21"/>
                      <w:szCs w:val="21"/>
                    </w:rPr>
                    <w:t>拟采取措施</w:t>
                  </w:r>
                </w:p>
              </w:tc>
              <w:tc>
                <w:tcPr>
                  <w:tcW w:w="1628" w:type="dxa"/>
                  <w:vAlign w:val="center"/>
                </w:tcPr>
                <w:p>
                  <w:pPr>
                    <w:pStyle w:val="38"/>
                    <w:spacing w:line="240" w:lineRule="auto"/>
                    <w:ind w:firstLine="0" w:firstLineChars="0"/>
                    <w:jc w:val="center"/>
                    <w:rPr>
                      <w:sz w:val="21"/>
                      <w:szCs w:val="21"/>
                    </w:rPr>
                  </w:pPr>
                  <w:r>
                    <w:rPr>
                      <w:rFonts w:hint="eastAsia"/>
                      <w:sz w:val="21"/>
                      <w:szCs w:val="21"/>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pStyle w:val="38"/>
                    <w:spacing w:line="240" w:lineRule="auto"/>
                    <w:ind w:firstLine="0" w:firstLineChars="0"/>
                    <w:jc w:val="center"/>
                    <w:rPr>
                      <w:sz w:val="21"/>
                      <w:szCs w:val="21"/>
                    </w:rPr>
                  </w:pPr>
                  <w:r>
                    <w:rPr>
                      <w:rFonts w:hint="eastAsia"/>
                      <w:sz w:val="21"/>
                      <w:szCs w:val="21"/>
                    </w:rPr>
                    <w:t>1</w:t>
                  </w:r>
                </w:p>
              </w:tc>
              <w:tc>
                <w:tcPr>
                  <w:tcW w:w="1627" w:type="dxa"/>
                  <w:vAlign w:val="center"/>
                </w:tcPr>
                <w:p>
                  <w:pPr>
                    <w:pStyle w:val="38"/>
                    <w:spacing w:line="240" w:lineRule="auto"/>
                    <w:ind w:firstLine="0" w:firstLineChars="0"/>
                    <w:jc w:val="center"/>
                    <w:rPr>
                      <w:sz w:val="21"/>
                      <w:szCs w:val="21"/>
                    </w:rPr>
                  </w:pPr>
                  <w:r>
                    <w:rPr>
                      <w:rFonts w:hint="eastAsia"/>
                      <w:sz w:val="21"/>
                      <w:szCs w:val="21"/>
                    </w:rPr>
                    <w:t>正面吊</w:t>
                  </w:r>
                </w:p>
              </w:tc>
              <w:tc>
                <w:tcPr>
                  <w:tcW w:w="1627" w:type="dxa"/>
                  <w:vAlign w:val="center"/>
                </w:tcPr>
                <w:p>
                  <w:pPr>
                    <w:pStyle w:val="38"/>
                    <w:spacing w:line="240" w:lineRule="auto"/>
                    <w:ind w:firstLine="0" w:firstLineChars="0"/>
                    <w:jc w:val="center"/>
                    <w:rPr>
                      <w:sz w:val="21"/>
                      <w:szCs w:val="21"/>
                    </w:rPr>
                  </w:pPr>
                  <w:r>
                    <w:rPr>
                      <w:rFonts w:hint="eastAsia"/>
                      <w:sz w:val="21"/>
                      <w:szCs w:val="21"/>
                    </w:rPr>
                    <w:t>110</w:t>
                  </w:r>
                </w:p>
              </w:tc>
              <w:tc>
                <w:tcPr>
                  <w:tcW w:w="1628" w:type="dxa"/>
                  <w:vMerge w:val="restart"/>
                  <w:vAlign w:val="center"/>
                </w:tcPr>
                <w:p>
                  <w:pPr>
                    <w:pStyle w:val="38"/>
                    <w:spacing w:line="240" w:lineRule="auto"/>
                    <w:ind w:firstLine="0" w:firstLineChars="0"/>
                    <w:jc w:val="center"/>
                    <w:rPr>
                      <w:sz w:val="21"/>
                      <w:szCs w:val="21"/>
                    </w:rPr>
                  </w:pPr>
                  <w:r>
                    <w:rPr>
                      <w:rFonts w:hint="eastAsia"/>
                      <w:sz w:val="21"/>
                      <w:szCs w:val="21"/>
                    </w:rPr>
                    <w:t>选用低噪声设备、基础减振；加强保养和维护</w:t>
                  </w:r>
                </w:p>
              </w:tc>
              <w:tc>
                <w:tcPr>
                  <w:tcW w:w="1628" w:type="dxa"/>
                  <w:vAlign w:val="center"/>
                </w:tcPr>
                <w:p>
                  <w:pPr>
                    <w:pStyle w:val="38"/>
                    <w:spacing w:line="240" w:lineRule="auto"/>
                    <w:ind w:firstLine="0" w:firstLineChars="0"/>
                    <w:jc w:val="center"/>
                    <w:rPr>
                      <w:sz w:val="21"/>
                      <w:szCs w:val="21"/>
                    </w:rPr>
                  </w:pPr>
                  <w:r>
                    <w:rPr>
                      <w:rFonts w:hint="eastAsia"/>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pStyle w:val="38"/>
                    <w:spacing w:line="240" w:lineRule="auto"/>
                    <w:ind w:firstLine="0" w:firstLineChars="0"/>
                    <w:jc w:val="center"/>
                    <w:rPr>
                      <w:sz w:val="21"/>
                      <w:szCs w:val="21"/>
                    </w:rPr>
                  </w:pPr>
                  <w:r>
                    <w:rPr>
                      <w:rFonts w:hint="eastAsia"/>
                      <w:sz w:val="21"/>
                      <w:szCs w:val="21"/>
                    </w:rPr>
                    <w:t>2</w:t>
                  </w:r>
                </w:p>
              </w:tc>
              <w:tc>
                <w:tcPr>
                  <w:tcW w:w="1627" w:type="dxa"/>
                  <w:vAlign w:val="center"/>
                </w:tcPr>
                <w:p>
                  <w:pPr>
                    <w:pStyle w:val="38"/>
                    <w:spacing w:line="240" w:lineRule="auto"/>
                    <w:ind w:firstLine="0" w:firstLineChars="0"/>
                    <w:jc w:val="center"/>
                    <w:rPr>
                      <w:sz w:val="21"/>
                      <w:szCs w:val="21"/>
                    </w:rPr>
                  </w:pPr>
                  <w:r>
                    <w:rPr>
                      <w:rFonts w:hint="eastAsia"/>
                      <w:sz w:val="21"/>
                      <w:szCs w:val="21"/>
                    </w:rPr>
                    <w:t>平板车</w:t>
                  </w:r>
                </w:p>
              </w:tc>
              <w:tc>
                <w:tcPr>
                  <w:tcW w:w="1627" w:type="dxa"/>
                  <w:vAlign w:val="center"/>
                </w:tcPr>
                <w:p>
                  <w:pPr>
                    <w:pStyle w:val="38"/>
                    <w:spacing w:line="240" w:lineRule="auto"/>
                    <w:ind w:firstLine="0" w:firstLineChars="0"/>
                    <w:jc w:val="center"/>
                    <w:rPr>
                      <w:sz w:val="21"/>
                      <w:szCs w:val="21"/>
                    </w:rPr>
                  </w:pPr>
                  <w:r>
                    <w:rPr>
                      <w:rFonts w:hint="eastAsia"/>
                      <w:sz w:val="21"/>
                      <w:szCs w:val="21"/>
                    </w:rPr>
                    <w:t>95</w:t>
                  </w:r>
                </w:p>
              </w:tc>
              <w:tc>
                <w:tcPr>
                  <w:tcW w:w="1628" w:type="dxa"/>
                  <w:vMerge w:val="continue"/>
                  <w:vAlign w:val="center"/>
                </w:tcPr>
                <w:p>
                  <w:pPr>
                    <w:pStyle w:val="38"/>
                    <w:spacing w:line="240" w:lineRule="auto"/>
                    <w:ind w:firstLine="0" w:firstLineChars="0"/>
                    <w:jc w:val="center"/>
                    <w:rPr>
                      <w:sz w:val="21"/>
                      <w:szCs w:val="21"/>
                    </w:rPr>
                  </w:pPr>
                </w:p>
              </w:tc>
              <w:tc>
                <w:tcPr>
                  <w:tcW w:w="1628" w:type="dxa"/>
                  <w:vAlign w:val="center"/>
                </w:tcPr>
                <w:p>
                  <w:pPr>
                    <w:pStyle w:val="38"/>
                    <w:spacing w:line="240" w:lineRule="auto"/>
                    <w:ind w:firstLine="0" w:firstLineChars="0"/>
                    <w:jc w:val="center"/>
                    <w:rPr>
                      <w:sz w:val="21"/>
                      <w:szCs w:val="21"/>
                    </w:rPr>
                  </w:pPr>
                  <w:r>
                    <w:rPr>
                      <w:rFonts w:hint="eastAsia"/>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pStyle w:val="38"/>
                    <w:spacing w:line="240" w:lineRule="auto"/>
                    <w:ind w:firstLine="0" w:firstLineChars="0"/>
                    <w:jc w:val="center"/>
                    <w:rPr>
                      <w:sz w:val="21"/>
                      <w:szCs w:val="21"/>
                    </w:rPr>
                  </w:pPr>
                  <w:r>
                    <w:rPr>
                      <w:rFonts w:hint="eastAsia"/>
                      <w:sz w:val="21"/>
                      <w:szCs w:val="21"/>
                    </w:rPr>
                    <w:t>3</w:t>
                  </w:r>
                </w:p>
              </w:tc>
              <w:tc>
                <w:tcPr>
                  <w:tcW w:w="1627" w:type="dxa"/>
                  <w:vAlign w:val="center"/>
                </w:tcPr>
                <w:p>
                  <w:pPr>
                    <w:pStyle w:val="38"/>
                    <w:spacing w:line="240" w:lineRule="auto"/>
                    <w:ind w:firstLine="0" w:firstLineChars="0"/>
                    <w:jc w:val="center"/>
                    <w:rPr>
                      <w:sz w:val="21"/>
                      <w:szCs w:val="21"/>
                    </w:rPr>
                  </w:pPr>
                  <w:r>
                    <w:rPr>
                      <w:rFonts w:hint="eastAsia"/>
                      <w:sz w:val="21"/>
                      <w:szCs w:val="21"/>
                    </w:rPr>
                    <w:t>敞车</w:t>
                  </w:r>
                </w:p>
              </w:tc>
              <w:tc>
                <w:tcPr>
                  <w:tcW w:w="1627" w:type="dxa"/>
                  <w:vAlign w:val="center"/>
                </w:tcPr>
                <w:p>
                  <w:pPr>
                    <w:pStyle w:val="38"/>
                    <w:spacing w:line="240" w:lineRule="auto"/>
                    <w:ind w:firstLine="0" w:firstLineChars="0"/>
                    <w:jc w:val="center"/>
                    <w:rPr>
                      <w:sz w:val="21"/>
                      <w:szCs w:val="21"/>
                    </w:rPr>
                  </w:pPr>
                  <w:r>
                    <w:rPr>
                      <w:rFonts w:hint="eastAsia"/>
                      <w:sz w:val="21"/>
                      <w:szCs w:val="21"/>
                    </w:rPr>
                    <w:t>90</w:t>
                  </w:r>
                </w:p>
              </w:tc>
              <w:tc>
                <w:tcPr>
                  <w:tcW w:w="1628" w:type="dxa"/>
                  <w:vMerge w:val="continue"/>
                  <w:vAlign w:val="center"/>
                </w:tcPr>
                <w:p>
                  <w:pPr>
                    <w:pStyle w:val="38"/>
                    <w:spacing w:line="240" w:lineRule="auto"/>
                    <w:ind w:firstLine="0" w:firstLineChars="0"/>
                    <w:jc w:val="center"/>
                    <w:rPr>
                      <w:sz w:val="21"/>
                      <w:szCs w:val="21"/>
                    </w:rPr>
                  </w:pPr>
                </w:p>
              </w:tc>
              <w:tc>
                <w:tcPr>
                  <w:tcW w:w="1628" w:type="dxa"/>
                  <w:vAlign w:val="center"/>
                </w:tcPr>
                <w:p>
                  <w:pPr>
                    <w:pStyle w:val="38"/>
                    <w:spacing w:line="240" w:lineRule="auto"/>
                    <w:ind w:firstLine="0" w:firstLineChars="0"/>
                    <w:jc w:val="center"/>
                    <w:rPr>
                      <w:sz w:val="21"/>
                      <w:szCs w:val="21"/>
                    </w:rPr>
                  </w:pPr>
                  <w:r>
                    <w:rPr>
                      <w:rFonts w:hint="eastAsia"/>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Align w:val="center"/>
                </w:tcPr>
                <w:p>
                  <w:pPr>
                    <w:pStyle w:val="38"/>
                    <w:spacing w:line="240" w:lineRule="auto"/>
                    <w:ind w:firstLine="0" w:firstLineChars="0"/>
                    <w:jc w:val="center"/>
                    <w:rPr>
                      <w:sz w:val="21"/>
                      <w:szCs w:val="21"/>
                    </w:rPr>
                  </w:pPr>
                  <w:r>
                    <w:rPr>
                      <w:rFonts w:hint="eastAsia"/>
                      <w:sz w:val="21"/>
                      <w:szCs w:val="21"/>
                    </w:rPr>
                    <w:t>4</w:t>
                  </w:r>
                </w:p>
              </w:tc>
              <w:tc>
                <w:tcPr>
                  <w:tcW w:w="1627" w:type="dxa"/>
                  <w:vAlign w:val="center"/>
                </w:tcPr>
                <w:p>
                  <w:pPr>
                    <w:pStyle w:val="38"/>
                    <w:spacing w:line="240" w:lineRule="auto"/>
                    <w:ind w:firstLine="0" w:firstLineChars="0"/>
                    <w:jc w:val="center"/>
                    <w:rPr>
                      <w:sz w:val="21"/>
                      <w:szCs w:val="21"/>
                    </w:rPr>
                  </w:pPr>
                  <w:r>
                    <w:rPr>
                      <w:rFonts w:hint="eastAsia"/>
                      <w:sz w:val="21"/>
                      <w:szCs w:val="21"/>
                    </w:rPr>
                    <w:t>叉车</w:t>
                  </w:r>
                </w:p>
              </w:tc>
              <w:tc>
                <w:tcPr>
                  <w:tcW w:w="1627" w:type="dxa"/>
                  <w:vAlign w:val="center"/>
                </w:tcPr>
                <w:p>
                  <w:pPr>
                    <w:pStyle w:val="38"/>
                    <w:spacing w:line="240" w:lineRule="auto"/>
                    <w:ind w:firstLine="0" w:firstLineChars="0"/>
                    <w:jc w:val="center"/>
                    <w:rPr>
                      <w:sz w:val="21"/>
                      <w:szCs w:val="21"/>
                    </w:rPr>
                  </w:pPr>
                  <w:r>
                    <w:rPr>
                      <w:rFonts w:hint="eastAsia"/>
                      <w:sz w:val="21"/>
                      <w:szCs w:val="21"/>
                    </w:rPr>
                    <w:t>85</w:t>
                  </w:r>
                </w:p>
              </w:tc>
              <w:tc>
                <w:tcPr>
                  <w:tcW w:w="1628" w:type="dxa"/>
                  <w:vMerge w:val="continue"/>
                  <w:vAlign w:val="center"/>
                </w:tcPr>
                <w:p>
                  <w:pPr>
                    <w:pStyle w:val="38"/>
                    <w:spacing w:line="240" w:lineRule="auto"/>
                    <w:ind w:firstLine="0" w:firstLineChars="0"/>
                    <w:jc w:val="center"/>
                    <w:rPr>
                      <w:sz w:val="21"/>
                      <w:szCs w:val="21"/>
                    </w:rPr>
                  </w:pPr>
                </w:p>
              </w:tc>
              <w:tc>
                <w:tcPr>
                  <w:tcW w:w="1628" w:type="dxa"/>
                  <w:vAlign w:val="center"/>
                </w:tcPr>
                <w:p>
                  <w:pPr>
                    <w:pStyle w:val="38"/>
                    <w:spacing w:line="240" w:lineRule="auto"/>
                    <w:ind w:firstLine="0" w:firstLineChars="0"/>
                    <w:jc w:val="center"/>
                    <w:rPr>
                      <w:sz w:val="21"/>
                      <w:szCs w:val="21"/>
                    </w:rPr>
                  </w:pPr>
                  <w:r>
                    <w:rPr>
                      <w:rFonts w:hint="eastAsia"/>
                      <w:sz w:val="21"/>
                      <w:szCs w:val="21"/>
                    </w:rPr>
                    <w:t>65</w:t>
                  </w:r>
                </w:p>
              </w:tc>
            </w:tr>
          </w:tbl>
          <w:p>
            <w:pPr>
              <w:adjustRightInd w:val="0"/>
              <w:snapToGrid w:val="0"/>
              <w:spacing w:line="408" w:lineRule="auto"/>
              <w:ind w:firstLine="480" w:firstLineChars="200"/>
              <w:rPr>
                <w:bCs/>
                <w:sz w:val="24"/>
              </w:rPr>
            </w:pPr>
            <w:r>
              <w:rPr>
                <w:rFonts w:hint="eastAsia"/>
                <w:bCs/>
                <w:sz w:val="24"/>
              </w:rPr>
              <w:t>（2）运营期货物装卸噪声预测模式</w:t>
            </w:r>
          </w:p>
          <w:p>
            <w:pPr>
              <w:pStyle w:val="38"/>
              <w:spacing w:line="408" w:lineRule="auto"/>
              <w:ind w:firstLine="520"/>
              <w:rPr>
                <w:bCs/>
                <w:spacing w:val="10"/>
                <w:kern w:val="2"/>
                <w:szCs w:val="21"/>
              </w:rPr>
            </w:pPr>
            <w:r>
              <w:rPr>
                <w:rFonts w:hint="eastAsia"/>
                <w:bCs/>
                <w:spacing w:val="10"/>
                <w:kern w:val="2"/>
                <w:szCs w:val="21"/>
              </w:rPr>
              <w:t>本项目参照《铁路边界噪声限值及其测量方法》（GB</w:t>
            </w:r>
            <w:r>
              <w:rPr>
                <w:bCs/>
                <w:spacing w:val="10"/>
                <w:kern w:val="2"/>
                <w:szCs w:val="21"/>
              </w:rPr>
              <w:t>12525-90</w:t>
            </w:r>
            <w:r>
              <w:rPr>
                <w:rFonts w:hint="eastAsia"/>
                <w:bCs/>
                <w:spacing w:val="10"/>
                <w:kern w:val="2"/>
                <w:szCs w:val="21"/>
              </w:rPr>
              <w:t>）标准评价（昼间70d</w:t>
            </w:r>
            <w:r>
              <w:rPr>
                <w:bCs/>
                <w:spacing w:val="10"/>
                <w:kern w:val="2"/>
                <w:szCs w:val="21"/>
              </w:rPr>
              <w:t>B</w:t>
            </w:r>
            <w:r>
              <w:rPr>
                <w:rFonts w:hint="eastAsia"/>
                <w:bCs/>
                <w:spacing w:val="10"/>
                <w:kern w:val="2"/>
                <w:szCs w:val="21"/>
              </w:rPr>
              <w:t>，夜间60d</w:t>
            </w:r>
            <w:r>
              <w:rPr>
                <w:bCs/>
                <w:spacing w:val="10"/>
                <w:kern w:val="2"/>
                <w:szCs w:val="21"/>
              </w:rPr>
              <w:t>B</w:t>
            </w:r>
            <w:r>
              <w:rPr>
                <w:rFonts w:hint="eastAsia"/>
                <w:bCs/>
                <w:spacing w:val="10"/>
                <w:kern w:val="2"/>
                <w:szCs w:val="21"/>
              </w:rPr>
              <w:t>）。</w:t>
            </w:r>
          </w:p>
          <w:p>
            <w:pPr>
              <w:pStyle w:val="38"/>
              <w:spacing w:line="408" w:lineRule="auto"/>
              <w:ind w:firstLine="520"/>
              <w:rPr>
                <w:bCs/>
                <w:spacing w:val="10"/>
                <w:kern w:val="2"/>
                <w:szCs w:val="21"/>
              </w:rPr>
            </w:pPr>
            <w:r>
              <w:rPr>
                <w:rFonts w:hint="eastAsia"/>
                <w:bCs/>
                <w:spacing w:val="10"/>
                <w:kern w:val="2"/>
                <w:szCs w:val="21"/>
              </w:rPr>
              <w:t>噪声预测模式为：</w:t>
            </w:r>
          </w:p>
          <w:p>
            <w:pPr>
              <w:pStyle w:val="38"/>
              <w:spacing w:line="408" w:lineRule="auto"/>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r>
                  <m:rPr/>
                  <w:rPr>
                    <w:rFonts w:ascii="Cambria Math" w:hAnsi="Cambria Math"/>
                  </w:rPr>
                  <m:t>−20lg</m:t>
                </m:r>
                <m:d>
                  <m:dPr>
                    <m:ctrlPr>
                      <w:rPr>
                        <w:rFonts w:ascii="Cambria Math" w:hAnsi="Cambria Math"/>
                        <w:i/>
                      </w:rPr>
                    </m:ctrlPr>
                  </m:dPr>
                  <m:e>
                    <m:f>
                      <m:fPr>
                        <m:type m:val="skw"/>
                        <m:ctrlPr>
                          <w:rPr>
                            <w:rFonts w:ascii="Cambria Math" w:hAnsi="Cambria Math"/>
                            <w:i/>
                          </w:rPr>
                        </m:ctrlPr>
                      </m:fPr>
                      <m:num>
                        <m:r>
                          <m:rPr/>
                          <w:rPr>
                            <w:rFonts w:ascii="Cambria Math" w:hAnsi="Cambria Math"/>
                          </w:rPr>
                          <m:t>r</m:t>
                        </m:r>
                        <m:ctrlPr>
                          <w:rPr>
                            <w:rFonts w:ascii="Cambria Math" w:hAnsi="Cambria Math"/>
                            <w:i/>
                          </w:rPr>
                        </m:ctrlPr>
                      </m:num>
                      <m:den>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den>
                    </m:f>
                    <m:ctrlPr>
                      <w:rPr>
                        <w:rFonts w:ascii="Cambria Math" w:hAnsi="Cambria Math"/>
                        <w:i/>
                      </w:rPr>
                    </m:ctrlPr>
                  </m:e>
                </m:d>
              </m:oMath>
            </m:oMathPara>
          </w:p>
          <w:p>
            <w:pPr>
              <w:pStyle w:val="38"/>
              <w:spacing w:line="408" w:lineRule="auto"/>
              <w:ind w:firstLine="480"/>
            </w:pPr>
            <w:r>
              <w:t>式中：</w:t>
            </w:r>
            <w:r>
              <w:rPr>
                <w:i/>
              </w:rPr>
              <w:t>L</w:t>
            </w:r>
            <w:r>
              <w:rPr>
                <w:i/>
                <w:vertAlign w:val="subscript"/>
              </w:rPr>
              <w:t>p(r0)</w:t>
            </w:r>
            <w:r>
              <w:t>—噪声源在预测点的声压级，dB(A)；</w:t>
            </w:r>
          </w:p>
          <w:p>
            <w:pPr>
              <w:pStyle w:val="38"/>
              <w:spacing w:line="408" w:lineRule="auto"/>
              <w:ind w:firstLine="480"/>
            </w:pPr>
            <w:r>
              <w:rPr>
                <w:i/>
              </w:rPr>
              <w:t>L</w:t>
            </w:r>
            <w:r>
              <w:rPr>
                <w:i/>
                <w:vertAlign w:val="subscript"/>
              </w:rPr>
              <w:t>p</w:t>
            </w:r>
            <w:r>
              <w:rPr>
                <w:i/>
              </w:rPr>
              <w:t>(r</w:t>
            </w:r>
            <w:r>
              <w:rPr>
                <w:i/>
                <w:vertAlign w:val="subscript"/>
              </w:rPr>
              <w:t>0</w:t>
            </w:r>
            <w:r>
              <w:rPr>
                <w:i/>
              </w:rPr>
              <w:t>)</w:t>
            </w:r>
            <w:r>
              <w:t>—参考位置r</w:t>
            </w:r>
            <w:r>
              <w:rPr>
                <w:vertAlign w:val="subscript"/>
              </w:rPr>
              <w:t>0</w:t>
            </w:r>
            <w:r>
              <w:t>处的声压级，dB(A)；</w:t>
            </w:r>
          </w:p>
          <w:p>
            <w:pPr>
              <w:pStyle w:val="38"/>
              <w:spacing w:line="408" w:lineRule="auto"/>
              <w:ind w:firstLine="480"/>
            </w:pPr>
            <w:r>
              <w:rPr>
                <w:i/>
              </w:rPr>
              <w:t>r</w:t>
            </w:r>
            <w:r>
              <w:rPr>
                <w:i/>
                <w:vertAlign w:val="subscript"/>
              </w:rPr>
              <w:t>0</w:t>
            </w:r>
            <w:r>
              <w:t>—参考位置距声源中心的位置，m；</w:t>
            </w:r>
          </w:p>
          <w:p>
            <w:pPr>
              <w:pStyle w:val="38"/>
              <w:spacing w:line="408" w:lineRule="auto"/>
              <w:ind w:firstLine="480"/>
            </w:pPr>
            <w:r>
              <w:rPr>
                <w:i/>
              </w:rPr>
              <w:t>r</w:t>
            </w:r>
            <w:r>
              <w:t>—声源中心至预测点的距离，m；</w:t>
            </w:r>
          </w:p>
          <w:p>
            <w:pPr>
              <w:pStyle w:val="38"/>
              <w:spacing w:line="408" w:lineRule="auto"/>
              <w:ind w:firstLine="480"/>
            </w:pPr>
            <w:r>
              <w:rPr>
                <w:rFonts w:hint="eastAsia"/>
              </w:rPr>
              <w:t>（3）货物装卸噪声影响范围计算和分析</w:t>
            </w:r>
          </w:p>
          <w:p>
            <w:pPr>
              <w:pStyle w:val="38"/>
              <w:spacing w:line="360" w:lineRule="auto"/>
              <w:ind w:firstLine="422"/>
              <w:jc w:val="center"/>
              <w:rPr>
                <w:b/>
                <w:sz w:val="21"/>
              </w:rPr>
            </w:pPr>
            <w:r>
              <w:rPr>
                <w:rFonts w:hint="eastAsia"/>
                <w:b/>
                <w:sz w:val="21"/>
              </w:rPr>
              <w:t>表20 装卸设备不同距离处的噪声值</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553"/>
              <w:gridCol w:w="677"/>
              <w:gridCol w:w="677"/>
              <w:gridCol w:w="677"/>
              <w:gridCol w:w="677"/>
              <w:gridCol w:w="677"/>
              <w:gridCol w:w="677"/>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机械名称</w:t>
                  </w:r>
                </w:p>
              </w:tc>
              <w:tc>
                <w:tcPr>
                  <w:tcW w:w="340" w:type="pct"/>
                  <w:vAlign w:val="center"/>
                </w:tcPr>
                <w:p>
                  <w:pPr>
                    <w:pStyle w:val="38"/>
                    <w:spacing w:line="240" w:lineRule="auto"/>
                    <w:ind w:firstLine="0" w:firstLineChars="0"/>
                    <w:jc w:val="center"/>
                    <w:rPr>
                      <w:sz w:val="21"/>
                      <w:szCs w:val="21"/>
                    </w:rPr>
                  </w:pPr>
                  <w:r>
                    <w:rPr>
                      <w:rFonts w:hint="eastAsia"/>
                      <w:sz w:val="21"/>
                      <w:szCs w:val="21"/>
                    </w:rPr>
                    <w:t>10</w:t>
                  </w:r>
                </w:p>
              </w:tc>
              <w:tc>
                <w:tcPr>
                  <w:tcW w:w="416" w:type="pct"/>
                  <w:vAlign w:val="center"/>
                </w:tcPr>
                <w:p>
                  <w:pPr>
                    <w:pStyle w:val="38"/>
                    <w:spacing w:line="240" w:lineRule="auto"/>
                    <w:ind w:firstLine="0" w:firstLineChars="0"/>
                    <w:jc w:val="center"/>
                    <w:rPr>
                      <w:sz w:val="21"/>
                      <w:szCs w:val="21"/>
                    </w:rPr>
                  </w:pPr>
                  <w:r>
                    <w:rPr>
                      <w:rFonts w:hint="eastAsia"/>
                      <w:sz w:val="21"/>
                      <w:szCs w:val="21"/>
                    </w:rPr>
                    <w:t>20</w:t>
                  </w:r>
                </w:p>
              </w:tc>
              <w:tc>
                <w:tcPr>
                  <w:tcW w:w="416" w:type="pct"/>
                  <w:vAlign w:val="center"/>
                </w:tcPr>
                <w:p>
                  <w:pPr>
                    <w:pStyle w:val="38"/>
                    <w:spacing w:line="240" w:lineRule="auto"/>
                    <w:ind w:firstLine="0" w:firstLineChars="0"/>
                    <w:jc w:val="center"/>
                    <w:rPr>
                      <w:sz w:val="21"/>
                      <w:szCs w:val="21"/>
                    </w:rPr>
                  </w:pPr>
                  <w:r>
                    <w:rPr>
                      <w:rFonts w:hint="eastAsia"/>
                      <w:sz w:val="21"/>
                      <w:szCs w:val="21"/>
                    </w:rPr>
                    <w:t>40</w:t>
                  </w:r>
                </w:p>
              </w:tc>
              <w:tc>
                <w:tcPr>
                  <w:tcW w:w="416" w:type="pct"/>
                  <w:vAlign w:val="center"/>
                </w:tcPr>
                <w:p>
                  <w:pPr>
                    <w:pStyle w:val="38"/>
                    <w:spacing w:line="240" w:lineRule="auto"/>
                    <w:ind w:firstLine="0" w:firstLineChars="0"/>
                    <w:jc w:val="center"/>
                    <w:rPr>
                      <w:sz w:val="21"/>
                      <w:szCs w:val="21"/>
                    </w:rPr>
                  </w:pPr>
                  <w:r>
                    <w:rPr>
                      <w:rFonts w:hint="eastAsia"/>
                      <w:sz w:val="21"/>
                      <w:szCs w:val="21"/>
                    </w:rPr>
                    <w:t>60</w:t>
                  </w:r>
                </w:p>
              </w:tc>
              <w:tc>
                <w:tcPr>
                  <w:tcW w:w="416" w:type="pct"/>
                  <w:vAlign w:val="center"/>
                </w:tcPr>
                <w:p>
                  <w:pPr>
                    <w:pStyle w:val="38"/>
                    <w:spacing w:line="240" w:lineRule="auto"/>
                    <w:ind w:firstLine="0" w:firstLineChars="0"/>
                    <w:jc w:val="center"/>
                    <w:rPr>
                      <w:sz w:val="21"/>
                      <w:szCs w:val="21"/>
                    </w:rPr>
                  </w:pPr>
                  <w:r>
                    <w:rPr>
                      <w:rFonts w:hint="eastAsia"/>
                      <w:sz w:val="21"/>
                      <w:szCs w:val="21"/>
                    </w:rPr>
                    <w:t>80</w:t>
                  </w:r>
                </w:p>
              </w:tc>
              <w:tc>
                <w:tcPr>
                  <w:tcW w:w="416" w:type="pct"/>
                  <w:vAlign w:val="center"/>
                </w:tcPr>
                <w:p>
                  <w:pPr>
                    <w:pStyle w:val="38"/>
                    <w:spacing w:line="240" w:lineRule="auto"/>
                    <w:ind w:firstLine="0" w:firstLineChars="0"/>
                    <w:jc w:val="center"/>
                    <w:rPr>
                      <w:sz w:val="21"/>
                      <w:szCs w:val="21"/>
                    </w:rPr>
                  </w:pPr>
                  <w:r>
                    <w:rPr>
                      <w:rFonts w:hint="eastAsia"/>
                      <w:sz w:val="21"/>
                      <w:szCs w:val="21"/>
                    </w:rPr>
                    <w:t>100</w:t>
                  </w:r>
                </w:p>
              </w:tc>
              <w:tc>
                <w:tcPr>
                  <w:tcW w:w="416" w:type="pct"/>
                  <w:vAlign w:val="center"/>
                </w:tcPr>
                <w:p>
                  <w:pPr>
                    <w:pStyle w:val="38"/>
                    <w:spacing w:line="240" w:lineRule="auto"/>
                    <w:ind w:firstLine="0" w:firstLineChars="0"/>
                    <w:jc w:val="center"/>
                    <w:rPr>
                      <w:sz w:val="21"/>
                      <w:szCs w:val="21"/>
                    </w:rPr>
                  </w:pPr>
                  <w:r>
                    <w:rPr>
                      <w:rFonts w:hint="eastAsia"/>
                      <w:sz w:val="21"/>
                      <w:szCs w:val="21"/>
                    </w:rPr>
                    <w:t>150</w:t>
                  </w:r>
                </w:p>
              </w:tc>
              <w:tc>
                <w:tcPr>
                  <w:tcW w:w="416" w:type="pct"/>
                  <w:vAlign w:val="center"/>
                </w:tcPr>
                <w:p>
                  <w:pPr>
                    <w:pStyle w:val="38"/>
                    <w:spacing w:line="240" w:lineRule="auto"/>
                    <w:ind w:firstLine="0" w:firstLineChars="0"/>
                    <w:jc w:val="center"/>
                    <w:rPr>
                      <w:sz w:val="21"/>
                      <w:szCs w:val="21"/>
                    </w:rPr>
                  </w:pPr>
                  <w:r>
                    <w:rPr>
                      <w:rFonts w:hint="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正面吊</w:t>
                  </w:r>
                </w:p>
              </w:tc>
              <w:tc>
                <w:tcPr>
                  <w:tcW w:w="340" w:type="pct"/>
                  <w:vAlign w:val="center"/>
                </w:tcPr>
                <w:p>
                  <w:pPr>
                    <w:pStyle w:val="38"/>
                    <w:spacing w:line="240" w:lineRule="auto"/>
                    <w:ind w:firstLine="0" w:firstLineChars="0"/>
                    <w:jc w:val="center"/>
                    <w:rPr>
                      <w:sz w:val="21"/>
                      <w:szCs w:val="21"/>
                    </w:rPr>
                  </w:pPr>
                  <w:r>
                    <w:rPr>
                      <w:rFonts w:hint="eastAsia"/>
                      <w:sz w:val="21"/>
                      <w:szCs w:val="21"/>
                    </w:rPr>
                    <w:t>90</w:t>
                  </w:r>
                </w:p>
              </w:tc>
              <w:tc>
                <w:tcPr>
                  <w:tcW w:w="416" w:type="pct"/>
                  <w:vAlign w:val="center"/>
                </w:tcPr>
                <w:p>
                  <w:pPr>
                    <w:pStyle w:val="38"/>
                    <w:spacing w:line="240" w:lineRule="auto"/>
                    <w:ind w:firstLine="0" w:firstLineChars="0"/>
                    <w:jc w:val="center"/>
                    <w:rPr>
                      <w:sz w:val="21"/>
                      <w:szCs w:val="21"/>
                    </w:rPr>
                  </w:pPr>
                  <w:r>
                    <w:rPr>
                      <w:rFonts w:hint="eastAsia"/>
                      <w:sz w:val="21"/>
                      <w:szCs w:val="21"/>
                    </w:rPr>
                    <w:t>84</w:t>
                  </w:r>
                </w:p>
              </w:tc>
              <w:tc>
                <w:tcPr>
                  <w:tcW w:w="416" w:type="pct"/>
                  <w:vAlign w:val="center"/>
                </w:tcPr>
                <w:p>
                  <w:pPr>
                    <w:pStyle w:val="38"/>
                    <w:spacing w:line="240" w:lineRule="auto"/>
                    <w:ind w:firstLine="0" w:firstLineChars="0"/>
                    <w:jc w:val="center"/>
                    <w:rPr>
                      <w:sz w:val="21"/>
                      <w:szCs w:val="21"/>
                    </w:rPr>
                  </w:pPr>
                  <w:r>
                    <w:rPr>
                      <w:rFonts w:hint="eastAsia"/>
                      <w:sz w:val="21"/>
                      <w:szCs w:val="21"/>
                    </w:rPr>
                    <w:t>81.5</w:t>
                  </w:r>
                </w:p>
              </w:tc>
              <w:tc>
                <w:tcPr>
                  <w:tcW w:w="416" w:type="pct"/>
                  <w:vAlign w:val="center"/>
                </w:tcPr>
                <w:p>
                  <w:pPr>
                    <w:pStyle w:val="38"/>
                    <w:spacing w:line="240" w:lineRule="auto"/>
                    <w:ind w:firstLine="0" w:firstLineChars="0"/>
                    <w:jc w:val="center"/>
                    <w:rPr>
                      <w:sz w:val="21"/>
                      <w:szCs w:val="21"/>
                    </w:rPr>
                  </w:pPr>
                  <w:r>
                    <w:rPr>
                      <w:rFonts w:hint="eastAsia"/>
                      <w:sz w:val="21"/>
                      <w:szCs w:val="21"/>
                    </w:rPr>
                    <w:t>78</w:t>
                  </w:r>
                </w:p>
              </w:tc>
              <w:tc>
                <w:tcPr>
                  <w:tcW w:w="416" w:type="pct"/>
                  <w:vAlign w:val="center"/>
                </w:tcPr>
                <w:p>
                  <w:pPr>
                    <w:pStyle w:val="38"/>
                    <w:spacing w:line="240" w:lineRule="auto"/>
                    <w:ind w:firstLine="0" w:firstLineChars="0"/>
                    <w:jc w:val="center"/>
                    <w:rPr>
                      <w:sz w:val="21"/>
                      <w:szCs w:val="21"/>
                    </w:rPr>
                  </w:pPr>
                  <w:r>
                    <w:rPr>
                      <w:rFonts w:hint="eastAsia"/>
                      <w:sz w:val="21"/>
                      <w:szCs w:val="21"/>
                    </w:rPr>
                    <w:t>76</w:t>
                  </w:r>
                </w:p>
              </w:tc>
              <w:tc>
                <w:tcPr>
                  <w:tcW w:w="416" w:type="pct"/>
                  <w:vAlign w:val="center"/>
                </w:tcPr>
                <w:p>
                  <w:pPr>
                    <w:pStyle w:val="38"/>
                    <w:spacing w:line="240" w:lineRule="auto"/>
                    <w:ind w:firstLine="0" w:firstLineChars="0"/>
                    <w:jc w:val="center"/>
                    <w:rPr>
                      <w:sz w:val="21"/>
                      <w:szCs w:val="21"/>
                    </w:rPr>
                  </w:pPr>
                  <w:r>
                    <w:rPr>
                      <w:rFonts w:hint="eastAsia"/>
                      <w:sz w:val="21"/>
                      <w:szCs w:val="21"/>
                    </w:rPr>
                    <w:t>72.5</w:t>
                  </w:r>
                </w:p>
              </w:tc>
              <w:tc>
                <w:tcPr>
                  <w:tcW w:w="416" w:type="pct"/>
                  <w:vAlign w:val="center"/>
                </w:tcPr>
                <w:p>
                  <w:pPr>
                    <w:pStyle w:val="38"/>
                    <w:spacing w:line="240" w:lineRule="auto"/>
                    <w:ind w:firstLine="0" w:firstLineChars="0"/>
                    <w:jc w:val="center"/>
                    <w:rPr>
                      <w:sz w:val="21"/>
                      <w:szCs w:val="21"/>
                    </w:rPr>
                  </w:pPr>
                  <w:r>
                    <w:rPr>
                      <w:rFonts w:hint="eastAsia"/>
                      <w:sz w:val="21"/>
                      <w:szCs w:val="21"/>
                    </w:rPr>
                    <w:t>66</w:t>
                  </w:r>
                </w:p>
              </w:tc>
              <w:tc>
                <w:tcPr>
                  <w:tcW w:w="416" w:type="pct"/>
                  <w:vAlign w:val="center"/>
                </w:tcPr>
                <w:p>
                  <w:pPr>
                    <w:pStyle w:val="38"/>
                    <w:spacing w:line="240" w:lineRule="auto"/>
                    <w:ind w:firstLine="0" w:firstLineChars="0"/>
                    <w:jc w:val="center"/>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平板车</w:t>
                  </w:r>
                </w:p>
              </w:tc>
              <w:tc>
                <w:tcPr>
                  <w:tcW w:w="340" w:type="pct"/>
                  <w:vAlign w:val="center"/>
                </w:tcPr>
                <w:p>
                  <w:pPr>
                    <w:pStyle w:val="38"/>
                    <w:spacing w:line="240" w:lineRule="auto"/>
                    <w:ind w:firstLine="0" w:firstLineChars="0"/>
                    <w:jc w:val="center"/>
                    <w:rPr>
                      <w:sz w:val="21"/>
                      <w:szCs w:val="21"/>
                    </w:rPr>
                  </w:pPr>
                  <w:r>
                    <w:rPr>
                      <w:rFonts w:hint="eastAsia"/>
                      <w:sz w:val="21"/>
                      <w:szCs w:val="21"/>
                    </w:rPr>
                    <w:t>75</w:t>
                  </w:r>
                </w:p>
              </w:tc>
              <w:tc>
                <w:tcPr>
                  <w:tcW w:w="416" w:type="pct"/>
                  <w:vAlign w:val="center"/>
                </w:tcPr>
                <w:p>
                  <w:pPr>
                    <w:pStyle w:val="38"/>
                    <w:spacing w:line="240" w:lineRule="auto"/>
                    <w:ind w:firstLine="0" w:firstLineChars="0"/>
                    <w:jc w:val="center"/>
                    <w:rPr>
                      <w:sz w:val="21"/>
                      <w:szCs w:val="21"/>
                    </w:rPr>
                  </w:pPr>
                  <w:r>
                    <w:rPr>
                      <w:rFonts w:hint="eastAsia"/>
                      <w:sz w:val="21"/>
                      <w:szCs w:val="21"/>
                    </w:rPr>
                    <w:t>69</w:t>
                  </w:r>
                </w:p>
              </w:tc>
              <w:tc>
                <w:tcPr>
                  <w:tcW w:w="416" w:type="pct"/>
                  <w:vAlign w:val="center"/>
                </w:tcPr>
                <w:p>
                  <w:pPr>
                    <w:pStyle w:val="38"/>
                    <w:spacing w:line="240" w:lineRule="auto"/>
                    <w:ind w:firstLine="0" w:firstLineChars="0"/>
                    <w:jc w:val="center"/>
                    <w:rPr>
                      <w:sz w:val="21"/>
                      <w:szCs w:val="21"/>
                    </w:rPr>
                  </w:pPr>
                  <w:r>
                    <w:rPr>
                      <w:rFonts w:hint="eastAsia"/>
                      <w:sz w:val="21"/>
                      <w:szCs w:val="21"/>
                    </w:rPr>
                    <w:t>62</w:t>
                  </w:r>
                </w:p>
              </w:tc>
              <w:tc>
                <w:tcPr>
                  <w:tcW w:w="416" w:type="pct"/>
                  <w:vAlign w:val="center"/>
                </w:tcPr>
                <w:p>
                  <w:pPr>
                    <w:pStyle w:val="38"/>
                    <w:spacing w:line="240" w:lineRule="auto"/>
                    <w:ind w:firstLine="0" w:firstLineChars="0"/>
                    <w:jc w:val="center"/>
                    <w:rPr>
                      <w:sz w:val="21"/>
                      <w:szCs w:val="21"/>
                    </w:rPr>
                  </w:pPr>
                  <w:r>
                    <w:rPr>
                      <w:rFonts w:hint="eastAsia"/>
                      <w:sz w:val="21"/>
                      <w:szCs w:val="21"/>
                    </w:rPr>
                    <w:t>58</w:t>
                  </w:r>
                </w:p>
              </w:tc>
              <w:tc>
                <w:tcPr>
                  <w:tcW w:w="416" w:type="pct"/>
                  <w:vAlign w:val="center"/>
                </w:tcPr>
                <w:p>
                  <w:pPr>
                    <w:pStyle w:val="38"/>
                    <w:spacing w:line="240" w:lineRule="auto"/>
                    <w:ind w:firstLine="0" w:firstLineChars="0"/>
                    <w:jc w:val="center"/>
                    <w:rPr>
                      <w:sz w:val="21"/>
                      <w:szCs w:val="21"/>
                    </w:rPr>
                  </w:pPr>
                  <w:r>
                    <w:rPr>
                      <w:rFonts w:hint="eastAsia"/>
                      <w:sz w:val="21"/>
                      <w:szCs w:val="21"/>
                    </w:rPr>
                    <w:t>53.5</w:t>
                  </w:r>
                </w:p>
              </w:tc>
              <w:tc>
                <w:tcPr>
                  <w:tcW w:w="416" w:type="pct"/>
                  <w:vAlign w:val="center"/>
                </w:tcPr>
                <w:p>
                  <w:pPr>
                    <w:pStyle w:val="38"/>
                    <w:spacing w:line="240" w:lineRule="auto"/>
                    <w:ind w:firstLine="0" w:firstLineChars="0"/>
                    <w:jc w:val="center"/>
                    <w:rPr>
                      <w:sz w:val="21"/>
                      <w:szCs w:val="21"/>
                    </w:rPr>
                  </w:pPr>
                  <w:r>
                    <w:rPr>
                      <w:rFonts w:hint="eastAsia"/>
                      <w:sz w:val="21"/>
                      <w:szCs w:val="21"/>
                    </w:rPr>
                    <w:t>48</w:t>
                  </w:r>
                </w:p>
              </w:tc>
              <w:tc>
                <w:tcPr>
                  <w:tcW w:w="416" w:type="pct"/>
                  <w:vAlign w:val="center"/>
                </w:tcPr>
                <w:p>
                  <w:pPr>
                    <w:pStyle w:val="38"/>
                    <w:spacing w:line="240" w:lineRule="auto"/>
                    <w:ind w:firstLine="0" w:firstLineChars="0"/>
                    <w:jc w:val="center"/>
                    <w:rPr>
                      <w:sz w:val="21"/>
                      <w:szCs w:val="21"/>
                    </w:rPr>
                  </w:pPr>
                  <w:r>
                    <w:rPr>
                      <w:rFonts w:hint="eastAsia"/>
                      <w:sz w:val="21"/>
                      <w:szCs w:val="21"/>
                    </w:rPr>
                    <w:t>42.5</w:t>
                  </w:r>
                </w:p>
              </w:tc>
              <w:tc>
                <w:tcPr>
                  <w:tcW w:w="416" w:type="pct"/>
                  <w:vAlign w:val="center"/>
                </w:tcPr>
                <w:p>
                  <w:pPr>
                    <w:pStyle w:val="38"/>
                    <w:spacing w:line="240" w:lineRule="auto"/>
                    <w:ind w:firstLine="0" w:firstLineChars="0"/>
                    <w:jc w:val="center"/>
                    <w:rPr>
                      <w:sz w:val="21"/>
                      <w:szCs w:val="21"/>
                    </w:rPr>
                  </w:pPr>
                  <w:r>
                    <w:rPr>
                      <w:rFonts w:hint="eastAsia"/>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敞车</w:t>
                  </w:r>
                </w:p>
              </w:tc>
              <w:tc>
                <w:tcPr>
                  <w:tcW w:w="340" w:type="pct"/>
                  <w:vAlign w:val="center"/>
                </w:tcPr>
                <w:p>
                  <w:pPr>
                    <w:pStyle w:val="38"/>
                    <w:spacing w:line="240" w:lineRule="auto"/>
                    <w:ind w:firstLine="0" w:firstLineChars="0"/>
                    <w:jc w:val="center"/>
                    <w:rPr>
                      <w:sz w:val="21"/>
                      <w:szCs w:val="21"/>
                    </w:rPr>
                  </w:pPr>
                  <w:r>
                    <w:rPr>
                      <w:rFonts w:hint="eastAsia"/>
                      <w:sz w:val="21"/>
                      <w:szCs w:val="21"/>
                    </w:rPr>
                    <w:t>70</w:t>
                  </w:r>
                </w:p>
              </w:tc>
              <w:tc>
                <w:tcPr>
                  <w:tcW w:w="416" w:type="pct"/>
                  <w:vAlign w:val="center"/>
                </w:tcPr>
                <w:p>
                  <w:pPr>
                    <w:pStyle w:val="38"/>
                    <w:spacing w:line="240" w:lineRule="auto"/>
                    <w:ind w:firstLine="0" w:firstLineChars="0"/>
                    <w:jc w:val="center"/>
                    <w:rPr>
                      <w:sz w:val="21"/>
                      <w:szCs w:val="21"/>
                    </w:rPr>
                  </w:pPr>
                  <w:r>
                    <w:rPr>
                      <w:rFonts w:hint="eastAsia"/>
                      <w:sz w:val="21"/>
                      <w:szCs w:val="21"/>
                    </w:rPr>
                    <w:t>64</w:t>
                  </w:r>
                </w:p>
              </w:tc>
              <w:tc>
                <w:tcPr>
                  <w:tcW w:w="416" w:type="pct"/>
                  <w:vAlign w:val="center"/>
                </w:tcPr>
                <w:p>
                  <w:pPr>
                    <w:pStyle w:val="38"/>
                    <w:spacing w:line="240" w:lineRule="auto"/>
                    <w:ind w:firstLine="0" w:firstLineChars="0"/>
                    <w:jc w:val="center"/>
                    <w:rPr>
                      <w:sz w:val="21"/>
                      <w:szCs w:val="21"/>
                    </w:rPr>
                  </w:pPr>
                  <w:r>
                    <w:rPr>
                      <w:rFonts w:hint="eastAsia"/>
                      <w:sz w:val="21"/>
                      <w:szCs w:val="21"/>
                    </w:rPr>
                    <w:t>57.9</w:t>
                  </w:r>
                </w:p>
              </w:tc>
              <w:tc>
                <w:tcPr>
                  <w:tcW w:w="416" w:type="pct"/>
                  <w:vAlign w:val="center"/>
                </w:tcPr>
                <w:p>
                  <w:pPr>
                    <w:pStyle w:val="38"/>
                    <w:spacing w:line="240" w:lineRule="auto"/>
                    <w:ind w:firstLine="0" w:firstLineChars="0"/>
                    <w:jc w:val="center"/>
                    <w:rPr>
                      <w:sz w:val="21"/>
                      <w:szCs w:val="21"/>
                    </w:rPr>
                  </w:pPr>
                  <w:r>
                    <w:rPr>
                      <w:rFonts w:hint="eastAsia"/>
                      <w:sz w:val="21"/>
                      <w:szCs w:val="21"/>
                    </w:rPr>
                    <w:t>54.4</w:t>
                  </w:r>
                </w:p>
              </w:tc>
              <w:tc>
                <w:tcPr>
                  <w:tcW w:w="416" w:type="pct"/>
                  <w:vAlign w:val="center"/>
                </w:tcPr>
                <w:p>
                  <w:pPr>
                    <w:pStyle w:val="38"/>
                    <w:spacing w:line="240" w:lineRule="auto"/>
                    <w:ind w:firstLine="0" w:firstLineChars="0"/>
                    <w:jc w:val="center"/>
                    <w:rPr>
                      <w:sz w:val="21"/>
                      <w:szCs w:val="21"/>
                    </w:rPr>
                  </w:pPr>
                  <w:r>
                    <w:rPr>
                      <w:rFonts w:hint="eastAsia"/>
                      <w:sz w:val="21"/>
                      <w:szCs w:val="21"/>
                    </w:rPr>
                    <w:t>51.9</w:t>
                  </w:r>
                </w:p>
              </w:tc>
              <w:tc>
                <w:tcPr>
                  <w:tcW w:w="416" w:type="pct"/>
                  <w:vAlign w:val="center"/>
                </w:tcPr>
                <w:p>
                  <w:pPr>
                    <w:pStyle w:val="38"/>
                    <w:spacing w:line="240" w:lineRule="auto"/>
                    <w:ind w:firstLine="0" w:firstLineChars="0"/>
                    <w:jc w:val="center"/>
                    <w:rPr>
                      <w:sz w:val="21"/>
                      <w:szCs w:val="21"/>
                    </w:rPr>
                  </w:pPr>
                  <w:r>
                    <w:rPr>
                      <w:rFonts w:hint="eastAsia"/>
                      <w:sz w:val="21"/>
                      <w:szCs w:val="21"/>
                    </w:rPr>
                    <w:t>50</w:t>
                  </w:r>
                </w:p>
              </w:tc>
              <w:tc>
                <w:tcPr>
                  <w:tcW w:w="416" w:type="pct"/>
                  <w:vAlign w:val="center"/>
                </w:tcPr>
                <w:p>
                  <w:pPr>
                    <w:pStyle w:val="38"/>
                    <w:spacing w:line="240" w:lineRule="auto"/>
                    <w:ind w:firstLine="0" w:firstLineChars="0"/>
                    <w:jc w:val="center"/>
                    <w:rPr>
                      <w:sz w:val="21"/>
                      <w:szCs w:val="21"/>
                    </w:rPr>
                  </w:pPr>
                  <w:r>
                    <w:rPr>
                      <w:rFonts w:hint="eastAsia"/>
                      <w:sz w:val="21"/>
                      <w:szCs w:val="21"/>
                    </w:rPr>
                    <w:t>46.5</w:t>
                  </w:r>
                </w:p>
              </w:tc>
              <w:tc>
                <w:tcPr>
                  <w:tcW w:w="416" w:type="pct"/>
                  <w:vAlign w:val="center"/>
                </w:tcPr>
                <w:p>
                  <w:pPr>
                    <w:pStyle w:val="38"/>
                    <w:spacing w:line="240" w:lineRule="auto"/>
                    <w:ind w:firstLine="0" w:firstLineChars="0"/>
                    <w:jc w:val="center"/>
                    <w:rPr>
                      <w:sz w:val="21"/>
                      <w:szCs w:val="21"/>
                    </w:rPr>
                  </w:pPr>
                  <w:r>
                    <w:rPr>
                      <w:rFonts w:hint="eastAsia"/>
                      <w:sz w:val="21"/>
                      <w:szCs w:val="21"/>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pct"/>
                  <w:vAlign w:val="center"/>
                </w:tcPr>
                <w:p>
                  <w:pPr>
                    <w:pStyle w:val="38"/>
                    <w:spacing w:line="240" w:lineRule="auto"/>
                    <w:ind w:firstLine="0" w:firstLineChars="0"/>
                    <w:jc w:val="center"/>
                    <w:rPr>
                      <w:sz w:val="21"/>
                      <w:szCs w:val="21"/>
                    </w:rPr>
                  </w:pPr>
                  <w:r>
                    <w:rPr>
                      <w:rFonts w:hint="eastAsia"/>
                      <w:sz w:val="21"/>
                      <w:szCs w:val="21"/>
                    </w:rPr>
                    <w:t>叉车</w:t>
                  </w:r>
                </w:p>
              </w:tc>
              <w:tc>
                <w:tcPr>
                  <w:tcW w:w="340" w:type="pct"/>
                  <w:vAlign w:val="center"/>
                </w:tcPr>
                <w:p>
                  <w:pPr>
                    <w:pStyle w:val="38"/>
                    <w:spacing w:line="240" w:lineRule="auto"/>
                    <w:ind w:firstLine="0" w:firstLineChars="0"/>
                    <w:jc w:val="center"/>
                    <w:rPr>
                      <w:sz w:val="21"/>
                      <w:szCs w:val="21"/>
                    </w:rPr>
                  </w:pPr>
                  <w:r>
                    <w:rPr>
                      <w:rFonts w:hint="eastAsia"/>
                      <w:sz w:val="21"/>
                      <w:szCs w:val="21"/>
                    </w:rPr>
                    <w:t>65</w:t>
                  </w:r>
                </w:p>
              </w:tc>
              <w:tc>
                <w:tcPr>
                  <w:tcW w:w="416" w:type="pct"/>
                  <w:vAlign w:val="center"/>
                </w:tcPr>
                <w:p>
                  <w:pPr>
                    <w:pStyle w:val="38"/>
                    <w:spacing w:line="240" w:lineRule="auto"/>
                    <w:ind w:firstLine="0" w:firstLineChars="0"/>
                    <w:jc w:val="center"/>
                    <w:rPr>
                      <w:sz w:val="21"/>
                      <w:szCs w:val="21"/>
                    </w:rPr>
                  </w:pPr>
                  <w:r>
                    <w:rPr>
                      <w:rFonts w:hint="eastAsia"/>
                      <w:sz w:val="21"/>
                      <w:szCs w:val="21"/>
                    </w:rPr>
                    <w:t>60.5</w:t>
                  </w:r>
                </w:p>
              </w:tc>
              <w:tc>
                <w:tcPr>
                  <w:tcW w:w="416" w:type="pct"/>
                  <w:vAlign w:val="center"/>
                </w:tcPr>
                <w:p>
                  <w:pPr>
                    <w:pStyle w:val="38"/>
                    <w:spacing w:line="240" w:lineRule="auto"/>
                    <w:ind w:firstLine="0" w:firstLineChars="0"/>
                    <w:jc w:val="center"/>
                    <w:rPr>
                      <w:sz w:val="21"/>
                      <w:szCs w:val="21"/>
                    </w:rPr>
                  </w:pPr>
                  <w:r>
                    <w:rPr>
                      <w:rFonts w:hint="eastAsia"/>
                      <w:sz w:val="21"/>
                      <w:szCs w:val="21"/>
                    </w:rPr>
                    <w:t>55.5</w:t>
                  </w:r>
                </w:p>
              </w:tc>
              <w:tc>
                <w:tcPr>
                  <w:tcW w:w="416" w:type="pct"/>
                  <w:vAlign w:val="center"/>
                </w:tcPr>
                <w:p>
                  <w:pPr>
                    <w:pStyle w:val="38"/>
                    <w:spacing w:line="240" w:lineRule="auto"/>
                    <w:ind w:firstLine="0" w:firstLineChars="0"/>
                    <w:jc w:val="center"/>
                    <w:rPr>
                      <w:sz w:val="21"/>
                      <w:szCs w:val="21"/>
                    </w:rPr>
                  </w:pPr>
                  <w:r>
                    <w:rPr>
                      <w:rFonts w:hint="eastAsia"/>
                      <w:sz w:val="21"/>
                      <w:szCs w:val="21"/>
                    </w:rPr>
                    <w:t>51</w:t>
                  </w:r>
                </w:p>
              </w:tc>
              <w:tc>
                <w:tcPr>
                  <w:tcW w:w="416" w:type="pct"/>
                  <w:vAlign w:val="center"/>
                </w:tcPr>
                <w:p>
                  <w:pPr>
                    <w:pStyle w:val="38"/>
                    <w:spacing w:line="240" w:lineRule="auto"/>
                    <w:ind w:firstLine="0" w:firstLineChars="0"/>
                    <w:jc w:val="center"/>
                    <w:rPr>
                      <w:sz w:val="21"/>
                      <w:szCs w:val="21"/>
                    </w:rPr>
                  </w:pPr>
                  <w:r>
                    <w:rPr>
                      <w:rFonts w:hint="eastAsia"/>
                      <w:sz w:val="21"/>
                      <w:szCs w:val="21"/>
                    </w:rPr>
                    <w:t>47.4</w:t>
                  </w:r>
                </w:p>
              </w:tc>
              <w:tc>
                <w:tcPr>
                  <w:tcW w:w="416" w:type="pct"/>
                  <w:vAlign w:val="center"/>
                </w:tcPr>
                <w:p>
                  <w:pPr>
                    <w:pStyle w:val="38"/>
                    <w:spacing w:line="240" w:lineRule="auto"/>
                    <w:ind w:firstLine="0" w:firstLineChars="0"/>
                    <w:jc w:val="center"/>
                    <w:rPr>
                      <w:sz w:val="21"/>
                      <w:szCs w:val="21"/>
                    </w:rPr>
                  </w:pPr>
                  <w:r>
                    <w:rPr>
                      <w:rFonts w:hint="eastAsia"/>
                      <w:sz w:val="21"/>
                      <w:szCs w:val="21"/>
                    </w:rPr>
                    <w:t>44</w:t>
                  </w:r>
                </w:p>
              </w:tc>
              <w:tc>
                <w:tcPr>
                  <w:tcW w:w="416" w:type="pct"/>
                  <w:vAlign w:val="center"/>
                </w:tcPr>
                <w:p>
                  <w:pPr>
                    <w:pStyle w:val="38"/>
                    <w:spacing w:line="240" w:lineRule="auto"/>
                    <w:ind w:firstLine="0" w:firstLineChars="0"/>
                    <w:jc w:val="center"/>
                    <w:rPr>
                      <w:sz w:val="21"/>
                      <w:szCs w:val="21"/>
                    </w:rPr>
                  </w:pPr>
                  <w:r>
                    <w:rPr>
                      <w:rFonts w:hint="eastAsia"/>
                      <w:sz w:val="21"/>
                      <w:szCs w:val="21"/>
                    </w:rPr>
                    <w:t>40.9</w:t>
                  </w:r>
                </w:p>
              </w:tc>
              <w:tc>
                <w:tcPr>
                  <w:tcW w:w="416" w:type="pct"/>
                  <w:vAlign w:val="center"/>
                </w:tcPr>
                <w:p>
                  <w:pPr>
                    <w:pStyle w:val="38"/>
                    <w:spacing w:line="240" w:lineRule="auto"/>
                    <w:ind w:firstLine="0" w:firstLineChars="0"/>
                    <w:jc w:val="center"/>
                    <w:rPr>
                      <w:sz w:val="21"/>
                      <w:szCs w:val="21"/>
                    </w:rPr>
                  </w:pPr>
                  <w:r>
                    <w:rPr>
                      <w:rFonts w:hint="eastAsia"/>
                      <w:sz w:val="21"/>
                      <w:szCs w:val="21"/>
                    </w:rPr>
                    <w:t>36.4</w:t>
                  </w:r>
                </w:p>
              </w:tc>
            </w:tr>
          </w:tbl>
          <w:p>
            <w:pPr>
              <w:pStyle w:val="38"/>
              <w:spacing w:line="408" w:lineRule="auto"/>
              <w:ind w:firstLine="520"/>
              <w:rPr>
                <w:bCs/>
                <w:spacing w:val="10"/>
                <w:kern w:val="2"/>
                <w:szCs w:val="21"/>
              </w:rPr>
            </w:pPr>
            <w:r>
              <w:rPr>
                <w:rFonts w:hint="eastAsia"/>
                <w:bCs/>
                <w:spacing w:val="10"/>
                <w:kern w:val="2"/>
                <w:szCs w:val="21"/>
              </w:rPr>
              <w:t>本专用线评价范围内无声环境保护目标，列车运行距离较短，货物装卸噪声和铁路噪声持续时间短，且装卸站周围无声环境保护目标，随着距离衰减和运营期绿化作用下吸声，运营期噪声对周围声环境质量影响较小。</w:t>
            </w:r>
          </w:p>
          <w:p>
            <w:pPr>
              <w:adjustRightInd w:val="0"/>
              <w:snapToGrid w:val="0"/>
              <w:spacing w:line="408" w:lineRule="auto"/>
              <w:ind w:firstLine="522" w:firstLineChars="200"/>
              <w:rPr>
                <w:b/>
                <w:bCs/>
                <w:spacing w:val="10"/>
                <w:sz w:val="24"/>
                <w:szCs w:val="21"/>
              </w:rPr>
            </w:pPr>
            <w:r>
              <w:rPr>
                <w:rFonts w:hint="eastAsia"/>
                <w:b/>
                <w:bCs/>
                <w:spacing w:val="10"/>
                <w:sz w:val="24"/>
                <w:szCs w:val="21"/>
              </w:rPr>
              <w:t>5、运营期固体废物影响分析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本项目运营期产生的固体废物主要为人员生活垃圾。</w:t>
            </w:r>
          </w:p>
          <w:p>
            <w:pPr>
              <w:adjustRightInd w:val="0"/>
              <w:snapToGrid w:val="0"/>
              <w:spacing w:line="408" w:lineRule="auto"/>
              <w:ind w:firstLine="520" w:firstLineChars="200"/>
              <w:rPr>
                <w:bCs/>
                <w:spacing w:val="10"/>
                <w:sz w:val="24"/>
                <w:szCs w:val="21"/>
              </w:rPr>
            </w:pPr>
            <w:r>
              <w:rPr>
                <w:rFonts w:hint="eastAsia"/>
                <w:bCs/>
                <w:spacing w:val="10"/>
                <w:sz w:val="24"/>
                <w:szCs w:val="21"/>
              </w:rPr>
              <w:t>专用线建成后新增劳动定员50人，生活垃圾产量约为25kg</w:t>
            </w:r>
            <w:r>
              <w:rPr>
                <w:bCs/>
                <w:spacing w:val="10"/>
                <w:sz w:val="24"/>
                <w:szCs w:val="21"/>
              </w:rPr>
              <w:t>/</w:t>
            </w:r>
            <w:r>
              <w:rPr>
                <w:rFonts w:hint="eastAsia"/>
                <w:bCs/>
                <w:spacing w:val="10"/>
                <w:sz w:val="24"/>
                <w:szCs w:val="21"/>
              </w:rPr>
              <w:t>d，主要为纸张、塑料类包装等，回收性强，同时有厨余垃圾等易腐有机物，如不及时清运清理，长时间堆积将散发恶臭，滋生蚊蝇，影响周围大气环境质量，影响环境美观。专用线设置垃圾桶集中分类收集，定期交由环卫部门清运处置，对周围环境影响较小。</w:t>
            </w:r>
          </w:p>
          <w:p>
            <w:pPr>
              <w:adjustRightInd w:val="0"/>
              <w:snapToGrid w:val="0"/>
              <w:spacing w:line="408" w:lineRule="auto"/>
              <w:ind w:firstLine="522" w:firstLineChars="200"/>
              <w:rPr>
                <w:b/>
                <w:bCs/>
                <w:spacing w:val="10"/>
                <w:sz w:val="24"/>
                <w:szCs w:val="21"/>
              </w:rPr>
            </w:pPr>
            <w:r>
              <w:rPr>
                <w:rFonts w:hint="eastAsia"/>
                <w:b/>
                <w:bCs/>
                <w:spacing w:val="10"/>
                <w:sz w:val="24"/>
                <w:szCs w:val="21"/>
              </w:rPr>
              <w:t>6、环境风险影响分析</w:t>
            </w:r>
          </w:p>
          <w:p>
            <w:pPr>
              <w:adjustRightInd w:val="0"/>
              <w:snapToGrid w:val="0"/>
              <w:spacing w:line="408" w:lineRule="auto"/>
              <w:ind w:firstLine="520" w:firstLineChars="200"/>
              <w:rPr>
                <w:bCs/>
                <w:spacing w:val="10"/>
                <w:sz w:val="24"/>
                <w:szCs w:val="21"/>
              </w:rPr>
            </w:pPr>
            <w:r>
              <w:rPr>
                <w:rFonts w:hint="eastAsia"/>
                <w:bCs/>
                <w:spacing w:val="10"/>
                <w:sz w:val="24"/>
                <w:szCs w:val="21"/>
              </w:rPr>
              <w:t>（1）风险调查</w:t>
            </w:r>
          </w:p>
          <w:p>
            <w:pPr>
              <w:adjustRightInd w:val="0"/>
              <w:snapToGrid w:val="0"/>
              <w:spacing w:line="408" w:lineRule="auto"/>
              <w:ind w:firstLine="520" w:firstLineChars="200"/>
              <w:rPr>
                <w:bCs/>
                <w:spacing w:val="10"/>
                <w:sz w:val="24"/>
                <w:szCs w:val="21"/>
              </w:rPr>
            </w:pPr>
            <w:r>
              <w:rPr>
                <w:rFonts w:hint="eastAsia"/>
                <w:bCs/>
                <w:spacing w:val="10"/>
                <w:sz w:val="24"/>
                <w:szCs w:val="21"/>
              </w:rPr>
              <w:t>根据《建设项目环境影响报告表编制技术指南（生态影响类）（试行）》中具体编制要求“涉及环境风险的，应根据风险分布情况及可能影响途径，提出相应环境风险防范措施”，本项目不涉及《建设项目环境风险评价技术导则》(HJ169-2018附录B中所列出的有毒有害风险物质，本项目主要涉及环境风险主要为装卸站发生火灾风险。</w:t>
            </w:r>
          </w:p>
          <w:p>
            <w:pPr>
              <w:adjustRightInd w:val="0"/>
              <w:snapToGrid w:val="0"/>
              <w:spacing w:line="408" w:lineRule="auto"/>
              <w:ind w:firstLine="520" w:firstLineChars="200"/>
              <w:rPr>
                <w:bCs/>
                <w:spacing w:val="10"/>
                <w:sz w:val="24"/>
                <w:szCs w:val="21"/>
              </w:rPr>
            </w:pPr>
            <w:r>
              <w:rPr>
                <w:rFonts w:hint="eastAsia"/>
                <w:bCs/>
                <w:spacing w:val="10"/>
                <w:sz w:val="24"/>
                <w:szCs w:val="21"/>
              </w:rPr>
              <w:t>（2）风险防范措施</w:t>
            </w:r>
          </w:p>
          <w:p>
            <w:pPr>
              <w:adjustRightInd w:val="0"/>
              <w:snapToGrid w:val="0"/>
              <w:spacing w:line="408" w:lineRule="auto"/>
              <w:ind w:firstLine="520" w:firstLineChars="200"/>
              <w:rPr>
                <w:bCs/>
                <w:spacing w:val="10"/>
                <w:sz w:val="24"/>
                <w:szCs w:val="21"/>
              </w:rPr>
            </w:pPr>
            <w:r>
              <w:rPr>
                <w:rFonts w:hint="eastAsia"/>
                <w:bCs/>
                <w:spacing w:val="10"/>
                <w:sz w:val="24"/>
                <w:szCs w:val="21"/>
              </w:rPr>
              <w:t>1）装卸站严禁烟火，禁止工作人员将打火机、火柴等易燃易爆物品带人站内；禁止抽烟；</w:t>
            </w:r>
          </w:p>
          <w:p>
            <w:pPr>
              <w:adjustRightInd w:val="0"/>
              <w:snapToGrid w:val="0"/>
              <w:spacing w:line="408" w:lineRule="auto"/>
              <w:ind w:firstLine="520" w:firstLineChars="200"/>
              <w:rPr>
                <w:bCs/>
                <w:spacing w:val="10"/>
                <w:sz w:val="24"/>
                <w:szCs w:val="21"/>
              </w:rPr>
            </w:pPr>
            <w:r>
              <w:rPr>
                <w:rFonts w:hint="eastAsia"/>
                <w:bCs/>
                <w:spacing w:val="10"/>
                <w:sz w:val="24"/>
                <w:szCs w:val="21"/>
              </w:rPr>
              <w:t>2）加强管理，配备消防器材并定期检查，确保一旦发生火灾能够正常使用；</w:t>
            </w:r>
          </w:p>
          <w:p>
            <w:pPr>
              <w:adjustRightInd w:val="0"/>
              <w:snapToGrid w:val="0"/>
              <w:spacing w:line="408" w:lineRule="auto"/>
              <w:ind w:firstLine="520" w:firstLineChars="200"/>
              <w:rPr>
                <w:bCs/>
                <w:spacing w:val="10"/>
                <w:sz w:val="24"/>
                <w:szCs w:val="21"/>
              </w:rPr>
            </w:pPr>
            <w:r>
              <w:rPr>
                <w:rFonts w:hint="eastAsia"/>
                <w:bCs/>
                <w:spacing w:val="10"/>
                <w:sz w:val="24"/>
                <w:szCs w:val="21"/>
              </w:rPr>
              <w:t>3）加强培训，提高工作人员消防意识，清楚消防设施存放地点；</w:t>
            </w:r>
          </w:p>
          <w:p>
            <w:pPr>
              <w:adjustRightInd w:val="0"/>
              <w:snapToGrid w:val="0"/>
              <w:spacing w:line="408" w:lineRule="auto"/>
              <w:ind w:firstLine="520" w:firstLineChars="200"/>
              <w:rPr>
                <w:bCs/>
                <w:spacing w:val="10"/>
                <w:sz w:val="24"/>
                <w:szCs w:val="21"/>
              </w:rPr>
            </w:pPr>
            <w:r>
              <w:rPr>
                <w:rFonts w:hint="eastAsia"/>
                <w:bCs/>
                <w:spacing w:val="10"/>
                <w:sz w:val="24"/>
                <w:szCs w:val="21"/>
              </w:rPr>
              <w:t>4）制定相关应急预案，确保一旦发生火灾能够迅速反应，最大限度降低损失。</w:t>
            </w:r>
          </w:p>
          <w:p>
            <w:pPr>
              <w:adjustRightInd w:val="0"/>
              <w:snapToGrid w:val="0"/>
              <w:spacing w:line="408" w:lineRule="auto"/>
              <w:ind w:firstLine="520" w:firstLineChars="200"/>
              <w:rPr>
                <w:bCs/>
                <w:spacing w:val="10"/>
                <w:sz w:val="24"/>
                <w:szCs w:val="21"/>
              </w:rPr>
            </w:pPr>
            <w:r>
              <w:rPr>
                <w:rFonts w:hint="eastAsia"/>
                <w:bCs/>
                <w:spacing w:val="10"/>
                <w:sz w:val="24"/>
                <w:szCs w:val="21"/>
              </w:rPr>
              <w:t>（3）风险分析结论</w:t>
            </w:r>
          </w:p>
          <w:p>
            <w:pPr>
              <w:adjustRightInd w:val="0"/>
              <w:snapToGrid w:val="0"/>
              <w:spacing w:line="408" w:lineRule="auto"/>
              <w:ind w:firstLine="520" w:firstLineChars="200"/>
              <w:rPr>
                <w:bCs/>
                <w:spacing w:val="10"/>
                <w:sz w:val="24"/>
                <w:szCs w:val="21"/>
              </w:rPr>
            </w:pPr>
            <w:r>
              <w:rPr>
                <w:rFonts w:hint="eastAsia"/>
                <w:bCs/>
                <w:spacing w:val="10"/>
                <w:sz w:val="24"/>
                <w:szCs w:val="21"/>
              </w:rPr>
              <w:t>本项目重点关注装卸站火灾风险，分析认为，在严格落实各项风险防范措施，以及制定相关事故应急预案的前提下，本项目环境风险水平在可控范围内。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pPr>
              <w:pStyle w:val="1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选址选线环境合理性分析</w:t>
            </w:r>
          </w:p>
        </w:tc>
        <w:tc>
          <w:tcPr>
            <w:tcW w:w="8363" w:type="dxa"/>
          </w:tcPr>
          <w:p>
            <w:pPr>
              <w:adjustRightInd w:val="0"/>
              <w:snapToGrid w:val="0"/>
              <w:spacing w:line="408" w:lineRule="auto"/>
              <w:ind w:firstLine="520" w:firstLineChars="200"/>
              <w:rPr>
                <w:bCs/>
                <w:spacing w:val="10"/>
                <w:sz w:val="24"/>
                <w:szCs w:val="21"/>
              </w:rPr>
            </w:pPr>
            <w:r>
              <w:rPr>
                <w:rFonts w:hint="eastAsia"/>
                <w:bCs/>
                <w:spacing w:val="10"/>
                <w:sz w:val="24"/>
                <w:szCs w:val="21"/>
              </w:rPr>
              <w:t>选址选线环境的合理性分析：本项目</w:t>
            </w:r>
            <w:r>
              <w:rPr>
                <w:bCs/>
                <w:spacing w:val="10"/>
                <w:sz w:val="24"/>
                <w:szCs w:val="21"/>
              </w:rPr>
              <w:t>位于新疆维吾尔自治区昌吉州阜康市境内，乌将线下南泉站西北侧约3.0km处</w:t>
            </w:r>
            <w:r>
              <w:rPr>
                <w:rFonts w:hint="eastAsia"/>
                <w:bCs/>
                <w:spacing w:val="10"/>
                <w:sz w:val="24"/>
                <w:szCs w:val="21"/>
              </w:rPr>
              <w:t>，</w:t>
            </w:r>
            <w:r>
              <w:rPr>
                <w:bCs/>
                <w:spacing w:val="10"/>
                <w:sz w:val="24"/>
                <w:szCs w:val="21"/>
              </w:rPr>
              <w:t>自乌将线下南泉站站房同侧乌北端咽喉引出，并行乌将线约750m后以R=600m的曲线折向西北方向进入豫新装卸站</w:t>
            </w:r>
            <w:r>
              <w:rPr>
                <w:rFonts w:hint="eastAsia"/>
                <w:bCs/>
                <w:spacing w:val="10"/>
                <w:sz w:val="24"/>
                <w:szCs w:val="21"/>
              </w:rPr>
              <w:t>。相比向西南方向反向曲线绕行南泉物流专用线进入豫新装卸站，本专线长度相对较短，占地少，能够减少对周围环境的破坏。</w:t>
            </w:r>
          </w:p>
          <w:p>
            <w:pPr>
              <w:adjustRightInd w:val="0"/>
              <w:snapToGrid w:val="0"/>
              <w:spacing w:line="408" w:lineRule="auto"/>
              <w:ind w:firstLine="520" w:firstLineChars="200"/>
              <w:rPr>
                <w:bCs/>
                <w:spacing w:val="10"/>
                <w:sz w:val="24"/>
                <w:szCs w:val="21"/>
              </w:rPr>
            </w:pPr>
            <w:r>
              <w:rPr>
                <w:rFonts w:hint="eastAsia"/>
                <w:bCs/>
                <w:spacing w:val="10"/>
                <w:sz w:val="24"/>
                <w:szCs w:val="21"/>
              </w:rPr>
              <w:t>项目所在区不属于《建设项目环境影响评价分类管理名录》（2021版）中界定的环境敏感区，经现场勘查，选址选线及施工布置未占用自然保护区、风景名胜区、饮用水水源保护区、永久基本农田等法律法规禁止开发建设的区域；沿线无医院、学校、科研单位、住宅等噪声和振动敏感建筑物用地路段，各项环保措施落实到位后，对周围环境产生的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本项目在设计方案过程中，对接轨站和接轨方案进行了比选。根据比选方案的具体内容，本次选取的接轨站接轨线路和接轨方案均未超出规划用地范围，下南泉站为既有中间站，配套设施齐全，且专用线长度最短，占地面积最少，对生态环境的影响相对较小。</w:t>
            </w:r>
          </w:p>
          <w:p>
            <w:pPr>
              <w:adjustRightInd w:val="0"/>
              <w:snapToGrid w:val="0"/>
              <w:spacing w:line="408" w:lineRule="auto"/>
              <w:ind w:firstLine="520" w:firstLineChars="200"/>
              <w:rPr>
                <w:bCs/>
                <w:spacing w:val="10"/>
                <w:sz w:val="24"/>
                <w:szCs w:val="21"/>
              </w:rPr>
            </w:pPr>
            <w:r>
              <w:rPr>
                <w:rFonts w:hint="eastAsia"/>
                <w:bCs/>
                <w:spacing w:val="10"/>
                <w:sz w:val="24"/>
                <w:szCs w:val="21"/>
              </w:rPr>
              <w:t>因此，从环境角度看，本次选取的方案合理、可行，选址选线合理。</w:t>
            </w:r>
          </w:p>
        </w:tc>
      </w:tr>
    </w:tbl>
    <w:p>
      <w:pPr>
        <w:pStyle w:val="11"/>
        <w:rPr>
          <w:rFonts w:ascii="Times New Roman" w:hAnsi="Times New Roman" w:eastAsia="黑体"/>
          <w:snapToGrid w:val="0"/>
          <w:sz w:val="36"/>
          <w:szCs w:val="36"/>
        </w:rPr>
        <w:sectPr>
          <w:pgSz w:w="11906" w:h="16838"/>
          <w:pgMar w:top="1440" w:right="1800" w:bottom="1440" w:left="1800" w:header="851" w:footer="1077" w:gutter="0"/>
          <w:cols w:space="720" w:num="1"/>
          <w:docGrid w:linePitch="312" w:charSpace="0"/>
        </w:sectPr>
      </w:pPr>
    </w:p>
    <w:p>
      <w:pPr>
        <w:pStyle w:val="1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五、主要生态环境保护措施</w:t>
      </w:r>
    </w:p>
    <w:tbl>
      <w:tblPr>
        <w:tblStyle w:val="1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bCs/>
                <w:szCs w:val="21"/>
              </w:rPr>
            </w:pPr>
            <w:r>
              <w:rPr>
                <w:bCs/>
                <w:spacing w:val="10"/>
                <w:szCs w:val="21"/>
              </w:rPr>
              <w:t>施工期生态环境保护措施</w:t>
            </w:r>
          </w:p>
        </w:tc>
        <w:tc>
          <w:tcPr>
            <w:tcW w:w="8457" w:type="dxa"/>
          </w:tcPr>
          <w:p>
            <w:pPr>
              <w:adjustRightInd w:val="0"/>
              <w:snapToGrid w:val="0"/>
              <w:spacing w:line="408" w:lineRule="auto"/>
              <w:ind w:firstLine="522" w:firstLineChars="200"/>
              <w:rPr>
                <w:b/>
                <w:bCs/>
                <w:spacing w:val="10"/>
                <w:sz w:val="24"/>
                <w:szCs w:val="21"/>
              </w:rPr>
            </w:pPr>
            <w:r>
              <w:rPr>
                <w:rFonts w:hint="eastAsia"/>
                <w:b/>
                <w:bCs/>
                <w:spacing w:val="10"/>
                <w:sz w:val="24"/>
                <w:szCs w:val="21"/>
              </w:rPr>
              <w:t>1、施工期生态保护措施</w:t>
            </w:r>
          </w:p>
          <w:p>
            <w:pPr>
              <w:adjustRightInd w:val="0"/>
              <w:snapToGrid w:val="0"/>
              <w:spacing w:line="408" w:lineRule="auto"/>
              <w:ind w:firstLine="520" w:firstLineChars="200"/>
              <w:rPr>
                <w:bCs/>
                <w:spacing w:val="10"/>
                <w:sz w:val="24"/>
                <w:szCs w:val="21"/>
              </w:rPr>
            </w:pPr>
            <w:r>
              <w:rPr>
                <w:bCs/>
                <w:spacing w:val="10"/>
                <w:sz w:val="24"/>
                <w:szCs w:val="21"/>
              </w:rPr>
              <w:t>生态影响的避让就是采取适当的措施，尽可能在最大程度上避免不利的生态影响。生态影响的避免是对具有重要生态功能的环境予以绝对保护而采取的措施。一般通过更改项目选址、工程设计、施工方案，道路改线，变更项目内容或规模等手段避免项目造成难以挽回的环境损失。根据本项目特点，建议以下避让措施</w:t>
            </w:r>
            <w:r>
              <w:rPr>
                <w:rFonts w:hint="eastAsia"/>
                <w:bCs/>
                <w:spacing w:val="10"/>
                <w:sz w:val="24"/>
                <w:szCs w:val="21"/>
              </w:rPr>
              <w:t>为有效减轻施工期对周围生态环境的影响：</w:t>
            </w:r>
          </w:p>
          <w:p>
            <w:pPr>
              <w:adjustRightInd w:val="0"/>
              <w:snapToGrid w:val="0"/>
              <w:spacing w:line="408" w:lineRule="auto"/>
              <w:ind w:firstLine="522" w:firstLineChars="200"/>
              <w:rPr>
                <w:b/>
                <w:bCs/>
                <w:spacing w:val="10"/>
                <w:sz w:val="24"/>
                <w:szCs w:val="21"/>
              </w:rPr>
            </w:pPr>
            <w:r>
              <w:rPr>
                <w:rFonts w:hint="eastAsia"/>
                <w:b/>
                <w:bCs/>
                <w:spacing w:val="10"/>
                <w:sz w:val="24"/>
                <w:szCs w:val="21"/>
              </w:rPr>
              <w:t>（1）减少地面扰动</w:t>
            </w:r>
          </w:p>
          <w:p>
            <w:pPr>
              <w:adjustRightInd w:val="0"/>
              <w:snapToGrid w:val="0"/>
              <w:spacing w:line="408" w:lineRule="auto"/>
              <w:ind w:firstLine="520" w:firstLineChars="200"/>
              <w:rPr>
                <w:bCs/>
                <w:spacing w:val="10"/>
                <w:sz w:val="24"/>
                <w:szCs w:val="21"/>
              </w:rPr>
            </w:pPr>
            <w:r>
              <w:rPr>
                <w:bCs/>
                <w:spacing w:val="10"/>
                <w:sz w:val="24"/>
                <w:szCs w:val="21"/>
              </w:rPr>
              <w:t>1</w:t>
            </w:r>
            <w:r>
              <w:rPr>
                <w:rFonts w:hint="eastAsia"/>
                <w:bCs/>
                <w:spacing w:val="10"/>
                <w:sz w:val="24"/>
                <w:szCs w:val="21"/>
              </w:rPr>
              <w:t>）装卸站、路基涉及土石方工程应本着充分利用的原则进行合理调配。专用线路基土方和涵洞基础开挖土方等均充分利用，全部用于路基和站场填方、绿化区域和场地平整。</w:t>
            </w:r>
          </w:p>
          <w:p>
            <w:pPr>
              <w:adjustRightInd w:val="0"/>
              <w:snapToGrid w:val="0"/>
              <w:spacing w:line="408" w:lineRule="auto"/>
              <w:ind w:firstLine="520" w:firstLineChars="200"/>
              <w:rPr>
                <w:bCs/>
                <w:spacing w:val="10"/>
                <w:sz w:val="24"/>
                <w:szCs w:val="21"/>
              </w:rPr>
            </w:pPr>
            <w:r>
              <w:rPr>
                <w:bCs/>
                <w:spacing w:val="10"/>
                <w:sz w:val="24"/>
                <w:szCs w:val="21"/>
              </w:rPr>
              <w:t>2</w:t>
            </w:r>
            <w:r>
              <w:rPr>
                <w:rFonts w:hint="eastAsia"/>
                <w:bCs/>
                <w:spacing w:val="10"/>
                <w:sz w:val="24"/>
                <w:szCs w:val="21"/>
              </w:rPr>
              <w:t>）</w:t>
            </w:r>
            <w:r>
              <w:rPr>
                <w:sz w:val="24"/>
              </w:rPr>
              <w:t>控制作业范围，占地控制在征地面积内，减少对土壤的扰动</w:t>
            </w:r>
            <w:r>
              <w:rPr>
                <w:rFonts w:hint="eastAsia"/>
                <w:sz w:val="24"/>
              </w:rPr>
              <w:t>；桥涵基础</w:t>
            </w:r>
            <w:r>
              <w:rPr>
                <w:sz w:val="24"/>
              </w:rPr>
              <w:t>开挖、平整时，应保存表土，用于施工结束后场地平整，植被恢复</w:t>
            </w:r>
            <w:r>
              <w:rPr>
                <w:rFonts w:hint="eastAsia"/>
                <w:sz w:val="24"/>
              </w:rPr>
              <w:t>。</w:t>
            </w:r>
          </w:p>
          <w:p>
            <w:pPr>
              <w:adjustRightInd w:val="0"/>
              <w:snapToGrid w:val="0"/>
              <w:spacing w:line="408" w:lineRule="auto"/>
              <w:ind w:firstLine="522" w:firstLineChars="200"/>
              <w:rPr>
                <w:b/>
                <w:bCs/>
                <w:spacing w:val="10"/>
                <w:sz w:val="24"/>
                <w:szCs w:val="21"/>
              </w:rPr>
            </w:pPr>
            <w:r>
              <w:rPr>
                <w:rFonts w:hint="eastAsia"/>
                <w:b/>
                <w:bCs/>
                <w:spacing w:val="10"/>
                <w:sz w:val="24"/>
                <w:szCs w:val="21"/>
              </w:rPr>
              <w:t>（2）临时占地保护措施</w:t>
            </w:r>
          </w:p>
          <w:p>
            <w:pPr>
              <w:snapToGrid w:val="0"/>
              <w:spacing w:line="408" w:lineRule="auto"/>
              <w:ind w:firstLine="520" w:firstLineChars="200"/>
              <w:rPr>
                <w:bCs/>
                <w:spacing w:val="10"/>
                <w:sz w:val="24"/>
                <w:szCs w:val="21"/>
              </w:rPr>
            </w:pPr>
            <w:r>
              <w:rPr>
                <w:bCs/>
                <w:spacing w:val="10"/>
                <w:sz w:val="24"/>
                <w:szCs w:val="21"/>
              </w:rPr>
              <w:t>1）合理规划临时工程的位置，尽可能减小扰动范围；临时施工占地在施工结束后及时清理施工垃圾，对施工场地进行平整、压实。</w:t>
            </w:r>
            <w:r>
              <w:rPr>
                <w:rFonts w:hint="eastAsia"/>
                <w:bCs/>
                <w:spacing w:val="10"/>
                <w:sz w:val="24"/>
              </w:rPr>
              <w:t>临时占地清理完施工迹地后并进行平整后，适当洒水，减少后续扬尘污染。</w:t>
            </w:r>
          </w:p>
          <w:p>
            <w:pPr>
              <w:snapToGrid w:val="0"/>
              <w:spacing w:line="408" w:lineRule="auto"/>
              <w:ind w:firstLine="520" w:firstLineChars="200"/>
              <w:rPr>
                <w:bCs/>
                <w:sz w:val="24"/>
              </w:rPr>
            </w:pPr>
            <w:r>
              <w:rPr>
                <w:rFonts w:hint="eastAsia"/>
                <w:bCs/>
                <w:spacing w:val="10"/>
                <w:sz w:val="24"/>
                <w:szCs w:val="21"/>
              </w:rPr>
              <w:t>2）</w:t>
            </w:r>
            <w:r>
              <w:rPr>
                <w:rFonts w:hint="eastAsia"/>
                <w:bCs/>
                <w:sz w:val="24"/>
              </w:rPr>
              <w:t>临时土方堆区等易发生水土流失处，施工单位应进行夯实并设置相应的防护，减少水土流失量；遮盖防尘网等措施，减少大风天气产生的扬尘污染和土地沙化。</w:t>
            </w:r>
          </w:p>
          <w:p>
            <w:pPr>
              <w:snapToGrid w:val="0"/>
              <w:spacing w:line="408" w:lineRule="auto"/>
              <w:ind w:firstLine="480" w:firstLineChars="200"/>
              <w:rPr>
                <w:bCs/>
                <w:spacing w:val="10"/>
                <w:sz w:val="24"/>
                <w:szCs w:val="21"/>
              </w:rPr>
            </w:pPr>
            <w:r>
              <w:rPr>
                <w:rFonts w:hint="eastAsia"/>
                <w:bCs/>
                <w:sz w:val="24"/>
              </w:rPr>
              <w:t>3）道砟、石料等原料堆放区，应对其加盖篷布，并对周围裸露地块经常性洒水，防止扬尘污染。</w:t>
            </w:r>
          </w:p>
          <w:p>
            <w:pPr>
              <w:adjustRightInd w:val="0"/>
              <w:snapToGrid w:val="0"/>
              <w:spacing w:line="408" w:lineRule="auto"/>
              <w:ind w:firstLine="520" w:firstLineChars="200"/>
              <w:rPr>
                <w:bCs/>
                <w:spacing w:val="10"/>
                <w:sz w:val="24"/>
                <w:szCs w:val="21"/>
              </w:rPr>
            </w:pPr>
            <w:r>
              <w:rPr>
                <w:bCs/>
                <w:spacing w:val="10"/>
                <w:sz w:val="24"/>
                <w:szCs w:val="21"/>
              </w:rPr>
              <w:t>3）施工后及时清理现场，</w:t>
            </w:r>
            <w:r>
              <w:rPr>
                <w:rFonts w:hint="eastAsia"/>
                <w:bCs/>
                <w:spacing w:val="10"/>
                <w:sz w:val="24"/>
                <w:szCs w:val="21"/>
              </w:rPr>
              <w:t>拆除施工营地，</w:t>
            </w:r>
            <w:r>
              <w:rPr>
                <w:sz w:val="24"/>
                <w:szCs w:val="22"/>
              </w:rPr>
              <w:t>按自然植被群落结构恢复物种，适时开展补偿性生态恢复</w:t>
            </w:r>
            <w:r>
              <w:rPr>
                <w:rFonts w:hint="eastAsia"/>
                <w:sz w:val="24"/>
                <w:szCs w:val="22"/>
              </w:rPr>
              <w:t>，</w:t>
            </w:r>
            <w:r>
              <w:rPr>
                <w:bCs/>
                <w:spacing w:val="10"/>
                <w:sz w:val="24"/>
                <w:szCs w:val="21"/>
              </w:rPr>
              <w:t>尽可能恢复原状地貌</w:t>
            </w:r>
            <w:r>
              <w:rPr>
                <w:rFonts w:hint="eastAsia"/>
                <w:bCs/>
                <w:spacing w:val="10"/>
                <w:sz w:val="24"/>
                <w:szCs w:val="21"/>
              </w:rPr>
              <w:t>植被；施工场地</w:t>
            </w:r>
            <w:r>
              <w:rPr>
                <w:bCs/>
                <w:spacing w:val="10"/>
                <w:sz w:val="24"/>
                <w:szCs w:val="21"/>
              </w:rPr>
              <w:t>做到“工完、料尽、场清、整洁”</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bCs/>
                <w:spacing w:val="10"/>
                <w:sz w:val="24"/>
                <w:szCs w:val="21"/>
              </w:rPr>
              <w:t>4</w:t>
            </w:r>
            <w:r>
              <w:rPr>
                <w:rFonts w:hint="eastAsia"/>
                <w:bCs/>
                <w:spacing w:val="10"/>
                <w:sz w:val="24"/>
                <w:szCs w:val="21"/>
              </w:rPr>
              <w:t>）临时工程利用既有场地或者站区范围内的永久用地，严禁私自扩大占地范围。</w:t>
            </w:r>
          </w:p>
          <w:p>
            <w:pPr>
              <w:adjustRightInd w:val="0"/>
              <w:snapToGrid w:val="0"/>
              <w:spacing w:line="408" w:lineRule="auto"/>
              <w:ind w:firstLine="522" w:firstLineChars="200"/>
              <w:rPr>
                <w:b/>
                <w:bCs/>
                <w:spacing w:val="10"/>
                <w:sz w:val="24"/>
                <w:szCs w:val="21"/>
              </w:rPr>
            </w:pPr>
            <w:r>
              <w:rPr>
                <w:rFonts w:hint="eastAsia"/>
                <w:b/>
                <w:bCs/>
                <w:spacing w:val="10"/>
                <w:sz w:val="24"/>
                <w:szCs w:val="21"/>
              </w:rPr>
              <w:t>（3）植被影响保护措施</w:t>
            </w:r>
          </w:p>
          <w:p>
            <w:pPr>
              <w:adjustRightInd w:val="0"/>
              <w:snapToGrid w:val="0"/>
              <w:spacing w:line="408" w:lineRule="auto"/>
              <w:ind w:firstLine="520" w:firstLineChars="200"/>
              <w:rPr>
                <w:bCs/>
                <w:spacing w:val="10"/>
                <w:sz w:val="24"/>
                <w:szCs w:val="21"/>
              </w:rPr>
            </w:pPr>
            <w:r>
              <w:rPr>
                <w:rFonts w:hint="eastAsia"/>
                <w:bCs/>
                <w:spacing w:val="10"/>
                <w:sz w:val="24"/>
                <w:szCs w:val="21"/>
              </w:rPr>
              <w:t>根据现场调查，项目占地为荒草戈壁滩，植被覆盖率低，且均为荒漠常见植被类型，要求建设单位施工期做到以下几点：</w:t>
            </w:r>
          </w:p>
          <w:p>
            <w:pPr>
              <w:adjustRightInd w:val="0"/>
              <w:snapToGrid w:val="0"/>
              <w:spacing w:line="408" w:lineRule="auto"/>
              <w:ind w:firstLine="520" w:firstLineChars="200"/>
              <w:rPr>
                <w:bCs/>
                <w:spacing w:val="10"/>
                <w:sz w:val="24"/>
                <w:szCs w:val="21"/>
              </w:rPr>
            </w:pPr>
            <w:r>
              <w:rPr>
                <w:bCs/>
                <w:spacing w:val="10"/>
                <w:sz w:val="24"/>
                <w:szCs w:val="21"/>
              </w:rPr>
              <w:t>1</w:t>
            </w:r>
            <w:r>
              <w:rPr>
                <w:rFonts w:hint="eastAsia"/>
                <w:bCs/>
                <w:spacing w:val="10"/>
                <w:sz w:val="24"/>
                <w:szCs w:val="21"/>
              </w:rPr>
              <w:t>）施工车辆应严格按规定行车路线通行，防止施工期间施工车辆随意碾压，破坏原地表植被。</w:t>
            </w:r>
          </w:p>
          <w:p>
            <w:pPr>
              <w:adjustRightInd w:val="0"/>
              <w:snapToGrid w:val="0"/>
              <w:spacing w:line="408" w:lineRule="auto"/>
              <w:ind w:firstLine="520" w:firstLineChars="200"/>
              <w:rPr>
                <w:bCs/>
                <w:spacing w:val="10"/>
                <w:sz w:val="24"/>
                <w:szCs w:val="21"/>
              </w:rPr>
            </w:pPr>
            <w:r>
              <w:rPr>
                <w:rFonts w:hint="eastAsia"/>
                <w:bCs/>
                <w:spacing w:val="10"/>
                <w:sz w:val="24"/>
                <w:szCs w:val="21"/>
              </w:rPr>
              <w:t>2）应合理处置涵洞基础开挖石方，及时回填路基填方或装卸站填方，减少临时土方占地对地表植被的破坏。</w:t>
            </w:r>
          </w:p>
          <w:p>
            <w:pPr>
              <w:adjustRightInd w:val="0"/>
              <w:snapToGrid w:val="0"/>
              <w:spacing w:line="408" w:lineRule="auto"/>
              <w:ind w:firstLine="520" w:firstLineChars="200"/>
              <w:rPr>
                <w:bCs/>
                <w:spacing w:val="10"/>
                <w:sz w:val="24"/>
                <w:szCs w:val="21"/>
              </w:rPr>
            </w:pPr>
            <w:r>
              <w:rPr>
                <w:bCs/>
                <w:spacing w:val="10"/>
                <w:sz w:val="24"/>
                <w:szCs w:val="21"/>
              </w:rPr>
              <w:t>3）禁止在沙化土地上砍挖灌木、药材及其他固沙植物。</w:t>
            </w:r>
          </w:p>
          <w:p>
            <w:pPr>
              <w:adjustRightInd w:val="0"/>
              <w:snapToGrid w:val="0"/>
              <w:spacing w:line="408" w:lineRule="auto"/>
              <w:ind w:firstLine="522" w:firstLineChars="200"/>
              <w:rPr>
                <w:b/>
                <w:bCs/>
                <w:spacing w:val="10"/>
                <w:sz w:val="24"/>
                <w:szCs w:val="21"/>
              </w:rPr>
            </w:pPr>
            <w:r>
              <w:rPr>
                <w:rFonts w:hint="eastAsia"/>
                <w:b/>
                <w:bCs/>
                <w:spacing w:val="10"/>
                <w:sz w:val="24"/>
                <w:szCs w:val="21"/>
              </w:rPr>
              <w:t>（4）桥涵、路基、装卸站场修建保护措施</w:t>
            </w:r>
          </w:p>
          <w:p>
            <w:pPr>
              <w:adjustRightInd w:val="0"/>
              <w:snapToGrid w:val="0"/>
              <w:spacing w:line="408" w:lineRule="auto"/>
              <w:ind w:firstLine="520" w:firstLineChars="200"/>
              <w:rPr>
                <w:bCs/>
                <w:spacing w:val="10"/>
                <w:sz w:val="24"/>
                <w:szCs w:val="21"/>
              </w:rPr>
            </w:pPr>
            <w:r>
              <w:rPr>
                <w:rFonts w:hint="eastAsia"/>
                <w:bCs/>
                <w:spacing w:val="10"/>
                <w:sz w:val="24"/>
                <w:szCs w:val="21"/>
              </w:rPr>
              <w:t>1）桥涵基础挖方尽量利用，用于路基和站场填方，专用线两侧坡面铺设碎石，减少扬尘污染和坡面水土流失；</w:t>
            </w:r>
          </w:p>
          <w:p>
            <w:pPr>
              <w:adjustRightInd w:val="0"/>
              <w:snapToGrid w:val="0"/>
              <w:spacing w:line="408" w:lineRule="auto"/>
              <w:ind w:firstLine="520" w:firstLineChars="200"/>
              <w:rPr>
                <w:bCs/>
                <w:spacing w:val="10"/>
                <w:sz w:val="24"/>
                <w:szCs w:val="21"/>
              </w:rPr>
            </w:pPr>
            <w:r>
              <w:rPr>
                <w:rFonts w:hint="eastAsia"/>
                <w:bCs/>
                <w:spacing w:val="10"/>
                <w:sz w:val="24"/>
                <w:szCs w:val="21"/>
              </w:rPr>
              <w:t>2）在施工活动中注意保护地面原始植被，尽量减少施工区占地面积，加强施工期机械、车辆行驶路线管理，划定明确的施工作业范围和行驶路线，严格控制桥涵基础开挖作业面，避免超挖造成临时土方破坏周围植被，充分利用现有道路，</w:t>
            </w:r>
            <w:r>
              <w:rPr>
                <w:bCs/>
                <w:spacing w:val="10"/>
                <w:sz w:val="24"/>
                <w:szCs w:val="21"/>
              </w:rPr>
              <w:t>严禁随意开设施工便道。对利用的施工道路两侧设置限制性标示牌，减少对地表植被、动物的扰动</w:t>
            </w:r>
            <w:r>
              <w:rPr>
                <w:rFonts w:hint="eastAsia"/>
                <w:bCs/>
                <w:spacing w:val="10"/>
                <w:sz w:val="24"/>
                <w:szCs w:val="21"/>
              </w:rPr>
              <w:t>；</w:t>
            </w:r>
          </w:p>
          <w:p>
            <w:pPr>
              <w:adjustRightInd w:val="0"/>
              <w:snapToGrid w:val="0"/>
              <w:spacing w:line="408" w:lineRule="auto"/>
              <w:ind w:firstLine="520" w:firstLineChars="200"/>
              <w:rPr>
                <w:bCs/>
                <w:spacing w:val="10"/>
                <w:sz w:val="24"/>
                <w:szCs w:val="21"/>
              </w:rPr>
            </w:pPr>
            <w:r>
              <w:rPr>
                <w:rFonts w:hint="eastAsia"/>
                <w:bCs/>
                <w:spacing w:val="10"/>
                <w:sz w:val="24"/>
                <w:szCs w:val="21"/>
              </w:rPr>
              <w:t>3）临时施工占地，</w:t>
            </w:r>
            <w:r>
              <w:rPr>
                <w:bCs/>
                <w:spacing w:val="10"/>
                <w:sz w:val="24"/>
                <w:szCs w:val="21"/>
              </w:rPr>
              <w:t>施工后及时清理现场，</w:t>
            </w:r>
            <w:r>
              <w:rPr>
                <w:rFonts w:hint="eastAsia"/>
                <w:bCs/>
                <w:spacing w:val="10"/>
                <w:sz w:val="24"/>
                <w:szCs w:val="21"/>
              </w:rPr>
              <w:t>拆除施工营地，</w:t>
            </w:r>
            <w:r>
              <w:rPr>
                <w:sz w:val="24"/>
                <w:szCs w:val="22"/>
              </w:rPr>
              <w:t>按自然植被群落结构恢复物种，适时开展补偿性生态恢复</w:t>
            </w:r>
            <w:r>
              <w:rPr>
                <w:rFonts w:hint="eastAsia"/>
                <w:sz w:val="24"/>
                <w:szCs w:val="22"/>
              </w:rPr>
              <w:t>，</w:t>
            </w:r>
            <w:r>
              <w:rPr>
                <w:bCs/>
                <w:spacing w:val="10"/>
                <w:sz w:val="24"/>
                <w:szCs w:val="21"/>
              </w:rPr>
              <w:t>尽可能恢复原状地貌</w:t>
            </w:r>
            <w:r>
              <w:rPr>
                <w:rFonts w:hint="eastAsia"/>
                <w:bCs/>
                <w:spacing w:val="10"/>
                <w:sz w:val="24"/>
                <w:szCs w:val="21"/>
              </w:rPr>
              <w:t>植被；</w:t>
            </w:r>
          </w:p>
          <w:p>
            <w:pPr>
              <w:adjustRightInd w:val="0"/>
              <w:snapToGrid w:val="0"/>
              <w:spacing w:line="408" w:lineRule="auto"/>
              <w:ind w:firstLine="520" w:firstLineChars="200"/>
              <w:rPr>
                <w:bCs/>
                <w:spacing w:val="10"/>
                <w:sz w:val="24"/>
                <w:szCs w:val="21"/>
              </w:rPr>
            </w:pPr>
            <w:r>
              <w:rPr>
                <w:rFonts w:hint="eastAsia"/>
                <w:bCs/>
                <w:spacing w:val="10"/>
                <w:sz w:val="24"/>
                <w:szCs w:val="21"/>
              </w:rPr>
              <w:t>4））桥涵基础挖方产生土方用于场地平整和回填路基或装卸站场，临时土方堆区等易发生水土流失处，设置相应的防护，减少水土流失量；遮盖防尘网等措施，减少大风天气产生的扬尘污染；</w:t>
            </w:r>
          </w:p>
          <w:p>
            <w:pPr>
              <w:adjustRightInd w:val="0"/>
              <w:snapToGrid w:val="0"/>
              <w:spacing w:line="408" w:lineRule="auto"/>
              <w:ind w:firstLine="520" w:firstLineChars="200"/>
              <w:rPr>
                <w:bCs/>
                <w:spacing w:val="10"/>
                <w:sz w:val="24"/>
                <w:szCs w:val="21"/>
              </w:rPr>
            </w:pPr>
            <w:r>
              <w:rPr>
                <w:bCs/>
                <w:spacing w:val="10"/>
                <w:sz w:val="24"/>
                <w:szCs w:val="21"/>
              </w:rPr>
              <w:t>5</w:t>
            </w:r>
            <w:r>
              <w:rPr>
                <w:rFonts w:hint="eastAsia"/>
                <w:bCs/>
                <w:spacing w:val="10"/>
                <w:sz w:val="24"/>
                <w:szCs w:val="21"/>
              </w:rPr>
              <w:t>）注意施工现场周围的环境保护，将施工、生活垃圾妥善处理，灌溉渠处施工点设置围挡，严禁土石方洒落附近灌溉渠，严禁将垃圾或其他杂物抛入其中。</w:t>
            </w:r>
          </w:p>
          <w:p>
            <w:pPr>
              <w:adjustRightInd w:val="0"/>
              <w:snapToGrid w:val="0"/>
              <w:spacing w:line="408" w:lineRule="auto"/>
              <w:ind w:firstLine="520" w:firstLineChars="200"/>
              <w:rPr>
                <w:bCs/>
                <w:spacing w:val="10"/>
                <w:sz w:val="24"/>
                <w:szCs w:val="21"/>
              </w:rPr>
            </w:pPr>
            <w:r>
              <w:rPr>
                <w:rFonts w:hint="eastAsia"/>
                <w:bCs/>
                <w:spacing w:val="10"/>
                <w:sz w:val="24"/>
                <w:szCs w:val="21"/>
              </w:rPr>
              <w:t>针对施工期可能造成的环境影响，做好施工场地环保措施落实工作，约束施工单位文明施工，减少不必要的植被破坏和水土流失。综上所述，在严格落实生态保护措施的前提下，本建设项目对生态环境的影响在可接受范围。</w:t>
            </w:r>
          </w:p>
          <w:p>
            <w:pPr>
              <w:adjustRightInd w:val="0"/>
              <w:snapToGrid w:val="0"/>
              <w:spacing w:line="408" w:lineRule="auto"/>
              <w:ind w:firstLine="522" w:firstLineChars="200"/>
              <w:rPr>
                <w:b/>
                <w:bCs/>
                <w:spacing w:val="10"/>
                <w:sz w:val="24"/>
                <w:szCs w:val="21"/>
              </w:rPr>
            </w:pPr>
            <w:r>
              <w:rPr>
                <w:rFonts w:hint="eastAsia"/>
                <w:b/>
                <w:bCs/>
                <w:spacing w:val="10"/>
                <w:sz w:val="24"/>
                <w:szCs w:val="21"/>
              </w:rPr>
              <w:t>（4）生态恢复措施</w:t>
            </w:r>
          </w:p>
          <w:p>
            <w:pPr>
              <w:adjustRightInd w:val="0"/>
              <w:snapToGrid w:val="0"/>
              <w:spacing w:line="408" w:lineRule="auto"/>
              <w:ind w:firstLine="520" w:firstLineChars="200"/>
              <w:rPr>
                <w:bCs/>
                <w:spacing w:val="10"/>
                <w:sz w:val="24"/>
                <w:szCs w:val="21"/>
              </w:rPr>
            </w:pPr>
            <w:r>
              <w:rPr>
                <w:rFonts w:hint="eastAsia"/>
                <w:bCs/>
                <w:spacing w:val="10"/>
                <w:sz w:val="24"/>
                <w:szCs w:val="21"/>
              </w:rPr>
              <w:t>项目生态影响主要体现在专用线永久占地上，施工过程破坏地表植被，降低区域内植被覆盖率，改变自然景观。</w:t>
            </w:r>
          </w:p>
          <w:p>
            <w:pPr>
              <w:adjustRightInd w:val="0"/>
              <w:snapToGrid w:val="0"/>
              <w:spacing w:line="408" w:lineRule="auto"/>
              <w:ind w:firstLine="520" w:firstLineChars="200"/>
              <w:rPr>
                <w:bCs/>
                <w:spacing w:val="10"/>
                <w:sz w:val="24"/>
                <w:szCs w:val="21"/>
              </w:rPr>
            </w:pPr>
            <w:r>
              <w:rPr>
                <w:rFonts w:hint="eastAsia"/>
                <w:bCs/>
                <w:spacing w:val="10"/>
                <w:sz w:val="24"/>
                <w:szCs w:val="21"/>
              </w:rPr>
              <w:t>生态恢复目标：地形地貌景观与周围地区协调统一。</w:t>
            </w:r>
          </w:p>
          <w:p>
            <w:pPr>
              <w:adjustRightInd w:val="0"/>
              <w:snapToGrid w:val="0"/>
              <w:spacing w:line="408" w:lineRule="auto"/>
              <w:ind w:firstLine="520" w:firstLineChars="200"/>
              <w:rPr>
                <w:bCs/>
                <w:spacing w:val="10"/>
                <w:sz w:val="24"/>
                <w:szCs w:val="21"/>
              </w:rPr>
            </w:pPr>
            <w:r>
              <w:rPr>
                <w:rFonts w:hint="eastAsia"/>
                <w:bCs/>
                <w:spacing w:val="10"/>
                <w:sz w:val="24"/>
                <w:szCs w:val="21"/>
              </w:rPr>
              <w:t>专用线永久占地生态恢复措施：专用线建成后，在装卸站站场两侧进行绿化，选择适应性强，防尘效果好的植物进行种植，增加区域内植被覆盖率。</w:t>
            </w:r>
          </w:p>
          <w:p>
            <w:pPr>
              <w:adjustRightInd w:val="0"/>
              <w:snapToGrid w:val="0"/>
              <w:spacing w:line="408" w:lineRule="auto"/>
              <w:ind w:firstLine="520" w:firstLineChars="200"/>
              <w:rPr>
                <w:bCs/>
                <w:spacing w:val="10"/>
                <w:sz w:val="24"/>
                <w:szCs w:val="21"/>
              </w:rPr>
            </w:pPr>
            <w:r>
              <w:rPr>
                <w:rFonts w:hint="eastAsia"/>
                <w:bCs/>
                <w:spacing w:val="10"/>
                <w:sz w:val="24"/>
                <w:szCs w:val="21"/>
              </w:rPr>
              <w:t>景观生态恢复措施：根据现场调查，专用线区域地势平坦，施工结束后要求</w:t>
            </w:r>
            <w:r>
              <w:rPr>
                <w:bCs/>
                <w:spacing w:val="10"/>
                <w:sz w:val="24"/>
                <w:szCs w:val="21"/>
              </w:rPr>
              <w:t>对施工场地进行平整、压实</w:t>
            </w:r>
            <w:r>
              <w:rPr>
                <w:rFonts w:hint="eastAsia"/>
                <w:bCs/>
                <w:spacing w:val="10"/>
                <w:sz w:val="24"/>
                <w:szCs w:val="21"/>
              </w:rPr>
              <w:t>，恢复原有自然景观。</w:t>
            </w:r>
          </w:p>
          <w:p>
            <w:pPr>
              <w:adjustRightInd w:val="0"/>
              <w:snapToGrid w:val="0"/>
              <w:spacing w:line="408" w:lineRule="auto"/>
              <w:ind w:firstLine="522" w:firstLineChars="200"/>
              <w:rPr>
                <w:b/>
                <w:bCs/>
                <w:spacing w:val="10"/>
                <w:sz w:val="24"/>
                <w:szCs w:val="21"/>
              </w:rPr>
            </w:pPr>
            <w:r>
              <w:rPr>
                <w:rFonts w:hint="eastAsia"/>
                <w:b/>
                <w:bCs/>
                <w:spacing w:val="10"/>
                <w:sz w:val="24"/>
                <w:szCs w:val="21"/>
              </w:rPr>
              <w:t>2、施工期水污染防治措施</w:t>
            </w:r>
          </w:p>
          <w:p>
            <w:pPr>
              <w:adjustRightInd w:val="0"/>
              <w:snapToGrid w:val="0"/>
              <w:spacing w:line="408" w:lineRule="auto"/>
              <w:ind w:firstLine="520" w:firstLineChars="200"/>
              <w:rPr>
                <w:bCs/>
                <w:spacing w:val="10"/>
                <w:sz w:val="24"/>
                <w:szCs w:val="21"/>
              </w:rPr>
            </w:pPr>
            <w:r>
              <w:rPr>
                <w:bCs/>
                <w:spacing w:val="10"/>
                <w:sz w:val="24"/>
                <w:szCs w:val="21"/>
              </w:rPr>
              <w:t>本项目施工期水环境影响包括生活污水和施工废水。施工人员生活污水主要污染物为COD、BOD、氨氮、SS等；项目施工期会投入一定的机械设备和运输车辆，设备和车辆在施工期维修保养或产生一定施工废水，此类污水泥沙含量高。防治措施：</w:t>
            </w:r>
          </w:p>
          <w:p>
            <w:pPr>
              <w:adjustRightInd w:val="0"/>
              <w:snapToGrid w:val="0"/>
              <w:spacing w:line="408" w:lineRule="auto"/>
              <w:ind w:firstLine="520" w:firstLineChars="200"/>
              <w:rPr>
                <w:bCs/>
                <w:spacing w:val="10"/>
                <w:sz w:val="24"/>
                <w:szCs w:val="21"/>
              </w:rPr>
            </w:pPr>
            <w:r>
              <w:rPr>
                <w:bCs/>
                <w:spacing w:val="10"/>
                <w:sz w:val="24"/>
                <w:szCs w:val="21"/>
              </w:rPr>
              <w:t>（1）要求建设单位施工场地新建沉淀池生活污水处理后用于场地洒水抑尘</w:t>
            </w:r>
            <w:r>
              <w:rPr>
                <w:rFonts w:hint="eastAsia"/>
                <w:bCs/>
                <w:spacing w:val="10"/>
                <w:sz w:val="24"/>
                <w:szCs w:val="21"/>
              </w:rPr>
              <w:t>，禁止随意乱排至附近灌溉渠等水体；</w:t>
            </w:r>
          </w:p>
          <w:p>
            <w:pPr>
              <w:adjustRightInd w:val="0"/>
              <w:snapToGrid w:val="0"/>
              <w:spacing w:line="408" w:lineRule="auto"/>
              <w:ind w:firstLine="520" w:firstLineChars="200"/>
              <w:rPr>
                <w:bCs/>
                <w:spacing w:val="10"/>
                <w:sz w:val="24"/>
                <w:szCs w:val="21"/>
              </w:rPr>
            </w:pPr>
            <w:r>
              <w:rPr>
                <w:bCs/>
                <w:spacing w:val="10"/>
                <w:sz w:val="24"/>
                <w:szCs w:val="21"/>
              </w:rPr>
              <w:t>（2）加强施工期工地用水管理，节约用水；</w:t>
            </w:r>
            <w:r>
              <w:rPr>
                <w:rFonts w:hint="eastAsia"/>
                <w:bCs/>
                <w:spacing w:val="10"/>
                <w:sz w:val="24"/>
                <w:szCs w:val="21"/>
              </w:rPr>
              <w:t>严禁用灌溉渠水冲洗车辆；</w:t>
            </w:r>
          </w:p>
          <w:p>
            <w:pPr>
              <w:adjustRightInd w:val="0"/>
              <w:snapToGrid w:val="0"/>
              <w:spacing w:line="408" w:lineRule="auto"/>
              <w:ind w:firstLine="520" w:firstLineChars="200"/>
              <w:rPr>
                <w:bCs/>
                <w:spacing w:val="10"/>
                <w:sz w:val="24"/>
                <w:szCs w:val="21"/>
              </w:rPr>
            </w:pPr>
            <w:r>
              <w:rPr>
                <w:bCs/>
                <w:spacing w:val="10"/>
                <w:sz w:val="24"/>
                <w:szCs w:val="21"/>
              </w:rPr>
              <w:t>（3）</w:t>
            </w:r>
            <w:r>
              <w:rPr>
                <w:rFonts w:hint="eastAsia"/>
                <w:bCs/>
                <w:spacing w:val="10"/>
                <w:sz w:val="24"/>
                <w:szCs w:val="21"/>
              </w:rPr>
              <w:t>距离灌溉渠较近的地方设置围挡，避免</w:t>
            </w:r>
            <w:r>
              <w:rPr>
                <w:bCs/>
                <w:spacing w:val="10"/>
                <w:sz w:val="24"/>
                <w:szCs w:val="21"/>
              </w:rPr>
              <w:t>施工物料运输材料洒漏，污染周边灌溉水渠；临时</w:t>
            </w:r>
            <w:r>
              <w:rPr>
                <w:rFonts w:hint="eastAsia"/>
                <w:bCs/>
                <w:spacing w:val="10"/>
                <w:sz w:val="24"/>
                <w:szCs w:val="21"/>
              </w:rPr>
              <w:t>物料或土方</w:t>
            </w:r>
            <w:r>
              <w:rPr>
                <w:bCs/>
                <w:spacing w:val="10"/>
                <w:sz w:val="24"/>
                <w:szCs w:val="21"/>
              </w:rPr>
              <w:t>堆场、料材堆放不得设置于灌溉水渠附近；所有施工废水不得排入灌溉水渠，经沉淀池处理后</w:t>
            </w:r>
            <w:r>
              <w:rPr>
                <w:rFonts w:hint="eastAsia"/>
                <w:bCs/>
                <w:spacing w:val="10"/>
                <w:sz w:val="24"/>
                <w:szCs w:val="21"/>
              </w:rPr>
              <w:t>用于场地洒水抑尘，对周围环境影响较小</w:t>
            </w:r>
            <w:r>
              <w:rPr>
                <w:bCs/>
                <w:spacing w:val="10"/>
                <w:sz w:val="24"/>
                <w:szCs w:val="21"/>
              </w:rPr>
              <w:t>。</w:t>
            </w:r>
          </w:p>
          <w:p>
            <w:pPr>
              <w:adjustRightInd w:val="0"/>
              <w:snapToGrid w:val="0"/>
              <w:spacing w:line="408" w:lineRule="auto"/>
              <w:ind w:firstLine="522" w:firstLineChars="200"/>
              <w:rPr>
                <w:b/>
                <w:bCs/>
                <w:spacing w:val="10"/>
                <w:sz w:val="24"/>
                <w:szCs w:val="21"/>
              </w:rPr>
            </w:pPr>
            <w:r>
              <w:rPr>
                <w:rFonts w:hint="eastAsia"/>
                <w:b/>
                <w:bCs/>
                <w:spacing w:val="10"/>
                <w:sz w:val="24"/>
                <w:szCs w:val="21"/>
              </w:rPr>
              <w:t>3、施工期废气防治措施</w:t>
            </w:r>
          </w:p>
          <w:p>
            <w:pPr>
              <w:adjustRightInd w:val="0"/>
              <w:snapToGrid w:val="0"/>
              <w:spacing w:line="408" w:lineRule="auto"/>
              <w:ind w:firstLine="522" w:firstLineChars="200"/>
              <w:rPr>
                <w:b/>
                <w:bCs/>
                <w:spacing w:val="10"/>
                <w:sz w:val="24"/>
                <w:szCs w:val="21"/>
              </w:rPr>
            </w:pPr>
            <w:r>
              <w:rPr>
                <w:rFonts w:hint="eastAsia"/>
                <w:b/>
                <w:bCs/>
                <w:spacing w:val="10"/>
                <w:sz w:val="24"/>
                <w:szCs w:val="21"/>
              </w:rPr>
              <w:t>（1）施工扬尘防治措施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为减轻施工扬尘对周边环境的影响，建议采取以下防治措施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施工场地：</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w:t>
            </w:r>
            <w:r>
              <w:rPr>
                <w:rFonts w:hint="eastAsia"/>
                <w:bCs/>
                <w:spacing w:val="10"/>
                <w:sz w:val="24"/>
                <w:szCs w:val="21"/>
              </w:rPr>
              <w:t>建立施工工地管理清单，将施工工地扬尘污染防治纳入文明施工管理范畴，建立扬尘控制责任制度。</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施工工地要做到工地周边围挡、物料堆放覆盖、土方开挖湿法作业、路面硬化、出入车辆清洗、渣土车辆密闭运输“六个百分百”。</w:t>
            </w:r>
          </w:p>
          <w:p>
            <w:pPr>
              <w:adjustRightInd w:val="0"/>
              <w:snapToGrid w:val="0"/>
              <w:spacing w:line="408" w:lineRule="auto"/>
              <w:ind w:firstLine="520" w:firstLineChars="200"/>
              <w:rPr>
                <w:bCs/>
                <w:spacing w:val="10"/>
                <w:sz w:val="24"/>
                <w:szCs w:val="21"/>
              </w:rPr>
            </w:pPr>
            <w:r>
              <w:rPr>
                <w:rFonts w:hint="eastAsia"/>
                <w:bCs/>
                <w:spacing w:val="10"/>
                <w:sz w:val="24"/>
                <w:szCs w:val="21"/>
              </w:rPr>
              <w:t>物料运输：</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w:t>
            </w:r>
            <w:r>
              <w:rPr>
                <w:rFonts w:hint="eastAsia"/>
                <w:bCs/>
                <w:spacing w:val="10"/>
                <w:sz w:val="24"/>
                <w:szCs w:val="21"/>
              </w:rPr>
              <w:t>土方来源为外购，严格渣土运输车辆规范化管理，渣土运输车要密闭。</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进出工地的物料、渣土、垃圾运输车辆，应尽可能采用密闭车斗，并保证物料不遗撒外漏。</w:t>
            </w:r>
          </w:p>
          <w:p>
            <w:pPr>
              <w:adjustRightInd w:val="0"/>
              <w:snapToGrid w:val="0"/>
              <w:spacing w:line="408" w:lineRule="auto"/>
              <w:ind w:firstLine="520" w:firstLineChars="200"/>
              <w:rPr>
                <w:bCs/>
                <w:spacing w:val="10"/>
                <w:sz w:val="24"/>
                <w:szCs w:val="21"/>
              </w:rPr>
            </w:pPr>
            <w:r>
              <w:rPr>
                <w:rFonts w:hint="eastAsia"/>
                <w:bCs/>
                <w:spacing w:val="10"/>
                <w:sz w:val="24"/>
                <w:szCs w:val="21"/>
              </w:rPr>
              <w:t>临时土方：</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①</w:t>
            </w:r>
            <w:r>
              <w:rPr>
                <w:rFonts w:hint="eastAsia"/>
                <w:bCs/>
                <w:spacing w:val="10"/>
                <w:sz w:val="24"/>
                <w:szCs w:val="21"/>
              </w:rPr>
              <w:t>工地裸露地面、道砟碎石等临时堆放区应覆盖防尘布或防尘网、定期洒水降尘，保证文明施工，防止扬尘对周围环境造成影响。</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②</w:t>
            </w:r>
            <w:r>
              <w:rPr>
                <w:rFonts w:hint="eastAsia"/>
                <w:bCs/>
                <w:spacing w:val="10"/>
                <w:sz w:val="24"/>
                <w:szCs w:val="21"/>
              </w:rPr>
              <w:t>遇到四级或四级以上大风天气，应停止土方作业，同时作业处加盖防尘网。</w:t>
            </w:r>
          </w:p>
          <w:p>
            <w:pPr>
              <w:adjustRightInd w:val="0"/>
              <w:snapToGrid w:val="0"/>
              <w:spacing w:line="408" w:lineRule="auto"/>
              <w:ind w:firstLine="520" w:firstLineChars="200"/>
              <w:rPr>
                <w:bCs/>
                <w:spacing w:val="10"/>
                <w:sz w:val="24"/>
                <w:szCs w:val="21"/>
              </w:rPr>
            </w:pPr>
            <w:r>
              <w:rPr>
                <w:rFonts w:hint="eastAsia" w:ascii="宋体" w:hAnsi="宋体" w:cs="宋体"/>
                <w:bCs/>
                <w:spacing w:val="10"/>
                <w:sz w:val="24"/>
                <w:szCs w:val="21"/>
              </w:rPr>
              <w:t>③</w:t>
            </w:r>
            <w:r>
              <w:rPr>
                <w:rFonts w:hint="eastAsia"/>
                <w:bCs/>
                <w:spacing w:val="10"/>
                <w:sz w:val="24"/>
                <w:szCs w:val="21"/>
              </w:rPr>
              <w:t>涵洞基础开挖产生临时土方，</w:t>
            </w:r>
            <w:r>
              <w:rPr>
                <w:rFonts w:hint="eastAsia"/>
                <w:bCs/>
                <w:sz w:val="24"/>
              </w:rPr>
              <w:t>临时土方堆区等易发生水土流失处，施工单位须在边缘修建拦渣墙和排水沟，减少水土流失量；遮盖防尘网等措施，减少大风天气产生的扬尘污染。</w:t>
            </w:r>
          </w:p>
          <w:p>
            <w:pPr>
              <w:adjustRightInd w:val="0"/>
              <w:snapToGrid w:val="0"/>
              <w:spacing w:line="408" w:lineRule="auto"/>
              <w:ind w:firstLine="520" w:firstLineChars="200"/>
              <w:rPr>
                <w:rFonts w:ascii="宋体" w:hAnsi="宋体" w:cs="宋体"/>
                <w:bCs/>
                <w:spacing w:val="10"/>
                <w:sz w:val="24"/>
                <w:szCs w:val="21"/>
              </w:rPr>
            </w:pPr>
            <w:r>
              <w:rPr>
                <w:rFonts w:hint="eastAsia" w:ascii="宋体" w:hAnsi="宋体" w:cs="宋体"/>
                <w:bCs/>
                <w:spacing w:val="10"/>
                <w:sz w:val="24"/>
                <w:szCs w:val="21"/>
              </w:rPr>
              <w:t>运输车辆管理：</w:t>
            </w:r>
          </w:p>
          <w:p>
            <w:pPr>
              <w:adjustRightInd w:val="0"/>
              <w:snapToGrid w:val="0"/>
              <w:spacing w:line="408" w:lineRule="auto"/>
              <w:ind w:firstLine="520" w:firstLineChars="200"/>
              <w:rPr>
                <w:rFonts w:ascii="宋体" w:hAnsi="宋体" w:cs="宋体"/>
                <w:bCs/>
                <w:spacing w:val="10"/>
                <w:sz w:val="24"/>
                <w:szCs w:val="21"/>
              </w:rPr>
            </w:pPr>
            <w:r>
              <w:rPr>
                <w:rFonts w:hint="eastAsia"/>
                <w:bCs/>
                <w:spacing w:val="10"/>
                <w:sz w:val="24"/>
                <w:szCs w:val="21"/>
              </w:rPr>
              <w:t>加强施工期机械、车辆行驶路线管理，划定明确的施工作业范围和行驶路线</w:t>
            </w:r>
            <w:r>
              <w:rPr>
                <w:rFonts w:hint="eastAsia" w:ascii="宋体" w:hAnsi="宋体" w:cs="宋体"/>
                <w:bCs/>
                <w:spacing w:val="10"/>
                <w:sz w:val="24"/>
                <w:szCs w:val="21"/>
              </w:rPr>
              <w:t>，运输过程控制车速，避免因车速过快造成物料洒落</w:t>
            </w:r>
            <w:r>
              <w:rPr>
                <w:rFonts w:hint="eastAsia"/>
                <w:bCs/>
                <w:spacing w:val="10"/>
                <w:sz w:val="24"/>
                <w:szCs w:val="21"/>
              </w:rPr>
              <w:t>。</w:t>
            </w:r>
          </w:p>
          <w:p>
            <w:pPr>
              <w:adjustRightInd w:val="0"/>
              <w:snapToGrid w:val="0"/>
              <w:spacing w:line="408" w:lineRule="auto"/>
              <w:ind w:firstLine="522" w:firstLineChars="200"/>
              <w:rPr>
                <w:b/>
                <w:bCs/>
                <w:spacing w:val="10"/>
                <w:sz w:val="24"/>
                <w:szCs w:val="21"/>
              </w:rPr>
            </w:pPr>
            <w:r>
              <w:rPr>
                <w:rFonts w:hint="eastAsia"/>
                <w:b/>
                <w:bCs/>
                <w:spacing w:val="10"/>
                <w:sz w:val="24"/>
                <w:szCs w:val="21"/>
              </w:rPr>
              <w:t>（2）施工机械、车辆尾气防治措施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本项目施工期施工机械废气排放总量较少，影响范围亦仅局限于施工机械和施工运输道路周围局部区域，且该影响随着施工的结束而终止。因此，工程施工期间施工机械产生的废气对区域环境空气影响较小。建议建设单位定期维修保养施工机械和运输车辆；选用正规燃油；加强管理，减轻机械废气对周围环境的影响。</w:t>
            </w:r>
          </w:p>
          <w:p>
            <w:pPr>
              <w:adjustRightInd w:val="0"/>
              <w:snapToGrid w:val="0"/>
              <w:spacing w:line="408" w:lineRule="auto"/>
              <w:ind w:firstLine="520" w:firstLineChars="200"/>
              <w:rPr>
                <w:bCs/>
                <w:spacing w:val="10"/>
                <w:sz w:val="24"/>
                <w:szCs w:val="21"/>
              </w:rPr>
            </w:pPr>
            <w:r>
              <w:rPr>
                <w:bCs/>
                <w:spacing w:val="10"/>
                <w:sz w:val="24"/>
                <w:szCs w:val="21"/>
              </w:rPr>
              <w:t>监测计划：</w:t>
            </w:r>
          </w:p>
          <w:p>
            <w:pPr>
              <w:spacing w:line="460" w:lineRule="exact"/>
              <w:ind w:firstLine="442" w:firstLineChars="200"/>
              <w:jc w:val="center"/>
              <w:rPr>
                <w:b/>
                <w:sz w:val="22"/>
              </w:rPr>
            </w:pPr>
            <w:r>
              <w:rPr>
                <w:b/>
                <w:sz w:val="22"/>
              </w:rPr>
              <w:t>表21 施工期废气监测计划表</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543"/>
              <w:gridCol w:w="1436"/>
              <w:gridCol w:w="1915"/>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68" w:type="pct"/>
                  <w:tcBorders>
                    <w:top w:val="single" w:color="auto" w:sz="18" w:space="0"/>
                    <w:left w:val="nil"/>
                    <w:bottom w:val="single" w:color="auto" w:sz="4" w:space="0"/>
                    <w:right w:val="single" w:color="auto" w:sz="4" w:space="0"/>
                  </w:tcBorders>
                  <w:vAlign w:val="center"/>
                </w:tcPr>
                <w:p>
                  <w:pPr>
                    <w:pStyle w:val="52"/>
                    <w:rPr>
                      <w:sz w:val="24"/>
                      <w:szCs w:val="24"/>
                      <w:lang w:eastAsia="zh-CN" w:bidi="ar-SA"/>
                    </w:rPr>
                  </w:pPr>
                  <w:r>
                    <w:rPr>
                      <w:sz w:val="24"/>
                      <w:szCs w:val="24"/>
                      <w:lang w:eastAsia="zh-CN" w:bidi="ar-SA"/>
                    </w:rPr>
                    <w:t>监测对象</w:t>
                  </w:r>
                </w:p>
              </w:tc>
              <w:tc>
                <w:tcPr>
                  <w:tcW w:w="936" w:type="pct"/>
                  <w:tcBorders>
                    <w:top w:val="single" w:color="auto" w:sz="18" w:space="0"/>
                    <w:left w:val="single" w:color="auto" w:sz="4" w:space="0"/>
                    <w:bottom w:val="single" w:color="auto" w:sz="4" w:space="0"/>
                    <w:right w:val="single" w:color="auto" w:sz="4" w:space="0"/>
                  </w:tcBorders>
                  <w:vAlign w:val="center"/>
                </w:tcPr>
                <w:p>
                  <w:pPr>
                    <w:pStyle w:val="52"/>
                    <w:rPr>
                      <w:sz w:val="24"/>
                      <w:szCs w:val="24"/>
                      <w:lang w:eastAsia="zh-CN" w:bidi="ar-SA"/>
                    </w:rPr>
                  </w:pPr>
                  <w:r>
                    <w:rPr>
                      <w:sz w:val="24"/>
                      <w:szCs w:val="24"/>
                      <w:lang w:eastAsia="zh-CN" w:bidi="ar-SA"/>
                    </w:rPr>
                    <w:t>监测项目</w:t>
                  </w:r>
                </w:p>
              </w:tc>
              <w:tc>
                <w:tcPr>
                  <w:tcW w:w="871" w:type="pct"/>
                  <w:tcBorders>
                    <w:top w:val="single" w:color="auto" w:sz="18" w:space="0"/>
                    <w:left w:val="single" w:color="auto" w:sz="4" w:space="0"/>
                    <w:bottom w:val="single" w:color="auto" w:sz="4" w:space="0"/>
                    <w:right w:val="single" w:color="auto" w:sz="4" w:space="0"/>
                  </w:tcBorders>
                  <w:vAlign w:val="center"/>
                </w:tcPr>
                <w:p>
                  <w:pPr>
                    <w:pStyle w:val="52"/>
                    <w:rPr>
                      <w:sz w:val="24"/>
                      <w:szCs w:val="24"/>
                      <w:lang w:eastAsia="zh-CN" w:bidi="ar-SA"/>
                    </w:rPr>
                  </w:pPr>
                  <w:r>
                    <w:rPr>
                      <w:sz w:val="24"/>
                      <w:szCs w:val="24"/>
                      <w:lang w:eastAsia="zh-CN" w:bidi="ar-SA"/>
                    </w:rPr>
                    <w:t>监测位置</w:t>
                  </w:r>
                </w:p>
              </w:tc>
              <w:tc>
                <w:tcPr>
                  <w:tcW w:w="1162" w:type="pct"/>
                  <w:tcBorders>
                    <w:top w:val="single" w:color="auto" w:sz="18" w:space="0"/>
                    <w:left w:val="single" w:color="auto" w:sz="4" w:space="0"/>
                    <w:bottom w:val="single" w:color="auto" w:sz="4" w:space="0"/>
                    <w:right w:val="nil"/>
                  </w:tcBorders>
                  <w:vAlign w:val="center"/>
                </w:tcPr>
                <w:p>
                  <w:pPr>
                    <w:pStyle w:val="52"/>
                    <w:rPr>
                      <w:sz w:val="24"/>
                      <w:szCs w:val="24"/>
                      <w:lang w:eastAsia="zh-CN" w:bidi="ar-SA"/>
                    </w:rPr>
                  </w:pPr>
                  <w:r>
                    <w:rPr>
                      <w:sz w:val="24"/>
                      <w:szCs w:val="24"/>
                      <w:lang w:eastAsia="zh-CN" w:bidi="ar-SA"/>
                    </w:rPr>
                    <w:t>监测频次</w:t>
                  </w:r>
                </w:p>
              </w:tc>
              <w:tc>
                <w:tcPr>
                  <w:tcW w:w="1163" w:type="pct"/>
                  <w:tcBorders>
                    <w:top w:val="single" w:color="auto" w:sz="18" w:space="0"/>
                    <w:left w:val="single" w:color="auto" w:sz="4" w:space="0"/>
                    <w:bottom w:val="single" w:color="auto" w:sz="4" w:space="0"/>
                    <w:right w:val="nil"/>
                  </w:tcBorders>
                  <w:vAlign w:val="center"/>
                </w:tcPr>
                <w:p>
                  <w:pPr>
                    <w:pStyle w:val="52"/>
                    <w:rPr>
                      <w:sz w:val="24"/>
                      <w:szCs w:val="24"/>
                      <w:lang w:eastAsia="zh-CN" w:bidi="ar-SA"/>
                    </w:rPr>
                  </w:pPr>
                  <w:r>
                    <w:rPr>
                      <w:sz w:val="24"/>
                      <w:szCs w:val="24"/>
                      <w:lang w:eastAsia="zh-CN" w:bidi="ar-SA"/>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tcBorders>
                    <w:top w:val="single" w:color="auto" w:sz="4" w:space="0"/>
                    <w:left w:val="nil"/>
                    <w:bottom w:val="single" w:color="auto" w:sz="18" w:space="0"/>
                    <w:right w:val="single" w:color="auto" w:sz="4" w:space="0"/>
                  </w:tcBorders>
                  <w:vAlign w:val="center"/>
                </w:tcPr>
                <w:p>
                  <w:pPr>
                    <w:pStyle w:val="52"/>
                    <w:rPr>
                      <w:sz w:val="24"/>
                      <w:szCs w:val="24"/>
                      <w:lang w:eastAsia="zh-CN" w:bidi="ar-SA"/>
                    </w:rPr>
                  </w:pPr>
                  <w:r>
                    <w:rPr>
                      <w:sz w:val="24"/>
                      <w:szCs w:val="24"/>
                      <w:lang w:eastAsia="zh-CN" w:bidi="ar-SA"/>
                    </w:rPr>
                    <w:t>施工厂界</w:t>
                  </w:r>
                </w:p>
              </w:tc>
              <w:tc>
                <w:tcPr>
                  <w:tcW w:w="936" w:type="pct"/>
                  <w:tcBorders>
                    <w:top w:val="single" w:color="auto" w:sz="4" w:space="0"/>
                    <w:left w:val="single" w:color="auto" w:sz="4" w:space="0"/>
                    <w:bottom w:val="single" w:color="auto" w:sz="18" w:space="0"/>
                    <w:right w:val="single" w:color="auto" w:sz="4" w:space="0"/>
                  </w:tcBorders>
                  <w:vAlign w:val="center"/>
                </w:tcPr>
                <w:p>
                  <w:pPr>
                    <w:pStyle w:val="52"/>
                    <w:rPr>
                      <w:sz w:val="24"/>
                      <w:szCs w:val="24"/>
                      <w:lang w:eastAsia="zh-CN" w:bidi="ar-SA"/>
                    </w:rPr>
                  </w:pPr>
                  <w:r>
                    <w:rPr>
                      <w:sz w:val="24"/>
                      <w:szCs w:val="24"/>
                      <w:lang w:eastAsia="zh-CN" w:bidi="ar-SA"/>
                    </w:rPr>
                    <w:t>颗粒物</w:t>
                  </w:r>
                </w:p>
              </w:tc>
              <w:tc>
                <w:tcPr>
                  <w:tcW w:w="871" w:type="pct"/>
                  <w:tcBorders>
                    <w:top w:val="single" w:color="auto" w:sz="4" w:space="0"/>
                    <w:left w:val="single" w:color="auto" w:sz="4" w:space="0"/>
                    <w:bottom w:val="single" w:color="auto" w:sz="18" w:space="0"/>
                    <w:right w:val="single" w:color="auto" w:sz="4" w:space="0"/>
                  </w:tcBorders>
                  <w:vAlign w:val="center"/>
                </w:tcPr>
                <w:p>
                  <w:pPr>
                    <w:pStyle w:val="52"/>
                    <w:rPr>
                      <w:sz w:val="24"/>
                      <w:szCs w:val="24"/>
                      <w:lang w:eastAsia="zh-CN" w:bidi="ar-SA"/>
                    </w:rPr>
                  </w:pPr>
                  <w:r>
                    <w:rPr>
                      <w:sz w:val="24"/>
                      <w:szCs w:val="24"/>
                      <w:lang w:eastAsia="zh-CN" w:bidi="ar-SA"/>
                    </w:rPr>
                    <w:t>上风向1个、下风向3个</w:t>
                  </w:r>
                </w:p>
              </w:tc>
              <w:tc>
                <w:tcPr>
                  <w:tcW w:w="1162" w:type="pct"/>
                  <w:tcBorders>
                    <w:top w:val="single" w:color="auto" w:sz="4" w:space="0"/>
                    <w:left w:val="single" w:color="auto" w:sz="4" w:space="0"/>
                    <w:bottom w:val="single" w:color="auto" w:sz="18" w:space="0"/>
                    <w:right w:val="nil"/>
                  </w:tcBorders>
                  <w:vAlign w:val="center"/>
                </w:tcPr>
                <w:p>
                  <w:pPr>
                    <w:pStyle w:val="52"/>
                    <w:rPr>
                      <w:sz w:val="24"/>
                      <w:szCs w:val="24"/>
                      <w:lang w:eastAsia="zh-CN" w:bidi="ar-SA"/>
                    </w:rPr>
                  </w:pPr>
                  <w:r>
                    <w:rPr>
                      <w:sz w:val="24"/>
                      <w:szCs w:val="24"/>
                      <w:lang w:eastAsia="zh-CN" w:bidi="ar-SA"/>
                    </w:rPr>
                    <w:t>1次/年</w:t>
                  </w:r>
                </w:p>
              </w:tc>
              <w:tc>
                <w:tcPr>
                  <w:tcW w:w="1163" w:type="pct"/>
                  <w:tcBorders>
                    <w:top w:val="single" w:color="auto" w:sz="4" w:space="0"/>
                    <w:left w:val="single" w:color="auto" w:sz="4" w:space="0"/>
                    <w:bottom w:val="single" w:color="auto" w:sz="18" w:space="0"/>
                    <w:right w:val="nil"/>
                  </w:tcBorders>
                  <w:vAlign w:val="center"/>
                </w:tcPr>
                <w:p>
                  <w:pPr>
                    <w:pStyle w:val="52"/>
                    <w:rPr>
                      <w:sz w:val="24"/>
                      <w:szCs w:val="24"/>
                      <w:lang w:eastAsia="zh-CN" w:bidi="ar-SA"/>
                    </w:rPr>
                  </w:pPr>
                  <w:r>
                    <w:rPr>
                      <w:sz w:val="24"/>
                      <w:szCs w:val="24"/>
                      <w:lang w:eastAsia="zh-CN" w:bidi="ar-SA"/>
                    </w:rPr>
                    <w:t>施工厂界颗粒物满足《大气污染物综合排放标准》（GB16297-1996）</w:t>
                  </w:r>
                </w:p>
              </w:tc>
            </w:tr>
          </w:tbl>
          <w:p>
            <w:pPr>
              <w:adjustRightInd w:val="0"/>
              <w:snapToGrid w:val="0"/>
              <w:spacing w:line="408" w:lineRule="auto"/>
              <w:ind w:firstLine="520" w:firstLineChars="200"/>
              <w:rPr>
                <w:bCs/>
                <w:spacing w:val="10"/>
                <w:sz w:val="24"/>
                <w:szCs w:val="21"/>
              </w:rPr>
            </w:pPr>
          </w:p>
          <w:p>
            <w:pPr>
              <w:adjustRightInd w:val="0"/>
              <w:snapToGrid w:val="0"/>
              <w:spacing w:line="408" w:lineRule="auto"/>
              <w:ind w:firstLine="522" w:firstLineChars="200"/>
              <w:rPr>
                <w:b/>
                <w:bCs/>
                <w:spacing w:val="10"/>
                <w:sz w:val="24"/>
                <w:szCs w:val="21"/>
              </w:rPr>
            </w:pPr>
            <w:r>
              <w:rPr>
                <w:rFonts w:hint="eastAsia"/>
                <w:b/>
                <w:bCs/>
                <w:spacing w:val="10"/>
                <w:sz w:val="24"/>
                <w:szCs w:val="21"/>
              </w:rPr>
              <w:t>4、施工期噪声防治措施</w:t>
            </w:r>
          </w:p>
          <w:p>
            <w:pPr>
              <w:pStyle w:val="38"/>
              <w:snapToGrid w:val="0"/>
              <w:spacing w:line="408" w:lineRule="auto"/>
              <w:ind w:firstLine="520"/>
              <w:rPr>
                <w:bCs/>
                <w:spacing w:val="10"/>
                <w:kern w:val="2"/>
                <w:szCs w:val="21"/>
              </w:rPr>
            </w:pPr>
            <w:r>
              <w:rPr>
                <w:rFonts w:hint="eastAsia"/>
                <w:bCs/>
                <w:spacing w:val="10"/>
                <w:kern w:val="2"/>
                <w:szCs w:val="21"/>
              </w:rPr>
              <w:t>为有效防治施工期噪声对周围环境的影响，施工单位应按照《中华人民共和国噪声污染防治法》、《建筑施工场界环境噪声排放标准》有关要求，采取相应降噪措施：</w:t>
            </w:r>
          </w:p>
          <w:p>
            <w:pPr>
              <w:pStyle w:val="38"/>
              <w:spacing w:line="408" w:lineRule="auto"/>
              <w:ind w:firstLine="520"/>
              <w:rPr>
                <w:bCs/>
                <w:spacing w:val="10"/>
                <w:kern w:val="2"/>
              </w:rPr>
            </w:pPr>
            <w:r>
              <w:rPr>
                <w:bCs/>
                <w:spacing w:val="10"/>
                <w:kern w:val="2"/>
              </w:rPr>
              <w:t>（1）强化车辆管理，严禁鸣笛，最大限度的减少流动噪声。</w:t>
            </w:r>
          </w:p>
          <w:p>
            <w:pPr>
              <w:pStyle w:val="38"/>
              <w:spacing w:line="408" w:lineRule="auto"/>
              <w:ind w:firstLine="520"/>
              <w:rPr>
                <w:bCs/>
                <w:spacing w:val="10"/>
                <w:kern w:val="2"/>
              </w:rPr>
            </w:pPr>
            <w:r>
              <w:rPr>
                <w:bCs/>
                <w:spacing w:val="10"/>
                <w:kern w:val="2"/>
              </w:rPr>
              <w:t>（2）在施工作业过程中，合理安排施工机械的工作时间，尽量避免施工机械集中工作。</w:t>
            </w:r>
          </w:p>
          <w:p>
            <w:pPr>
              <w:pStyle w:val="38"/>
              <w:spacing w:line="408" w:lineRule="auto"/>
              <w:ind w:firstLine="520"/>
              <w:rPr>
                <w:bCs/>
                <w:spacing w:val="10"/>
                <w:kern w:val="2"/>
              </w:rPr>
            </w:pPr>
            <w:r>
              <w:rPr>
                <w:bCs/>
                <w:spacing w:val="10"/>
                <w:kern w:val="2"/>
              </w:rPr>
              <w:t>（3）采用先进的低噪声施工设备。</w:t>
            </w:r>
          </w:p>
          <w:p>
            <w:pPr>
              <w:pStyle w:val="38"/>
              <w:spacing w:line="408" w:lineRule="auto"/>
              <w:ind w:firstLine="520"/>
              <w:rPr>
                <w:bCs/>
                <w:spacing w:val="10"/>
                <w:kern w:val="2"/>
              </w:rPr>
            </w:pPr>
            <w:r>
              <w:rPr>
                <w:bCs/>
                <w:spacing w:val="10"/>
                <w:kern w:val="2"/>
              </w:rPr>
              <w:t>（4）加强施工机械的维护及保养，防止设备故障形成的非正常噪声，确保减振及隔声设施发挥最佳功效。</w:t>
            </w:r>
          </w:p>
          <w:p>
            <w:pPr>
              <w:pStyle w:val="38"/>
              <w:spacing w:line="408" w:lineRule="auto"/>
              <w:ind w:firstLine="520"/>
              <w:rPr>
                <w:bCs/>
                <w:spacing w:val="10"/>
                <w:kern w:val="2"/>
                <w:szCs w:val="21"/>
              </w:rPr>
            </w:pPr>
            <w:r>
              <w:rPr>
                <w:bCs/>
                <w:spacing w:val="10"/>
                <w:kern w:val="2"/>
                <w:szCs w:val="21"/>
              </w:rPr>
              <w:t>（5）做好宣传工作，倡导科学管理和文明施工，同时，施工时做好施工人员的环保意识教育，降低人为因素造成的噪声污染；</w:t>
            </w:r>
          </w:p>
          <w:p>
            <w:pPr>
              <w:pStyle w:val="38"/>
              <w:spacing w:line="408" w:lineRule="auto"/>
              <w:ind w:firstLine="520"/>
              <w:rPr>
                <w:bCs/>
                <w:spacing w:val="10"/>
                <w:kern w:val="2"/>
                <w:szCs w:val="21"/>
              </w:rPr>
            </w:pPr>
            <w:r>
              <w:rPr>
                <w:bCs/>
                <w:spacing w:val="10"/>
                <w:kern w:val="2"/>
                <w:szCs w:val="21"/>
              </w:rPr>
              <w:t>（6）加强环境管理，严格执行国家、地方有关规定。通过以上噪声防治措施后，施工期噪声对周围环境的影</w:t>
            </w:r>
            <w:r>
              <w:rPr>
                <w:rFonts w:hint="eastAsia"/>
                <w:bCs/>
                <w:spacing w:val="10"/>
                <w:kern w:val="2"/>
                <w:szCs w:val="21"/>
              </w:rPr>
              <w:t>响可降低到最低程度。</w:t>
            </w:r>
          </w:p>
          <w:p>
            <w:pPr>
              <w:pStyle w:val="38"/>
              <w:spacing w:line="408" w:lineRule="auto"/>
              <w:ind w:firstLine="520"/>
              <w:rPr>
                <w:bCs/>
                <w:spacing w:val="10"/>
                <w:kern w:val="2"/>
                <w:szCs w:val="21"/>
              </w:rPr>
            </w:pPr>
            <w:r>
              <w:rPr>
                <w:rFonts w:hint="eastAsia"/>
                <w:bCs/>
                <w:spacing w:val="10"/>
                <w:kern w:val="2"/>
                <w:szCs w:val="21"/>
              </w:rPr>
              <w:t>项目周围无声环境保护目标，通过采取以上降噪措施对周围声环境质量影响较小。</w:t>
            </w:r>
          </w:p>
          <w:p>
            <w:pPr>
              <w:pStyle w:val="38"/>
              <w:spacing w:line="408" w:lineRule="auto"/>
              <w:ind w:firstLine="520"/>
              <w:rPr>
                <w:rFonts w:ascii="宋体" w:hAnsi="宋体"/>
                <w:bCs/>
                <w:spacing w:val="10"/>
                <w:kern w:val="2"/>
              </w:rPr>
            </w:pPr>
            <w:r>
              <w:rPr>
                <w:rFonts w:hint="eastAsia" w:ascii="宋体" w:hAnsi="宋体"/>
                <w:bCs/>
                <w:spacing w:val="10"/>
                <w:kern w:val="2"/>
              </w:rPr>
              <w:t>监测计划</w:t>
            </w:r>
          </w:p>
          <w:p>
            <w:pPr>
              <w:ind w:firstLine="420"/>
              <w:jc w:val="center"/>
              <w:rPr>
                <w:b/>
                <w:sz w:val="22"/>
              </w:rPr>
            </w:pPr>
            <w:r>
              <w:rPr>
                <w:b/>
                <w:sz w:val="22"/>
              </w:rPr>
              <w:t>表22 施工期噪声监测计划表</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543"/>
              <w:gridCol w:w="1436"/>
              <w:gridCol w:w="3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68" w:type="pct"/>
                  <w:tcBorders>
                    <w:top w:val="single" w:color="auto" w:sz="12" w:space="0"/>
                    <w:left w:val="nil"/>
                    <w:bottom w:val="single" w:color="auto" w:sz="4" w:space="0"/>
                    <w:right w:val="single" w:color="auto" w:sz="4" w:space="0"/>
                  </w:tcBorders>
                  <w:vAlign w:val="center"/>
                </w:tcPr>
                <w:p>
                  <w:pPr>
                    <w:pStyle w:val="52"/>
                    <w:rPr>
                      <w:sz w:val="24"/>
                      <w:szCs w:val="24"/>
                    </w:rPr>
                  </w:pPr>
                  <w:r>
                    <w:rPr>
                      <w:sz w:val="24"/>
                      <w:szCs w:val="24"/>
                    </w:rPr>
                    <w:t>监测点位</w:t>
                  </w:r>
                </w:p>
              </w:tc>
              <w:tc>
                <w:tcPr>
                  <w:tcW w:w="936" w:type="pct"/>
                  <w:tcBorders>
                    <w:top w:val="single" w:color="auto" w:sz="12" w:space="0"/>
                    <w:left w:val="single" w:color="auto" w:sz="4" w:space="0"/>
                    <w:bottom w:val="single" w:color="auto" w:sz="4" w:space="0"/>
                    <w:right w:val="single" w:color="auto" w:sz="4" w:space="0"/>
                  </w:tcBorders>
                  <w:vAlign w:val="center"/>
                </w:tcPr>
                <w:p>
                  <w:pPr>
                    <w:pStyle w:val="52"/>
                    <w:rPr>
                      <w:sz w:val="24"/>
                      <w:szCs w:val="24"/>
                    </w:rPr>
                  </w:pPr>
                  <w:r>
                    <w:rPr>
                      <w:sz w:val="24"/>
                      <w:szCs w:val="24"/>
                    </w:rPr>
                    <w:t>监测指标</w:t>
                  </w:r>
                </w:p>
              </w:tc>
              <w:tc>
                <w:tcPr>
                  <w:tcW w:w="871" w:type="pct"/>
                  <w:tcBorders>
                    <w:top w:val="single" w:color="auto" w:sz="12" w:space="0"/>
                    <w:left w:val="single" w:color="auto" w:sz="4" w:space="0"/>
                    <w:bottom w:val="single" w:color="auto" w:sz="4" w:space="0"/>
                    <w:right w:val="single" w:color="auto" w:sz="4" w:space="0"/>
                  </w:tcBorders>
                  <w:vAlign w:val="center"/>
                </w:tcPr>
                <w:p>
                  <w:pPr>
                    <w:pStyle w:val="52"/>
                    <w:rPr>
                      <w:sz w:val="24"/>
                      <w:szCs w:val="24"/>
                    </w:rPr>
                  </w:pPr>
                  <w:r>
                    <w:rPr>
                      <w:sz w:val="24"/>
                      <w:szCs w:val="24"/>
                    </w:rPr>
                    <w:t>监测频次</w:t>
                  </w:r>
                </w:p>
              </w:tc>
              <w:tc>
                <w:tcPr>
                  <w:tcW w:w="2325" w:type="pct"/>
                  <w:tcBorders>
                    <w:top w:val="single" w:color="auto" w:sz="12" w:space="0"/>
                    <w:left w:val="single" w:color="auto" w:sz="4" w:space="0"/>
                    <w:bottom w:val="single" w:color="auto" w:sz="4" w:space="0"/>
                    <w:right w:val="nil"/>
                  </w:tcBorders>
                  <w:vAlign w:val="center"/>
                </w:tcPr>
                <w:p>
                  <w:pPr>
                    <w:pStyle w:val="52"/>
                    <w:rPr>
                      <w:sz w:val="24"/>
                      <w:szCs w:val="24"/>
                    </w:rPr>
                  </w:pPr>
                  <w:r>
                    <w:rPr>
                      <w:sz w:val="24"/>
                      <w:szCs w:val="24"/>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868" w:type="pct"/>
                  <w:tcBorders>
                    <w:top w:val="single" w:color="auto" w:sz="4" w:space="0"/>
                    <w:left w:val="nil"/>
                    <w:bottom w:val="single" w:color="auto" w:sz="12" w:space="0"/>
                    <w:right w:val="single" w:color="auto" w:sz="4" w:space="0"/>
                  </w:tcBorders>
                  <w:vAlign w:val="center"/>
                </w:tcPr>
                <w:p>
                  <w:pPr>
                    <w:pStyle w:val="52"/>
                    <w:rPr>
                      <w:sz w:val="24"/>
                      <w:szCs w:val="24"/>
                    </w:rPr>
                  </w:pPr>
                  <w:r>
                    <w:rPr>
                      <w:sz w:val="24"/>
                      <w:szCs w:val="24"/>
                      <w:lang w:eastAsia="zh-CN"/>
                    </w:rPr>
                    <w:t>施工厂界</w:t>
                  </w:r>
                </w:p>
              </w:tc>
              <w:tc>
                <w:tcPr>
                  <w:tcW w:w="936" w:type="pct"/>
                  <w:tcBorders>
                    <w:top w:val="single" w:color="auto" w:sz="4" w:space="0"/>
                    <w:left w:val="single" w:color="auto" w:sz="4" w:space="0"/>
                    <w:bottom w:val="single" w:color="auto" w:sz="12" w:space="0"/>
                    <w:right w:val="single" w:color="auto" w:sz="4" w:space="0"/>
                  </w:tcBorders>
                  <w:vAlign w:val="center"/>
                </w:tcPr>
                <w:p>
                  <w:pPr>
                    <w:pStyle w:val="52"/>
                    <w:rPr>
                      <w:sz w:val="24"/>
                      <w:szCs w:val="24"/>
                    </w:rPr>
                  </w:pPr>
                  <w:r>
                    <w:rPr>
                      <w:sz w:val="24"/>
                      <w:szCs w:val="24"/>
                    </w:rPr>
                    <w:t>等效A声级</w:t>
                  </w:r>
                </w:p>
              </w:tc>
              <w:tc>
                <w:tcPr>
                  <w:tcW w:w="871" w:type="pct"/>
                  <w:tcBorders>
                    <w:top w:val="single" w:color="auto" w:sz="4" w:space="0"/>
                    <w:left w:val="single" w:color="auto" w:sz="4" w:space="0"/>
                    <w:bottom w:val="single" w:color="auto" w:sz="12" w:space="0"/>
                    <w:right w:val="single" w:color="auto" w:sz="4" w:space="0"/>
                  </w:tcBorders>
                  <w:vAlign w:val="center"/>
                </w:tcPr>
                <w:p>
                  <w:pPr>
                    <w:pStyle w:val="52"/>
                    <w:rPr>
                      <w:sz w:val="24"/>
                      <w:szCs w:val="24"/>
                    </w:rPr>
                  </w:pPr>
                  <w:r>
                    <w:rPr>
                      <w:sz w:val="24"/>
                      <w:szCs w:val="24"/>
                    </w:rPr>
                    <w:t>每季度一次</w:t>
                  </w:r>
                </w:p>
              </w:tc>
              <w:tc>
                <w:tcPr>
                  <w:tcW w:w="2325" w:type="pct"/>
                  <w:tcBorders>
                    <w:top w:val="single" w:color="auto" w:sz="4" w:space="0"/>
                    <w:left w:val="single" w:color="auto" w:sz="4" w:space="0"/>
                    <w:bottom w:val="single" w:color="auto" w:sz="12" w:space="0"/>
                    <w:right w:val="nil"/>
                  </w:tcBorders>
                  <w:vAlign w:val="center"/>
                </w:tcPr>
                <w:p>
                  <w:pPr>
                    <w:pStyle w:val="52"/>
                    <w:rPr>
                      <w:sz w:val="24"/>
                      <w:szCs w:val="24"/>
                      <w:lang w:eastAsia="zh-CN"/>
                    </w:rPr>
                  </w:pPr>
                  <w:r>
                    <w:rPr>
                      <w:sz w:val="24"/>
                      <w:szCs w:val="24"/>
                      <w:lang w:eastAsia="zh-CN"/>
                    </w:rPr>
                    <w:t>《建筑施工厂界噪声排放标准》（GB12348-2011）</w:t>
                  </w:r>
                </w:p>
              </w:tc>
            </w:tr>
          </w:tbl>
          <w:p>
            <w:pPr>
              <w:pStyle w:val="38"/>
              <w:spacing w:line="408" w:lineRule="auto"/>
              <w:ind w:firstLine="520"/>
              <w:rPr>
                <w:bCs/>
                <w:spacing w:val="10"/>
                <w:kern w:val="2"/>
                <w:szCs w:val="21"/>
              </w:rPr>
            </w:pPr>
          </w:p>
          <w:p>
            <w:pPr>
              <w:adjustRightInd w:val="0"/>
              <w:snapToGrid w:val="0"/>
              <w:spacing w:line="408" w:lineRule="auto"/>
              <w:ind w:firstLine="522" w:firstLineChars="200"/>
              <w:rPr>
                <w:b/>
                <w:bCs/>
                <w:spacing w:val="10"/>
                <w:sz w:val="24"/>
                <w:szCs w:val="21"/>
              </w:rPr>
            </w:pPr>
            <w:r>
              <w:rPr>
                <w:b/>
                <w:bCs/>
                <w:spacing w:val="10"/>
                <w:sz w:val="24"/>
                <w:szCs w:val="21"/>
              </w:rPr>
              <w:t>5</w:t>
            </w:r>
            <w:r>
              <w:rPr>
                <w:rFonts w:hint="eastAsia"/>
                <w:b/>
                <w:bCs/>
                <w:spacing w:val="10"/>
                <w:sz w:val="24"/>
                <w:szCs w:val="21"/>
              </w:rPr>
              <w:t>、施工期固废污染防治措施</w:t>
            </w:r>
          </w:p>
          <w:p>
            <w:pPr>
              <w:pStyle w:val="38"/>
              <w:snapToGrid w:val="0"/>
              <w:spacing w:line="408" w:lineRule="auto"/>
              <w:ind w:firstLine="520"/>
              <w:rPr>
                <w:bCs/>
                <w:spacing w:val="10"/>
                <w:kern w:val="2"/>
                <w:szCs w:val="21"/>
              </w:rPr>
            </w:pPr>
            <w:r>
              <w:rPr>
                <w:rFonts w:hint="eastAsia"/>
                <w:bCs/>
                <w:spacing w:val="10"/>
                <w:kern w:val="2"/>
                <w:szCs w:val="21"/>
              </w:rPr>
              <w:t>施工期固废主要为建筑垃圾和施工人员生活垃圾等，为有效防止施工期固废污染，要求建设单位加强施工组织管理措施，提高施工人员环保意识并采取以下措施：</w:t>
            </w:r>
          </w:p>
          <w:p>
            <w:pPr>
              <w:pStyle w:val="38"/>
              <w:snapToGrid w:val="0"/>
              <w:spacing w:line="408" w:lineRule="auto"/>
              <w:ind w:firstLine="520"/>
              <w:rPr>
                <w:bCs/>
                <w:spacing w:val="10"/>
                <w:kern w:val="2"/>
                <w:szCs w:val="21"/>
              </w:rPr>
            </w:pPr>
            <w:r>
              <w:rPr>
                <w:rFonts w:hint="eastAsia"/>
                <w:bCs/>
                <w:spacing w:val="10"/>
                <w:kern w:val="2"/>
                <w:szCs w:val="21"/>
              </w:rPr>
              <w:t>（1）生活垃圾</w:t>
            </w:r>
          </w:p>
          <w:p>
            <w:pPr>
              <w:pStyle w:val="38"/>
              <w:snapToGrid w:val="0"/>
              <w:spacing w:line="408" w:lineRule="auto"/>
              <w:ind w:firstLine="520"/>
              <w:rPr>
                <w:bCs/>
                <w:spacing w:val="10"/>
                <w:kern w:val="2"/>
                <w:szCs w:val="21"/>
              </w:rPr>
            </w:pPr>
            <w:r>
              <w:rPr>
                <w:rFonts w:hint="eastAsia"/>
                <w:bCs/>
                <w:spacing w:val="10"/>
                <w:kern w:val="2"/>
                <w:szCs w:val="21"/>
              </w:rPr>
              <w:t>施工场地设置垃圾桶，产生的生活垃圾集中收集后，交由环卫部门统一清运处理；</w:t>
            </w:r>
          </w:p>
          <w:p>
            <w:pPr>
              <w:pStyle w:val="38"/>
              <w:snapToGrid w:val="0"/>
              <w:spacing w:line="408" w:lineRule="auto"/>
              <w:ind w:firstLine="520"/>
              <w:rPr>
                <w:bCs/>
                <w:spacing w:val="10"/>
                <w:kern w:val="2"/>
                <w:szCs w:val="21"/>
              </w:rPr>
            </w:pPr>
            <w:r>
              <w:rPr>
                <w:rFonts w:hint="eastAsia"/>
                <w:bCs/>
                <w:spacing w:val="10"/>
                <w:kern w:val="2"/>
                <w:szCs w:val="21"/>
              </w:rPr>
              <w:t>（2）建筑垃圾</w:t>
            </w:r>
          </w:p>
          <w:p>
            <w:pPr>
              <w:pStyle w:val="38"/>
              <w:snapToGrid w:val="0"/>
              <w:spacing w:line="408" w:lineRule="auto"/>
              <w:ind w:firstLine="520"/>
              <w:rPr>
                <w:bCs/>
                <w:spacing w:val="10"/>
                <w:kern w:val="2"/>
                <w:szCs w:val="21"/>
              </w:rPr>
            </w:pPr>
            <w:r>
              <w:rPr>
                <w:bCs/>
                <w:spacing w:val="10"/>
                <w:kern w:val="2"/>
                <w:szCs w:val="21"/>
              </w:rPr>
              <w:t>1</w:t>
            </w:r>
            <w:r>
              <w:rPr>
                <w:rFonts w:hint="eastAsia"/>
                <w:bCs/>
                <w:spacing w:val="10"/>
                <w:kern w:val="2"/>
                <w:szCs w:val="21"/>
              </w:rPr>
              <w:t>）遗留在现场的建筑废弃物应及时清运或回填；</w:t>
            </w:r>
          </w:p>
          <w:p>
            <w:pPr>
              <w:pStyle w:val="38"/>
              <w:snapToGrid w:val="0"/>
              <w:spacing w:line="408" w:lineRule="auto"/>
              <w:ind w:firstLine="520"/>
              <w:rPr>
                <w:bCs/>
                <w:spacing w:val="10"/>
                <w:kern w:val="2"/>
                <w:szCs w:val="21"/>
              </w:rPr>
            </w:pPr>
            <w:r>
              <w:rPr>
                <w:rFonts w:hint="eastAsia"/>
                <w:bCs/>
                <w:spacing w:val="10"/>
                <w:kern w:val="2"/>
                <w:szCs w:val="21"/>
              </w:rPr>
              <w:t>2）运送建筑垃圾的车辆应加盖篷布；</w:t>
            </w:r>
          </w:p>
          <w:p>
            <w:pPr>
              <w:pStyle w:val="38"/>
              <w:snapToGrid w:val="0"/>
              <w:spacing w:line="408" w:lineRule="auto"/>
              <w:ind w:firstLine="520"/>
              <w:rPr>
                <w:bCs/>
                <w:spacing w:val="10"/>
                <w:kern w:val="2"/>
                <w:szCs w:val="21"/>
              </w:rPr>
            </w:pPr>
            <w:r>
              <w:rPr>
                <w:rFonts w:hint="eastAsia"/>
                <w:bCs/>
                <w:spacing w:val="10"/>
                <w:kern w:val="2"/>
                <w:szCs w:val="21"/>
              </w:rPr>
              <w:t>3）建筑金属废物在施工现场应及时回收；</w:t>
            </w:r>
          </w:p>
          <w:p>
            <w:pPr>
              <w:pStyle w:val="38"/>
              <w:snapToGrid w:val="0"/>
              <w:spacing w:line="408" w:lineRule="auto"/>
              <w:ind w:firstLine="520"/>
              <w:rPr>
                <w:bCs/>
                <w:spacing w:val="10"/>
                <w:kern w:val="2"/>
                <w:szCs w:val="21"/>
              </w:rPr>
            </w:pPr>
            <w:r>
              <w:rPr>
                <w:bCs/>
                <w:spacing w:val="10"/>
                <w:kern w:val="2"/>
                <w:szCs w:val="21"/>
              </w:rPr>
              <w:t>4</w:t>
            </w:r>
            <w:r>
              <w:rPr>
                <w:rFonts w:hint="eastAsia"/>
                <w:bCs/>
                <w:spacing w:val="10"/>
                <w:kern w:val="2"/>
                <w:szCs w:val="21"/>
              </w:rPr>
              <w:t>）建筑垃圾应运送到指定地点，不得随意倾倒。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jc w:val="center"/>
              <w:rPr>
                <w:bCs/>
                <w:spacing w:val="10"/>
                <w:szCs w:val="21"/>
              </w:rPr>
            </w:pPr>
            <w:r>
              <w:rPr>
                <w:bCs/>
                <w:spacing w:val="10"/>
                <w:szCs w:val="21"/>
              </w:rPr>
              <w:t>运营期生态环境保护措施</w:t>
            </w:r>
          </w:p>
        </w:tc>
        <w:tc>
          <w:tcPr>
            <w:tcW w:w="8457" w:type="dxa"/>
          </w:tcPr>
          <w:p>
            <w:pPr>
              <w:adjustRightInd w:val="0"/>
              <w:snapToGrid w:val="0"/>
              <w:spacing w:line="408" w:lineRule="auto"/>
              <w:ind w:firstLine="522" w:firstLineChars="200"/>
              <w:rPr>
                <w:b/>
                <w:bCs/>
                <w:spacing w:val="10"/>
                <w:sz w:val="24"/>
                <w:szCs w:val="21"/>
              </w:rPr>
            </w:pPr>
            <w:r>
              <w:rPr>
                <w:rFonts w:hint="eastAsia"/>
                <w:b/>
                <w:bCs/>
                <w:spacing w:val="10"/>
                <w:sz w:val="24"/>
                <w:szCs w:val="21"/>
              </w:rPr>
              <w:t>1、生态环境保护措施</w:t>
            </w:r>
          </w:p>
          <w:p>
            <w:pPr>
              <w:adjustRightInd w:val="0"/>
              <w:snapToGrid w:val="0"/>
              <w:spacing w:line="408" w:lineRule="auto"/>
              <w:ind w:firstLine="520" w:firstLineChars="200"/>
              <w:rPr>
                <w:bCs/>
                <w:spacing w:val="10"/>
                <w:sz w:val="24"/>
                <w:szCs w:val="21"/>
              </w:rPr>
            </w:pPr>
            <w:r>
              <w:rPr>
                <w:rFonts w:hint="eastAsia"/>
                <w:bCs/>
                <w:spacing w:val="10"/>
                <w:sz w:val="24"/>
                <w:szCs w:val="21"/>
              </w:rPr>
              <w:t>为降低项目建设的生态影响，有效缓解和改善工程建设及运营带来的不利影响，需采取以下生态环境保护措施：</w:t>
            </w:r>
          </w:p>
          <w:p>
            <w:pPr>
              <w:adjustRightInd w:val="0"/>
              <w:snapToGrid w:val="0"/>
              <w:spacing w:line="408" w:lineRule="auto"/>
              <w:ind w:firstLine="520" w:firstLineChars="200"/>
              <w:rPr>
                <w:bCs/>
                <w:spacing w:val="10"/>
                <w:sz w:val="24"/>
                <w:szCs w:val="21"/>
              </w:rPr>
            </w:pPr>
          </w:p>
          <w:p>
            <w:pPr>
              <w:adjustRightInd w:val="0"/>
              <w:snapToGrid w:val="0"/>
              <w:spacing w:line="408" w:lineRule="auto"/>
              <w:ind w:firstLine="520" w:firstLineChars="200"/>
              <w:rPr>
                <w:bCs/>
                <w:spacing w:val="10"/>
                <w:sz w:val="24"/>
                <w:szCs w:val="21"/>
              </w:rPr>
            </w:pPr>
            <w:r>
              <w:rPr>
                <w:rFonts w:hint="eastAsia"/>
                <w:bCs/>
                <w:spacing w:val="10"/>
                <w:sz w:val="24"/>
                <w:szCs w:val="21"/>
              </w:rPr>
              <w:t>（2）装卸站场地面硬化，加强沿线道路边坡加固和绿化措施，可有效防止水土流失</w:t>
            </w:r>
          </w:p>
          <w:p>
            <w:pPr>
              <w:adjustRightInd w:val="0"/>
              <w:snapToGrid w:val="0"/>
              <w:spacing w:line="408" w:lineRule="auto"/>
              <w:ind w:firstLine="520" w:firstLineChars="200"/>
              <w:rPr>
                <w:bCs/>
                <w:spacing w:val="10"/>
                <w:sz w:val="24"/>
                <w:szCs w:val="21"/>
              </w:rPr>
            </w:pPr>
            <w:r>
              <w:rPr>
                <w:rFonts w:hint="eastAsia"/>
                <w:bCs/>
                <w:spacing w:val="10"/>
                <w:sz w:val="24"/>
                <w:szCs w:val="21"/>
              </w:rPr>
              <w:t>（3）加强环境保护宣传，提高人员环保意识</w:t>
            </w:r>
          </w:p>
          <w:p>
            <w:pPr>
              <w:adjustRightInd w:val="0"/>
              <w:snapToGrid w:val="0"/>
              <w:spacing w:line="408" w:lineRule="auto"/>
              <w:ind w:firstLine="520" w:firstLineChars="200"/>
              <w:rPr>
                <w:bCs/>
                <w:spacing w:val="10"/>
                <w:sz w:val="24"/>
                <w:szCs w:val="21"/>
              </w:rPr>
            </w:pPr>
            <w:r>
              <w:rPr>
                <w:rFonts w:hint="eastAsia"/>
                <w:bCs/>
                <w:spacing w:val="10"/>
                <w:sz w:val="24"/>
                <w:szCs w:val="21"/>
              </w:rPr>
              <w:t>随着沿线植被恢复，区域内因施工造成的植被破坏、水土流失功能得到一定补偿和恢复，工程对沿线生态环境影响较小。因此在严格落实生态环境保护措施后，可大大降低项目对生态环境的影响，有效缓解和改善工程建设及运营带来的不利影响。</w:t>
            </w:r>
          </w:p>
          <w:p>
            <w:pPr>
              <w:adjustRightInd w:val="0"/>
              <w:snapToGrid w:val="0"/>
              <w:spacing w:line="408" w:lineRule="auto"/>
              <w:ind w:firstLine="522" w:firstLineChars="200"/>
              <w:rPr>
                <w:b/>
                <w:bCs/>
                <w:spacing w:val="10"/>
                <w:sz w:val="24"/>
                <w:szCs w:val="21"/>
              </w:rPr>
            </w:pPr>
            <w:r>
              <w:rPr>
                <w:rFonts w:hint="eastAsia"/>
                <w:b/>
                <w:bCs/>
                <w:spacing w:val="10"/>
                <w:sz w:val="24"/>
                <w:szCs w:val="21"/>
              </w:rPr>
              <w:t>2、废气污染防治措施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运营期废气主要为食堂油烟和装卸粉尘，主要采取措施如下：</w:t>
            </w:r>
          </w:p>
          <w:p>
            <w:pPr>
              <w:adjustRightInd w:val="0"/>
              <w:snapToGrid w:val="0"/>
              <w:spacing w:line="408" w:lineRule="auto"/>
              <w:ind w:firstLine="520" w:firstLineChars="200"/>
              <w:rPr>
                <w:bCs/>
                <w:spacing w:val="10"/>
                <w:sz w:val="24"/>
                <w:szCs w:val="21"/>
              </w:rPr>
            </w:pPr>
            <w:r>
              <w:rPr>
                <w:rFonts w:hint="eastAsia"/>
                <w:bCs/>
                <w:spacing w:val="10"/>
                <w:sz w:val="24"/>
                <w:szCs w:val="21"/>
              </w:rPr>
              <w:t>（1）采用集装箱运输，能够有效防止煤炭抛洒污染大气环境；</w:t>
            </w:r>
          </w:p>
          <w:p>
            <w:pPr>
              <w:adjustRightInd w:val="0"/>
              <w:snapToGrid w:val="0"/>
              <w:spacing w:line="408" w:lineRule="auto"/>
              <w:ind w:firstLine="520" w:firstLineChars="200"/>
              <w:rPr>
                <w:bCs/>
                <w:spacing w:val="10"/>
                <w:sz w:val="24"/>
                <w:szCs w:val="21"/>
              </w:rPr>
            </w:pPr>
            <w:r>
              <w:rPr>
                <w:rFonts w:hint="eastAsia"/>
                <w:bCs/>
                <w:spacing w:val="10"/>
                <w:sz w:val="24"/>
                <w:szCs w:val="21"/>
              </w:rPr>
              <w:t>（2）保持专用线和运输道路清洁，定期洒水降尘，减少粉尘产生；</w:t>
            </w:r>
          </w:p>
          <w:p>
            <w:pPr>
              <w:adjustRightInd w:val="0"/>
              <w:snapToGrid w:val="0"/>
              <w:spacing w:line="408" w:lineRule="auto"/>
              <w:ind w:firstLine="520" w:firstLineChars="200"/>
              <w:rPr>
                <w:bCs/>
                <w:spacing w:val="10"/>
                <w:sz w:val="24"/>
                <w:szCs w:val="21"/>
              </w:rPr>
            </w:pPr>
            <w:r>
              <w:rPr>
                <w:rFonts w:hint="eastAsia"/>
                <w:bCs/>
                <w:spacing w:val="10"/>
                <w:sz w:val="24"/>
                <w:szCs w:val="21"/>
              </w:rPr>
              <w:t>（3）加强运输过程管理，防治物料洒落，造成二次污染；</w:t>
            </w:r>
          </w:p>
          <w:p>
            <w:pPr>
              <w:adjustRightInd w:val="0"/>
              <w:snapToGrid w:val="0"/>
              <w:spacing w:line="408" w:lineRule="auto"/>
              <w:ind w:firstLine="520" w:firstLineChars="200"/>
              <w:rPr>
                <w:bCs/>
                <w:spacing w:val="10"/>
                <w:sz w:val="24"/>
                <w:szCs w:val="21"/>
              </w:rPr>
            </w:pPr>
            <w:r>
              <w:rPr>
                <w:rFonts w:hint="eastAsia"/>
                <w:bCs/>
                <w:spacing w:val="10"/>
                <w:sz w:val="24"/>
                <w:szCs w:val="21"/>
              </w:rPr>
              <w:t>（4）装卸站地面定期洒水，内部安装喷淋抑尘设施，减少装卸过程粉尘产生</w:t>
            </w:r>
          </w:p>
          <w:p>
            <w:pPr>
              <w:adjustRightInd w:val="0"/>
              <w:snapToGrid w:val="0"/>
              <w:spacing w:line="408" w:lineRule="auto"/>
              <w:ind w:firstLine="520" w:firstLineChars="200"/>
              <w:rPr>
                <w:bCs/>
                <w:spacing w:val="10"/>
                <w:sz w:val="24"/>
                <w:szCs w:val="21"/>
              </w:rPr>
            </w:pPr>
            <w:r>
              <w:rPr>
                <w:rFonts w:hint="eastAsia"/>
                <w:bCs/>
                <w:spacing w:val="10"/>
                <w:sz w:val="24"/>
                <w:szCs w:val="21"/>
              </w:rPr>
              <w:t>（5）食堂油烟经油烟气净化器处理后排放。</w:t>
            </w:r>
          </w:p>
          <w:p>
            <w:pPr>
              <w:adjustRightInd w:val="0"/>
              <w:snapToGrid w:val="0"/>
              <w:spacing w:line="408" w:lineRule="auto"/>
              <w:ind w:firstLine="520" w:firstLineChars="200"/>
              <w:rPr>
                <w:bCs/>
                <w:spacing w:val="10"/>
                <w:sz w:val="24"/>
                <w:szCs w:val="21"/>
              </w:rPr>
            </w:pPr>
            <w:r>
              <w:rPr>
                <w:rFonts w:hint="eastAsia"/>
                <w:bCs/>
                <w:spacing w:val="10"/>
                <w:sz w:val="24"/>
                <w:szCs w:val="21"/>
              </w:rPr>
              <w:t>装卸粉尘：</w:t>
            </w:r>
          </w:p>
          <w:p>
            <w:pPr>
              <w:adjustRightInd w:val="0"/>
              <w:snapToGrid w:val="0"/>
              <w:spacing w:line="408" w:lineRule="auto"/>
              <w:ind w:firstLine="520" w:firstLineChars="200"/>
              <w:rPr>
                <w:bCs/>
                <w:spacing w:val="10"/>
                <w:sz w:val="24"/>
                <w:szCs w:val="21"/>
              </w:rPr>
            </w:pPr>
            <w:r>
              <w:rPr>
                <w:rFonts w:hint="eastAsia"/>
                <w:bCs/>
                <w:spacing w:val="10"/>
                <w:sz w:val="24"/>
                <w:szCs w:val="21"/>
              </w:rPr>
              <w:t>煤炭装卸环节设备采用正面吊、棚车采用叉车、敞车采用快速定量装车系统（含喷淋抑尘系统），地面定期洒水，减少扬尘产生量。</w:t>
            </w:r>
          </w:p>
          <w:p>
            <w:pPr>
              <w:adjustRightInd w:val="0"/>
              <w:snapToGrid w:val="0"/>
              <w:spacing w:line="408" w:lineRule="auto"/>
              <w:ind w:firstLine="520" w:firstLineChars="200"/>
              <w:rPr>
                <w:bCs/>
                <w:spacing w:val="10"/>
                <w:sz w:val="24"/>
                <w:szCs w:val="21"/>
              </w:rPr>
            </w:pPr>
            <w:r>
              <w:rPr>
                <w:rFonts w:hint="eastAsia"/>
                <w:bCs/>
                <w:spacing w:val="10"/>
                <w:sz w:val="24"/>
                <w:szCs w:val="21"/>
              </w:rPr>
              <w:t>采取以上措施后，运营期大气污染物对周围环境影响较小。</w:t>
            </w:r>
          </w:p>
          <w:p>
            <w:pPr>
              <w:adjustRightInd w:val="0"/>
              <w:snapToGrid w:val="0"/>
              <w:spacing w:line="408" w:lineRule="auto"/>
              <w:ind w:firstLine="522" w:firstLineChars="200"/>
              <w:rPr>
                <w:b/>
                <w:bCs/>
                <w:spacing w:val="10"/>
                <w:sz w:val="24"/>
                <w:szCs w:val="21"/>
              </w:rPr>
            </w:pPr>
            <w:r>
              <w:rPr>
                <w:rFonts w:hint="eastAsia"/>
                <w:b/>
                <w:bCs/>
                <w:spacing w:val="10"/>
                <w:sz w:val="24"/>
                <w:szCs w:val="21"/>
              </w:rPr>
              <w:t>3、废水污染防治措施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运营期</w:t>
            </w:r>
            <w:r>
              <w:rPr>
                <w:bCs/>
                <w:spacing w:val="10"/>
                <w:sz w:val="24"/>
                <w:szCs w:val="21"/>
              </w:rPr>
              <w:t>生活污水，</w:t>
            </w:r>
            <w:r>
              <w:rPr>
                <w:rFonts w:hint="eastAsia" w:hAnsi="宋体"/>
                <w:kern w:val="0"/>
                <w:sz w:val="24"/>
              </w:rPr>
              <w:t>排入新建化粪池</w:t>
            </w:r>
            <w:r>
              <w:rPr>
                <w:rFonts w:hAnsi="宋体"/>
                <w:kern w:val="0"/>
                <w:sz w:val="24"/>
              </w:rPr>
              <w:t>收集后</w:t>
            </w:r>
            <w:r>
              <w:rPr>
                <w:rFonts w:hint="eastAsia" w:hAnsi="宋体"/>
                <w:kern w:val="0"/>
                <w:sz w:val="24"/>
              </w:rPr>
              <w:t>，定期委托环卫部门吸污车清运集中处理，不外排</w:t>
            </w:r>
            <w:r>
              <w:rPr>
                <w:rFonts w:hint="eastAsia"/>
                <w:bCs/>
                <w:spacing w:val="10"/>
                <w:sz w:val="24"/>
                <w:szCs w:val="21"/>
              </w:rPr>
              <w:t>，对周围环境影响较小。要求建设单位加强装卸站场地硬化、化粪池防渗建设：</w:t>
            </w:r>
          </w:p>
          <w:p>
            <w:pPr>
              <w:adjustRightInd w:val="0"/>
              <w:snapToGrid w:val="0"/>
              <w:spacing w:line="408" w:lineRule="auto"/>
              <w:ind w:firstLine="520" w:firstLineChars="200"/>
              <w:rPr>
                <w:bCs/>
                <w:spacing w:val="10"/>
                <w:sz w:val="24"/>
                <w:szCs w:val="21"/>
              </w:rPr>
            </w:pPr>
            <w:r>
              <w:rPr>
                <w:bCs/>
                <w:spacing w:val="10"/>
                <w:sz w:val="24"/>
                <w:szCs w:val="21"/>
              </w:rPr>
              <w:t>根据《环境影响评价技术导则地下水环境》（GB610-2016）中污染防控对策相关要求，建议建设单位采取防止土壤、地下水污染的保护措施如下：</w:t>
            </w:r>
          </w:p>
          <w:p>
            <w:pPr>
              <w:adjustRightInd w:val="0"/>
              <w:snapToGrid w:val="0"/>
              <w:spacing w:line="408" w:lineRule="auto"/>
              <w:ind w:firstLine="520" w:firstLineChars="200"/>
              <w:rPr>
                <w:bCs/>
                <w:spacing w:val="10"/>
                <w:sz w:val="24"/>
                <w:szCs w:val="21"/>
              </w:rPr>
            </w:pPr>
            <w:r>
              <w:rPr>
                <w:bCs/>
                <w:spacing w:val="10"/>
                <w:sz w:val="24"/>
                <w:szCs w:val="21"/>
              </w:rPr>
              <w:t>1）将</w:t>
            </w:r>
            <w:r>
              <w:rPr>
                <w:rFonts w:hint="eastAsia"/>
                <w:bCs/>
                <w:spacing w:val="10"/>
                <w:sz w:val="24"/>
                <w:szCs w:val="21"/>
              </w:rPr>
              <w:t>化粪池</w:t>
            </w:r>
            <w:r>
              <w:rPr>
                <w:bCs/>
                <w:spacing w:val="10"/>
                <w:sz w:val="24"/>
                <w:szCs w:val="21"/>
              </w:rPr>
              <w:t>设置一般防渗区，等效黏土防渗层Mb≥1.5m，K≤1×10-7cm/s。</w:t>
            </w:r>
          </w:p>
          <w:p>
            <w:pPr>
              <w:adjustRightInd w:val="0"/>
              <w:snapToGrid w:val="0"/>
              <w:spacing w:line="408" w:lineRule="auto"/>
              <w:ind w:firstLine="520" w:firstLineChars="200"/>
              <w:rPr>
                <w:bCs/>
                <w:spacing w:val="10"/>
                <w:sz w:val="24"/>
                <w:szCs w:val="21"/>
              </w:rPr>
            </w:pPr>
            <w:r>
              <w:rPr>
                <w:rFonts w:hint="eastAsia"/>
                <w:bCs/>
                <w:spacing w:val="10"/>
                <w:sz w:val="24"/>
                <w:szCs w:val="21"/>
              </w:rPr>
              <w:t>2）将装卸站场地道路除一般防渗区外区域设置简单防渗区，采用相关措施进行硬化。</w:t>
            </w:r>
          </w:p>
          <w:p>
            <w:pPr>
              <w:adjustRightInd w:val="0"/>
              <w:snapToGrid w:val="0"/>
              <w:spacing w:line="408" w:lineRule="auto"/>
              <w:ind w:firstLine="520" w:firstLineChars="200"/>
              <w:rPr>
                <w:bCs/>
                <w:spacing w:val="10"/>
                <w:sz w:val="24"/>
                <w:szCs w:val="21"/>
              </w:rPr>
            </w:pPr>
            <w:r>
              <w:rPr>
                <w:rFonts w:hint="eastAsia"/>
                <w:bCs/>
                <w:spacing w:val="10"/>
                <w:sz w:val="24"/>
                <w:szCs w:val="21"/>
              </w:rPr>
              <w:t>采取分区防渗防控措施后，能够有效预防本项目可能产生的土壤、地下水污染。</w:t>
            </w:r>
          </w:p>
          <w:p>
            <w:pPr>
              <w:adjustRightInd w:val="0"/>
              <w:snapToGrid w:val="0"/>
              <w:spacing w:line="408" w:lineRule="auto"/>
              <w:ind w:firstLine="522" w:firstLineChars="200"/>
              <w:rPr>
                <w:b/>
                <w:bCs/>
                <w:spacing w:val="10"/>
                <w:sz w:val="24"/>
                <w:szCs w:val="21"/>
              </w:rPr>
            </w:pPr>
            <w:r>
              <w:rPr>
                <w:rFonts w:hint="eastAsia"/>
                <w:b/>
                <w:bCs/>
                <w:spacing w:val="10"/>
                <w:sz w:val="24"/>
                <w:szCs w:val="21"/>
              </w:rPr>
              <w:t>4、噪声污染防治措施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本项目周边无声环境保护目标，优先选用低噪声设备，采取基础减振，控制噪声，对周围声环境质量影响较小。</w:t>
            </w:r>
          </w:p>
          <w:p>
            <w:pPr>
              <w:adjustRightInd w:val="0"/>
              <w:snapToGrid w:val="0"/>
              <w:spacing w:line="408" w:lineRule="auto"/>
              <w:ind w:firstLine="520" w:firstLineChars="200"/>
              <w:rPr>
                <w:bCs/>
                <w:spacing w:val="10"/>
                <w:sz w:val="24"/>
                <w:szCs w:val="21"/>
              </w:rPr>
            </w:pPr>
            <w:r>
              <w:rPr>
                <w:rFonts w:hint="eastAsia"/>
                <w:bCs/>
                <w:spacing w:val="10"/>
                <w:sz w:val="24"/>
                <w:szCs w:val="21"/>
              </w:rPr>
              <w:t>（1）选用低噪声车辆及轨道结构</w:t>
            </w:r>
          </w:p>
          <w:p>
            <w:pPr>
              <w:adjustRightInd w:val="0"/>
              <w:snapToGrid w:val="0"/>
              <w:spacing w:line="408" w:lineRule="auto"/>
              <w:ind w:firstLine="520" w:firstLineChars="200"/>
              <w:rPr>
                <w:bCs/>
                <w:spacing w:val="10"/>
                <w:sz w:val="24"/>
                <w:szCs w:val="21"/>
              </w:rPr>
            </w:pPr>
            <w:r>
              <w:rPr>
                <w:rFonts w:hint="eastAsia"/>
                <w:bCs/>
                <w:spacing w:val="10"/>
                <w:sz w:val="24"/>
                <w:szCs w:val="21"/>
              </w:rPr>
              <w:t>车辆噪声的大小、轨道结构的优劣直接决定着列车运行噪声的污染水平，选用低噪声的车辆及轨道结构类型可从声源上控制铁路噪声污染，是预防铁路噪声污染的重要环节。</w:t>
            </w:r>
          </w:p>
          <w:p>
            <w:pPr>
              <w:adjustRightInd w:val="0"/>
              <w:snapToGrid w:val="0"/>
              <w:spacing w:line="408" w:lineRule="auto"/>
              <w:ind w:firstLine="520" w:firstLineChars="200"/>
              <w:rPr>
                <w:bCs/>
                <w:spacing w:val="10"/>
                <w:sz w:val="24"/>
                <w:szCs w:val="21"/>
              </w:rPr>
            </w:pPr>
            <w:r>
              <w:rPr>
                <w:rFonts w:hint="eastAsia"/>
                <w:bCs/>
                <w:spacing w:val="10"/>
                <w:sz w:val="24"/>
                <w:szCs w:val="21"/>
              </w:rPr>
              <w:t>（2）日常运营管理</w:t>
            </w:r>
          </w:p>
          <w:p>
            <w:pPr>
              <w:adjustRightInd w:val="0"/>
              <w:snapToGrid w:val="0"/>
              <w:spacing w:line="408" w:lineRule="auto"/>
              <w:ind w:firstLine="520" w:firstLineChars="200"/>
              <w:rPr>
                <w:bCs/>
                <w:spacing w:val="10"/>
                <w:sz w:val="24"/>
                <w:szCs w:val="21"/>
              </w:rPr>
            </w:pPr>
            <w:r>
              <w:rPr>
                <w:rFonts w:hint="eastAsia"/>
                <w:bCs/>
                <w:spacing w:val="10"/>
                <w:sz w:val="24"/>
                <w:szCs w:val="21"/>
              </w:rPr>
              <w:t>加强对施工和验收的管理工作，加强对车辆和轨道的定期检修和保养。</w:t>
            </w:r>
          </w:p>
          <w:p>
            <w:pPr>
              <w:adjustRightInd w:val="0"/>
              <w:snapToGrid w:val="0"/>
              <w:spacing w:line="408" w:lineRule="auto"/>
              <w:ind w:firstLine="522" w:firstLineChars="200"/>
              <w:rPr>
                <w:b/>
                <w:bCs/>
                <w:spacing w:val="10"/>
                <w:sz w:val="24"/>
                <w:szCs w:val="21"/>
              </w:rPr>
            </w:pPr>
            <w:r>
              <w:rPr>
                <w:rFonts w:hint="eastAsia"/>
                <w:b/>
                <w:bCs/>
                <w:spacing w:val="10"/>
                <w:sz w:val="24"/>
                <w:szCs w:val="21"/>
              </w:rPr>
              <w:t>5、固体废物污染防治措施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运营期产生的固体废物主要为生活垃圾。</w:t>
            </w:r>
          </w:p>
          <w:p>
            <w:pPr>
              <w:adjustRightInd w:val="0"/>
              <w:snapToGrid w:val="0"/>
              <w:spacing w:line="408" w:lineRule="auto"/>
              <w:ind w:firstLine="520" w:firstLineChars="200"/>
              <w:rPr>
                <w:bCs/>
                <w:spacing w:val="10"/>
                <w:sz w:val="24"/>
                <w:szCs w:val="21"/>
              </w:rPr>
            </w:pPr>
            <w:r>
              <w:rPr>
                <w:rFonts w:hint="eastAsia"/>
                <w:bCs/>
                <w:spacing w:val="10"/>
                <w:sz w:val="24"/>
                <w:szCs w:val="21"/>
              </w:rPr>
              <w:t>生活垃圾产量为10.2t</w:t>
            </w:r>
            <w:r>
              <w:rPr>
                <w:bCs/>
                <w:spacing w:val="10"/>
                <w:sz w:val="24"/>
                <w:szCs w:val="21"/>
              </w:rPr>
              <w:t>/</w:t>
            </w:r>
            <w:r>
              <w:rPr>
                <w:rFonts w:hint="eastAsia"/>
                <w:bCs/>
                <w:spacing w:val="10"/>
                <w:sz w:val="24"/>
                <w:szCs w:val="21"/>
              </w:rPr>
              <w:t>a，生活区设置垃圾桶，集中分类收集后委托环卫部门定期清运。</w:t>
            </w:r>
          </w:p>
          <w:p>
            <w:pPr>
              <w:adjustRightInd w:val="0"/>
              <w:snapToGrid w:val="0"/>
              <w:spacing w:line="408" w:lineRule="auto"/>
              <w:ind w:firstLine="522" w:firstLineChars="200"/>
              <w:rPr>
                <w:b/>
                <w:bCs/>
                <w:spacing w:val="10"/>
                <w:sz w:val="24"/>
                <w:szCs w:val="21"/>
              </w:rPr>
            </w:pPr>
            <w:r>
              <w:rPr>
                <w:rFonts w:hint="eastAsia"/>
                <w:b/>
                <w:bCs/>
                <w:spacing w:val="10"/>
                <w:sz w:val="24"/>
                <w:szCs w:val="21"/>
              </w:rPr>
              <w:t>6、振动污染防治措施</w:t>
            </w:r>
          </w:p>
          <w:p>
            <w:pPr>
              <w:adjustRightInd w:val="0"/>
              <w:snapToGrid w:val="0"/>
              <w:spacing w:line="408" w:lineRule="auto"/>
              <w:ind w:firstLine="520" w:firstLineChars="200"/>
              <w:rPr>
                <w:bCs/>
                <w:spacing w:val="10"/>
                <w:sz w:val="24"/>
                <w:szCs w:val="21"/>
              </w:rPr>
            </w:pPr>
            <w:r>
              <w:rPr>
                <w:rFonts w:hint="eastAsia"/>
                <w:bCs/>
                <w:spacing w:val="10"/>
                <w:sz w:val="24"/>
                <w:szCs w:val="21"/>
              </w:rPr>
              <w:t>运营期线路和车辆的轮轨情况直接影响到铁路振动的大小，线路光滑、车轮圆整的振动较小。因此运营期要加强轨道管理，定期维护保养，控制行车自重、增加轨道弹性，已保证运行状态良好，减少附加振动。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pPr>
              <w:adjustRightInd w:val="0"/>
              <w:snapToGrid w:val="0"/>
              <w:jc w:val="center"/>
              <w:rPr>
                <w:bCs/>
                <w:spacing w:val="10"/>
                <w:szCs w:val="21"/>
              </w:rPr>
            </w:pPr>
            <w:r>
              <w:rPr>
                <w:bCs/>
                <w:szCs w:val="21"/>
              </w:rPr>
              <w:t>其他</w:t>
            </w:r>
          </w:p>
        </w:tc>
        <w:tc>
          <w:tcPr>
            <w:tcW w:w="8457" w:type="dxa"/>
          </w:tcPr>
          <w:p>
            <w:pPr>
              <w:pStyle w:val="38"/>
              <w:ind w:firstLine="482"/>
              <w:rPr>
                <w:b/>
                <w:bCs/>
              </w:rPr>
            </w:pPr>
            <w:r>
              <w:rPr>
                <w:rFonts w:hint="eastAsia"/>
                <w:b/>
              </w:rPr>
              <w:t>1、项目“三同时”竣工环境保护验收</w:t>
            </w:r>
          </w:p>
          <w:p>
            <w:pPr>
              <w:adjustRightInd w:val="0"/>
              <w:snapToGrid w:val="0"/>
              <w:spacing w:line="480" w:lineRule="exact"/>
              <w:ind w:firstLine="480" w:firstLineChars="200"/>
              <w:rPr>
                <w:rFonts w:eastAsia="黑体"/>
              </w:rPr>
            </w:pPr>
            <w:r>
              <w:rPr>
                <w:rFonts w:hint="eastAsia"/>
                <w:bCs/>
                <w:sz w:val="24"/>
              </w:rPr>
              <w:t>项目建设期间，建设单位必须遵守环境保护设施必须与主体工程同时设计、同时施工、同时投产使用的“三同时”制度，在项目竣工后，须严格按照国家的有关规定，及时完成环保竣工验收，具体内容详见下表。</w:t>
            </w:r>
          </w:p>
          <w:p>
            <w:pPr>
              <w:autoSpaceDE w:val="0"/>
              <w:autoSpaceDN w:val="0"/>
              <w:ind w:firstLine="420"/>
              <w:jc w:val="center"/>
              <w:rPr>
                <w:b/>
                <w:sz w:val="22"/>
                <w:szCs w:val="22"/>
              </w:rPr>
            </w:pPr>
            <w:r>
              <w:rPr>
                <w:b/>
                <w:sz w:val="22"/>
                <w:szCs w:val="22"/>
              </w:rPr>
              <w:t>表23 项目“三同时”验收一览表</w:t>
            </w:r>
          </w:p>
          <w:tbl>
            <w:tblPr>
              <w:tblStyle w:val="13"/>
              <w:tblW w:w="8306"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589"/>
              <w:gridCol w:w="3484"/>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rPr>
                      <w:rFonts w:hint="eastAsia"/>
                    </w:rPr>
                    <w:t>序号</w:t>
                  </w:r>
                </w:p>
              </w:tc>
              <w:tc>
                <w:tcPr>
                  <w:tcW w:w="1589" w:type="dxa"/>
                  <w:vAlign w:val="center"/>
                </w:tcPr>
                <w:p>
                  <w:pPr>
                    <w:pStyle w:val="54"/>
                  </w:pPr>
                  <w:r>
                    <w:rPr>
                      <w:rFonts w:hint="eastAsia"/>
                    </w:rPr>
                    <w:t>污染物</w:t>
                  </w:r>
                </w:p>
              </w:tc>
              <w:tc>
                <w:tcPr>
                  <w:tcW w:w="3484" w:type="dxa"/>
                  <w:vAlign w:val="center"/>
                </w:tcPr>
                <w:p>
                  <w:pPr>
                    <w:pStyle w:val="54"/>
                  </w:pPr>
                  <w:r>
                    <w:rPr>
                      <w:rFonts w:hint="eastAsia"/>
                    </w:rPr>
                    <w:t>环保措施</w:t>
                  </w:r>
                </w:p>
              </w:tc>
              <w:tc>
                <w:tcPr>
                  <w:tcW w:w="2626" w:type="dxa"/>
                  <w:vAlign w:val="center"/>
                </w:tcPr>
                <w:p>
                  <w:pPr>
                    <w:pStyle w:val="54"/>
                  </w:pPr>
                  <w:r>
                    <w:rPr>
                      <w:rFonts w:hint="eastAsia"/>
                    </w:rPr>
                    <w:t>验收效果及要求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rPr>
                      <w:b/>
                    </w:rPr>
                  </w:pPr>
                  <w:r>
                    <w:rPr>
                      <w:rFonts w:hint="eastAsia"/>
                      <w:b/>
                    </w:rPr>
                    <w:t>一</w:t>
                  </w:r>
                </w:p>
              </w:tc>
              <w:tc>
                <w:tcPr>
                  <w:tcW w:w="7699" w:type="dxa"/>
                  <w:gridSpan w:val="3"/>
                  <w:vAlign w:val="center"/>
                </w:tcPr>
                <w:p>
                  <w:pPr>
                    <w:pStyle w:val="54"/>
                    <w:rPr>
                      <w:b/>
                    </w:rPr>
                  </w:pPr>
                  <w:r>
                    <w:rPr>
                      <w:rFonts w:hint="eastAsia"/>
                      <w:b/>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pPr>
                    <w:pStyle w:val="54"/>
                  </w:pPr>
                  <w:r>
                    <w:rPr>
                      <w:rFonts w:hint="eastAsia"/>
                    </w:rPr>
                    <w:t>1</w:t>
                  </w:r>
                </w:p>
              </w:tc>
              <w:tc>
                <w:tcPr>
                  <w:tcW w:w="1589" w:type="dxa"/>
                  <w:vAlign w:val="center"/>
                </w:tcPr>
                <w:p>
                  <w:pPr>
                    <w:pStyle w:val="54"/>
                  </w:pPr>
                  <w:r>
                    <w:rPr>
                      <w:rFonts w:hint="eastAsia"/>
                    </w:rPr>
                    <w:t>颗粒物</w:t>
                  </w:r>
                </w:p>
              </w:tc>
              <w:tc>
                <w:tcPr>
                  <w:tcW w:w="3484" w:type="dxa"/>
                  <w:vAlign w:val="center"/>
                </w:tcPr>
                <w:p>
                  <w:pPr>
                    <w:pStyle w:val="54"/>
                  </w:pPr>
                  <w:r>
                    <w:t>洒水降尘</w:t>
                  </w:r>
                  <w:r>
                    <w:rPr>
                      <w:rFonts w:hint="eastAsia"/>
                    </w:rPr>
                    <w:t>；储煤棚及装卸站采取封闭+喷淋措施</w:t>
                  </w:r>
                </w:p>
              </w:tc>
              <w:tc>
                <w:tcPr>
                  <w:tcW w:w="2626" w:type="dxa"/>
                  <w:vAlign w:val="center"/>
                </w:tcPr>
                <w:p>
                  <w:pPr>
                    <w:pStyle w:val="54"/>
                  </w:pPr>
                  <w:r>
                    <w:rPr>
                      <w:rFonts w:hint="eastAsia"/>
                    </w:rPr>
                    <w:t>厂界无组织</w:t>
                  </w:r>
                  <w:r>
                    <w:t>颗粒物浓度满足《大气污染物综合排放标准》（GB16297-1996）表 2 中</w:t>
                  </w:r>
                  <w:r>
                    <w:rPr>
                      <w:rFonts w:hint="eastAsia"/>
                    </w:rPr>
                    <w:t>颗粒物</w:t>
                  </w:r>
                  <w: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pPr>
                    <w:pStyle w:val="54"/>
                  </w:pPr>
                  <w:r>
                    <w:rPr>
                      <w:rFonts w:hint="eastAsia"/>
                    </w:rPr>
                    <w:t>二</w:t>
                  </w:r>
                </w:p>
              </w:tc>
              <w:tc>
                <w:tcPr>
                  <w:tcW w:w="7699" w:type="dxa"/>
                  <w:gridSpan w:val="3"/>
                  <w:vAlign w:val="center"/>
                </w:tcPr>
                <w:p>
                  <w:pPr>
                    <w:pStyle w:val="54"/>
                    <w:rPr>
                      <w:b/>
                      <w:bCs w:val="0"/>
                    </w:rPr>
                  </w:pPr>
                  <w:r>
                    <w:rPr>
                      <w:rFonts w:hint="eastAsia"/>
                      <w:b/>
                      <w:bCs w:val="0"/>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pPr>
                    <w:pStyle w:val="54"/>
                  </w:pPr>
                  <w:r>
                    <w:rPr>
                      <w:rFonts w:hint="eastAsia"/>
                    </w:rPr>
                    <w:t>1</w:t>
                  </w:r>
                </w:p>
              </w:tc>
              <w:tc>
                <w:tcPr>
                  <w:tcW w:w="1589" w:type="dxa"/>
                  <w:vAlign w:val="center"/>
                </w:tcPr>
                <w:p>
                  <w:pPr>
                    <w:pStyle w:val="54"/>
                  </w:pPr>
                  <w:r>
                    <w:rPr>
                      <w:rFonts w:hint="eastAsia"/>
                    </w:rPr>
                    <w:t>生活污水</w:t>
                  </w:r>
                </w:p>
              </w:tc>
              <w:tc>
                <w:tcPr>
                  <w:tcW w:w="3484" w:type="dxa"/>
                  <w:vAlign w:val="center"/>
                </w:tcPr>
                <w:p>
                  <w:pPr>
                    <w:pStyle w:val="54"/>
                  </w:pPr>
                  <w:r>
                    <w:rPr>
                      <w:rFonts w:hint="eastAsia"/>
                    </w:rPr>
                    <w:t>运营期生活办公区生活污水排入新建化粪池收集，食堂废水经隔油池处理后再排入化粪池，定期委托环卫部门吸污车清运集中处理，不外排</w:t>
                  </w:r>
                </w:p>
              </w:tc>
              <w:tc>
                <w:tcPr>
                  <w:tcW w:w="2626" w:type="dxa"/>
                  <w:vAlign w:val="center"/>
                </w:tcPr>
                <w:p>
                  <w:pPr>
                    <w:pStyle w:val="54"/>
                  </w:pPr>
                  <w:r>
                    <w:rPr>
                      <w:rFonts w:hint="eastAsia"/>
                    </w:rPr>
                    <w:t>查看执行情况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rPr>
                      <w:b/>
                    </w:rPr>
                  </w:pPr>
                  <w:r>
                    <w:rPr>
                      <w:rFonts w:hint="eastAsia"/>
                      <w:b/>
                    </w:rPr>
                    <w:t>三</w:t>
                  </w:r>
                </w:p>
              </w:tc>
              <w:tc>
                <w:tcPr>
                  <w:tcW w:w="7699" w:type="dxa"/>
                  <w:gridSpan w:val="3"/>
                  <w:vAlign w:val="center"/>
                </w:tcPr>
                <w:p>
                  <w:pPr>
                    <w:pStyle w:val="54"/>
                    <w:rPr>
                      <w:b/>
                    </w:rPr>
                  </w:pPr>
                  <w:r>
                    <w:rPr>
                      <w:rFonts w:hint="eastAsia"/>
                      <w:b/>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t>1</w:t>
                  </w:r>
                </w:p>
              </w:tc>
              <w:tc>
                <w:tcPr>
                  <w:tcW w:w="1589" w:type="dxa"/>
                  <w:vAlign w:val="center"/>
                </w:tcPr>
                <w:p>
                  <w:pPr>
                    <w:pStyle w:val="54"/>
                  </w:pPr>
                  <w:r>
                    <w:rPr>
                      <w:rFonts w:hint="eastAsia"/>
                    </w:rPr>
                    <w:t>噪声</w:t>
                  </w:r>
                </w:p>
              </w:tc>
              <w:tc>
                <w:tcPr>
                  <w:tcW w:w="3484" w:type="dxa"/>
                  <w:vAlign w:val="center"/>
                </w:tcPr>
                <w:p>
                  <w:pPr>
                    <w:pStyle w:val="54"/>
                  </w:pPr>
                  <w:r>
                    <w:t>选用低噪声设备，</w:t>
                  </w:r>
                  <w:r>
                    <w:rPr>
                      <w:rFonts w:hint="eastAsia"/>
                    </w:rPr>
                    <w:t>加强管理，</w:t>
                  </w:r>
                  <w:r>
                    <w:t>定期维护保养、加强作业人员劳动防护</w:t>
                  </w:r>
                </w:p>
              </w:tc>
              <w:tc>
                <w:tcPr>
                  <w:tcW w:w="2626" w:type="dxa"/>
                  <w:vAlign w:val="center"/>
                </w:tcPr>
                <w:p>
                  <w:pPr>
                    <w:pStyle w:val="54"/>
                  </w:pPr>
                  <w:r>
                    <w:rPr>
                      <w:rFonts w:hint="eastAsia"/>
                    </w:rPr>
                    <w:t>《声环境质量标准》（GB3096-2008）按所属声环境功能区（3类）的环境噪声限值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rPr>
                      <w:rFonts w:hint="eastAsia"/>
                    </w:rPr>
                    <w:t>四</w:t>
                  </w:r>
                </w:p>
              </w:tc>
              <w:tc>
                <w:tcPr>
                  <w:tcW w:w="7699" w:type="dxa"/>
                  <w:gridSpan w:val="3"/>
                  <w:vAlign w:val="center"/>
                </w:tcPr>
                <w:p>
                  <w:pPr>
                    <w:pStyle w:val="54"/>
                    <w:rPr>
                      <w:b/>
                      <w:bCs w:val="0"/>
                    </w:rPr>
                  </w:pPr>
                  <w:r>
                    <w:rPr>
                      <w:rFonts w:hint="eastAsia"/>
                      <w:b/>
                      <w:bCs w:val="0"/>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rPr>
                      <w:rFonts w:hint="eastAsia"/>
                    </w:rPr>
                    <w:t>1</w:t>
                  </w:r>
                </w:p>
              </w:tc>
              <w:tc>
                <w:tcPr>
                  <w:tcW w:w="1589" w:type="dxa"/>
                  <w:vAlign w:val="center"/>
                </w:tcPr>
                <w:p>
                  <w:pPr>
                    <w:pStyle w:val="54"/>
                  </w:pPr>
                  <w:r>
                    <w:rPr>
                      <w:rFonts w:hint="eastAsia"/>
                    </w:rPr>
                    <w:t>生活垃圾</w:t>
                  </w:r>
                </w:p>
              </w:tc>
              <w:tc>
                <w:tcPr>
                  <w:tcW w:w="3484" w:type="dxa"/>
                  <w:vAlign w:val="center"/>
                </w:tcPr>
                <w:p>
                  <w:pPr>
                    <w:pStyle w:val="54"/>
                  </w:pPr>
                  <w:r>
                    <w:rPr>
                      <w:rFonts w:hint="eastAsia"/>
                    </w:rPr>
                    <w:t>设置收集措施，定期由环卫部门清运处置</w:t>
                  </w:r>
                </w:p>
              </w:tc>
              <w:tc>
                <w:tcPr>
                  <w:tcW w:w="2626" w:type="dxa"/>
                  <w:vAlign w:val="center"/>
                </w:tcPr>
                <w:p>
                  <w:pPr>
                    <w:pStyle w:val="54"/>
                  </w:pPr>
                  <w:r>
                    <w:rPr>
                      <w:rFonts w:hint="eastAsia"/>
                    </w:rPr>
                    <w:t>查看执行情况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rPr>
                      <w:rFonts w:hint="eastAsia"/>
                    </w:rPr>
                    <w:t>五</w:t>
                  </w:r>
                </w:p>
              </w:tc>
              <w:tc>
                <w:tcPr>
                  <w:tcW w:w="7699" w:type="dxa"/>
                  <w:gridSpan w:val="3"/>
                  <w:vAlign w:val="center"/>
                </w:tcPr>
                <w:p>
                  <w:pPr>
                    <w:pStyle w:val="54"/>
                    <w:rPr>
                      <w:b/>
                      <w:lang w:bidi="ar"/>
                    </w:rPr>
                  </w:pPr>
                  <w:r>
                    <w:rPr>
                      <w:rFonts w:hint="eastAsia"/>
                      <w:b/>
                      <w:lang w:bidi="ar"/>
                    </w:rPr>
                    <w:t>生态</w:t>
                  </w:r>
                  <w:r>
                    <w:rPr>
                      <w:b/>
                      <w:lang w:bidi="ar"/>
                    </w:rPr>
                    <w:t>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Align w:val="center"/>
                </w:tcPr>
                <w:p>
                  <w:pPr>
                    <w:pStyle w:val="54"/>
                  </w:pPr>
                  <w:r>
                    <w:rPr>
                      <w:rFonts w:hint="eastAsia"/>
                    </w:rPr>
                    <w:t>1</w:t>
                  </w:r>
                </w:p>
              </w:tc>
              <w:tc>
                <w:tcPr>
                  <w:tcW w:w="1589" w:type="dxa"/>
                  <w:vAlign w:val="center"/>
                </w:tcPr>
                <w:p>
                  <w:pPr>
                    <w:pStyle w:val="54"/>
                  </w:pPr>
                  <w:r>
                    <w:rPr>
                      <w:rFonts w:hint="eastAsia"/>
                    </w:rPr>
                    <w:t>生态恢复</w:t>
                  </w:r>
                </w:p>
              </w:tc>
              <w:tc>
                <w:tcPr>
                  <w:tcW w:w="3484" w:type="dxa"/>
                  <w:vAlign w:val="center"/>
                </w:tcPr>
                <w:p>
                  <w:pPr>
                    <w:pStyle w:val="54"/>
                  </w:pPr>
                  <w:r>
                    <w:rPr>
                      <w:rFonts w:hint="eastAsia"/>
                    </w:rPr>
                    <w:t>专用线建成后，在装卸站站场两侧进行绿化，选择适应性强，防尘效果好的植物进行种植，增加区域内植被覆盖率；根据现场调查，专用线区域地势平坦，施工结束后要求对施工场地进行平整、压实，恢复原有自然景观</w:t>
                  </w:r>
                </w:p>
              </w:tc>
              <w:tc>
                <w:tcPr>
                  <w:tcW w:w="2626" w:type="dxa"/>
                  <w:vAlign w:val="center"/>
                </w:tcPr>
                <w:p>
                  <w:pPr>
                    <w:pStyle w:val="54"/>
                  </w:pPr>
                  <w:r>
                    <w:rPr>
                      <w:rFonts w:hint="eastAsia"/>
                    </w:rPr>
                    <w:t>查看执行情况</w:t>
                  </w:r>
                </w:p>
              </w:tc>
            </w:tr>
          </w:tbl>
          <w:p>
            <w:pPr>
              <w:adjustRightInd w:val="0"/>
              <w:snapToGrid w:val="0"/>
              <w:spacing w:line="408" w:lineRule="auto"/>
              <w:ind w:firstLine="520" w:firstLineChars="200"/>
              <w:rPr>
                <w:bCs/>
                <w:spacing w:val="10"/>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bCs/>
                <w:spacing w:val="10"/>
                <w:szCs w:val="21"/>
              </w:rPr>
            </w:pPr>
            <w:r>
              <w:rPr>
                <w:bCs/>
                <w:szCs w:val="21"/>
              </w:rPr>
              <w:t>环保投资</w:t>
            </w:r>
          </w:p>
        </w:tc>
        <w:tc>
          <w:tcPr>
            <w:tcW w:w="8457" w:type="dxa"/>
          </w:tcPr>
          <w:p>
            <w:pPr>
              <w:adjustRightInd w:val="0"/>
              <w:snapToGrid w:val="0"/>
              <w:spacing w:line="408" w:lineRule="auto"/>
              <w:ind w:firstLine="520" w:firstLineChars="200"/>
              <w:jc w:val="left"/>
              <w:rPr>
                <w:bCs/>
                <w:spacing w:val="10"/>
                <w:sz w:val="24"/>
                <w:szCs w:val="21"/>
              </w:rPr>
            </w:pPr>
            <w:r>
              <w:rPr>
                <w:rFonts w:hint="eastAsia"/>
                <w:bCs/>
                <w:spacing w:val="10"/>
                <w:sz w:val="24"/>
                <w:szCs w:val="21"/>
              </w:rPr>
              <w:t>总投资25817.9万，其中环保投资1</w:t>
            </w:r>
            <w:r>
              <w:rPr>
                <w:bCs/>
                <w:spacing w:val="10"/>
                <w:sz w:val="24"/>
                <w:szCs w:val="21"/>
              </w:rPr>
              <w:t>65</w:t>
            </w:r>
            <w:r>
              <w:rPr>
                <w:rFonts w:hint="eastAsia"/>
                <w:bCs/>
                <w:spacing w:val="10"/>
                <w:sz w:val="24"/>
                <w:szCs w:val="21"/>
              </w:rPr>
              <w:t>万，占总投资的0.64%，具体见下表</w:t>
            </w:r>
          </w:p>
          <w:p>
            <w:pPr>
              <w:adjustRightInd w:val="0"/>
              <w:snapToGrid w:val="0"/>
              <w:spacing w:line="408" w:lineRule="auto"/>
              <w:ind w:firstLine="462" w:firstLineChars="200"/>
              <w:jc w:val="center"/>
              <w:rPr>
                <w:b/>
                <w:bCs/>
                <w:spacing w:val="10"/>
                <w:szCs w:val="21"/>
              </w:rPr>
            </w:pPr>
            <w:r>
              <w:rPr>
                <w:rFonts w:hint="eastAsia"/>
                <w:b/>
                <w:bCs/>
                <w:spacing w:val="10"/>
                <w:szCs w:val="21"/>
              </w:rPr>
              <w:t>表24 环境保护投资估算一览表</w:t>
            </w:r>
          </w:p>
          <w:tbl>
            <w:tblPr>
              <w:tblStyle w:val="1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862"/>
              <w:gridCol w:w="1417"/>
              <w:gridCol w:w="4678"/>
              <w:gridCol w:w="8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tcBorders>
                    <w:top w:val="single" w:color="auto" w:sz="12" w:space="0"/>
                  </w:tcBorders>
                  <w:vAlign w:val="center"/>
                </w:tcPr>
                <w:p>
                  <w:pPr>
                    <w:adjustRightInd w:val="0"/>
                    <w:snapToGrid w:val="0"/>
                    <w:jc w:val="center"/>
                    <w:rPr>
                      <w:bCs/>
                      <w:spacing w:val="10"/>
                      <w:szCs w:val="21"/>
                    </w:rPr>
                  </w:pPr>
                  <w:r>
                    <w:rPr>
                      <w:rFonts w:hint="eastAsia"/>
                      <w:bCs/>
                      <w:spacing w:val="10"/>
                      <w:szCs w:val="21"/>
                    </w:rPr>
                    <w:t>阶段</w:t>
                  </w:r>
                </w:p>
              </w:tc>
              <w:tc>
                <w:tcPr>
                  <w:tcW w:w="2279" w:type="dxa"/>
                  <w:gridSpan w:val="2"/>
                  <w:tcBorders>
                    <w:top w:val="single" w:color="auto" w:sz="12" w:space="0"/>
                  </w:tcBorders>
                  <w:vAlign w:val="center"/>
                </w:tcPr>
                <w:p>
                  <w:pPr>
                    <w:adjustRightInd w:val="0"/>
                    <w:snapToGrid w:val="0"/>
                    <w:jc w:val="center"/>
                    <w:rPr>
                      <w:bCs/>
                      <w:spacing w:val="10"/>
                      <w:szCs w:val="21"/>
                    </w:rPr>
                  </w:pPr>
                  <w:r>
                    <w:rPr>
                      <w:rFonts w:hint="eastAsia"/>
                      <w:bCs/>
                      <w:spacing w:val="10"/>
                      <w:szCs w:val="21"/>
                    </w:rPr>
                    <w:t>工程名称</w:t>
                  </w:r>
                </w:p>
              </w:tc>
              <w:tc>
                <w:tcPr>
                  <w:tcW w:w="4678" w:type="dxa"/>
                  <w:tcBorders>
                    <w:top w:val="single" w:color="auto" w:sz="12" w:space="0"/>
                  </w:tcBorders>
                  <w:vAlign w:val="center"/>
                </w:tcPr>
                <w:p>
                  <w:pPr>
                    <w:adjustRightInd w:val="0"/>
                    <w:snapToGrid w:val="0"/>
                    <w:jc w:val="center"/>
                    <w:rPr>
                      <w:bCs/>
                      <w:spacing w:val="10"/>
                      <w:szCs w:val="21"/>
                    </w:rPr>
                  </w:pPr>
                  <w:r>
                    <w:rPr>
                      <w:rFonts w:hint="eastAsia"/>
                      <w:bCs/>
                      <w:spacing w:val="10"/>
                      <w:szCs w:val="21"/>
                    </w:rPr>
                    <w:t>拟采取环保措施</w:t>
                  </w:r>
                </w:p>
              </w:tc>
              <w:tc>
                <w:tcPr>
                  <w:tcW w:w="877" w:type="dxa"/>
                  <w:tcBorders>
                    <w:top w:val="single" w:color="auto" w:sz="12" w:space="0"/>
                  </w:tcBorders>
                  <w:vAlign w:val="center"/>
                </w:tcPr>
                <w:p>
                  <w:pPr>
                    <w:adjustRightInd w:val="0"/>
                    <w:snapToGrid w:val="0"/>
                    <w:jc w:val="center"/>
                    <w:rPr>
                      <w:bCs/>
                      <w:spacing w:val="10"/>
                      <w:szCs w:val="21"/>
                    </w:rPr>
                  </w:pPr>
                  <w:r>
                    <w:rPr>
                      <w:rFonts w:hint="eastAsia"/>
                      <w:bCs/>
                      <w:spacing w:val="10"/>
                      <w:szCs w:val="21"/>
                    </w:rPr>
                    <w:t>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adjustRightInd w:val="0"/>
                    <w:snapToGrid w:val="0"/>
                    <w:jc w:val="center"/>
                    <w:rPr>
                      <w:bCs/>
                      <w:spacing w:val="10"/>
                      <w:szCs w:val="21"/>
                    </w:rPr>
                  </w:pPr>
                  <w:r>
                    <w:rPr>
                      <w:rFonts w:hint="eastAsia"/>
                      <w:bCs/>
                      <w:spacing w:val="10"/>
                      <w:szCs w:val="21"/>
                    </w:rPr>
                    <w:t>施工期</w:t>
                  </w:r>
                </w:p>
              </w:tc>
              <w:tc>
                <w:tcPr>
                  <w:tcW w:w="2279" w:type="dxa"/>
                  <w:gridSpan w:val="2"/>
                  <w:vAlign w:val="center"/>
                </w:tcPr>
                <w:p>
                  <w:pPr>
                    <w:adjustRightInd w:val="0"/>
                    <w:snapToGrid w:val="0"/>
                    <w:jc w:val="center"/>
                    <w:rPr>
                      <w:bCs/>
                      <w:spacing w:val="10"/>
                      <w:szCs w:val="21"/>
                    </w:rPr>
                  </w:pPr>
                  <w:r>
                    <w:rPr>
                      <w:rFonts w:hint="eastAsia"/>
                      <w:bCs/>
                      <w:spacing w:val="10"/>
                      <w:szCs w:val="21"/>
                    </w:rPr>
                    <w:t>生态环境</w:t>
                  </w:r>
                </w:p>
              </w:tc>
              <w:tc>
                <w:tcPr>
                  <w:tcW w:w="4678" w:type="dxa"/>
                  <w:vAlign w:val="center"/>
                </w:tcPr>
                <w:p>
                  <w:pPr>
                    <w:adjustRightInd w:val="0"/>
                    <w:snapToGrid w:val="0"/>
                    <w:rPr>
                      <w:szCs w:val="21"/>
                    </w:rPr>
                  </w:pPr>
                  <w:r>
                    <w:rPr>
                      <w:rFonts w:hint="eastAsia"/>
                      <w:szCs w:val="21"/>
                    </w:rPr>
                    <w:t>规范物料拉运行车路线；施工期结束后，进行临时占地地貌植被恢复，裸露地段及时覆土绿化，避免水土流失；施工期结束后，施工设备机械及时撤离，植被自然恢复</w:t>
                  </w:r>
                </w:p>
              </w:tc>
              <w:tc>
                <w:tcPr>
                  <w:tcW w:w="877" w:type="dxa"/>
                  <w:vAlign w:val="center"/>
                </w:tcPr>
                <w:p>
                  <w:pPr>
                    <w:adjustRightInd w:val="0"/>
                    <w:snapToGrid w:val="0"/>
                    <w:jc w:val="center"/>
                    <w:rPr>
                      <w:bCs/>
                      <w:spacing w:val="10"/>
                      <w:szCs w:val="21"/>
                    </w:rPr>
                  </w:pPr>
                  <w:r>
                    <w:rPr>
                      <w:rFonts w:hint="eastAsia"/>
                      <w:bCs/>
                      <w:spacing w:val="10"/>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Merge w:val="restart"/>
                  <w:vAlign w:val="center"/>
                </w:tcPr>
                <w:p>
                  <w:pPr>
                    <w:adjustRightInd w:val="0"/>
                    <w:snapToGrid w:val="0"/>
                    <w:jc w:val="center"/>
                    <w:rPr>
                      <w:bCs/>
                      <w:spacing w:val="10"/>
                      <w:szCs w:val="21"/>
                    </w:rPr>
                  </w:pPr>
                  <w:r>
                    <w:rPr>
                      <w:rFonts w:hint="eastAsia"/>
                      <w:bCs/>
                      <w:spacing w:val="10"/>
                      <w:szCs w:val="21"/>
                    </w:rPr>
                    <w:t>废气治理</w:t>
                  </w:r>
                </w:p>
              </w:tc>
              <w:tc>
                <w:tcPr>
                  <w:tcW w:w="1417" w:type="dxa"/>
                  <w:vAlign w:val="center"/>
                </w:tcPr>
                <w:p>
                  <w:pPr>
                    <w:adjustRightInd w:val="0"/>
                    <w:snapToGrid w:val="0"/>
                    <w:jc w:val="center"/>
                    <w:rPr>
                      <w:bCs/>
                      <w:spacing w:val="10"/>
                      <w:szCs w:val="21"/>
                    </w:rPr>
                  </w:pPr>
                  <w:r>
                    <w:rPr>
                      <w:rFonts w:hint="eastAsia"/>
                      <w:bCs/>
                      <w:spacing w:val="10"/>
                      <w:szCs w:val="21"/>
                    </w:rPr>
                    <w:t>施工扬尘</w:t>
                  </w:r>
                </w:p>
              </w:tc>
              <w:tc>
                <w:tcPr>
                  <w:tcW w:w="4678" w:type="dxa"/>
                  <w:vAlign w:val="center"/>
                </w:tcPr>
                <w:p>
                  <w:pPr>
                    <w:adjustRightInd w:val="0"/>
                    <w:snapToGrid w:val="0"/>
                    <w:jc w:val="center"/>
                    <w:rPr>
                      <w:bCs/>
                      <w:spacing w:val="10"/>
                      <w:szCs w:val="21"/>
                    </w:rPr>
                  </w:pPr>
                  <w:r>
                    <w:rPr>
                      <w:rFonts w:hint="eastAsia"/>
                      <w:bCs/>
                      <w:spacing w:val="10"/>
                      <w:szCs w:val="21"/>
                    </w:rPr>
                    <w:t>施工作业区设置围挡、定期洒水抑尘，砂石料等易产尘物料进行遮盖</w:t>
                  </w:r>
                </w:p>
              </w:tc>
              <w:tc>
                <w:tcPr>
                  <w:tcW w:w="877" w:type="dxa"/>
                  <w:vAlign w:val="center"/>
                </w:tcPr>
                <w:p>
                  <w:pPr>
                    <w:adjustRightInd w:val="0"/>
                    <w:snapToGrid w:val="0"/>
                    <w:jc w:val="center"/>
                    <w:rPr>
                      <w:bCs/>
                      <w:spacing w:val="10"/>
                      <w:szCs w:val="21"/>
                    </w:rPr>
                  </w:pPr>
                  <w:r>
                    <w:rPr>
                      <w:rFonts w:hint="eastAsia"/>
                      <w:bCs/>
                      <w:spacing w:val="10"/>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Merge w:val="continue"/>
                  <w:vAlign w:val="center"/>
                </w:tcPr>
                <w:p>
                  <w:pPr>
                    <w:adjustRightInd w:val="0"/>
                    <w:snapToGrid w:val="0"/>
                    <w:jc w:val="center"/>
                    <w:rPr>
                      <w:bCs/>
                      <w:spacing w:val="10"/>
                      <w:szCs w:val="21"/>
                    </w:rPr>
                  </w:pPr>
                </w:p>
              </w:tc>
              <w:tc>
                <w:tcPr>
                  <w:tcW w:w="1417" w:type="dxa"/>
                  <w:vAlign w:val="center"/>
                </w:tcPr>
                <w:p>
                  <w:pPr>
                    <w:adjustRightInd w:val="0"/>
                    <w:snapToGrid w:val="0"/>
                    <w:jc w:val="center"/>
                    <w:rPr>
                      <w:bCs/>
                      <w:spacing w:val="10"/>
                      <w:szCs w:val="21"/>
                    </w:rPr>
                  </w:pPr>
                  <w:r>
                    <w:rPr>
                      <w:rFonts w:hint="eastAsia"/>
                      <w:bCs/>
                      <w:spacing w:val="10"/>
                      <w:szCs w:val="21"/>
                    </w:rPr>
                    <w:t>汽车尾气</w:t>
                  </w:r>
                </w:p>
              </w:tc>
              <w:tc>
                <w:tcPr>
                  <w:tcW w:w="4678" w:type="dxa"/>
                  <w:vAlign w:val="center"/>
                </w:tcPr>
                <w:p>
                  <w:pPr>
                    <w:adjustRightInd w:val="0"/>
                    <w:snapToGrid w:val="0"/>
                    <w:jc w:val="center"/>
                    <w:rPr>
                      <w:bCs/>
                      <w:spacing w:val="10"/>
                      <w:szCs w:val="21"/>
                    </w:rPr>
                  </w:pPr>
                  <w:r>
                    <w:rPr>
                      <w:rFonts w:hint="eastAsia"/>
                      <w:bCs/>
                      <w:spacing w:val="10"/>
                      <w:szCs w:val="21"/>
                    </w:rPr>
                    <w:t>定期维护保养运输车辆和施工机械，选用低标号燃油，减少尾气超标排放</w:t>
                  </w:r>
                </w:p>
              </w:tc>
              <w:tc>
                <w:tcPr>
                  <w:tcW w:w="877" w:type="dxa"/>
                  <w:vAlign w:val="center"/>
                </w:tcPr>
                <w:p>
                  <w:pPr>
                    <w:adjustRightInd w:val="0"/>
                    <w:snapToGrid w:val="0"/>
                    <w:jc w:val="center"/>
                    <w:rPr>
                      <w:bCs/>
                      <w:spacing w:val="10"/>
                      <w:szCs w:val="21"/>
                    </w:rPr>
                  </w:pPr>
                  <w:r>
                    <w:rPr>
                      <w:rFonts w:hint="eastAsia"/>
                      <w:bCs/>
                      <w:spacing w:val="10"/>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Align w:val="center"/>
                </w:tcPr>
                <w:p>
                  <w:pPr>
                    <w:adjustRightInd w:val="0"/>
                    <w:snapToGrid w:val="0"/>
                    <w:jc w:val="center"/>
                    <w:rPr>
                      <w:bCs/>
                      <w:spacing w:val="10"/>
                      <w:szCs w:val="21"/>
                    </w:rPr>
                  </w:pPr>
                  <w:r>
                    <w:rPr>
                      <w:rFonts w:hint="eastAsia"/>
                      <w:bCs/>
                      <w:spacing w:val="10"/>
                      <w:szCs w:val="21"/>
                    </w:rPr>
                    <w:t>废水处理</w:t>
                  </w:r>
                </w:p>
              </w:tc>
              <w:tc>
                <w:tcPr>
                  <w:tcW w:w="1417" w:type="dxa"/>
                  <w:vAlign w:val="center"/>
                </w:tcPr>
                <w:p>
                  <w:pPr>
                    <w:adjustRightInd w:val="0"/>
                    <w:snapToGrid w:val="0"/>
                    <w:jc w:val="center"/>
                    <w:rPr>
                      <w:bCs/>
                      <w:spacing w:val="10"/>
                      <w:szCs w:val="21"/>
                    </w:rPr>
                  </w:pPr>
                  <w:r>
                    <w:rPr>
                      <w:rFonts w:hint="eastAsia"/>
                      <w:bCs/>
                      <w:spacing w:val="10"/>
                      <w:szCs w:val="21"/>
                    </w:rPr>
                    <w:t>施工废水、生活污水</w:t>
                  </w:r>
                </w:p>
              </w:tc>
              <w:tc>
                <w:tcPr>
                  <w:tcW w:w="4678" w:type="dxa"/>
                  <w:vAlign w:val="center"/>
                </w:tcPr>
                <w:p>
                  <w:pPr>
                    <w:adjustRightInd w:val="0"/>
                    <w:snapToGrid w:val="0"/>
                    <w:jc w:val="center"/>
                    <w:rPr>
                      <w:bCs/>
                      <w:spacing w:val="10"/>
                      <w:szCs w:val="21"/>
                    </w:rPr>
                  </w:pPr>
                  <w:r>
                    <w:rPr>
                      <w:rFonts w:hint="eastAsia"/>
                      <w:bCs/>
                      <w:spacing w:val="10"/>
                      <w:szCs w:val="21"/>
                    </w:rPr>
                    <w:t>新建沉淀池一座、化粪池一座，施工废水经沉淀处理后回用于场地洒水抑尘、车辆和机械冲洗；生活污水委托环卫部门定期清运</w:t>
                  </w:r>
                </w:p>
              </w:tc>
              <w:tc>
                <w:tcPr>
                  <w:tcW w:w="877" w:type="dxa"/>
                  <w:vAlign w:val="center"/>
                </w:tcPr>
                <w:p>
                  <w:pPr>
                    <w:adjustRightInd w:val="0"/>
                    <w:snapToGrid w:val="0"/>
                    <w:jc w:val="center"/>
                    <w:rPr>
                      <w:bCs/>
                      <w:spacing w:val="10"/>
                      <w:szCs w:val="21"/>
                    </w:rPr>
                  </w:pPr>
                  <w:r>
                    <w:rPr>
                      <w:bCs/>
                      <w:spacing w:val="1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Align w:val="center"/>
                </w:tcPr>
                <w:p>
                  <w:pPr>
                    <w:adjustRightInd w:val="0"/>
                    <w:snapToGrid w:val="0"/>
                    <w:jc w:val="center"/>
                    <w:rPr>
                      <w:bCs/>
                      <w:spacing w:val="10"/>
                      <w:szCs w:val="21"/>
                    </w:rPr>
                  </w:pPr>
                  <w:r>
                    <w:rPr>
                      <w:rFonts w:hint="eastAsia"/>
                      <w:bCs/>
                      <w:spacing w:val="10"/>
                      <w:szCs w:val="21"/>
                    </w:rPr>
                    <w:t>噪声防治</w:t>
                  </w:r>
                </w:p>
              </w:tc>
              <w:tc>
                <w:tcPr>
                  <w:tcW w:w="1417" w:type="dxa"/>
                  <w:vAlign w:val="center"/>
                </w:tcPr>
                <w:p>
                  <w:pPr>
                    <w:adjustRightInd w:val="0"/>
                    <w:snapToGrid w:val="0"/>
                    <w:jc w:val="center"/>
                    <w:rPr>
                      <w:bCs/>
                      <w:spacing w:val="10"/>
                      <w:szCs w:val="21"/>
                    </w:rPr>
                  </w:pPr>
                  <w:r>
                    <w:rPr>
                      <w:rFonts w:hint="eastAsia"/>
                      <w:bCs/>
                      <w:spacing w:val="10"/>
                      <w:szCs w:val="21"/>
                    </w:rPr>
                    <w:t>施工机械、设备、运输车辆噪声</w:t>
                  </w:r>
                </w:p>
              </w:tc>
              <w:tc>
                <w:tcPr>
                  <w:tcW w:w="4678" w:type="dxa"/>
                  <w:vAlign w:val="center"/>
                </w:tcPr>
                <w:p>
                  <w:pPr>
                    <w:adjustRightInd w:val="0"/>
                    <w:snapToGrid w:val="0"/>
                    <w:jc w:val="center"/>
                    <w:rPr>
                      <w:bCs/>
                      <w:spacing w:val="10"/>
                      <w:szCs w:val="21"/>
                    </w:rPr>
                  </w:pPr>
                  <w:r>
                    <w:rPr>
                      <w:rFonts w:hint="eastAsia"/>
                      <w:bCs/>
                      <w:spacing w:val="10"/>
                      <w:szCs w:val="21"/>
                    </w:rPr>
                    <w:t>选用低噪声设备，产噪较大设备底部采用基础减振措施</w:t>
                  </w:r>
                </w:p>
              </w:tc>
              <w:tc>
                <w:tcPr>
                  <w:tcW w:w="877" w:type="dxa"/>
                  <w:vAlign w:val="center"/>
                </w:tcPr>
                <w:p>
                  <w:pPr>
                    <w:adjustRightInd w:val="0"/>
                    <w:snapToGrid w:val="0"/>
                    <w:jc w:val="center"/>
                    <w:rPr>
                      <w:bCs/>
                      <w:spacing w:val="10"/>
                      <w:szCs w:val="21"/>
                    </w:rPr>
                  </w:pPr>
                  <w:r>
                    <w:rPr>
                      <w:rFonts w:hint="eastAsia"/>
                      <w:bCs/>
                      <w:spacing w:val="10"/>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97" w:type="dxa"/>
                  <w:vMerge w:val="continue"/>
                  <w:vAlign w:val="center"/>
                </w:tcPr>
                <w:p>
                  <w:pPr>
                    <w:adjustRightInd w:val="0"/>
                    <w:snapToGrid w:val="0"/>
                    <w:jc w:val="center"/>
                    <w:rPr>
                      <w:bCs/>
                      <w:spacing w:val="10"/>
                      <w:szCs w:val="21"/>
                    </w:rPr>
                  </w:pPr>
                </w:p>
              </w:tc>
              <w:tc>
                <w:tcPr>
                  <w:tcW w:w="862" w:type="dxa"/>
                  <w:vMerge w:val="restart"/>
                  <w:vAlign w:val="center"/>
                </w:tcPr>
                <w:p>
                  <w:pPr>
                    <w:adjustRightInd w:val="0"/>
                    <w:snapToGrid w:val="0"/>
                    <w:jc w:val="center"/>
                    <w:rPr>
                      <w:bCs/>
                      <w:spacing w:val="10"/>
                      <w:szCs w:val="21"/>
                    </w:rPr>
                  </w:pPr>
                  <w:r>
                    <w:rPr>
                      <w:rFonts w:hint="eastAsia"/>
                      <w:bCs/>
                      <w:spacing w:val="10"/>
                      <w:szCs w:val="21"/>
                    </w:rPr>
                    <w:t>固废处置</w:t>
                  </w:r>
                </w:p>
              </w:tc>
              <w:tc>
                <w:tcPr>
                  <w:tcW w:w="1417" w:type="dxa"/>
                  <w:vAlign w:val="center"/>
                </w:tcPr>
                <w:p>
                  <w:pPr>
                    <w:adjustRightInd w:val="0"/>
                    <w:snapToGrid w:val="0"/>
                    <w:jc w:val="center"/>
                    <w:rPr>
                      <w:bCs/>
                      <w:spacing w:val="10"/>
                      <w:szCs w:val="21"/>
                    </w:rPr>
                  </w:pPr>
                  <w:r>
                    <w:rPr>
                      <w:rFonts w:hint="eastAsia"/>
                      <w:bCs/>
                      <w:spacing w:val="10"/>
                      <w:szCs w:val="21"/>
                    </w:rPr>
                    <w:t>生活垃圾</w:t>
                  </w:r>
                </w:p>
              </w:tc>
              <w:tc>
                <w:tcPr>
                  <w:tcW w:w="4678" w:type="dxa"/>
                  <w:vAlign w:val="center"/>
                </w:tcPr>
                <w:p>
                  <w:pPr>
                    <w:adjustRightInd w:val="0"/>
                    <w:snapToGrid w:val="0"/>
                    <w:jc w:val="center"/>
                    <w:rPr>
                      <w:bCs/>
                      <w:spacing w:val="10"/>
                      <w:szCs w:val="21"/>
                    </w:rPr>
                  </w:pPr>
                  <w:r>
                    <w:rPr>
                      <w:rFonts w:hint="eastAsia"/>
                      <w:szCs w:val="21"/>
                    </w:rPr>
                    <w:t>设置垃圾桶收集后委托环卫部门集中处理</w:t>
                  </w:r>
                </w:p>
              </w:tc>
              <w:tc>
                <w:tcPr>
                  <w:tcW w:w="877" w:type="dxa"/>
                  <w:vMerge w:val="restart"/>
                  <w:vAlign w:val="center"/>
                </w:tcPr>
                <w:p>
                  <w:pPr>
                    <w:adjustRightInd w:val="0"/>
                    <w:snapToGrid w:val="0"/>
                    <w:jc w:val="center"/>
                    <w:rPr>
                      <w:bCs/>
                      <w:spacing w:val="10"/>
                      <w:szCs w:val="21"/>
                    </w:rPr>
                  </w:pPr>
                  <w:r>
                    <w:rPr>
                      <w:rFonts w:hint="eastAsia"/>
                      <w:bCs/>
                      <w:spacing w:val="1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397" w:type="dxa"/>
                  <w:vMerge w:val="continue"/>
                  <w:vAlign w:val="center"/>
                </w:tcPr>
                <w:p>
                  <w:pPr>
                    <w:adjustRightInd w:val="0"/>
                    <w:snapToGrid w:val="0"/>
                    <w:jc w:val="center"/>
                    <w:rPr>
                      <w:bCs/>
                      <w:spacing w:val="10"/>
                      <w:szCs w:val="21"/>
                    </w:rPr>
                  </w:pPr>
                </w:p>
              </w:tc>
              <w:tc>
                <w:tcPr>
                  <w:tcW w:w="862" w:type="dxa"/>
                  <w:vMerge w:val="continue"/>
                  <w:vAlign w:val="center"/>
                </w:tcPr>
                <w:p>
                  <w:pPr>
                    <w:adjustRightInd w:val="0"/>
                    <w:snapToGrid w:val="0"/>
                    <w:jc w:val="center"/>
                    <w:rPr>
                      <w:bCs/>
                      <w:spacing w:val="10"/>
                      <w:szCs w:val="21"/>
                    </w:rPr>
                  </w:pPr>
                </w:p>
              </w:tc>
              <w:tc>
                <w:tcPr>
                  <w:tcW w:w="1417" w:type="dxa"/>
                  <w:vAlign w:val="center"/>
                </w:tcPr>
                <w:p>
                  <w:pPr>
                    <w:adjustRightInd w:val="0"/>
                    <w:snapToGrid w:val="0"/>
                    <w:jc w:val="center"/>
                    <w:rPr>
                      <w:bCs/>
                      <w:spacing w:val="10"/>
                      <w:szCs w:val="21"/>
                    </w:rPr>
                  </w:pPr>
                  <w:r>
                    <w:rPr>
                      <w:rFonts w:hint="eastAsia"/>
                      <w:bCs/>
                      <w:spacing w:val="10"/>
                      <w:szCs w:val="21"/>
                    </w:rPr>
                    <w:t>废建筑材料</w:t>
                  </w:r>
                </w:p>
              </w:tc>
              <w:tc>
                <w:tcPr>
                  <w:tcW w:w="4678" w:type="dxa"/>
                  <w:vAlign w:val="center"/>
                </w:tcPr>
                <w:p>
                  <w:pPr>
                    <w:adjustRightInd w:val="0"/>
                    <w:snapToGrid w:val="0"/>
                    <w:jc w:val="center"/>
                    <w:rPr>
                      <w:bCs/>
                      <w:spacing w:val="10"/>
                      <w:szCs w:val="21"/>
                    </w:rPr>
                  </w:pPr>
                  <w:r>
                    <w:rPr>
                      <w:rFonts w:hint="eastAsia"/>
                      <w:szCs w:val="21"/>
                    </w:rPr>
                    <w:t>废建筑垃圾分类收集后，运送指定场所处置</w:t>
                  </w:r>
                </w:p>
              </w:tc>
              <w:tc>
                <w:tcPr>
                  <w:tcW w:w="877" w:type="dxa"/>
                  <w:vMerge w:val="continue"/>
                  <w:vAlign w:val="center"/>
                </w:tcPr>
                <w:p>
                  <w:pPr>
                    <w:adjustRightInd w:val="0"/>
                    <w:snapToGrid w:val="0"/>
                    <w:jc w:val="center"/>
                    <w:rPr>
                      <w:bCs/>
                      <w:spacing w:val="1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adjustRightInd w:val="0"/>
                    <w:snapToGrid w:val="0"/>
                    <w:jc w:val="center"/>
                    <w:rPr>
                      <w:bCs/>
                      <w:spacing w:val="10"/>
                      <w:szCs w:val="21"/>
                    </w:rPr>
                  </w:pPr>
                  <w:r>
                    <w:rPr>
                      <w:rFonts w:hint="eastAsia"/>
                      <w:bCs/>
                      <w:spacing w:val="10"/>
                      <w:szCs w:val="21"/>
                    </w:rPr>
                    <w:t>运营期</w:t>
                  </w:r>
                </w:p>
              </w:tc>
              <w:tc>
                <w:tcPr>
                  <w:tcW w:w="2279" w:type="dxa"/>
                  <w:gridSpan w:val="2"/>
                  <w:vAlign w:val="center"/>
                </w:tcPr>
                <w:p>
                  <w:pPr>
                    <w:adjustRightInd w:val="0"/>
                    <w:snapToGrid w:val="0"/>
                    <w:jc w:val="center"/>
                    <w:rPr>
                      <w:bCs/>
                      <w:spacing w:val="10"/>
                      <w:szCs w:val="21"/>
                    </w:rPr>
                  </w:pPr>
                  <w:r>
                    <w:rPr>
                      <w:rFonts w:hint="eastAsia"/>
                      <w:bCs/>
                      <w:spacing w:val="10"/>
                      <w:szCs w:val="21"/>
                    </w:rPr>
                    <w:t>生态环境</w:t>
                  </w:r>
                </w:p>
              </w:tc>
              <w:tc>
                <w:tcPr>
                  <w:tcW w:w="4678" w:type="dxa"/>
                  <w:vAlign w:val="center"/>
                </w:tcPr>
                <w:p>
                  <w:pPr>
                    <w:adjustRightInd w:val="0"/>
                    <w:snapToGrid w:val="0"/>
                    <w:jc w:val="center"/>
                    <w:rPr>
                      <w:szCs w:val="21"/>
                    </w:rPr>
                  </w:pPr>
                  <w:r>
                    <w:rPr>
                      <w:rFonts w:hint="eastAsia"/>
                      <w:szCs w:val="21"/>
                    </w:rPr>
                    <w:t>通过线路两侧设置植被保护带和装卸站场绿化，进行绿化补偿，破坏的植被能够得到一定恢复；装卸站场地面硬化，加强沿线道路边坡加固和绿化措施，可有效防止水土流失；加强环境保护宣传，提高人员环保意识</w:t>
                  </w:r>
                </w:p>
              </w:tc>
              <w:tc>
                <w:tcPr>
                  <w:tcW w:w="877" w:type="dxa"/>
                  <w:vAlign w:val="center"/>
                </w:tcPr>
                <w:p>
                  <w:pPr>
                    <w:adjustRightInd w:val="0"/>
                    <w:snapToGrid w:val="0"/>
                    <w:jc w:val="center"/>
                    <w:rPr>
                      <w:bCs/>
                      <w:spacing w:val="10"/>
                      <w:szCs w:val="21"/>
                    </w:rPr>
                  </w:pPr>
                  <w:r>
                    <w:rPr>
                      <w:bCs/>
                      <w:spacing w:val="1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Merge w:val="restart"/>
                  <w:vAlign w:val="center"/>
                </w:tcPr>
                <w:p>
                  <w:pPr>
                    <w:adjustRightInd w:val="0"/>
                    <w:snapToGrid w:val="0"/>
                    <w:jc w:val="center"/>
                    <w:rPr>
                      <w:bCs/>
                      <w:spacing w:val="10"/>
                      <w:szCs w:val="21"/>
                    </w:rPr>
                  </w:pPr>
                  <w:r>
                    <w:rPr>
                      <w:rFonts w:hint="eastAsia"/>
                      <w:bCs/>
                      <w:spacing w:val="10"/>
                      <w:szCs w:val="21"/>
                    </w:rPr>
                    <w:t>废气治理</w:t>
                  </w:r>
                </w:p>
              </w:tc>
              <w:tc>
                <w:tcPr>
                  <w:tcW w:w="1417" w:type="dxa"/>
                  <w:vAlign w:val="center"/>
                </w:tcPr>
                <w:p>
                  <w:pPr>
                    <w:adjustRightInd w:val="0"/>
                    <w:snapToGrid w:val="0"/>
                    <w:jc w:val="center"/>
                    <w:rPr>
                      <w:bCs/>
                      <w:spacing w:val="10"/>
                      <w:szCs w:val="21"/>
                    </w:rPr>
                  </w:pPr>
                  <w:r>
                    <w:rPr>
                      <w:rFonts w:hint="eastAsia"/>
                      <w:bCs/>
                      <w:spacing w:val="10"/>
                      <w:szCs w:val="21"/>
                    </w:rPr>
                    <w:t>装卸扬尘</w:t>
                  </w:r>
                </w:p>
              </w:tc>
              <w:tc>
                <w:tcPr>
                  <w:tcW w:w="4678" w:type="dxa"/>
                  <w:vAlign w:val="center"/>
                </w:tcPr>
                <w:p>
                  <w:pPr>
                    <w:adjustRightInd w:val="0"/>
                    <w:snapToGrid w:val="0"/>
                    <w:jc w:val="center"/>
                    <w:rPr>
                      <w:bCs/>
                      <w:spacing w:val="10"/>
                      <w:szCs w:val="21"/>
                    </w:rPr>
                  </w:pPr>
                  <w:r>
                    <w:rPr>
                      <w:rFonts w:hint="eastAsia"/>
                      <w:szCs w:val="21"/>
                    </w:rPr>
                    <w:t>定期清扫运输道路，加强装卸站洒水抑尘</w:t>
                  </w:r>
                </w:p>
              </w:tc>
              <w:tc>
                <w:tcPr>
                  <w:tcW w:w="877" w:type="dxa"/>
                  <w:vAlign w:val="center"/>
                </w:tcPr>
                <w:p>
                  <w:pPr>
                    <w:adjustRightInd w:val="0"/>
                    <w:snapToGrid w:val="0"/>
                    <w:jc w:val="center"/>
                    <w:rPr>
                      <w:bCs/>
                      <w:spacing w:val="10"/>
                      <w:szCs w:val="21"/>
                    </w:rPr>
                  </w:pPr>
                  <w:r>
                    <w:rPr>
                      <w:rFonts w:hint="eastAsia"/>
                      <w:bCs/>
                      <w:spacing w:val="10"/>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Merge w:val="continue"/>
                  <w:vAlign w:val="center"/>
                </w:tcPr>
                <w:p>
                  <w:pPr>
                    <w:adjustRightInd w:val="0"/>
                    <w:snapToGrid w:val="0"/>
                    <w:jc w:val="center"/>
                    <w:rPr>
                      <w:bCs/>
                      <w:spacing w:val="10"/>
                      <w:szCs w:val="21"/>
                    </w:rPr>
                  </w:pPr>
                </w:p>
              </w:tc>
              <w:tc>
                <w:tcPr>
                  <w:tcW w:w="1417" w:type="dxa"/>
                  <w:vAlign w:val="center"/>
                </w:tcPr>
                <w:p>
                  <w:pPr>
                    <w:adjustRightInd w:val="0"/>
                    <w:snapToGrid w:val="0"/>
                    <w:jc w:val="center"/>
                    <w:rPr>
                      <w:bCs/>
                      <w:spacing w:val="10"/>
                      <w:szCs w:val="21"/>
                    </w:rPr>
                  </w:pPr>
                  <w:r>
                    <w:rPr>
                      <w:rFonts w:hint="eastAsia"/>
                      <w:bCs/>
                      <w:spacing w:val="10"/>
                      <w:szCs w:val="21"/>
                    </w:rPr>
                    <w:t>食堂油烟</w:t>
                  </w:r>
                </w:p>
              </w:tc>
              <w:tc>
                <w:tcPr>
                  <w:tcW w:w="4678" w:type="dxa"/>
                  <w:vAlign w:val="center"/>
                </w:tcPr>
                <w:p>
                  <w:pPr>
                    <w:adjustRightInd w:val="0"/>
                    <w:snapToGrid w:val="0"/>
                    <w:jc w:val="center"/>
                    <w:rPr>
                      <w:bCs/>
                      <w:spacing w:val="10"/>
                      <w:szCs w:val="21"/>
                    </w:rPr>
                  </w:pPr>
                  <w:r>
                    <w:rPr>
                      <w:rFonts w:hint="eastAsia"/>
                      <w:szCs w:val="21"/>
                    </w:rPr>
                    <w:t>食堂油烟经过油烟器净化器处理后排放</w:t>
                  </w:r>
                </w:p>
              </w:tc>
              <w:tc>
                <w:tcPr>
                  <w:tcW w:w="877" w:type="dxa"/>
                  <w:vAlign w:val="center"/>
                </w:tcPr>
                <w:p>
                  <w:pPr>
                    <w:adjustRightInd w:val="0"/>
                    <w:snapToGrid w:val="0"/>
                    <w:jc w:val="center"/>
                    <w:rPr>
                      <w:bCs/>
                      <w:spacing w:val="10"/>
                      <w:szCs w:val="21"/>
                    </w:rPr>
                  </w:pPr>
                  <w:r>
                    <w:rPr>
                      <w:rFonts w:hint="eastAsia"/>
                      <w:bCs/>
                      <w:spacing w:val="10"/>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adjustRightInd w:val="0"/>
                    <w:snapToGrid w:val="0"/>
                    <w:jc w:val="center"/>
                    <w:rPr>
                      <w:bCs/>
                      <w:spacing w:val="10"/>
                      <w:szCs w:val="21"/>
                    </w:rPr>
                  </w:pPr>
                </w:p>
              </w:tc>
              <w:tc>
                <w:tcPr>
                  <w:tcW w:w="862" w:type="dxa"/>
                  <w:vAlign w:val="center"/>
                </w:tcPr>
                <w:p>
                  <w:pPr>
                    <w:adjustRightInd w:val="0"/>
                    <w:snapToGrid w:val="0"/>
                    <w:jc w:val="center"/>
                    <w:rPr>
                      <w:bCs/>
                      <w:spacing w:val="10"/>
                      <w:szCs w:val="21"/>
                    </w:rPr>
                  </w:pPr>
                  <w:r>
                    <w:rPr>
                      <w:rFonts w:hint="eastAsia"/>
                      <w:bCs/>
                      <w:spacing w:val="10"/>
                      <w:szCs w:val="21"/>
                    </w:rPr>
                    <w:t>废水处理</w:t>
                  </w:r>
                </w:p>
              </w:tc>
              <w:tc>
                <w:tcPr>
                  <w:tcW w:w="1417" w:type="dxa"/>
                  <w:vAlign w:val="center"/>
                </w:tcPr>
                <w:p>
                  <w:pPr>
                    <w:adjustRightInd w:val="0"/>
                    <w:snapToGrid w:val="0"/>
                    <w:jc w:val="center"/>
                    <w:rPr>
                      <w:bCs/>
                      <w:spacing w:val="10"/>
                      <w:szCs w:val="21"/>
                    </w:rPr>
                  </w:pPr>
                  <w:r>
                    <w:rPr>
                      <w:rFonts w:hint="eastAsia"/>
                      <w:bCs/>
                      <w:spacing w:val="10"/>
                      <w:szCs w:val="21"/>
                    </w:rPr>
                    <w:t>生活污水</w:t>
                  </w:r>
                </w:p>
              </w:tc>
              <w:tc>
                <w:tcPr>
                  <w:tcW w:w="4678" w:type="dxa"/>
                  <w:vAlign w:val="center"/>
                </w:tcPr>
                <w:p>
                  <w:pPr>
                    <w:adjustRightInd w:val="0"/>
                    <w:snapToGrid w:val="0"/>
                    <w:jc w:val="center"/>
                    <w:rPr>
                      <w:bCs/>
                      <w:spacing w:val="10"/>
                      <w:szCs w:val="21"/>
                    </w:rPr>
                  </w:pPr>
                  <w:r>
                    <w:rPr>
                      <w:bCs/>
                      <w:spacing w:val="10"/>
                      <w:szCs w:val="21"/>
                    </w:rPr>
                    <w:t>生活污水</w:t>
                  </w:r>
                  <w:r>
                    <w:rPr>
                      <w:rFonts w:hint="eastAsia" w:hAnsi="宋体"/>
                      <w:kern w:val="0"/>
                    </w:rPr>
                    <w:t>排入新建化粪池</w:t>
                  </w:r>
                  <w:r>
                    <w:rPr>
                      <w:rFonts w:hAnsi="宋体"/>
                      <w:kern w:val="0"/>
                    </w:rPr>
                    <w:t>收集后</w:t>
                  </w:r>
                  <w:r>
                    <w:rPr>
                      <w:rFonts w:hint="eastAsia" w:hAnsi="宋体"/>
                      <w:kern w:val="0"/>
                    </w:rPr>
                    <w:t>，定期委托环卫部门吸污车清运集中处理，不外排</w:t>
                  </w:r>
                </w:p>
              </w:tc>
              <w:tc>
                <w:tcPr>
                  <w:tcW w:w="877" w:type="dxa"/>
                  <w:vAlign w:val="center"/>
                </w:tcPr>
                <w:p>
                  <w:pPr>
                    <w:adjustRightInd w:val="0"/>
                    <w:snapToGrid w:val="0"/>
                    <w:jc w:val="center"/>
                    <w:rPr>
                      <w:bCs/>
                      <w:spacing w:val="10"/>
                      <w:szCs w:val="21"/>
                    </w:rPr>
                  </w:pPr>
                  <w:r>
                    <w:rPr>
                      <w:rFonts w:hint="eastAsia"/>
                      <w:bCs/>
                      <w:spacing w:val="10"/>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97" w:type="dxa"/>
                  <w:vMerge w:val="continue"/>
                  <w:vAlign w:val="center"/>
                </w:tcPr>
                <w:p>
                  <w:pPr>
                    <w:adjustRightInd w:val="0"/>
                    <w:snapToGrid w:val="0"/>
                    <w:jc w:val="center"/>
                    <w:rPr>
                      <w:bCs/>
                      <w:spacing w:val="10"/>
                      <w:szCs w:val="21"/>
                    </w:rPr>
                  </w:pPr>
                </w:p>
              </w:tc>
              <w:tc>
                <w:tcPr>
                  <w:tcW w:w="862" w:type="dxa"/>
                  <w:vAlign w:val="center"/>
                </w:tcPr>
                <w:p>
                  <w:pPr>
                    <w:adjustRightInd w:val="0"/>
                    <w:snapToGrid w:val="0"/>
                    <w:jc w:val="center"/>
                    <w:rPr>
                      <w:bCs/>
                      <w:spacing w:val="10"/>
                      <w:szCs w:val="21"/>
                    </w:rPr>
                  </w:pPr>
                  <w:r>
                    <w:rPr>
                      <w:rFonts w:hint="eastAsia"/>
                      <w:bCs/>
                      <w:spacing w:val="10"/>
                      <w:szCs w:val="21"/>
                    </w:rPr>
                    <w:t>固废处置</w:t>
                  </w:r>
                </w:p>
              </w:tc>
              <w:tc>
                <w:tcPr>
                  <w:tcW w:w="1417" w:type="dxa"/>
                  <w:vAlign w:val="center"/>
                </w:tcPr>
                <w:p>
                  <w:pPr>
                    <w:adjustRightInd w:val="0"/>
                    <w:snapToGrid w:val="0"/>
                    <w:jc w:val="center"/>
                    <w:rPr>
                      <w:bCs/>
                      <w:spacing w:val="10"/>
                      <w:szCs w:val="21"/>
                    </w:rPr>
                  </w:pPr>
                  <w:r>
                    <w:rPr>
                      <w:rFonts w:hint="eastAsia"/>
                      <w:bCs/>
                      <w:spacing w:val="10"/>
                      <w:szCs w:val="21"/>
                    </w:rPr>
                    <w:t>生活垃圾</w:t>
                  </w:r>
                </w:p>
              </w:tc>
              <w:tc>
                <w:tcPr>
                  <w:tcW w:w="4678" w:type="dxa"/>
                  <w:vAlign w:val="center"/>
                </w:tcPr>
                <w:p>
                  <w:pPr>
                    <w:adjustRightInd w:val="0"/>
                    <w:snapToGrid w:val="0"/>
                    <w:jc w:val="center"/>
                    <w:rPr>
                      <w:bCs/>
                      <w:spacing w:val="10"/>
                      <w:szCs w:val="21"/>
                    </w:rPr>
                  </w:pPr>
                  <w:r>
                    <w:rPr>
                      <w:rFonts w:hint="eastAsia"/>
                      <w:szCs w:val="21"/>
                    </w:rPr>
                    <w:t>设置垃圾桶定期收集后委托环卫部门拉运处置</w:t>
                  </w:r>
                </w:p>
              </w:tc>
              <w:tc>
                <w:tcPr>
                  <w:tcW w:w="877" w:type="dxa"/>
                  <w:vAlign w:val="center"/>
                </w:tcPr>
                <w:p>
                  <w:pPr>
                    <w:adjustRightInd w:val="0"/>
                    <w:snapToGrid w:val="0"/>
                    <w:jc w:val="center"/>
                    <w:rPr>
                      <w:bCs/>
                      <w:spacing w:val="10"/>
                      <w:szCs w:val="21"/>
                    </w:rPr>
                  </w:pPr>
                  <w:r>
                    <w:rPr>
                      <w:bCs/>
                      <w:spacing w:val="10"/>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397" w:type="dxa"/>
                  <w:vMerge w:val="continue"/>
                  <w:vAlign w:val="center"/>
                </w:tcPr>
                <w:p>
                  <w:pPr>
                    <w:adjustRightInd w:val="0"/>
                    <w:snapToGrid w:val="0"/>
                    <w:jc w:val="center"/>
                    <w:rPr>
                      <w:bCs/>
                      <w:spacing w:val="10"/>
                      <w:szCs w:val="21"/>
                    </w:rPr>
                  </w:pPr>
                </w:p>
              </w:tc>
              <w:tc>
                <w:tcPr>
                  <w:tcW w:w="862" w:type="dxa"/>
                  <w:vAlign w:val="center"/>
                </w:tcPr>
                <w:p>
                  <w:pPr>
                    <w:adjustRightInd w:val="0"/>
                    <w:snapToGrid w:val="0"/>
                    <w:jc w:val="center"/>
                    <w:rPr>
                      <w:bCs/>
                      <w:spacing w:val="10"/>
                      <w:szCs w:val="21"/>
                    </w:rPr>
                  </w:pPr>
                  <w:r>
                    <w:rPr>
                      <w:rFonts w:hint="eastAsia"/>
                      <w:bCs/>
                      <w:spacing w:val="10"/>
                      <w:szCs w:val="21"/>
                    </w:rPr>
                    <w:t>防渗</w:t>
                  </w:r>
                </w:p>
              </w:tc>
              <w:tc>
                <w:tcPr>
                  <w:tcW w:w="1417" w:type="dxa"/>
                  <w:vAlign w:val="center"/>
                </w:tcPr>
                <w:p>
                  <w:pPr>
                    <w:adjustRightInd w:val="0"/>
                    <w:snapToGrid w:val="0"/>
                    <w:jc w:val="center"/>
                    <w:rPr>
                      <w:bCs/>
                      <w:spacing w:val="10"/>
                      <w:szCs w:val="21"/>
                    </w:rPr>
                  </w:pPr>
                  <w:r>
                    <w:rPr>
                      <w:rFonts w:hint="eastAsia"/>
                      <w:bCs/>
                      <w:spacing w:val="10"/>
                      <w:szCs w:val="21"/>
                    </w:rPr>
                    <w:t>防渗措施</w:t>
                  </w:r>
                </w:p>
              </w:tc>
              <w:tc>
                <w:tcPr>
                  <w:tcW w:w="4678" w:type="dxa"/>
                  <w:vAlign w:val="center"/>
                </w:tcPr>
                <w:p>
                  <w:pPr>
                    <w:adjustRightInd w:val="0"/>
                    <w:snapToGrid w:val="0"/>
                    <w:jc w:val="center"/>
                    <w:rPr>
                      <w:szCs w:val="21"/>
                    </w:rPr>
                  </w:pPr>
                  <w:r>
                    <w:rPr>
                      <w:rFonts w:hint="eastAsia"/>
                      <w:szCs w:val="21"/>
                    </w:rPr>
                    <w:t>装卸站场地、泵房、化粪池等按照《环境影响评价技术导则地下水》（HJ610-2016）进行分区防渗；即一般防渗区为化粪池等，简单防渗区为装卸站场地、泵房等</w:t>
                  </w:r>
                </w:p>
              </w:tc>
              <w:tc>
                <w:tcPr>
                  <w:tcW w:w="877" w:type="dxa"/>
                  <w:vAlign w:val="center"/>
                </w:tcPr>
                <w:p>
                  <w:pPr>
                    <w:adjustRightInd w:val="0"/>
                    <w:snapToGrid w:val="0"/>
                    <w:jc w:val="center"/>
                    <w:rPr>
                      <w:bCs/>
                      <w:spacing w:val="10"/>
                      <w:szCs w:val="21"/>
                    </w:rPr>
                  </w:pPr>
                  <w:r>
                    <w:rPr>
                      <w:rFonts w:hint="eastAsia"/>
                      <w:bCs/>
                      <w:spacing w:val="10"/>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7354" w:type="dxa"/>
                  <w:gridSpan w:val="4"/>
                  <w:tcBorders>
                    <w:bottom w:val="single" w:color="auto" w:sz="12" w:space="0"/>
                  </w:tcBorders>
                  <w:vAlign w:val="center"/>
                </w:tcPr>
                <w:p>
                  <w:pPr>
                    <w:adjustRightInd w:val="0"/>
                    <w:snapToGrid w:val="0"/>
                    <w:jc w:val="center"/>
                    <w:rPr>
                      <w:szCs w:val="21"/>
                    </w:rPr>
                  </w:pPr>
                  <w:r>
                    <w:rPr>
                      <w:rFonts w:hint="eastAsia"/>
                      <w:szCs w:val="21"/>
                    </w:rPr>
                    <w:t>合计</w:t>
                  </w:r>
                </w:p>
              </w:tc>
              <w:tc>
                <w:tcPr>
                  <w:tcW w:w="877" w:type="dxa"/>
                  <w:tcBorders>
                    <w:bottom w:val="single" w:color="auto" w:sz="12" w:space="0"/>
                  </w:tcBorders>
                  <w:vAlign w:val="center"/>
                </w:tcPr>
                <w:p>
                  <w:pPr>
                    <w:adjustRightInd w:val="0"/>
                    <w:snapToGrid w:val="0"/>
                    <w:jc w:val="center"/>
                    <w:rPr>
                      <w:bCs/>
                      <w:spacing w:val="10"/>
                      <w:szCs w:val="21"/>
                    </w:rPr>
                  </w:pPr>
                  <w:r>
                    <w:rPr>
                      <w:rFonts w:hint="eastAsia"/>
                      <w:bCs/>
                      <w:spacing w:val="10"/>
                      <w:szCs w:val="21"/>
                    </w:rPr>
                    <w:t>165</w:t>
                  </w:r>
                </w:p>
              </w:tc>
            </w:tr>
          </w:tbl>
          <w:p>
            <w:pPr>
              <w:adjustRightInd w:val="0"/>
              <w:snapToGrid w:val="0"/>
              <w:ind w:firstLine="460" w:firstLineChars="200"/>
              <w:jc w:val="left"/>
              <w:rPr>
                <w:bCs/>
                <w:spacing w:val="10"/>
                <w:szCs w:val="21"/>
              </w:rPr>
            </w:pPr>
          </w:p>
          <w:p>
            <w:pPr>
              <w:adjustRightInd w:val="0"/>
              <w:snapToGrid w:val="0"/>
              <w:ind w:firstLine="460" w:firstLineChars="200"/>
              <w:jc w:val="left"/>
              <w:rPr>
                <w:bCs/>
                <w:spacing w:val="10"/>
                <w:szCs w:val="21"/>
              </w:rPr>
            </w:pPr>
          </w:p>
        </w:tc>
      </w:tr>
    </w:tbl>
    <w:p>
      <w:pPr>
        <w:sectPr>
          <w:pgSz w:w="11907" w:h="16840"/>
          <w:pgMar w:top="1440" w:right="1797" w:bottom="1440" w:left="1797" w:header="851" w:footer="1077" w:gutter="0"/>
          <w:cols w:space="720" w:num="1"/>
          <w:docGrid w:linePitch="312" w:charSpace="0"/>
        </w:sectPr>
      </w:pPr>
    </w:p>
    <w:p>
      <w:pPr>
        <w:pStyle w:val="1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六、生态环境保护措施监督检查清单</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770"/>
        <w:gridCol w:w="2040"/>
        <w:gridCol w:w="1857"/>
        <w:gridCol w:w="19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43" w:type="pct"/>
            <w:vMerge w:val="restart"/>
            <w:tcBorders>
              <w:tl2br w:val="single" w:color="auto" w:sz="4" w:space="0"/>
            </w:tcBorders>
          </w:tcPr>
          <w:p>
            <w:pPr>
              <w:pStyle w:val="11"/>
              <w:adjustRightInd w:val="0"/>
              <w:snapToGrid w:val="0"/>
              <w:spacing w:before="72" w:beforeLines="30" w:beforeAutospacing="0" w:after="0" w:afterAutospacing="0"/>
              <w:jc w:val="center"/>
              <w:outlineLvl w:val="0"/>
              <w:rPr>
                <w:rFonts w:ascii="Times New Roman" w:hAnsi="Times New Roman" w:eastAsia="黑体"/>
                <w:kern w:val="2"/>
                <w:sz w:val="21"/>
                <w:szCs w:val="21"/>
              </w:rPr>
            </w:pPr>
          </w:p>
          <w:p>
            <w:pPr>
              <w:pStyle w:val="11"/>
              <w:adjustRightInd w:val="0"/>
              <w:snapToGrid w:val="0"/>
              <w:spacing w:before="72" w:beforeLines="3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内容</w:t>
            </w:r>
          </w:p>
          <w:p>
            <w:pPr>
              <w:pStyle w:val="11"/>
              <w:adjustRightInd w:val="0"/>
              <w:snapToGrid w:val="0"/>
              <w:spacing w:before="0" w:beforeAutospacing="0" w:after="0" w:afterAutospacing="0" w:line="14" w:lineRule="auto"/>
              <w:outlineLvl w:val="0"/>
              <w:rPr>
                <w:rFonts w:ascii="Times New Roman" w:hAnsi="Times New Roman" w:eastAsia="黑体"/>
                <w:kern w:val="2"/>
                <w:sz w:val="21"/>
                <w:szCs w:val="21"/>
              </w:rPr>
            </w:pPr>
          </w:p>
          <w:p>
            <w:pPr>
              <w:pStyle w:val="11"/>
              <w:adjustRightInd w:val="0"/>
              <w:snapToGrid w:val="0"/>
              <w:spacing w:before="0" w:beforeAutospacing="0" w:after="0" w:afterAutospacing="0"/>
              <w:outlineLvl w:val="0"/>
              <w:rPr>
                <w:rFonts w:ascii="Times New Roman" w:hAnsi="Times New Roman" w:eastAsia="黑体"/>
                <w:kern w:val="2"/>
                <w:sz w:val="21"/>
                <w:szCs w:val="21"/>
              </w:rPr>
            </w:pPr>
            <w:r>
              <w:rPr>
                <w:rFonts w:ascii="Times New Roman" w:hAnsi="Times New Roman" w:eastAsia="黑体"/>
                <w:kern w:val="2"/>
                <w:sz w:val="21"/>
                <w:szCs w:val="21"/>
              </w:rPr>
              <w:t>要素</w:t>
            </w:r>
          </w:p>
        </w:tc>
        <w:tc>
          <w:tcPr>
            <w:tcW w:w="2088" w:type="pct"/>
            <w:gridSpan w:val="2"/>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施工期</w:t>
            </w:r>
          </w:p>
        </w:tc>
        <w:tc>
          <w:tcPr>
            <w:tcW w:w="2269" w:type="pct"/>
            <w:gridSpan w:val="2"/>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43" w:type="pct"/>
            <w:vMerge w:val="continue"/>
          </w:tcPr>
          <w:p>
            <w:pPr>
              <w:pStyle w:val="11"/>
              <w:adjustRightInd w:val="0"/>
              <w:snapToGrid w:val="0"/>
              <w:spacing w:before="0" w:beforeAutospacing="0" w:after="0" w:afterAutospacing="0"/>
              <w:ind w:firstLine="840"/>
              <w:jc w:val="center"/>
              <w:outlineLvl w:val="0"/>
              <w:rPr>
                <w:rFonts w:ascii="Times New Roman" w:hAnsi="Times New Roman" w:eastAsia="黑体"/>
                <w:kern w:val="2"/>
                <w:sz w:val="21"/>
                <w:szCs w:val="21"/>
              </w:rPr>
            </w:pPr>
          </w:p>
        </w:tc>
        <w:tc>
          <w:tcPr>
            <w:tcW w:w="1147" w:type="pct"/>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941" w:type="pct"/>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198" w:type="pct"/>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071" w:type="pct"/>
            <w:vAlign w:val="center"/>
          </w:tcPr>
          <w:p>
            <w:pPr>
              <w:pStyle w:val="11"/>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陆生生态</w:t>
            </w:r>
          </w:p>
        </w:tc>
        <w:tc>
          <w:tcPr>
            <w:tcW w:w="1147" w:type="pct"/>
          </w:tcPr>
          <w:p>
            <w:pPr>
              <w:adjustRightInd w:val="0"/>
              <w:snapToGrid w:val="0"/>
              <w:rPr>
                <w:szCs w:val="21"/>
              </w:rPr>
            </w:pPr>
            <w:r>
              <w:rPr>
                <w:rFonts w:hint="eastAsia" w:ascii="宋体" w:hAnsi="宋体" w:cs="宋体"/>
                <w:szCs w:val="21"/>
              </w:rPr>
              <w:t>①</w:t>
            </w:r>
            <w:r>
              <w:rPr>
                <w:rFonts w:hint="eastAsia"/>
                <w:szCs w:val="21"/>
              </w:rPr>
              <w:t>施工期设置围挡，规范物料拉运行车路线</w:t>
            </w:r>
          </w:p>
          <w:p>
            <w:pPr>
              <w:adjustRightInd w:val="0"/>
              <w:snapToGrid w:val="0"/>
              <w:rPr>
                <w:szCs w:val="21"/>
              </w:rPr>
            </w:pPr>
            <w:r>
              <w:rPr>
                <w:rFonts w:hint="eastAsia" w:ascii="宋体" w:hAnsi="宋体" w:cs="宋体"/>
                <w:szCs w:val="21"/>
              </w:rPr>
              <w:t>②</w:t>
            </w:r>
            <w:r>
              <w:rPr>
                <w:rFonts w:hint="eastAsia"/>
                <w:szCs w:val="21"/>
              </w:rPr>
              <w:t>施工期结束后，进行临时占地地貌植被恢复，裸露地段及时覆土绿化，避免水土流失</w:t>
            </w:r>
          </w:p>
          <w:p>
            <w:pPr>
              <w:adjustRightInd w:val="0"/>
              <w:snapToGrid w:val="0"/>
              <w:rPr>
                <w:szCs w:val="21"/>
              </w:rPr>
            </w:pPr>
            <w:r>
              <w:rPr>
                <w:rFonts w:hint="eastAsia" w:ascii="宋体" w:hAnsi="宋体" w:cs="宋体"/>
                <w:szCs w:val="21"/>
              </w:rPr>
              <w:t>③</w:t>
            </w:r>
            <w:r>
              <w:rPr>
                <w:rFonts w:hint="eastAsia"/>
                <w:szCs w:val="21"/>
              </w:rPr>
              <w:t>施工期结束后，施工设备机械及时撤离，废水和固体废物均妥善处理，现场无遗留问题</w:t>
            </w:r>
          </w:p>
        </w:tc>
        <w:tc>
          <w:tcPr>
            <w:tcW w:w="941" w:type="pct"/>
            <w:vAlign w:val="center"/>
          </w:tcPr>
          <w:p>
            <w:pPr>
              <w:adjustRightInd w:val="0"/>
              <w:snapToGrid w:val="0"/>
              <w:jc w:val="center"/>
              <w:rPr>
                <w:szCs w:val="21"/>
              </w:rPr>
            </w:pPr>
            <w:r>
              <w:rPr>
                <w:rFonts w:hint="eastAsia"/>
                <w:szCs w:val="21"/>
              </w:rPr>
              <w:t>调查生态措施落实情况；调查施工期结束后现场废水和固废等遗留问题</w:t>
            </w:r>
          </w:p>
        </w:tc>
        <w:tc>
          <w:tcPr>
            <w:tcW w:w="1198" w:type="pct"/>
            <w:vAlign w:val="center"/>
          </w:tcPr>
          <w:p>
            <w:pPr>
              <w:adjustRightInd w:val="0"/>
              <w:snapToGrid w:val="0"/>
              <w:rPr>
                <w:szCs w:val="21"/>
              </w:rPr>
            </w:pPr>
            <w:r>
              <w:rPr>
                <w:rFonts w:hint="eastAsia" w:ascii="宋体" w:hAnsi="宋体" w:cs="宋体"/>
                <w:szCs w:val="21"/>
              </w:rPr>
              <w:t>①</w:t>
            </w:r>
            <w:r>
              <w:rPr>
                <w:rFonts w:hint="eastAsia"/>
                <w:szCs w:val="21"/>
              </w:rPr>
              <w:t>通过装卸站场绿化，进行绿化补偿，破坏的植被能够得到一定恢复</w:t>
            </w:r>
          </w:p>
          <w:p>
            <w:pPr>
              <w:adjustRightInd w:val="0"/>
              <w:snapToGrid w:val="0"/>
              <w:rPr>
                <w:szCs w:val="21"/>
              </w:rPr>
            </w:pPr>
            <w:r>
              <w:rPr>
                <w:rFonts w:hint="eastAsia" w:ascii="宋体" w:hAnsi="宋体" w:cs="宋体"/>
                <w:szCs w:val="21"/>
              </w:rPr>
              <w:t>②</w:t>
            </w:r>
            <w:r>
              <w:rPr>
                <w:rFonts w:hint="eastAsia"/>
                <w:szCs w:val="21"/>
              </w:rPr>
              <w:t>装卸站场地面硬化，加强沿线道路边坡加固和绿化措施，可有效防止水土流失</w:t>
            </w:r>
          </w:p>
          <w:p>
            <w:pPr>
              <w:adjustRightInd w:val="0"/>
              <w:snapToGrid w:val="0"/>
              <w:rPr>
                <w:szCs w:val="21"/>
              </w:rPr>
            </w:pPr>
            <w:r>
              <w:rPr>
                <w:rFonts w:hint="eastAsia" w:ascii="宋体" w:hAnsi="宋体" w:cs="宋体"/>
                <w:szCs w:val="21"/>
              </w:rPr>
              <w:t>③</w:t>
            </w:r>
            <w:r>
              <w:rPr>
                <w:rFonts w:hint="eastAsia"/>
                <w:szCs w:val="21"/>
              </w:rPr>
              <w:t>加强环境保护宣传，提高人员环保意识</w:t>
            </w:r>
          </w:p>
        </w:tc>
        <w:tc>
          <w:tcPr>
            <w:tcW w:w="1071" w:type="pct"/>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水生生态</w:t>
            </w:r>
          </w:p>
        </w:tc>
        <w:tc>
          <w:tcPr>
            <w:tcW w:w="1147" w:type="pct"/>
            <w:vAlign w:val="center"/>
          </w:tcPr>
          <w:p>
            <w:pPr>
              <w:autoSpaceDE w:val="0"/>
              <w:autoSpaceDN w:val="0"/>
              <w:adjustRightInd w:val="0"/>
              <w:jc w:val="center"/>
              <w:rPr>
                <w:szCs w:val="21"/>
              </w:rPr>
            </w:pPr>
            <w:r>
              <w:rPr>
                <w:rFonts w:hint="eastAsia"/>
                <w:szCs w:val="21"/>
              </w:rPr>
              <w:t>/</w:t>
            </w:r>
          </w:p>
        </w:tc>
        <w:tc>
          <w:tcPr>
            <w:tcW w:w="941" w:type="pct"/>
            <w:vAlign w:val="center"/>
          </w:tcPr>
          <w:p>
            <w:pPr>
              <w:adjustRightInd w:val="0"/>
              <w:snapToGrid w:val="0"/>
              <w:jc w:val="center"/>
              <w:rPr>
                <w:szCs w:val="21"/>
              </w:rPr>
            </w:pPr>
            <w:r>
              <w:rPr>
                <w:rFonts w:hint="eastAsia"/>
                <w:szCs w:val="21"/>
              </w:rPr>
              <w:t>/</w:t>
            </w:r>
          </w:p>
        </w:tc>
        <w:tc>
          <w:tcPr>
            <w:tcW w:w="1198" w:type="pct"/>
            <w:vAlign w:val="center"/>
          </w:tcPr>
          <w:p>
            <w:pPr>
              <w:adjustRightInd w:val="0"/>
              <w:snapToGrid w:val="0"/>
              <w:jc w:val="center"/>
              <w:rPr>
                <w:szCs w:val="21"/>
              </w:rPr>
            </w:pPr>
            <w:r>
              <w:rPr>
                <w:rFonts w:hint="eastAsia"/>
                <w:szCs w:val="21"/>
              </w:rPr>
              <w:t>/</w:t>
            </w:r>
          </w:p>
        </w:tc>
        <w:tc>
          <w:tcPr>
            <w:tcW w:w="1071" w:type="pct"/>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地表水环境</w:t>
            </w:r>
          </w:p>
        </w:tc>
        <w:tc>
          <w:tcPr>
            <w:tcW w:w="1147" w:type="pct"/>
            <w:vAlign w:val="center"/>
          </w:tcPr>
          <w:p>
            <w:pPr>
              <w:adjustRightInd w:val="0"/>
              <w:snapToGrid w:val="0"/>
              <w:jc w:val="center"/>
              <w:rPr>
                <w:szCs w:val="21"/>
              </w:rPr>
            </w:pPr>
            <w:r>
              <w:rPr>
                <w:rFonts w:hint="eastAsia"/>
                <w:szCs w:val="21"/>
              </w:rPr>
              <w:t>施工废水和生活污水经新建沉淀池沉淀后回用于绿化和洒水抑尘</w:t>
            </w:r>
          </w:p>
        </w:tc>
        <w:tc>
          <w:tcPr>
            <w:tcW w:w="941" w:type="pct"/>
            <w:vAlign w:val="center"/>
          </w:tcPr>
          <w:p>
            <w:pPr>
              <w:adjustRightInd w:val="0"/>
              <w:snapToGrid w:val="0"/>
              <w:jc w:val="center"/>
              <w:rPr>
                <w:szCs w:val="21"/>
              </w:rPr>
            </w:pPr>
            <w:r>
              <w:rPr>
                <w:rFonts w:hint="eastAsia"/>
                <w:szCs w:val="21"/>
              </w:rPr>
              <w:t>全部回用不外排</w:t>
            </w:r>
          </w:p>
        </w:tc>
        <w:tc>
          <w:tcPr>
            <w:tcW w:w="1198" w:type="pct"/>
            <w:vAlign w:val="center"/>
          </w:tcPr>
          <w:p>
            <w:pPr>
              <w:adjustRightInd w:val="0"/>
              <w:snapToGrid w:val="0"/>
              <w:jc w:val="center"/>
              <w:rPr>
                <w:szCs w:val="21"/>
              </w:rPr>
            </w:pPr>
            <w:r>
              <w:rPr>
                <w:bCs/>
                <w:spacing w:val="10"/>
                <w:szCs w:val="21"/>
              </w:rPr>
              <w:t>生活污水</w:t>
            </w:r>
            <w:r>
              <w:rPr>
                <w:rFonts w:hint="eastAsia" w:hAnsi="宋体"/>
                <w:kern w:val="0"/>
              </w:rPr>
              <w:t>排入新建化粪池</w:t>
            </w:r>
            <w:r>
              <w:rPr>
                <w:rFonts w:hAnsi="宋体"/>
                <w:kern w:val="0"/>
              </w:rPr>
              <w:t>收集后</w:t>
            </w:r>
            <w:r>
              <w:rPr>
                <w:rFonts w:hint="eastAsia" w:hAnsi="宋体"/>
                <w:kern w:val="0"/>
              </w:rPr>
              <w:t>，定期委托环卫部门吸污车清运集中处理，不外排</w:t>
            </w:r>
          </w:p>
        </w:tc>
        <w:tc>
          <w:tcPr>
            <w:tcW w:w="1071" w:type="pct"/>
            <w:vAlign w:val="center"/>
          </w:tcPr>
          <w:p>
            <w:pPr>
              <w:adjustRightInd w:val="0"/>
              <w:snapToGrid w:val="0"/>
              <w:jc w:val="center"/>
              <w:rPr>
                <w:szCs w:val="21"/>
              </w:rPr>
            </w:pPr>
            <w:r>
              <w:rPr>
                <w:rFonts w:hint="eastAsia"/>
                <w:szCs w:val="21"/>
              </w:rPr>
              <w:t>全部回用不外排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地下水及土壤环境</w:t>
            </w:r>
          </w:p>
        </w:tc>
        <w:tc>
          <w:tcPr>
            <w:tcW w:w="1147" w:type="pct"/>
            <w:vAlign w:val="center"/>
          </w:tcPr>
          <w:p>
            <w:pPr>
              <w:adjustRightInd w:val="0"/>
              <w:snapToGrid w:val="0"/>
              <w:rPr>
                <w:szCs w:val="21"/>
              </w:rPr>
            </w:pP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szCs w:val="21"/>
              </w:rPr>
              <w:t>控制作业范围，占地控制在征地面积内，减少对土壤的扰动。</w:t>
            </w:r>
          </w:p>
          <w:p>
            <w:pPr>
              <w:adjustRightInd w:val="0"/>
              <w:snapToGrid w:val="0"/>
              <w:jc w:val="center"/>
              <w:rPr>
                <w:szCs w:val="21"/>
              </w:rPr>
            </w:pPr>
            <w:r>
              <w:rPr>
                <w:szCs w:val="21"/>
              </w:rPr>
              <w:fldChar w:fldCharType="begin"/>
            </w:r>
            <w:r>
              <w:rPr>
                <w:szCs w:val="21"/>
              </w:rPr>
              <w:instrText xml:space="preserve"> = 2 \* GB3 \* MERGEFORMAT </w:instrText>
            </w:r>
            <w:r>
              <w:rPr>
                <w:szCs w:val="21"/>
              </w:rPr>
              <w:fldChar w:fldCharType="separate"/>
            </w:r>
            <w:r>
              <w:rPr>
                <w:rFonts w:hint="eastAsia" w:ascii="宋体" w:hAnsi="宋体" w:cs="宋体"/>
                <w:szCs w:val="21"/>
              </w:rPr>
              <w:t>②</w:t>
            </w:r>
            <w:r>
              <w:rPr>
                <w:szCs w:val="21"/>
              </w:rPr>
              <w:fldChar w:fldCharType="end"/>
            </w:r>
            <w:r>
              <w:rPr>
                <w:szCs w:val="21"/>
              </w:rPr>
              <w:t>土地开挖、平整时，应保存表土，用于施工结束后场地平整，植被恢复。</w:t>
            </w:r>
          </w:p>
        </w:tc>
        <w:tc>
          <w:tcPr>
            <w:tcW w:w="941" w:type="pct"/>
            <w:vAlign w:val="center"/>
          </w:tcPr>
          <w:p>
            <w:pPr>
              <w:adjustRightInd w:val="0"/>
              <w:snapToGrid w:val="0"/>
              <w:jc w:val="center"/>
              <w:rPr>
                <w:szCs w:val="21"/>
              </w:rPr>
            </w:pP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szCs w:val="21"/>
              </w:rPr>
              <w:t>施工均控制在征地面积内。</w:t>
            </w:r>
          </w:p>
          <w:p>
            <w:pPr>
              <w:adjustRightInd w:val="0"/>
              <w:snapToGrid w:val="0"/>
              <w:jc w:val="center"/>
              <w:rPr>
                <w:szCs w:val="21"/>
              </w:rPr>
            </w:pPr>
            <w:r>
              <w:rPr>
                <w:szCs w:val="21"/>
              </w:rPr>
              <w:fldChar w:fldCharType="begin"/>
            </w:r>
            <w:r>
              <w:rPr>
                <w:szCs w:val="21"/>
              </w:rPr>
              <w:instrText xml:space="preserve"> = 2 \* GB3 \* MERGEFORMAT </w:instrText>
            </w:r>
            <w:r>
              <w:rPr>
                <w:szCs w:val="21"/>
              </w:rPr>
              <w:fldChar w:fldCharType="separate"/>
            </w:r>
            <w:r>
              <w:rPr>
                <w:rFonts w:hint="eastAsia" w:ascii="宋体" w:hAnsi="宋体" w:cs="宋体"/>
                <w:szCs w:val="21"/>
              </w:rPr>
              <w:t>②</w:t>
            </w:r>
            <w:r>
              <w:rPr>
                <w:szCs w:val="21"/>
              </w:rPr>
              <w:fldChar w:fldCharType="end"/>
            </w:r>
            <w:r>
              <w:rPr>
                <w:szCs w:val="21"/>
              </w:rPr>
              <w:t>表土用于施工结束后场地平整，植被恢复</w:t>
            </w:r>
          </w:p>
        </w:tc>
        <w:tc>
          <w:tcPr>
            <w:tcW w:w="1198" w:type="pct"/>
            <w:vAlign w:val="center"/>
          </w:tcPr>
          <w:p>
            <w:pPr>
              <w:adjustRightInd w:val="0"/>
              <w:snapToGrid w:val="0"/>
              <w:jc w:val="center"/>
              <w:rPr>
                <w:szCs w:val="21"/>
              </w:rPr>
            </w:pPr>
            <w:r>
              <w:rPr>
                <w:rFonts w:hint="eastAsia"/>
                <w:szCs w:val="21"/>
              </w:rPr>
              <w:t>/</w:t>
            </w:r>
          </w:p>
        </w:tc>
        <w:tc>
          <w:tcPr>
            <w:tcW w:w="1071" w:type="pct"/>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声环境</w:t>
            </w:r>
          </w:p>
        </w:tc>
        <w:tc>
          <w:tcPr>
            <w:tcW w:w="1147" w:type="pct"/>
            <w:vAlign w:val="center"/>
          </w:tcPr>
          <w:p>
            <w:pPr>
              <w:adjustRightInd w:val="0"/>
              <w:snapToGrid w:val="0"/>
              <w:jc w:val="center"/>
              <w:rPr>
                <w:szCs w:val="21"/>
              </w:rPr>
            </w:pPr>
            <w:r>
              <w:rPr>
                <w:rFonts w:hint="eastAsia"/>
                <w:szCs w:val="21"/>
              </w:rPr>
              <w:t>加强管理，合理安排施工时间，合理安排施工场地</w:t>
            </w:r>
          </w:p>
        </w:tc>
        <w:tc>
          <w:tcPr>
            <w:tcW w:w="941" w:type="pct"/>
            <w:vAlign w:val="center"/>
          </w:tcPr>
          <w:p>
            <w:pPr>
              <w:adjustRightInd w:val="0"/>
              <w:snapToGrid w:val="0"/>
              <w:jc w:val="center"/>
              <w:rPr>
                <w:szCs w:val="21"/>
              </w:rPr>
            </w:pPr>
            <w:r>
              <w:rPr>
                <w:rFonts w:hint="eastAsia"/>
                <w:szCs w:val="21"/>
              </w:rPr>
              <w:t>《建筑施工场界噪声排放标准》</w:t>
            </w:r>
          </w:p>
        </w:tc>
        <w:tc>
          <w:tcPr>
            <w:tcW w:w="1198" w:type="pct"/>
            <w:vAlign w:val="center"/>
          </w:tcPr>
          <w:p>
            <w:pPr>
              <w:adjustRightInd w:val="0"/>
              <w:snapToGrid w:val="0"/>
              <w:jc w:val="center"/>
              <w:rPr>
                <w:szCs w:val="21"/>
              </w:rPr>
            </w:pPr>
            <w:r>
              <w:rPr>
                <w:rFonts w:hint="eastAsia"/>
                <w:szCs w:val="21"/>
              </w:rPr>
              <w:t>选用低噪声设备、基础减振</w:t>
            </w:r>
          </w:p>
        </w:tc>
        <w:tc>
          <w:tcPr>
            <w:tcW w:w="1071" w:type="pct"/>
            <w:vAlign w:val="center"/>
          </w:tcPr>
          <w:p>
            <w:pPr>
              <w:jc w:val="center"/>
              <w:rPr>
                <w:szCs w:val="21"/>
              </w:rPr>
            </w:pPr>
            <w:r>
              <w:rPr>
                <w:rFonts w:hint="eastAsia"/>
                <w:szCs w:val="21"/>
              </w:rPr>
              <w:t>《声环境质量标准》（GB3096-2008）按所属声环境功能区（3类）的环境噪声限值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振动</w:t>
            </w:r>
          </w:p>
        </w:tc>
        <w:tc>
          <w:tcPr>
            <w:tcW w:w="1147" w:type="pct"/>
            <w:vAlign w:val="center"/>
          </w:tcPr>
          <w:p>
            <w:pPr>
              <w:adjustRightInd w:val="0"/>
              <w:snapToGrid w:val="0"/>
              <w:jc w:val="center"/>
              <w:rPr>
                <w:szCs w:val="21"/>
              </w:rPr>
            </w:pPr>
            <w:r>
              <w:rPr>
                <w:rFonts w:hint="eastAsia"/>
                <w:szCs w:val="21"/>
              </w:rPr>
              <w:t>/</w:t>
            </w:r>
          </w:p>
        </w:tc>
        <w:tc>
          <w:tcPr>
            <w:tcW w:w="941" w:type="pct"/>
            <w:vAlign w:val="center"/>
          </w:tcPr>
          <w:p>
            <w:pPr>
              <w:adjustRightInd w:val="0"/>
              <w:snapToGrid w:val="0"/>
              <w:jc w:val="center"/>
              <w:rPr>
                <w:szCs w:val="21"/>
              </w:rPr>
            </w:pPr>
            <w:r>
              <w:rPr>
                <w:rFonts w:hint="eastAsia"/>
                <w:szCs w:val="21"/>
              </w:rPr>
              <w:t>/</w:t>
            </w:r>
          </w:p>
        </w:tc>
        <w:tc>
          <w:tcPr>
            <w:tcW w:w="1198" w:type="pct"/>
            <w:vAlign w:val="center"/>
          </w:tcPr>
          <w:p>
            <w:pPr>
              <w:adjustRightInd w:val="0"/>
              <w:snapToGrid w:val="0"/>
              <w:jc w:val="center"/>
              <w:rPr>
                <w:szCs w:val="21"/>
              </w:rPr>
            </w:pPr>
            <w:r>
              <w:rPr>
                <w:rFonts w:hint="eastAsia"/>
                <w:szCs w:val="21"/>
              </w:rPr>
              <w:t>加强轨道管理，定期维护保养，控制行车自重、增加轨道弹性</w:t>
            </w:r>
          </w:p>
        </w:tc>
        <w:tc>
          <w:tcPr>
            <w:tcW w:w="1071" w:type="pct"/>
            <w:vAlign w:val="center"/>
          </w:tcPr>
          <w:p>
            <w:pPr>
              <w:adjustRightInd w:val="0"/>
              <w:snapToGrid w:val="0"/>
              <w:jc w:val="center"/>
              <w:rPr>
                <w:szCs w:val="21"/>
              </w:rPr>
            </w:pPr>
            <w:r>
              <w:rPr>
                <w:rFonts w:hint="eastAsia"/>
                <w:szCs w:val="21"/>
              </w:rPr>
              <w:t>《城市区域环境振动标准》（GB</w:t>
            </w:r>
            <w:r>
              <w:rPr>
                <w:szCs w:val="21"/>
              </w:rPr>
              <w:t>10070-88</w:t>
            </w:r>
            <w:r>
              <w:rPr>
                <w:rFonts w:hint="eastAsia"/>
                <w:szCs w:val="21"/>
              </w:rPr>
              <w:t>）中“铁路干线两侧”标准限值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大气环境</w:t>
            </w:r>
          </w:p>
        </w:tc>
        <w:tc>
          <w:tcPr>
            <w:tcW w:w="1147" w:type="pct"/>
            <w:vAlign w:val="center"/>
          </w:tcPr>
          <w:p>
            <w:pPr>
              <w:adjustRightInd w:val="0"/>
              <w:snapToGrid w:val="0"/>
              <w:jc w:val="center"/>
              <w:rPr>
                <w:szCs w:val="21"/>
              </w:rPr>
            </w:pPr>
            <w:r>
              <w:rPr>
                <w:rFonts w:hint="eastAsia"/>
                <w:szCs w:val="21"/>
              </w:rPr>
              <w:t>设置围挡，定期洒水抑尘，物料运输过程进行覆盖遮蔽</w:t>
            </w:r>
          </w:p>
        </w:tc>
        <w:tc>
          <w:tcPr>
            <w:tcW w:w="941" w:type="pct"/>
            <w:vAlign w:val="center"/>
          </w:tcPr>
          <w:p>
            <w:pPr>
              <w:adjustRightInd w:val="0"/>
              <w:snapToGrid w:val="0"/>
              <w:jc w:val="center"/>
              <w:rPr>
                <w:szCs w:val="21"/>
              </w:rPr>
            </w:pPr>
            <w:r>
              <w:rPr>
                <w:rFonts w:hint="eastAsia"/>
                <w:szCs w:val="21"/>
              </w:rPr>
              <w:t>施工厂界颗粒物满足《大气污染物综合排放标准》（GB16297-1996）</w:t>
            </w:r>
          </w:p>
        </w:tc>
        <w:tc>
          <w:tcPr>
            <w:tcW w:w="1198" w:type="pct"/>
            <w:vAlign w:val="center"/>
          </w:tcPr>
          <w:p>
            <w:pPr>
              <w:adjustRightInd w:val="0"/>
              <w:snapToGrid w:val="0"/>
              <w:jc w:val="center"/>
              <w:rPr>
                <w:szCs w:val="21"/>
              </w:rPr>
            </w:pPr>
            <w:r>
              <w:rPr>
                <w:rFonts w:hint="eastAsia"/>
                <w:szCs w:val="21"/>
              </w:rPr>
              <w:t>定期清扫运输道路，加强装卸站洒水抑尘；食堂油烟经过油烟器净化器处理后排放</w:t>
            </w:r>
          </w:p>
        </w:tc>
        <w:tc>
          <w:tcPr>
            <w:tcW w:w="1071" w:type="pct"/>
            <w:vAlign w:val="center"/>
          </w:tcPr>
          <w:p>
            <w:pPr>
              <w:adjustRightInd w:val="0"/>
              <w:snapToGrid w:val="0"/>
              <w:jc w:val="center"/>
              <w:rPr>
                <w:szCs w:val="21"/>
              </w:rPr>
            </w:pPr>
            <w:r>
              <w:rPr>
                <w:rFonts w:hint="eastAsia"/>
                <w:szCs w:val="21"/>
              </w:rPr>
              <w:t>《饮食业油烟排放标准（试行）》（GB</w:t>
            </w:r>
            <w:r>
              <w:rPr>
                <w:szCs w:val="21"/>
              </w:rPr>
              <w:t>18483-2001</w:t>
            </w:r>
            <w:r>
              <w:rPr>
                <w:rFonts w:hint="eastAsia"/>
                <w:szCs w:val="21"/>
              </w:rPr>
              <w:t>）中限值（2.0mg</w:t>
            </w:r>
            <w:r>
              <w:rPr>
                <w:szCs w:val="21"/>
              </w:rPr>
              <w:t>/</w:t>
            </w:r>
            <w:r>
              <w:rPr>
                <w:rFonts w:hint="eastAsia"/>
                <w:szCs w:val="21"/>
              </w:rPr>
              <w:t>m³）要求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固体废物</w:t>
            </w:r>
          </w:p>
        </w:tc>
        <w:tc>
          <w:tcPr>
            <w:tcW w:w="1147" w:type="pct"/>
            <w:vAlign w:val="center"/>
          </w:tcPr>
          <w:p>
            <w:pPr>
              <w:adjustRightInd w:val="0"/>
              <w:snapToGrid w:val="0"/>
              <w:jc w:val="center"/>
              <w:rPr>
                <w:szCs w:val="21"/>
              </w:rPr>
            </w:pPr>
            <w:r>
              <w:rPr>
                <w:rFonts w:hint="eastAsia"/>
                <w:szCs w:val="21"/>
              </w:rPr>
              <w:t>生活垃圾收集后委托环卫部门集中处理；废建筑垃圾分类收集后，运送指定场所处置</w:t>
            </w:r>
          </w:p>
        </w:tc>
        <w:tc>
          <w:tcPr>
            <w:tcW w:w="941" w:type="pct"/>
            <w:vAlign w:val="center"/>
          </w:tcPr>
          <w:p>
            <w:pPr>
              <w:adjustRightInd w:val="0"/>
              <w:snapToGrid w:val="0"/>
              <w:jc w:val="center"/>
              <w:rPr>
                <w:szCs w:val="21"/>
              </w:rPr>
            </w:pPr>
            <w:r>
              <w:rPr>
                <w:rFonts w:hint="eastAsia"/>
                <w:szCs w:val="21"/>
              </w:rPr>
              <w:t>《一般工业固体废物贮存和填埋污染控制标准》</w:t>
            </w:r>
          </w:p>
        </w:tc>
        <w:tc>
          <w:tcPr>
            <w:tcW w:w="1198" w:type="pct"/>
            <w:vAlign w:val="center"/>
          </w:tcPr>
          <w:p>
            <w:pPr>
              <w:adjustRightInd w:val="0"/>
              <w:snapToGrid w:val="0"/>
              <w:jc w:val="center"/>
              <w:rPr>
                <w:szCs w:val="21"/>
              </w:rPr>
            </w:pPr>
            <w:r>
              <w:rPr>
                <w:rFonts w:hint="eastAsia"/>
                <w:szCs w:val="21"/>
              </w:rPr>
              <w:t>生活垃圾定期清理委托环卫部门拉运处置</w:t>
            </w:r>
          </w:p>
        </w:tc>
        <w:tc>
          <w:tcPr>
            <w:tcW w:w="1071" w:type="pct"/>
            <w:vAlign w:val="center"/>
          </w:tcPr>
          <w:p>
            <w:pPr>
              <w:adjustRightInd w:val="0"/>
              <w:snapToGrid w:val="0"/>
              <w:jc w:val="center"/>
              <w:rPr>
                <w:szCs w:val="21"/>
              </w:rPr>
            </w:pPr>
            <w:r>
              <w:rPr>
                <w:rFonts w:hint="eastAsia"/>
                <w:szCs w:val="21"/>
              </w:rPr>
              <w:t>均妥善收集处置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电磁环境</w:t>
            </w:r>
          </w:p>
        </w:tc>
        <w:tc>
          <w:tcPr>
            <w:tcW w:w="1147" w:type="pct"/>
            <w:vAlign w:val="center"/>
          </w:tcPr>
          <w:p>
            <w:pPr>
              <w:adjustRightInd w:val="0"/>
              <w:snapToGrid w:val="0"/>
              <w:jc w:val="center"/>
              <w:rPr>
                <w:szCs w:val="21"/>
              </w:rPr>
            </w:pPr>
            <w:r>
              <w:rPr>
                <w:rFonts w:hint="eastAsia"/>
                <w:szCs w:val="21"/>
              </w:rPr>
              <w:t>/</w:t>
            </w:r>
          </w:p>
        </w:tc>
        <w:tc>
          <w:tcPr>
            <w:tcW w:w="941" w:type="pct"/>
            <w:vAlign w:val="center"/>
          </w:tcPr>
          <w:p>
            <w:pPr>
              <w:adjustRightInd w:val="0"/>
              <w:snapToGrid w:val="0"/>
              <w:jc w:val="center"/>
              <w:rPr>
                <w:szCs w:val="21"/>
              </w:rPr>
            </w:pPr>
            <w:r>
              <w:rPr>
                <w:rFonts w:hint="eastAsia"/>
                <w:szCs w:val="21"/>
              </w:rPr>
              <w:t>/</w:t>
            </w:r>
          </w:p>
        </w:tc>
        <w:tc>
          <w:tcPr>
            <w:tcW w:w="1198" w:type="pct"/>
            <w:vAlign w:val="center"/>
          </w:tcPr>
          <w:p>
            <w:pPr>
              <w:adjustRightInd w:val="0"/>
              <w:snapToGrid w:val="0"/>
              <w:jc w:val="center"/>
              <w:rPr>
                <w:szCs w:val="21"/>
              </w:rPr>
            </w:pPr>
            <w:r>
              <w:rPr>
                <w:rFonts w:hint="eastAsia"/>
                <w:szCs w:val="21"/>
              </w:rPr>
              <w:t>/</w:t>
            </w:r>
          </w:p>
        </w:tc>
        <w:tc>
          <w:tcPr>
            <w:tcW w:w="1071" w:type="pct"/>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环境风险</w:t>
            </w:r>
          </w:p>
        </w:tc>
        <w:tc>
          <w:tcPr>
            <w:tcW w:w="1147" w:type="pct"/>
            <w:vAlign w:val="center"/>
          </w:tcPr>
          <w:p>
            <w:pPr>
              <w:adjustRightInd w:val="0"/>
              <w:snapToGrid w:val="0"/>
              <w:jc w:val="center"/>
              <w:rPr>
                <w:szCs w:val="21"/>
              </w:rPr>
            </w:pPr>
            <w:r>
              <w:rPr>
                <w:rFonts w:hint="eastAsia"/>
                <w:szCs w:val="21"/>
              </w:rPr>
              <w:t>/</w:t>
            </w:r>
          </w:p>
        </w:tc>
        <w:tc>
          <w:tcPr>
            <w:tcW w:w="941" w:type="pct"/>
            <w:vAlign w:val="center"/>
          </w:tcPr>
          <w:p>
            <w:pPr>
              <w:adjustRightInd w:val="0"/>
              <w:snapToGrid w:val="0"/>
              <w:jc w:val="center"/>
              <w:rPr>
                <w:szCs w:val="21"/>
              </w:rPr>
            </w:pPr>
            <w:r>
              <w:rPr>
                <w:rFonts w:hint="eastAsia"/>
                <w:szCs w:val="21"/>
              </w:rPr>
              <w:t>/</w:t>
            </w:r>
          </w:p>
        </w:tc>
        <w:tc>
          <w:tcPr>
            <w:tcW w:w="2269" w:type="pct"/>
            <w:gridSpan w:val="2"/>
            <w:vAlign w:val="center"/>
          </w:tcPr>
          <w:p>
            <w:pPr>
              <w:adjustRightInd w:val="0"/>
              <w:snapToGrid w:val="0"/>
              <w:jc w:val="center"/>
              <w:rPr>
                <w:szCs w:val="21"/>
              </w:rPr>
            </w:pPr>
            <w:r>
              <w:rPr>
                <w:rFonts w:hint="eastAsia"/>
                <w:bCs/>
                <w:spacing w:val="10"/>
                <w:szCs w:val="21"/>
              </w:rPr>
              <w:t>本项目重点关注装卸站火灾风险，分析认为，在严格落实各项风险防范措施，以及制定相关事故应急预案的前提下，本项目环境风险水平在可控范围内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环境监测</w:t>
            </w:r>
          </w:p>
        </w:tc>
        <w:tc>
          <w:tcPr>
            <w:tcW w:w="1147" w:type="pct"/>
            <w:vAlign w:val="center"/>
          </w:tcPr>
          <w:p>
            <w:pPr>
              <w:adjustRightInd w:val="0"/>
              <w:snapToGrid w:val="0"/>
              <w:jc w:val="center"/>
              <w:rPr>
                <w:szCs w:val="21"/>
              </w:rPr>
            </w:pPr>
            <w:r>
              <w:rPr>
                <w:rFonts w:hint="eastAsia"/>
                <w:szCs w:val="21"/>
              </w:rPr>
              <w:t>噪声监测、废气监测</w:t>
            </w:r>
          </w:p>
        </w:tc>
        <w:tc>
          <w:tcPr>
            <w:tcW w:w="941" w:type="pct"/>
            <w:vAlign w:val="center"/>
          </w:tcPr>
          <w:p>
            <w:pPr>
              <w:adjustRightInd w:val="0"/>
              <w:snapToGrid w:val="0"/>
              <w:jc w:val="center"/>
              <w:rPr>
                <w:szCs w:val="21"/>
              </w:rPr>
            </w:pPr>
            <w:r>
              <w:rPr>
                <w:rFonts w:hint="eastAsia"/>
                <w:szCs w:val="21"/>
              </w:rPr>
              <w:t>《建筑施工厂界噪声排放标准》（GB12348-2011）、</w:t>
            </w:r>
          </w:p>
        </w:tc>
        <w:tc>
          <w:tcPr>
            <w:tcW w:w="1198" w:type="pct"/>
            <w:vAlign w:val="center"/>
          </w:tcPr>
          <w:p>
            <w:pPr>
              <w:adjustRightInd w:val="0"/>
              <w:snapToGrid w:val="0"/>
              <w:jc w:val="center"/>
              <w:rPr>
                <w:szCs w:val="21"/>
              </w:rPr>
            </w:pPr>
          </w:p>
        </w:tc>
        <w:tc>
          <w:tcPr>
            <w:tcW w:w="1071" w:type="pct"/>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43" w:type="pct"/>
            <w:vAlign w:val="center"/>
          </w:tcPr>
          <w:p>
            <w:pPr>
              <w:adjustRightInd w:val="0"/>
              <w:snapToGrid w:val="0"/>
              <w:jc w:val="center"/>
              <w:rPr>
                <w:szCs w:val="21"/>
              </w:rPr>
            </w:pPr>
            <w:r>
              <w:rPr>
                <w:szCs w:val="21"/>
              </w:rPr>
              <w:t>其他</w:t>
            </w:r>
          </w:p>
        </w:tc>
        <w:tc>
          <w:tcPr>
            <w:tcW w:w="1147" w:type="pct"/>
            <w:vAlign w:val="center"/>
          </w:tcPr>
          <w:p>
            <w:pPr>
              <w:adjustRightInd w:val="0"/>
              <w:snapToGrid w:val="0"/>
              <w:jc w:val="center"/>
              <w:rPr>
                <w:szCs w:val="21"/>
              </w:rPr>
            </w:pPr>
            <w:r>
              <w:rPr>
                <w:rFonts w:hint="eastAsia"/>
                <w:szCs w:val="21"/>
              </w:rPr>
              <w:t>/</w:t>
            </w:r>
          </w:p>
        </w:tc>
        <w:tc>
          <w:tcPr>
            <w:tcW w:w="941" w:type="pct"/>
            <w:vAlign w:val="center"/>
          </w:tcPr>
          <w:p>
            <w:pPr>
              <w:adjustRightInd w:val="0"/>
              <w:snapToGrid w:val="0"/>
              <w:jc w:val="center"/>
              <w:rPr>
                <w:szCs w:val="21"/>
              </w:rPr>
            </w:pPr>
            <w:r>
              <w:rPr>
                <w:rFonts w:hint="eastAsia"/>
                <w:szCs w:val="21"/>
              </w:rPr>
              <w:t>/</w:t>
            </w:r>
          </w:p>
        </w:tc>
        <w:tc>
          <w:tcPr>
            <w:tcW w:w="1198" w:type="pct"/>
            <w:vAlign w:val="center"/>
          </w:tcPr>
          <w:p>
            <w:pPr>
              <w:adjustRightInd w:val="0"/>
              <w:snapToGrid w:val="0"/>
              <w:jc w:val="center"/>
              <w:rPr>
                <w:szCs w:val="21"/>
              </w:rPr>
            </w:pPr>
            <w:r>
              <w:rPr>
                <w:rFonts w:hint="eastAsia"/>
                <w:szCs w:val="21"/>
              </w:rPr>
              <w:t>/</w:t>
            </w:r>
          </w:p>
        </w:tc>
        <w:tc>
          <w:tcPr>
            <w:tcW w:w="1071" w:type="pct"/>
            <w:vAlign w:val="center"/>
          </w:tcPr>
          <w:p>
            <w:pPr>
              <w:adjustRightInd w:val="0"/>
              <w:snapToGrid w:val="0"/>
              <w:jc w:val="center"/>
              <w:rPr>
                <w:szCs w:val="21"/>
              </w:rPr>
            </w:pPr>
            <w:r>
              <w:rPr>
                <w:rFonts w:hint="eastAsia"/>
                <w:szCs w:val="21"/>
              </w:rPr>
              <w:t>/</w:t>
            </w:r>
          </w:p>
        </w:tc>
      </w:tr>
    </w:tbl>
    <w:p>
      <w:pPr>
        <w:pStyle w:val="11"/>
        <w:spacing w:before="0" w:beforeAutospacing="0" w:line="14" w:lineRule="auto"/>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br w:type="page"/>
      </w:r>
    </w:p>
    <w:p>
      <w:pPr>
        <w:pStyle w:val="11"/>
        <w:spacing w:before="192" w:beforeLines="80" w:before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七、结论</w:t>
      </w:r>
    </w:p>
    <w:tbl>
      <w:tblPr>
        <w:tblStyle w:val="13"/>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center"/>
          </w:tcPr>
          <w:p>
            <w:pPr>
              <w:adjustRightInd w:val="0"/>
              <w:snapToGrid w:val="0"/>
              <w:spacing w:line="408" w:lineRule="auto"/>
              <w:ind w:firstLine="520" w:firstLineChars="200"/>
              <w:rPr>
                <w:sz w:val="24"/>
                <w:szCs w:val="21"/>
              </w:rPr>
            </w:pPr>
            <w:r>
              <w:rPr>
                <w:rFonts w:hint="eastAsia"/>
                <w:bCs/>
                <w:spacing w:val="10"/>
                <w:sz w:val="24"/>
                <w:szCs w:val="21"/>
              </w:rPr>
              <w:t>本项目符合国家产业政策、“三线一单”和相关规划，选址合理。在严格执行已有各项环保政策、规定，认真落实报告表中提出的污染防治措施和生态影响减缓措施的前提下，施工期和运营期对环境的影响较小，因此，从生态环境保护角度分析建设项目是可行的。</w:t>
            </w:r>
          </w:p>
        </w:tc>
      </w:tr>
    </w:tbl>
    <w:p>
      <w:pPr>
        <w:autoSpaceDE w:val="0"/>
        <w:autoSpaceDN w:val="0"/>
        <w:adjustRightInd w:val="0"/>
        <w:rPr>
          <w:kern w:val="0"/>
          <w:sz w:val="52"/>
          <w:szCs w:val="52"/>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Pr>
    </w:pPr>
    <w:r>
      <w:rPr>
        <w:rStyle w:val="16"/>
      </w:rPr>
      <w:fldChar w:fldCharType="begin"/>
    </w:r>
    <w:r>
      <w:rPr>
        <w:rStyle w:val="16"/>
      </w:rPr>
      <w:instrText xml:space="preserve">PAGE  </w:instrText>
    </w:r>
    <w:r>
      <w:rPr>
        <w:rStyle w:val="16"/>
      </w:rP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Fonts w:ascii="宋体" w:hAnsi="宋体"/>
        <w:sz w:val="28"/>
        <w:szCs w:val="28"/>
      </w:rPr>
    </w:pPr>
    <w:r>
      <w:rPr>
        <w:rStyle w:val="16"/>
        <w:rFonts w:hint="eastAsia" w:ascii="宋体" w:hAnsi="宋体"/>
        <w:sz w:val="28"/>
        <w:szCs w:val="28"/>
      </w:rPr>
      <w:t>—</w:t>
    </w:r>
    <w:r>
      <w:rPr>
        <w:rStyle w:val="16"/>
        <w:rFonts w:ascii="宋体" w:hAnsi="宋体"/>
        <w:sz w:val="26"/>
        <w:szCs w:val="26"/>
      </w:rPr>
      <w:fldChar w:fldCharType="begin"/>
    </w:r>
    <w:r>
      <w:rPr>
        <w:rStyle w:val="16"/>
        <w:rFonts w:ascii="宋体" w:hAnsi="宋体"/>
        <w:sz w:val="26"/>
        <w:szCs w:val="26"/>
      </w:rPr>
      <w:instrText xml:space="preserve">PAGE  </w:instrText>
    </w:r>
    <w:r>
      <w:rPr>
        <w:rStyle w:val="16"/>
        <w:rFonts w:ascii="宋体" w:hAnsi="宋体"/>
        <w:sz w:val="26"/>
        <w:szCs w:val="26"/>
      </w:rPr>
      <w:fldChar w:fldCharType="separate"/>
    </w:r>
    <w:r>
      <w:rPr>
        <w:rStyle w:val="16"/>
        <w:rFonts w:ascii="宋体" w:hAnsi="宋体"/>
        <w:sz w:val="26"/>
        <w:szCs w:val="26"/>
      </w:rPr>
      <w:t>11</w:t>
    </w:r>
    <w:r>
      <w:rPr>
        <w:rStyle w:val="16"/>
        <w:rFonts w:ascii="宋体" w:hAnsi="宋体"/>
        <w:sz w:val="26"/>
        <w:szCs w:val="26"/>
      </w:rPr>
      <w:fldChar w:fldCharType="end"/>
    </w:r>
    <w:r>
      <w:rPr>
        <w:rStyle w:val="16"/>
        <w:rFonts w:hint="eastAsia" w:ascii="宋体" w:hAnsi="宋体"/>
        <w:sz w:val="28"/>
        <w:szCs w:val="28"/>
      </w:rPr>
      <w:t>—</w:t>
    </w:r>
  </w:p>
  <w:p>
    <w:pPr>
      <w:pStyle w:val="9"/>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dmMGNiM2U2MDY1NmQzMmUzMjFjYTFmYzk5ZGQzMzUifQ=="/>
  </w:docVars>
  <w:rsids>
    <w:rsidRoot w:val="00A14947"/>
    <w:rsid w:val="00001CED"/>
    <w:rsid w:val="00001E67"/>
    <w:rsid w:val="0000251C"/>
    <w:rsid w:val="00003CD8"/>
    <w:rsid w:val="00005C56"/>
    <w:rsid w:val="000138B0"/>
    <w:rsid w:val="0001491C"/>
    <w:rsid w:val="00014965"/>
    <w:rsid w:val="0001523A"/>
    <w:rsid w:val="00016ECB"/>
    <w:rsid w:val="000173ED"/>
    <w:rsid w:val="00021B8A"/>
    <w:rsid w:val="000269F6"/>
    <w:rsid w:val="00027895"/>
    <w:rsid w:val="00031939"/>
    <w:rsid w:val="00032D25"/>
    <w:rsid w:val="00041618"/>
    <w:rsid w:val="000432C2"/>
    <w:rsid w:val="00047D32"/>
    <w:rsid w:val="00051B87"/>
    <w:rsid w:val="0005219D"/>
    <w:rsid w:val="00052CE3"/>
    <w:rsid w:val="00052F35"/>
    <w:rsid w:val="0005568F"/>
    <w:rsid w:val="00060DBE"/>
    <w:rsid w:val="0006153D"/>
    <w:rsid w:val="00061B1F"/>
    <w:rsid w:val="000664DB"/>
    <w:rsid w:val="00067D13"/>
    <w:rsid w:val="000704FD"/>
    <w:rsid w:val="0007127D"/>
    <w:rsid w:val="00071AE5"/>
    <w:rsid w:val="0007466A"/>
    <w:rsid w:val="00074783"/>
    <w:rsid w:val="00075F55"/>
    <w:rsid w:val="00076338"/>
    <w:rsid w:val="000801E0"/>
    <w:rsid w:val="000813BC"/>
    <w:rsid w:val="00082A29"/>
    <w:rsid w:val="00082E11"/>
    <w:rsid w:val="0008331D"/>
    <w:rsid w:val="00083C18"/>
    <w:rsid w:val="000861A5"/>
    <w:rsid w:val="000865CA"/>
    <w:rsid w:val="000906E4"/>
    <w:rsid w:val="00091B4C"/>
    <w:rsid w:val="00092899"/>
    <w:rsid w:val="000A178E"/>
    <w:rsid w:val="000A557E"/>
    <w:rsid w:val="000A789C"/>
    <w:rsid w:val="000B058F"/>
    <w:rsid w:val="000B1732"/>
    <w:rsid w:val="000B3880"/>
    <w:rsid w:val="000B693F"/>
    <w:rsid w:val="000B6E44"/>
    <w:rsid w:val="000C0413"/>
    <w:rsid w:val="000C0731"/>
    <w:rsid w:val="000C09AC"/>
    <w:rsid w:val="000C0A63"/>
    <w:rsid w:val="000C437E"/>
    <w:rsid w:val="000C6311"/>
    <w:rsid w:val="000D03DD"/>
    <w:rsid w:val="000E2B57"/>
    <w:rsid w:val="000E4A1A"/>
    <w:rsid w:val="000E5F16"/>
    <w:rsid w:val="000F4452"/>
    <w:rsid w:val="000F4FA9"/>
    <w:rsid w:val="000F6DA1"/>
    <w:rsid w:val="000F701B"/>
    <w:rsid w:val="00103644"/>
    <w:rsid w:val="001056A0"/>
    <w:rsid w:val="0010707F"/>
    <w:rsid w:val="00107353"/>
    <w:rsid w:val="00112031"/>
    <w:rsid w:val="00113489"/>
    <w:rsid w:val="00115279"/>
    <w:rsid w:val="00117459"/>
    <w:rsid w:val="0011749A"/>
    <w:rsid w:val="0012626B"/>
    <w:rsid w:val="00127A68"/>
    <w:rsid w:val="00127B5F"/>
    <w:rsid w:val="0013257A"/>
    <w:rsid w:val="001363BE"/>
    <w:rsid w:val="00140B13"/>
    <w:rsid w:val="00141B68"/>
    <w:rsid w:val="00143CCD"/>
    <w:rsid w:val="001466DA"/>
    <w:rsid w:val="00150F05"/>
    <w:rsid w:val="00154DE1"/>
    <w:rsid w:val="00155B40"/>
    <w:rsid w:val="00157435"/>
    <w:rsid w:val="00163EEA"/>
    <w:rsid w:val="0016617F"/>
    <w:rsid w:val="001667B6"/>
    <w:rsid w:val="00167A07"/>
    <w:rsid w:val="0017046A"/>
    <w:rsid w:val="001704A3"/>
    <w:rsid w:val="00171D65"/>
    <w:rsid w:val="00173816"/>
    <w:rsid w:val="0017504D"/>
    <w:rsid w:val="001763C9"/>
    <w:rsid w:val="00177422"/>
    <w:rsid w:val="00177A10"/>
    <w:rsid w:val="00181D72"/>
    <w:rsid w:val="00181D97"/>
    <w:rsid w:val="00184F10"/>
    <w:rsid w:val="00185546"/>
    <w:rsid w:val="0019146B"/>
    <w:rsid w:val="00191A7C"/>
    <w:rsid w:val="00194398"/>
    <w:rsid w:val="001959A8"/>
    <w:rsid w:val="001976EF"/>
    <w:rsid w:val="001A33CA"/>
    <w:rsid w:val="001A41C9"/>
    <w:rsid w:val="001A7D2A"/>
    <w:rsid w:val="001B0008"/>
    <w:rsid w:val="001B3AD6"/>
    <w:rsid w:val="001B4AF6"/>
    <w:rsid w:val="001B574C"/>
    <w:rsid w:val="001B5AD8"/>
    <w:rsid w:val="001B5D3B"/>
    <w:rsid w:val="001C0AF9"/>
    <w:rsid w:val="001C0BF1"/>
    <w:rsid w:val="001C155A"/>
    <w:rsid w:val="001C39CB"/>
    <w:rsid w:val="001C48C0"/>
    <w:rsid w:val="001C6BCF"/>
    <w:rsid w:val="001D03CB"/>
    <w:rsid w:val="001D38DD"/>
    <w:rsid w:val="001D6726"/>
    <w:rsid w:val="001E110F"/>
    <w:rsid w:val="001E2C8F"/>
    <w:rsid w:val="001E5BD7"/>
    <w:rsid w:val="001F204E"/>
    <w:rsid w:val="001F219C"/>
    <w:rsid w:val="001F23B7"/>
    <w:rsid w:val="001F2E74"/>
    <w:rsid w:val="001F3347"/>
    <w:rsid w:val="001F4440"/>
    <w:rsid w:val="001F69E4"/>
    <w:rsid w:val="00206A65"/>
    <w:rsid w:val="00212D31"/>
    <w:rsid w:val="002130C7"/>
    <w:rsid w:val="00220069"/>
    <w:rsid w:val="002218A8"/>
    <w:rsid w:val="0022306D"/>
    <w:rsid w:val="00226574"/>
    <w:rsid w:val="002278EC"/>
    <w:rsid w:val="0023102E"/>
    <w:rsid w:val="002357C7"/>
    <w:rsid w:val="002367C4"/>
    <w:rsid w:val="0024169E"/>
    <w:rsid w:val="002462FE"/>
    <w:rsid w:val="0025679E"/>
    <w:rsid w:val="002573B1"/>
    <w:rsid w:val="00260C68"/>
    <w:rsid w:val="002648B0"/>
    <w:rsid w:val="002667C2"/>
    <w:rsid w:val="00272B96"/>
    <w:rsid w:val="00273643"/>
    <w:rsid w:val="00275271"/>
    <w:rsid w:val="0027535E"/>
    <w:rsid w:val="00275AA6"/>
    <w:rsid w:val="00277573"/>
    <w:rsid w:val="002807D5"/>
    <w:rsid w:val="0028213B"/>
    <w:rsid w:val="00282CCD"/>
    <w:rsid w:val="00282E02"/>
    <w:rsid w:val="00284D5A"/>
    <w:rsid w:val="00284F84"/>
    <w:rsid w:val="00286082"/>
    <w:rsid w:val="002871B3"/>
    <w:rsid w:val="00287603"/>
    <w:rsid w:val="00292E44"/>
    <w:rsid w:val="00294D38"/>
    <w:rsid w:val="00295EE3"/>
    <w:rsid w:val="002966C7"/>
    <w:rsid w:val="002A168C"/>
    <w:rsid w:val="002A2C48"/>
    <w:rsid w:val="002A39B7"/>
    <w:rsid w:val="002A3A2C"/>
    <w:rsid w:val="002A3EED"/>
    <w:rsid w:val="002A4A39"/>
    <w:rsid w:val="002A5A17"/>
    <w:rsid w:val="002A6425"/>
    <w:rsid w:val="002B319F"/>
    <w:rsid w:val="002B49E2"/>
    <w:rsid w:val="002B7B00"/>
    <w:rsid w:val="002B7C44"/>
    <w:rsid w:val="002C1388"/>
    <w:rsid w:val="002C3C6A"/>
    <w:rsid w:val="002C5FFF"/>
    <w:rsid w:val="002C6A37"/>
    <w:rsid w:val="002D0216"/>
    <w:rsid w:val="002D2941"/>
    <w:rsid w:val="002D3598"/>
    <w:rsid w:val="002D42DB"/>
    <w:rsid w:val="002D695E"/>
    <w:rsid w:val="002E10D2"/>
    <w:rsid w:val="002E1F3A"/>
    <w:rsid w:val="002E298A"/>
    <w:rsid w:val="002E745A"/>
    <w:rsid w:val="002F02A4"/>
    <w:rsid w:val="002F272B"/>
    <w:rsid w:val="002F3F62"/>
    <w:rsid w:val="002F4F7B"/>
    <w:rsid w:val="002F5299"/>
    <w:rsid w:val="002F57AE"/>
    <w:rsid w:val="002F7C6D"/>
    <w:rsid w:val="003027E4"/>
    <w:rsid w:val="00302F7C"/>
    <w:rsid w:val="0030332C"/>
    <w:rsid w:val="0031167B"/>
    <w:rsid w:val="00312296"/>
    <w:rsid w:val="00312614"/>
    <w:rsid w:val="00312AC0"/>
    <w:rsid w:val="00312F5B"/>
    <w:rsid w:val="0031340E"/>
    <w:rsid w:val="00316464"/>
    <w:rsid w:val="0032073A"/>
    <w:rsid w:val="00321D8E"/>
    <w:rsid w:val="00323892"/>
    <w:rsid w:val="003248FE"/>
    <w:rsid w:val="00324AEF"/>
    <w:rsid w:val="0032712B"/>
    <w:rsid w:val="00330192"/>
    <w:rsid w:val="00330401"/>
    <w:rsid w:val="00332DE1"/>
    <w:rsid w:val="0033357E"/>
    <w:rsid w:val="00334996"/>
    <w:rsid w:val="00336969"/>
    <w:rsid w:val="00336C52"/>
    <w:rsid w:val="00340B5B"/>
    <w:rsid w:val="00341A8A"/>
    <w:rsid w:val="00341B3E"/>
    <w:rsid w:val="00341B42"/>
    <w:rsid w:val="00345154"/>
    <w:rsid w:val="0034560E"/>
    <w:rsid w:val="00350523"/>
    <w:rsid w:val="0035196A"/>
    <w:rsid w:val="00352975"/>
    <w:rsid w:val="0035645D"/>
    <w:rsid w:val="00356868"/>
    <w:rsid w:val="00360875"/>
    <w:rsid w:val="00361648"/>
    <w:rsid w:val="0036356E"/>
    <w:rsid w:val="0036485B"/>
    <w:rsid w:val="003724EF"/>
    <w:rsid w:val="00373B0D"/>
    <w:rsid w:val="00376988"/>
    <w:rsid w:val="00376D4B"/>
    <w:rsid w:val="00377435"/>
    <w:rsid w:val="00377BDB"/>
    <w:rsid w:val="00381A72"/>
    <w:rsid w:val="00384920"/>
    <w:rsid w:val="00385035"/>
    <w:rsid w:val="00385262"/>
    <w:rsid w:val="003915BE"/>
    <w:rsid w:val="00396209"/>
    <w:rsid w:val="003A180B"/>
    <w:rsid w:val="003A1948"/>
    <w:rsid w:val="003A77D6"/>
    <w:rsid w:val="003B06C1"/>
    <w:rsid w:val="003B152A"/>
    <w:rsid w:val="003B2524"/>
    <w:rsid w:val="003B545B"/>
    <w:rsid w:val="003B64EB"/>
    <w:rsid w:val="003B6783"/>
    <w:rsid w:val="003B77D9"/>
    <w:rsid w:val="003D0E60"/>
    <w:rsid w:val="003D3EE9"/>
    <w:rsid w:val="003D430B"/>
    <w:rsid w:val="003D45E8"/>
    <w:rsid w:val="003D5C4A"/>
    <w:rsid w:val="003D5D13"/>
    <w:rsid w:val="003D5DA4"/>
    <w:rsid w:val="003E3B45"/>
    <w:rsid w:val="003E7681"/>
    <w:rsid w:val="003E7F5E"/>
    <w:rsid w:val="003F04BD"/>
    <w:rsid w:val="003F062B"/>
    <w:rsid w:val="003F0809"/>
    <w:rsid w:val="003F611C"/>
    <w:rsid w:val="003F755C"/>
    <w:rsid w:val="00405C9B"/>
    <w:rsid w:val="00406F01"/>
    <w:rsid w:val="00407F93"/>
    <w:rsid w:val="00411B36"/>
    <w:rsid w:val="004121D7"/>
    <w:rsid w:val="00412BA4"/>
    <w:rsid w:val="00415C79"/>
    <w:rsid w:val="00416D50"/>
    <w:rsid w:val="00417772"/>
    <w:rsid w:val="00420DBD"/>
    <w:rsid w:val="00420E6A"/>
    <w:rsid w:val="00422D5E"/>
    <w:rsid w:val="00433CA9"/>
    <w:rsid w:val="00434C0F"/>
    <w:rsid w:val="0043521D"/>
    <w:rsid w:val="00441463"/>
    <w:rsid w:val="00442024"/>
    <w:rsid w:val="004423CE"/>
    <w:rsid w:val="0044254C"/>
    <w:rsid w:val="00443F6A"/>
    <w:rsid w:val="0044702E"/>
    <w:rsid w:val="00450A17"/>
    <w:rsid w:val="00454A3E"/>
    <w:rsid w:val="00466321"/>
    <w:rsid w:val="004672AF"/>
    <w:rsid w:val="00467BE4"/>
    <w:rsid w:val="00470085"/>
    <w:rsid w:val="004727B0"/>
    <w:rsid w:val="00472C9B"/>
    <w:rsid w:val="00474438"/>
    <w:rsid w:val="00480247"/>
    <w:rsid w:val="0048081D"/>
    <w:rsid w:val="0048117E"/>
    <w:rsid w:val="004835E3"/>
    <w:rsid w:val="004855F6"/>
    <w:rsid w:val="00486F0C"/>
    <w:rsid w:val="00493C43"/>
    <w:rsid w:val="00494670"/>
    <w:rsid w:val="004959A4"/>
    <w:rsid w:val="004A0EB4"/>
    <w:rsid w:val="004A1100"/>
    <w:rsid w:val="004A3823"/>
    <w:rsid w:val="004A59BB"/>
    <w:rsid w:val="004A6C5F"/>
    <w:rsid w:val="004B2782"/>
    <w:rsid w:val="004B43A3"/>
    <w:rsid w:val="004B4C49"/>
    <w:rsid w:val="004B52C4"/>
    <w:rsid w:val="004B54BE"/>
    <w:rsid w:val="004B58A5"/>
    <w:rsid w:val="004B63D9"/>
    <w:rsid w:val="004C0882"/>
    <w:rsid w:val="004C0E85"/>
    <w:rsid w:val="004C151E"/>
    <w:rsid w:val="004C55BE"/>
    <w:rsid w:val="004C5A11"/>
    <w:rsid w:val="004C5E5A"/>
    <w:rsid w:val="004C6E91"/>
    <w:rsid w:val="004D594F"/>
    <w:rsid w:val="004E5B30"/>
    <w:rsid w:val="004F0012"/>
    <w:rsid w:val="004F0779"/>
    <w:rsid w:val="004F1230"/>
    <w:rsid w:val="004F173F"/>
    <w:rsid w:val="004F177C"/>
    <w:rsid w:val="004F2DCE"/>
    <w:rsid w:val="004F5A30"/>
    <w:rsid w:val="004F7B86"/>
    <w:rsid w:val="005039CB"/>
    <w:rsid w:val="0050558F"/>
    <w:rsid w:val="005057E0"/>
    <w:rsid w:val="00506286"/>
    <w:rsid w:val="00510813"/>
    <w:rsid w:val="00511DE0"/>
    <w:rsid w:val="00513101"/>
    <w:rsid w:val="00517B4F"/>
    <w:rsid w:val="00517F02"/>
    <w:rsid w:val="0052362D"/>
    <w:rsid w:val="00524547"/>
    <w:rsid w:val="005258A2"/>
    <w:rsid w:val="00525F17"/>
    <w:rsid w:val="005274C6"/>
    <w:rsid w:val="00530F7C"/>
    <w:rsid w:val="00534567"/>
    <w:rsid w:val="00534F43"/>
    <w:rsid w:val="00535A84"/>
    <w:rsid w:val="00536889"/>
    <w:rsid w:val="00542E07"/>
    <w:rsid w:val="005458DB"/>
    <w:rsid w:val="00550991"/>
    <w:rsid w:val="00554A7B"/>
    <w:rsid w:val="0055572C"/>
    <w:rsid w:val="00556825"/>
    <w:rsid w:val="00557AA9"/>
    <w:rsid w:val="00557E0E"/>
    <w:rsid w:val="00557EC7"/>
    <w:rsid w:val="0056064F"/>
    <w:rsid w:val="00560A09"/>
    <w:rsid w:val="00561B84"/>
    <w:rsid w:val="00567EE8"/>
    <w:rsid w:val="00571D98"/>
    <w:rsid w:val="00571F16"/>
    <w:rsid w:val="005720AE"/>
    <w:rsid w:val="00573A04"/>
    <w:rsid w:val="005747B4"/>
    <w:rsid w:val="00576F6A"/>
    <w:rsid w:val="0058030D"/>
    <w:rsid w:val="00582045"/>
    <w:rsid w:val="00583302"/>
    <w:rsid w:val="0059028C"/>
    <w:rsid w:val="00590AE3"/>
    <w:rsid w:val="005918F1"/>
    <w:rsid w:val="00592C0E"/>
    <w:rsid w:val="00593478"/>
    <w:rsid w:val="005943BE"/>
    <w:rsid w:val="00597191"/>
    <w:rsid w:val="005A0024"/>
    <w:rsid w:val="005A00AE"/>
    <w:rsid w:val="005A06B7"/>
    <w:rsid w:val="005A1759"/>
    <w:rsid w:val="005B32AC"/>
    <w:rsid w:val="005B65EB"/>
    <w:rsid w:val="005B704D"/>
    <w:rsid w:val="005D0369"/>
    <w:rsid w:val="005D1B01"/>
    <w:rsid w:val="005D53FE"/>
    <w:rsid w:val="005D7A0F"/>
    <w:rsid w:val="005E0438"/>
    <w:rsid w:val="005E0B92"/>
    <w:rsid w:val="005E1791"/>
    <w:rsid w:val="005E2CE6"/>
    <w:rsid w:val="005E4101"/>
    <w:rsid w:val="005E6324"/>
    <w:rsid w:val="005F228B"/>
    <w:rsid w:val="005F29CD"/>
    <w:rsid w:val="005F4DFB"/>
    <w:rsid w:val="005F6CC0"/>
    <w:rsid w:val="00603E5B"/>
    <w:rsid w:val="006048FF"/>
    <w:rsid w:val="00604BC8"/>
    <w:rsid w:val="00605BCC"/>
    <w:rsid w:val="006115E2"/>
    <w:rsid w:val="00612FEC"/>
    <w:rsid w:val="00615B4C"/>
    <w:rsid w:val="00615B5D"/>
    <w:rsid w:val="006175F3"/>
    <w:rsid w:val="0062049D"/>
    <w:rsid w:val="0062146F"/>
    <w:rsid w:val="006222B5"/>
    <w:rsid w:val="00622A0E"/>
    <w:rsid w:val="00627B27"/>
    <w:rsid w:val="006343AF"/>
    <w:rsid w:val="0063634A"/>
    <w:rsid w:val="0064250D"/>
    <w:rsid w:val="00642912"/>
    <w:rsid w:val="00650DA0"/>
    <w:rsid w:val="006535EB"/>
    <w:rsid w:val="00654A60"/>
    <w:rsid w:val="00655EF4"/>
    <w:rsid w:val="006571D4"/>
    <w:rsid w:val="00663016"/>
    <w:rsid w:val="0067114E"/>
    <w:rsid w:val="00674605"/>
    <w:rsid w:val="006748B8"/>
    <w:rsid w:val="006760A1"/>
    <w:rsid w:val="00681811"/>
    <w:rsid w:val="0068535B"/>
    <w:rsid w:val="0068736E"/>
    <w:rsid w:val="006917FD"/>
    <w:rsid w:val="00691CF7"/>
    <w:rsid w:val="0069290A"/>
    <w:rsid w:val="00697032"/>
    <w:rsid w:val="006975AC"/>
    <w:rsid w:val="006A1578"/>
    <w:rsid w:val="006A15FB"/>
    <w:rsid w:val="006A3979"/>
    <w:rsid w:val="006A42BB"/>
    <w:rsid w:val="006A6E22"/>
    <w:rsid w:val="006A72BF"/>
    <w:rsid w:val="006B028E"/>
    <w:rsid w:val="006B164E"/>
    <w:rsid w:val="006B332A"/>
    <w:rsid w:val="006B33BD"/>
    <w:rsid w:val="006B3979"/>
    <w:rsid w:val="006C27E6"/>
    <w:rsid w:val="006C354F"/>
    <w:rsid w:val="006C3A7B"/>
    <w:rsid w:val="006C3F75"/>
    <w:rsid w:val="006C6964"/>
    <w:rsid w:val="006D170E"/>
    <w:rsid w:val="006E06AF"/>
    <w:rsid w:val="006F1789"/>
    <w:rsid w:val="006F1D47"/>
    <w:rsid w:val="006F46BE"/>
    <w:rsid w:val="006F62E1"/>
    <w:rsid w:val="00701E63"/>
    <w:rsid w:val="00702FD2"/>
    <w:rsid w:val="00706C5D"/>
    <w:rsid w:val="0070743F"/>
    <w:rsid w:val="00710502"/>
    <w:rsid w:val="00710BE9"/>
    <w:rsid w:val="00710E51"/>
    <w:rsid w:val="007118E6"/>
    <w:rsid w:val="0071657A"/>
    <w:rsid w:val="007225C9"/>
    <w:rsid w:val="00725F39"/>
    <w:rsid w:val="00731FD3"/>
    <w:rsid w:val="00735CD7"/>
    <w:rsid w:val="00747B85"/>
    <w:rsid w:val="00751A95"/>
    <w:rsid w:val="00753C50"/>
    <w:rsid w:val="00753F29"/>
    <w:rsid w:val="00754034"/>
    <w:rsid w:val="00754BF1"/>
    <w:rsid w:val="00755A30"/>
    <w:rsid w:val="00755BC0"/>
    <w:rsid w:val="00755E1C"/>
    <w:rsid w:val="00756556"/>
    <w:rsid w:val="0076132B"/>
    <w:rsid w:val="007623AE"/>
    <w:rsid w:val="007634BF"/>
    <w:rsid w:val="00763743"/>
    <w:rsid w:val="00770B19"/>
    <w:rsid w:val="007737A8"/>
    <w:rsid w:val="00774FA0"/>
    <w:rsid w:val="00776620"/>
    <w:rsid w:val="00777B6D"/>
    <w:rsid w:val="00781C8A"/>
    <w:rsid w:val="00784855"/>
    <w:rsid w:val="00784F39"/>
    <w:rsid w:val="0078545C"/>
    <w:rsid w:val="00785DBA"/>
    <w:rsid w:val="007906C4"/>
    <w:rsid w:val="007927D5"/>
    <w:rsid w:val="007940EA"/>
    <w:rsid w:val="0079416A"/>
    <w:rsid w:val="00794503"/>
    <w:rsid w:val="007967E8"/>
    <w:rsid w:val="00797524"/>
    <w:rsid w:val="007A63F2"/>
    <w:rsid w:val="007B68DE"/>
    <w:rsid w:val="007C0F05"/>
    <w:rsid w:val="007C17D0"/>
    <w:rsid w:val="007C1857"/>
    <w:rsid w:val="007C3BEA"/>
    <w:rsid w:val="007C514F"/>
    <w:rsid w:val="007D0F95"/>
    <w:rsid w:val="007D1C7C"/>
    <w:rsid w:val="007D5427"/>
    <w:rsid w:val="007D71D0"/>
    <w:rsid w:val="007D7ECB"/>
    <w:rsid w:val="007E25A1"/>
    <w:rsid w:val="007E3B54"/>
    <w:rsid w:val="007E4BD2"/>
    <w:rsid w:val="007E7145"/>
    <w:rsid w:val="007F3916"/>
    <w:rsid w:val="007F3E67"/>
    <w:rsid w:val="007F6712"/>
    <w:rsid w:val="00801179"/>
    <w:rsid w:val="00801A7C"/>
    <w:rsid w:val="00802274"/>
    <w:rsid w:val="00802479"/>
    <w:rsid w:val="00805372"/>
    <w:rsid w:val="00805B2E"/>
    <w:rsid w:val="00805B7B"/>
    <w:rsid w:val="008104E7"/>
    <w:rsid w:val="0081293E"/>
    <w:rsid w:val="00814FFB"/>
    <w:rsid w:val="008155F9"/>
    <w:rsid w:val="00820478"/>
    <w:rsid w:val="00820568"/>
    <w:rsid w:val="008261CE"/>
    <w:rsid w:val="008276C3"/>
    <w:rsid w:val="00831A80"/>
    <w:rsid w:val="008332C8"/>
    <w:rsid w:val="00833743"/>
    <w:rsid w:val="008340A4"/>
    <w:rsid w:val="00836799"/>
    <w:rsid w:val="00837028"/>
    <w:rsid w:val="00837131"/>
    <w:rsid w:val="00842E39"/>
    <w:rsid w:val="00845F57"/>
    <w:rsid w:val="008470F8"/>
    <w:rsid w:val="008521E0"/>
    <w:rsid w:val="008525B0"/>
    <w:rsid w:val="008539E1"/>
    <w:rsid w:val="008540F7"/>
    <w:rsid w:val="00855132"/>
    <w:rsid w:val="00855DCB"/>
    <w:rsid w:val="00857E9C"/>
    <w:rsid w:val="00860617"/>
    <w:rsid w:val="00867CBC"/>
    <w:rsid w:val="00871349"/>
    <w:rsid w:val="008753DD"/>
    <w:rsid w:val="00876C30"/>
    <w:rsid w:val="00877017"/>
    <w:rsid w:val="008773C0"/>
    <w:rsid w:val="0088020C"/>
    <w:rsid w:val="00880364"/>
    <w:rsid w:val="00885A6B"/>
    <w:rsid w:val="00885ED4"/>
    <w:rsid w:val="00886C4C"/>
    <w:rsid w:val="0088711C"/>
    <w:rsid w:val="00887CCA"/>
    <w:rsid w:val="00892ECF"/>
    <w:rsid w:val="00892F06"/>
    <w:rsid w:val="00894285"/>
    <w:rsid w:val="008A40AE"/>
    <w:rsid w:val="008A4E19"/>
    <w:rsid w:val="008A67C5"/>
    <w:rsid w:val="008B1D0C"/>
    <w:rsid w:val="008B22E1"/>
    <w:rsid w:val="008B3C78"/>
    <w:rsid w:val="008B4AE9"/>
    <w:rsid w:val="008B75C0"/>
    <w:rsid w:val="008C10DD"/>
    <w:rsid w:val="008C1799"/>
    <w:rsid w:val="008C30AD"/>
    <w:rsid w:val="008D068E"/>
    <w:rsid w:val="008D0F7A"/>
    <w:rsid w:val="008D63BE"/>
    <w:rsid w:val="008E039C"/>
    <w:rsid w:val="008E0CFF"/>
    <w:rsid w:val="008E19FA"/>
    <w:rsid w:val="008E1BB0"/>
    <w:rsid w:val="008E240E"/>
    <w:rsid w:val="008E278C"/>
    <w:rsid w:val="008E5D6B"/>
    <w:rsid w:val="008E689B"/>
    <w:rsid w:val="008E76F0"/>
    <w:rsid w:val="008F15FE"/>
    <w:rsid w:val="008F2A94"/>
    <w:rsid w:val="008F5187"/>
    <w:rsid w:val="008F709C"/>
    <w:rsid w:val="0090312B"/>
    <w:rsid w:val="00904961"/>
    <w:rsid w:val="00907C97"/>
    <w:rsid w:val="009112F7"/>
    <w:rsid w:val="00913B01"/>
    <w:rsid w:val="00915C27"/>
    <w:rsid w:val="00916812"/>
    <w:rsid w:val="0091736D"/>
    <w:rsid w:val="00917C11"/>
    <w:rsid w:val="00922244"/>
    <w:rsid w:val="00922A66"/>
    <w:rsid w:val="00931001"/>
    <w:rsid w:val="00931863"/>
    <w:rsid w:val="00931BDF"/>
    <w:rsid w:val="00933524"/>
    <w:rsid w:val="009336C7"/>
    <w:rsid w:val="009401BC"/>
    <w:rsid w:val="0094278D"/>
    <w:rsid w:val="00945D1D"/>
    <w:rsid w:val="009514F5"/>
    <w:rsid w:val="0095308A"/>
    <w:rsid w:val="00953440"/>
    <w:rsid w:val="00955AEE"/>
    <w:rsid w:val="00956F14"/>
    <w:rsid w:val="00961F77"/>
    <w:rsid w:val="009620FD"/>
    <w:rsid w:val="0096247A"/>
    <w:rsid w:val="009624EF"/>
    <w:rsid w:val="009632CE"/>
    <w:rsid w:val="00964290"/>
    <w:rsid w:val="00965F4B"/>
    <w:rsid w:val="00970A52"/>
    <w:rsid w:val="00970F8A"/>
    <w:rsid w:val="00971406"/>
    <w:rsid w:val="009714FA"/>
    <w:rsid w:val="00971FB5"/>
    <w:rsid w:val="00972D2A"/>
    <w:rsid w:val="00975CC5"/>
    <w:rsid w:val="00975EA4"/>
    <w:rsid w:val="00976328"/>
    <w:rsid w:val="00976B4E"/>
    <w:rsid w:val="00984458"/>
    <w:rsid w:val="00985283"/>
    <w:rsid w:val="00987322"/>
    <w:rsid w:val="00990FF5"/>
    <w:rsid w:val="00993508"/>
    <w:rsid w:val="00994D0F"/>
    <w:rsid w:val="009A05AD"/>
    <w:rsid w:val="009A0F3B"/>
    <w:rsid w:val="009A5D02"/>
    <w:rsid w:val="009A72C7"/>
    <w:rsid w:val="009B00F5"/>
    <w:rsid w:val="009B0897"/>
    <w:rsid w:val="009B3882"/>
    <w:rsid w:val="009B4542"/>
    <w:rsid w:val="009B662B"/>
    <w:rsid w:val="009C5493"/>
    <w:rsid w:val="009D0852"/>
    <w:rsid w:val="009D0ACA"/>
    <w:rsid w:val="009D0E8B"/>
    <w:rsid w:val="009D1617"/>
    <w:rsid w:val="009D1FBF"/>
    <w:rsid w:val="009D27CC"/>
    <w:rsid w:val="009D32E8"/>
    <w:rsid w:val="009D5C2E"/>
    <w:rsid w:val="009D5E3E"/>
    <w:rsid w:val="009D65EA"/>
    <w:rsid w:val="009E399C"/>
    <w:rsid w:val="009E43C1"/>
    <w:rsid w:val="009E7E95"/>
    <w:rsid w:val="009F116F"/>
    <w:rsid w:val="009F2FB9"/>
    <w:rsid w:val="009F329E"/>
    <w:rsid w:val="009F6089"/>
    <w:rsid w:val="009F7ED3"/>
    <w:rsid w:val="00A03607"/>
    <w:rsid w:val="00A047FF"/>
    <w:rsid w:val="00A04FEF"/>
    <w:rsid w:val="00A06EDA"/>
    <w:rsid w:val="00A122CD"/>
    <w:rsid w:val="00A12A32"/>
    <w:rsid w:val="00A137CC"/>
    <w:rsid w:val="00A14248"/>
    <w:rsid w:val="00A14947"/>
    <w:rsid w:val="00A16E88"/>
    <w:rsid w:val="00A23DC5"/>
    <w:rsid w:val="00A23ECE"/>
    <w:rsid w:val="00A24D84"/>
    <w:rsid w:val="00A302D9"/>
    <w:rsid w:val="00A331F8"/>
    <w:rsid w:val="00A34028"/>
    <w:rsid w:val="00A35568"/>
    <w:rsid w:val="00A37056"/>
    <w:rsid w:val="00A4358F"/>
    <w:rsid w:val="00A44C7D"/>
    <w:rsid w:val="00A46F67"/>
    <w:rsid w:val="00A535BD"/>
    <w:rsid w:val="00A54AA1"/>
    <w:rsid w:val="00A55914"/>
    <w:rsid w:val="00A568FF"/>
    <w:rsid w:val="00A61496"/>
    <w:rsid w:val="00A61833"/>
    <w:rsid w:val="00A624C6"/>
    <w:rsid w:val="00A63CEC"/>
    <w:rsid w:val="00A7031E"/>
    <w:rsid w:val="00A72606"/>
    <w:rsid w:val="00A728B1"/>
    <w:rsid w:val="00A73A08"/>
    <w:rsid w:val="00A73A19"/>
    <w:rsid w:val="00A73C05"/>
    <w:rsid w:val="00A73E13"/>
    <w:rsid w:val="00A763DE"/>
    <w:rsid w:val="00A803D6"/>
    <w:rsid w:val="00A81282"/>
    <w:rsid w:val="00A83688"/>
    <w:rsid w:val="00A8713F"/>
    <w:rsid w:val="00A91167"/>
    <w:rsid w:val="00A9171C"/>
    <w:rsid w:val="00A92FFD"/>
    <w:rsid w:val="00A95975"/>
    <w:rsid w:val="00A9655A"/>
    <w:rsid w:val="00A9708D"/>
    <w:rsid w:val="00A976EE"/>
    <w:rsid w:val="00AA1D6E"/>
    <w:rsid w:val="00AA2C17"/>
    <w:rsid w:val="00AA4172"/>
    <w:rsid w:val="00AB1914"/>
    <w:rsid w:val="00AB5330"/>
    <w:rsid w:val="00AB7274"/>
    <w:rsid w:val="00AB7747"/>
    <w:rsid w:val="00AC2532"/>
    <w:rsid w:val="00AC4623"/>
    <w:rsid w:val="00AD1507"/>
    <w:rsid w:val="00AD5802"/>
    <w:rsid w:val="00AD5A70"/>
    <w:rsid w:val="00AD738B"/>
    <w:rsid w:val="00AE1BF4"/>
    <w:rsid w:val="00AE2FEE"/>
    <w:rsid w:val="00AE5D97"/>
    <w:rsid w:val="00AE5E2A"/>
    <w:rsid w:val="00AE61A3"/>
    <w:rsid w:val="00AE6794"/>
    <w:rsid w:val="00AE78FD"/>
    <w:rsid w:val="00AF2129"/>
    <w:rsid w:val="00B01110"/>
    <w:rsid w:val="00B02262"/>
    <w:rsid w:val="00B02900"/>
    <w:rsid w:val="00B03CEC"/>
    <w:rsid w:val="00B04C9E"/>
    <w:rsid w:val="00B06B0A"/>
    <w:rsid w:val="00B1209F"/>
    <w:rsid w:val="00B12AD0"/>
    <w:rsid w:val="00B13FDB"/>
    <w:rsid w:val="00B16A78"/>
    <w:rsid w:val="00B22AF0"/>
    <w:rsid w:val="00B24F30"/>
    <w:rsid w:val="00B2525E"/>
    <w:rsid w:val="00B31ABF"/>
    <w:rsid w:val="00B335AE"/>
    <w:rsid w:val="00B35D7A"/>
    <w:rsid w:val="00B37CE1"/>
    <w:rsid w:val="00B40ACF"/>
    <w:rsid w:val="00B419E0"/>
    <w:rsid w:val="00B43BA9"/>
    <w:rsid w:val="00B46BAA"/>
    <w:rsid w:val="00B47EB0"/>
    <w:rsid w:val="00B50B5F"/>
    <w:rsid w:val="00B511E1"/>
    <w:rsid w:val="00B53055"/>
    <w:rsid w:val="00B53D79"/>
    <w:rsid w:val="00B54128"/>
    <w:rsid w:val="00B55826"/>
    <w:rsid w:val="00B55DCB"/>
    <w:rsid w:val="00B57A3F"/>
    <w:rsid w:val="00B60426"/>
    <w:rsid w:val="00B622DD"/>
    <w:rsid w:val="00B63522"/>
    <w:rsid w:val="00B67843"/>
    <w:rsid w:val="00B7012A"/>
    <w:rsid w:val="00B76F1D"/>
    <w:rsid w:val="00B8007B"/>
    <w:rsid w:val="00B82A78"/>
    <w:rsid w:val="00B86167"/>
    <w:rsid w:val="00B92A19"/>
    <w:rsid w:val="00B950CA"/>
    <w:rsid w:val="00B9544C"/>
    <w:rsid w:val="00B95B58"/>
    <w:rsid w:val="00B96DEB"/>
    <w:rsid w:val="00BA1F77"/>
    <w:rsid w:val="00BA29E9"/>
    <w:rsid w:val="00BA7D5A"/>
    <w:rsid w:val="00BB3618"/>
    <w:rsid w:val="00BB5C5A"/>
    <w:rsid w:val="00BC0B1C"/>
    <w:rsid w:val="00BC0C9E"/>
    <w:rsid w:val="00BC32DC"/>
    <w:rsid w:val="00BC55BB"/>
    <w:rsid w:val="00BD111A"/>
    <w:rsid w:val="00BD1955"/>
    <w:rsid w:val="00BD1B51"/>
    <w:rsid w:val="00BD3181"/>
    <w:rsid w:val="00BD47F6"/>
    <w:rsid w:val="00BD73A8"/>
    <w:rsid w:val="00BE0F9C"/>
    <w:rsid w:val="00BE312D"/>
    <w:rsid w:val="00BE3FCA"/>
    <w:rsid w:val="00BE6744"/>
    <w:rsid w:val="00BE67E6"/>
    <w:rsid w:val="00BE7988"/>
    <w:rsid w:val="00BF03AC"/>
    <w:rsid w:val="00BF14E8"/>
    <w:rsid w:val="00BF47FD"/>
    <w:rsid w:val="00BF565A"/>
    <w:rsid w:val="00C05719"/>
    <w:rsid w:val="00C0744F"/>
    <w:rsid w:val="00C10578"/>
    <w:rsid w:val="00C12B2D"/>
    <w:rsid w:val="00C17608"/>
    <w:rsid w:val="00C17D62"/>
    <w:rsid w:val="00C21FDC"/>
    <w:rsid w:val="00C24EE7"/>
    <w:rsid w:val="00C2596A"/>
    <w:rsid w:val="00C26232"/>
    <w:rsid w:val="00C264EC"/>
    <w:rsid w:val="00C271BE"/>
    <w:rsid w:val="00C27425"/>
    <w:rsid w:val="00C328FE"/>
    <w:rsid w:val="00C33A05"/>
    <w:rsid w:val="00C3738E"/>
    <w:rsid w:val="00C42500"/>
    <w:rsid w:val="00C4409D"/>
    <w:rsid w:val="00C455BE"/>
    <w:rsid w:val="00C51E5F"/>
    <w:rsid w:val="00C56098"/>
    <w:rsid w:val="00C60DC6"/>
    <w:rsid w:val="00C612A2"/>
    <w:rsid w:val="00C61E4B"/>
    <w:rsid w:val="00C62E3A"/>
    <w:rsid w:val="00C641B6"/>
    <w:rsid w:val="00C64503"/>
    <w:rsid w:val="00C64A1F"/>
    <w:rsid w:val="00C64BFF"/>
    <w:rsid w:val="00C669FD"/>
    <w:rsid w:val="00C71341"/>
    <w:rsid w:val="00C74209"/>
    <w:rsid w:val="00C763C9"/>
    <w:rsid w:val="00C76792"/>
    <w:rsid w:val="00C80057"/>
    <w:rsid w:val="00C82C79"/>
    <w:rsid w:val="00C84753"/>
    <w:rsid w:val="00C85E39"/>
    <w:rsid w:val="00C91611"/>
    <w:rsid w:val="00CA3585"/>
    <w:rsid w:val="00CA3D5A"/>
    <w:rsid w:val="00CA4C7C"/>
    <w:rsid w:val="00CA5335"/>
    <w:rsid w:val="00CA593B"/>
    <w:rsid w:val="00CA6A46"/>
    <w:rsid w:val="00CB0183"/>
    <w:rsid w:val="00CB09AB"/>
    <w:rsid w:val="00CB1EA3"/>
    <w:rsid w:val="00CB552C"/>
    <w:rsid w:val="00CB6497"/>
    <w:rsid w:val="00CB6A9E"/>
    <w:rsid w:val="00CB72EB"/>
    <w:rsid w:val="00CC4ED6"/>
    <w:rsid w:val="00CC6181"/>
    <w:rsid w:val="00CD2BCD"/>
    <w:rsid w:val="00CD36AA"/>
    <w:rsid w:val="00CD3791"/>
    <w:rsid w:val="00CD65B0"/>
    <w:rsid w:val="00CE015E"/>
    <w:rsid w:val="00CE02CD"/>
    <w:rsid w:val="00CE0C25"/>
    <w:rsid w:val="00CE10E9"/>
    <w:rsid w:val="00CE5653"/>
    <w:rsid w:val="00D0072E"/>
    <w:rsid w:val="00D00E07"/>
    <w:rsid w:val="00D00F2A"/>
    <w:rsid w:val="00D010E8"/>
    <w:rsid w:val="00D02421"/>
    <w:rsid w:val="00D03536"/>
    <w:rsid w:val="00D062B2"/>
    <w:rsid w:val="00D15727"/>
    <w:rsid w:val="00D16332"/>
    <w:rsid w:val="00D201CA"/>
    <w:rsid w:val="00D20FFD"/>
    <w:rsid w:val="00D23119"/>
    <w:rsid w:val="00D24972"/>
    <w:rsid w:val="00D24B21"/>
    <w:rsid w:val="00D2515E"/>
    <w:rsid w:val="00D27B1E"/>
    <w:rsid w:val="00D27D02"/>
    <w:rsid w:val="00D308ED"/>
    <w:rsid w:val="00D33F39"/>
    <w:rsid w:val="00D43C90"/>
    <w:rsid w:val="00D45E87"/>
    <w:rsid w:val="00D4725B"/>
    <w:rsid w:val="00D56178"/>
    <w:rsid w:val="00D56CF0"/>
    <w:rsid w:val="00D56F5C"/>
    <w:rsid w:val="00D61CB8"/>
    <w:rsid w:val="00D647A4"/>
    <w:rsid w:val="00D679DE"/>
    <w:rsid w:val="00D67B8B"/>
    <w:rsid w:val="00D704B1"/>
    <w:rsid w:val="00D70B63"/>
    <w:rsid w:val="00D72B92"/>
    <w:rsid w:val="00D72ED4"/>
    <w:rsid w:val="00D73CAB"/>
    <w:rsid w:val="00D73F61"/>
    <w:rsid w:val="00D754C0"/>
    <w:rsid w:val="00D776A2"/>
    <w:rsid w:val="00D801C4"/>
    <w:rsid w:val="00D83212"/>
    <w:rsid w:val="00D85889"/>
    <w:rsid w:val="00D90836"/>
    <w:rsid w:val="00D925D3"/>
    <w:rsid w:val="00D95896"/>
    <w:rsid w:val="00D95CC6"/>
    <w:rsid w:val="00D967E6"/>
    <w:rsid w:val="00DA2DA3"/>
    <w:rsid w:val="00DA3C77"/>
    <w:rsid w:val="00DA3D34"/>
    <w:rsid w:val="00DA61D2"/>
    <w:rsid w:val="00DA6615"/>
    <w:rsid w:val="00DA76AE"/>
    <w:rsid w:val="00DB0F28"/>
    <w:rsid w:val="00DB181E"/>
    <w:rsid w:val="00DB1C7A"/>
    <w:rsid w:val="00DB2983"/>
    <w:rsid w:val="00DB343D"/>
    <w:rsid w:val="00DB5579"/>
    <w:rsid w:val="00DB5CFE"/>
    <w:rsid w:val="00DC2E0D"/>
    <w:rsid w:val="00DC72A6"/>
    <w:rsid w:val="00DD04D3"/>
    <w:rsid w:val="00DD2113"/>
    <w:rsid w:val="00DD265E"/>
    <w:rsid w:val="00DD4349"/>
    <w:rsid w:val="00DD4744"/>
    <w:rsid w:val="00DD77B6"/>
    <w:rsid w:val="00DE06F4"/>
    <w:rsid w:val="00DE0EFB"/>
    <w:rsid w:val="00DF14BE"/>
    <w:rsid w:val="00DF1930"/>
    <w:rsid w:val="00DF356B"/>
    <w:rsid w:val="00DF4F93"/>
    <w:rsid w:val="00DF514A"/>
    <w:rsid w:val="00E0358D"/>
    <w:rsid w:val="00E06327"/>
    <w:rsid w:val="00E2064B"/>
    <w:rsid w:val="00E20C1A"/>
    <w:rsid w:val="00E24780"/>
    <w:rsid w:val="00E25239"/>
    <w:rsid w:val="00E265B1"/>
    <w:rsid w:val="00E275B0"/>
    <w:rsid w:val="00E30E8F"/>
    <w:rsid w:val="00E36706"/>
    <w:rsid w:val="00E4011B"/>
    <w:rsid w:val="00E412D0"/>
    <w:rsid w:val="00E47CDB"/>
    <w:rsid w:val="00E566BC"/>
    <w:rsid w:val="00E5735A"/>
    <w:rsid w:val="00E606C8"/>
    <w:rsid w:val="00E60982"/>
    <w:rsid w:val="00E60C8D"/>
    <w:rsid w:val="00E6162F"/>
    <w:rsid w:val="00E62FF1"/>
    <w:rsid w:val="00E6311B"/>
    <w:rsid w:val="00E6418D"/>
    <w:rsid w:val="00E65D97"/>
    <w:rsid w:val="00E67D8A"/>
    <w:rsid w:val="00E67EFD"/>
    <w:rsid w:val="00E702DC"/>
    <w:rsid w:val="00E71FFB"/>
    <w:rsid w:val="00E74CAA"/>
    <w:rsid w:val="00E76D1D"/>
    <w:rsid w:val="00E8046F"/>
    <w:rsid w:val="00E806F8"/>
    <w:rsid w:val="00E844A5"/>
    <w:rsid w:val="00E850FF"/>
    <w:rsid w:val="00E852C7"/>
    <w:rsid w:val="00E85FF3"/>
    <w:rsid w:val="00E87752"/>
    <w:rsid w:val="00E8793B"/>
    <w:rsid w:val="00E87F17"/>
    <w:rsid w:val="00E90DEC"/>
    <w:rsid w:val="00E90F81"/>
    <w:rsid w:val="00E91A6D"/>
    <w:rsid w:val="00E9242D"/>
    <w:rsid w:val="00E954D2"/>
    <w:rsid w:val="00E9671E"/>
    <w:rsid w:val="00EA03E2"/>
    <w:rsid w:val="00EA185C"/>
    <w:rsid w:val="00EA5B76"/>
    <w:rsid w:val="00EB041C"/>
    <w:rsid w:val="00EB5743"/>
    <w:rsid w:val="00EB59A0"/>
    <w:rsid w:val="00EC3B43"/>
    <w:rsid w:val="00EC49A7"/>
    <w:rsid w:val="00EC5874"/>
    <w:rsid w:val="00ED110B"/>
    <w:rsid w:val="00ED192D"/>
    <w:rsid w:val="00ED2CC3"/>
    <w:rsid w:val="00ED30B4"/>
    <w:rsid w:val="00ED31F5"/>
    <w:rsid w:val="00ED676C"/>
    <w:rsid w:val="00EE209A"/>
    <w:rsid w:val="00EF2759"/>
    <w:rsid w:val="00EF4563"/>
    <w:rsid w:val="00EF45EB"/>
    <w:rsid w:val="00EF5099"/>
    <w:rsid w:val="00EF527A"/>
    <w:rsid w:val="00EF5E33"/>
    <w:rsid w:val="00EF6F4C"/>
    <w:rsid w:val="00F00075"/>
    <w:rsid w:val="00F021D0"/>
    <w:rsid w:val="00F03696"/>
    <w:rsid w:val="00F04108"/>
    <w:rsid w:val="00F045B5"/>
    <w:rsid w:val="00F048B4"/>
    <w:rsid w:val="00F062CE"/>
    <w:rsid w:val="00F07822"/>
    <w:rsid w:val="00F07F1F"/>
    <w:rsid w:val="00F105BF"/>
    <w:rsid w:val="00F13D6E"/>
    <w:rsid w:val="00F15C95"/>
    <w:rsid w:val="00F22115"/>
    <w:rsid w:val="00F22985"/>
    <w:rsid w:val="00F241AB"/>
    <w:rsid w:val="00F243FE"/>
    <w:rsid w:val="00F249C6"/>
    <w:rsid w:val="00F24A80"/>
    <w:rsid w:val="00F31382"/>
    <w:rsid w:val="00F35829"/>
    <w:rsid w:val="00F42868"/>
    <w:rsid w:val="00F43416"/>
    <w:rsid w:val="00F465A7"/>
    <w:rsid w:val="00F47EDA"/>
    <w:rsid w:val="00F50B7C"/>
    <w:rsid w:val="00F5202D"/>
    <w:rsid w:val="00F52CF6"/>
    <w:rsid w:val="00F53DD6"/>
    <w:rsid w:val="00F54496"/>
    <w:rsid w:val="00F555CF"/>
    <w:rsid w:val="00F55F3A"/>
    <w:rsid w:val="00F60270"/>
    <w:rsid w:val="00F61097"/>
    <w:rsid w:val="00F622F3"/>
    <w:rsid w:val="00F74345"/>
    <w:rsid w:val="00F74441"/>
    <w:rsid w:val="00F76D74"/>
    <w:rsid w:val="00F77F30"/>
    <w:rsid w:val="00F82589"/>
    <w:rsid w:val="00F82B19"/>
    <w:rsid w:val="00F82CCA"/>
    <w:rsid w:val="00F83C36"/>
    <w:rsid w:val="00F90AA7"/>
    <w:rsid w:val="00F9212D"/>
    <w:rsid w:val="00F93D86"/>
    <w:rsid w:val="00FA07E4"/>
    <w:rsid w:val="00FA301A"/>
    <w:rsid w:val="00FA32AE"/>
    <w:rsid w:val="00FA3D01"/>
    <w:rsid w:val="00FA406A"/>
    <w:rsid w:val="00FA5CB6"/>
    <w:rsid w:val="00FB628E"/>
    <w:rsid w:val="00FB667B"/>
    <w:rsid w:val="00FC0F15"/>
    <w:rsid w:val="00FC1032"/>
    <w:rsid w:val="00FC1190"/>
    <w:rsid w:val="00FC66AC"/>
    <w:rsid w:val="00FC6DAA"/>
    <w:rsid w:val="00FD18F4"/>
    <w:rsid w:val="00FD577F"/>
    <w:rsid w:val="00FD600B"/>
    <w:rsid w:val="00FD616C"/>
    <w:rsid w:val="00FD74B4"/>
    <w:rsid w:val="00FE0B36"/>
    <w:rsid w:val="00FE3FEA"/>
    <w:rsid w:val="00FE4809"/>
    <w:rsid w:val="00FF0669"/>
    <w:rsid w:val="00FF28F6"/>
    <w:rsid w:val="00FF4B71"/>
    <w:rsid w:val="00FF6FCE"/>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453336E"/>
    <w:rsid w:val="559B174B"/>
    <w:rsid w:val="55CE0CF4"/>
    <w:rsid w:val="56B22A9C"/>
    <w:rsid w:val="57B72A76"/>
    <w:rsid w:val="5A3C747D"/>
    <w:rsid w:val="5ABE2233"/>
    <w:rsid w:val="5B276D18"/>
    <w:rsid w:val="5BDF5D95"/>
    <w:rsid w:val="5DF87A0F"/>
    <w:rsid w:val="5F1A2B43"/>
    <w:rsid w:val="5FB837BB"/>
    <w:rsid w:val="60B77FA4"/>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sdException w:uiPriority="0" w:name="footnote text"/>
    <w:lsdException w:unhideWhenUsed="0" w:uiPriority="0" w:name="annotation text"/>
    <w:lsdException w:unhideWhenUsed="0" w:uiPriority="0" w:semiHidden="0" w:name="header"/>
    <w:lsdException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nhideWhenUsed="0"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unhideWhenUsed="0" w:uiPriority="0" w:semiHidden="0" w:name="Body Text"/>
    <w:lsdException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6"/>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8"/>
    <w:semiHidden/>
    <w:uiPriority w:val="0"/>
    <w:pPr>
      <w:jc w:val="left"/>
    </w:pPr>
    <w:rPr>
      <w:kern w:val="0"/>
      <w:sz w:val="20"/>
    </w:rPr>
  </w:style>
  <w:style w:type="paragraph" w:styleId="5">
    <w:name w:val="Body Text"/>
    <w:basedOn w:val="1"/>
    <w:link w:val="19"/>
    <w:uiPriority w:val="0"/>
    <w:pPr>
      <w:widowControl/>
      <w:snapToGrid w:val="0"/>
      <w:spacing w:before="60" w:after="160" w:line="259" w:lineRule="auto"/>
      <w:ind w:right="113"/>
    </w:pPr>
    <w:rPr>
      <w:kern w:val="0"/>
      <w:sz w:val="18"/>
      <w:szCs w:val="18"/>
    </w:rPr>
  </w:style>
  <w:style w:type="paragraph" w:styleId="6">
    <w:name w:val="Body Text Indent"/>
    <w:basedOn w:val="1"/>
    <w:link w:val="20"/>
    <w:semiHidden/>
    <w:uiPriority w:val="0"/>
    <w:pPr>
      <w:spacing w:after="120"/>
      <w:ind w:left="420" w:leftChars="200"/>
    </w:pPr>
  </w:style>
  <w:style w:type="paragraph" w:styleId="7">
    <w:name w:val="Date"/>
    <w:basedOn w:val="1"/>
    <w:next w:val="1"/>
    <w:link w:val="21"/>
    <w:uiPriority w:val="0"/>
    <w:pPr>
      <w:ind w:left="100" w:leftChars="2500"/>
    </w:pPr>
    <w:rPr>
      <w:kern w:val="0"/>
      <w:sz w:val="20"/>
    </w:rPr>
  </w:style>
  <w:style w:type="paragraph" w:styleId="8">
    <w:name w:val="Balloon Text"/>
    <w:basedOn w:val="1"/>
    <w:link w:val="22"/>
    <w:semiHidden/>
    <w:uiPriority w:val="0"/>
    <w:rPr>
      <w:sz w:val="18"/>
      <w:szCs w:val="18"/>
    </w:rPr>
  </w:style>
  <w:style w:type="paragraph" w:styleId="9">
    <w:name w:val="footer"/>
    <w:basedOn w:val="1"/>
    <w:link w:val="23"/>
    <w:uiPriority w:val="0"/>
    <w:pPr>
      <w:tabs>
        <w:tab w:val="center" w:pos="4153"/>
        <w:tab w:val="right" w:pos="8306"/>
      </w:tabs>
      <w:snapToGrid w:val="0"/>
      <w:jc w:val="left"/>
    </w:pPr>
    <w:rPr>
      <w:sz w:val="18"/>
      <w:szCs w:val="18"/>
    </w:rPr>
  </w:style>
  <w:style w:type="paragraph" w:styleId="10">
    <w:name w:val="header"/>
    <w:basedOn w:val="1"/>
    <w:link w:val="24"/>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link w:val="25"/>
    <w:uiPriority w:val="0"/>
    <w:pPr>
      <w:widowControl/>
      <w:spacing w:before="100" w:beforeAutospacing="1" w:after="100" w:afterAutospacing="1"/>
      <w:jc w:val="left"/>
    </w:pPr>
    <w:rPr>
      <w:rFonts w:ascii="宋体" w:hAnsi="宋体"/>
      <w:kern w:val="0"/>
      <w:sz w:val="24"/>
    </w:rPr>
  </w:style>
  <w:style w:type="paragraph" w:styleId="12">
    <w:name w:val="annotation subject"/>
    <w:basedOn w:val="4"/>
    <w:next w:val="4"/>
    <w:link w:val="26"/>
    <w:semiHidden/>
    <w:uiPriority w:val="0"/>
    <w:rPr>
      <w:b/>
      <w:bCs/>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uiPriority w:val="0"/>
  </w:style>
  <w:style w:type="character" w:styleId="17">
    <w:name w:val="annotation reference"/>
    <w:semiHidden/>
    <w:uiPriority w:val="0"/>
    <w:rPr>
      <w:sz w:val="21"/>
    </w:rPr>
  </w:style>
  <w:style w:type="character" w:customStyle="1" w:styleId="18">
    <w:name w:val="批注文字 字符"/>
    <w:link w:val="4"/>
    <w:locked/>
    <w:uiPriority w:val="0"/>
    <w:rPr>
      <w:rFonts w:ascii="Times New Roman" w:hAnsi="Times New Roman" w:eastAsia="宋体"/>
      <w:sz w:val="24"/>
    </w:rPr>
  </w:style>
  <w:style w:type="character" w:customStyle="1" w:styleId="19">
    <w:name w:val="正文文本 字符"/>
    <w:link w:val="5"/>
    <w:locked/>
    <w:uiPriority w:val="0"/>
    <w:rPr>
      <w:sz w:val="18"/>
    </w:rPr>
  </w:style>
  <w:style w:type="character" w:customStyle="1" w:styleId="20">
    <w:name w:val="正文文本缩进 字符"/>
    <w:link w:val="6"/>
    <w:semiHidden/>
    <w:locked/>
    <w:uiPriority w:val="0"/>
    <w:rPr>
      <w:rFonts w:ascii="Times New Roman" w:hAnsi="Times New Roman" w:eastAsia="宋体" w:cs="Times New Roman"/>
      <w:sz w:val="24"/>
      <w:szCs w:val="24"/>
    </w:rPr>
  </w:style>
  <w:style w:type="character" w:customStyle="1" w:styleId="21">
    <w:name w:val="日期 字符1"/>
    <w:link w:val="7"/>
    <w:locked/>
    <w:uiPriority w:val="0"/>
    <w:rPr>
      <w:rFonts w:ascii="Times New Roman" w:hAnsi="Times New Roman" w:eastAsia="宋体"/>
      <w:sz w:val="24"/>
    </w:rPr>
  </w:style>
  <w:style w:type="character" w:customStyle="1" w:styleId="22">
    <w:name w:val="批注框文本 字符"/>
    <w:link w:val="8"/>
    <w:semiHidden/>
    <w:locked/>
    <w:uiPriority w:val="0"/>
    <w:rPr>
      <w:rFonts w:ascii="Times New Roman" w:hAnsi="Times New Roman" w:eastAsia="宋体" w:cs="Times New Roman"/>
      <w:sz w:val="18"/>
      <w:szCs w:val="18"/>
    </w:rPr>
  </w:style>
  <w:style w:type="character" w:customStyle="1" w:styleId="23">
    <w:name w:val="页脚 字符"/>
    <w:link w:val="9"/>
    <w:locked/>
    <w:uiPriority w:val="0"/>
    <w:rPr>
      <w:rFonts w:cs="Times New Roman"/>
      <w:sz w:val="18"/>
      <w:szCs w:val="18"/>
    </w:rPr>
  </w:style>
  <w:style w:type="character" w:customStyle="1" w:styleId="24">
    <w:name w:val="页眉 字符"/>
    <w:link w:val="10"/>
    <w:locked/>
    <w:uiPriority w:val="0"/>
    <w:rPr>
      <w:rFonts w:cs="Times New Roman"/>
      <w:sz w:val="18"/>
      <w:szCs w:val="18"/>
    </w:rPr>
  </w:style>
  <w:style w:type="character" w:customStyle="1" w:styleId="25">
    <w:name w:val="普通(网站) 字符"/>
    <w:link w:val="11"/>
    <w:locked/>
    <w:uiPriority w:val="0"/>
    <w:rPr>
      <w:rFonts w:ascii="宋体" w:hAnsi="宋体" w:eastAsia="宋体"/>
      <w:sz w:val="24"/>
    </w:rPr>
  </w:style>
  <w:style w:type="character" w:customStyle="1" w:styleId="26">
    <w:name w:val="批注主题 字符"/>
    <w:link w:val="12"/>
    <w:semiHidden/>
    <w:locked/>
    <w:uiPriority w:val="0"/>
    <w:rPr>
      <w:rFonts w:cs="Times New Roman"/>
      <w:b/>
      <w:bCs/>
      <w:kern w:val="2"/>
      <w:szCs w:val="24"/>
    </w:rPr>
  </w:style>
  <w:style w:type="character" w:customStyle="1" w:styleId="27">
    <w:name w:val="日期 字符"/>
    <w:semiHidden/>
    <w:uiPriority w:val="0"/>
    <w:rPr>
      <w:rFonts w:ascii="Times New Roman" w:hAnsi="Times New Roman" w:eastAsia="宋体" w:cs="Times New Roman"/>
      <w:sz w:val="24"/>
      <w:szCs w:val="24"/>
    </w:rPr>
  </w:style>
  <w:style w:type="character" w:customStyle="1" w:styleId="28">
    <w:name w:val="正文文本 字符1"/>
    <w:semiHidden/>
    <w:uiPriority w:val="0"/>
    <w:rPr>
      <w:rFonts w:ascii="Times New Roman" w:hAnsi="Times New Roman" w:eastAsia="宋体" w:cs="Times New Roman"/>
      <w:sz w:val="24"/>
      <w:szCs w:val="24"/>
    </w:rPr>
  </w:style>
  <w:style w:type="paragraph" w:customStyle="1" w:styleId="29">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30">
    <w:name w:val="表格 Char"/>
    <w:link w:val="31"/>
    <w:locked/>
    <w:uiPriority w:val="0"/>
    <w:rPr>
      <w:rFonts w:ascii="宋体"/>
      <w:sz w:val="21"/>
    </w:rPr>
  </w:style>
  <w:style w:type="paragraph" w:customStyle="1" w:styleId="31">
    <w:name w:val="表格"/>
    <w:basedOn w:val="1"/>
    <w:next w:val="1"/>
    <w:link w:val="30"/>
    <w:uiPriority w:val="0"/>
    <w:pPr>
      <w:adjustRightInd w:val="0"/>
      <w:snapToGrid w:val="0"/>
      <w:spacing w:beforeLines="10" w:afterLines="10" w:line="259" w:lineRule="auto"/>
      <w:jc w:val="center"/>
    </w:pPr>
    <w:rPr>
      <w:rFonts w:ascii="宋体"/>
      <w:kern w:val="0"/>
      <w:sz w:val="20"/>
      <w:szCs w:val="21"/>
    </w:rPr>
  </w:style>
  <w:style w:type="character" w:customStyle="1" w:styleId="32">
    <w:name w:val="批注文字 字符1"/>
    <w:semiHidden/>
    <w:uiPriority w:val="0"/>
    <w:rPr>
      <w:rFonts w:ascii="Times New Roman" w:hAnsi="Times New Roman" w:eastAsia="宋体" w:cs="Times New Roman"/>
      <w:sz w:val="24"/>
      <w:szCs w:val="24"/>
    </w:rPr>
  </w:style>
  <w:style w:type="character" w:customStyle="1" w:styleId="33">
    <w:name w:val="普通(网站) Char"/>
    <w:locked/>
    <w:uiPriority w:val="0"/>
    <w:rPr>
      <w:rFonts w:ascii="宋体" w:hAnsi="宋体" w:eastAsia="宋体"/>
      <w:sz w:val="24"/>
    </w:rPr>
  </w:style>
  <w:style w:type="paragraph" w:customStyle="1" w:styleId="34">
    <w:name w:val="Table Paragraph"/>
    <w:basedOn w:val="1"/>
    <w:qFormat/>
    <w:uiPriority w:val="1"/>
    <w:pPr>
      <w:autoSpaceDE w:val="0"/>
      <w:autoSpaceDN w:val="0"/>
      <w:adjustRightInd w:val="0"/>
      <w:jc w:val="left"/>
    </w:pPr>
    <w:rPr>
      <w:kern w:val="0"/>
      <w:sz w:val="24"/>
    </w:rPr>
  </w:style>
  <w:style w:type="paragraph" w:customStyle="1" w:styleId="35">
    <w:name w:val="列表段落"/>
    <w:basedOn w:val="1"/>
    <w:qFormat/>
    <w:uiPriority w:val="1"/>
    <w:pPr>
      <w:autoSpaceDE w:val="0"/>
      <w:autoSpaceDN w:val="0"/>
      <w:adjustRightInd w:val="0"/>
      <w:jc w:val="left"/>
    </w:pPr>
    <w:rPr>
      <w:kern w:val="0"/>
      <w:sz w:val="24"/>
    </w:rPr>
  </w:style>
  <w:style w:type="character" w:customStyle="1" w:styleId="36">
    <w:name w:val="标题 2 字符"/>
    <w:link w:val="3"/>
    <w:semiHidden/>
    <w:uiPriority w:val="0"/>
    <w:rPr>
      <w:rFonts w:ascii="等线 Light" w:hAnsi="等线 Light" w:eastAsia="等线 Light" w:cs="Times New Roman"/>
      <w:b/>
      <w:bCs/>
      <w:kern w:val="2"/>
      <w:sz w:val="32"/>
      <w:szCs w:val="32"/>
    </w:rPr>
  </w:style>
  <w:style w:type="character" w:customStyle="1" w:styleId="37">
    <w:name w:val="！正文 Char"/>
    <w:link w:val="38"/>
    <w:qFormat/>
    <w:locked/>
    <w:uiPriority w:val="0"/>
    <w:rPr>
      <w:sz w:val="24"/>
      <w:szCs w:val="24"/>
    </w:rPr>
  </w:style>
  <w:style w:type="paragraph" w:customStyle="1" w:styleId="38">
    <w:name w:val="！正文"/>
    <w:basedOn w:val="1"/>
    <w:link w:val="37"/>
    <w:qFormat/>
    <w:uiPriority w:val="0"/>
    <w:pPr>
      <w:spacing w:line="480" w:lineRule="exact"/>
      <w:ind w:firstLine="200" w:firstLineChars="200"/>
    </w:pPr>
    <w:rPr>
      <w:kern w:val="0"/>
      <w:sz w:val="24"/>
    </w:rPr>
  </w:style>
  <w:style w:type="paragraph" w:customStyle="1" w:styleId="39">
    <w:name w:val="表格题目2"/>
    <w:basedOn w:val="1"/>
    <w:link w:val="40"/>
    <w:qFormat/>
    <w:uiPriority w:val="0"/>
    <w:pPr>
      <w:autoSpaceDE w:val="0"/>
      <w:autoSpaceDN w:val="0"/>
      <w:spacing w:beforeLines="50" w:line="312" w:lineRule="auto"/>
      <w:ind w:firstLine="200" w:firstLineChars="200"/>
    </w:pPr>
    <w:rPr>
      <w:rFonts w:eastAsia="黑体" w:cs="宋体"/>
    </w:rPr>
  </w:style>
  <w:style w:type="character" w:customStyle="1" w:styleId="40">
    <w:name w:val="表格题目2 字符"/>
    <w:link w:val="39"/>
    <w:qFormat/>
    <w:uiPriority w:val="0"/>
    <w:rPr>
      <w:rFonts w:eastAsia="黑体" w:cs="宋体"/>
      <w:kern w:val="2"/>
      <w:sz w:val="21"/>
      <w:szCs w:val="24"/>
    </w:rPr>
  </w:style>
  <w:style w:type="character" w:customStyle="1" w:styleId="41">
    <w:name w:val="表格内容1 字符"/>
    <w:link w:val="42"/>
    <w:qFormat/>
    <w:locked/>
    <w:uiPriority w:val="0"/>
    <w:rPr>
      <w:sz w:val="21"/>
      <w:szCs w:val="21"/>
      <w:lang w:eastAsia="en-US" w:bidi="en-US"/>
    </w:rPr>
  </w:style>
  <w:style w:type="paragraph" w:customStyle="1" w:styleId="42">
    <w:name w:val="表格内容1"/>
    <w:basedOn w:val="1"/>
    <w:link w:val="41"/>
    <w:qFormat/>
    <w:uiPriority w:val="0"/>
    <w:pPr>
      <w:widowControl/>
      <w:spacing w:line="300" w:lineRule="exact"/>
      <w:jc w:val="center"/>
    </w:pPr>
    <w:rPr>
      <w:kern w:val="0"/>
      <w:szCs w:val="21"/>
      <w:lang w:eastAsia="en-US" w:bidi="en-US"/>
    </w:rPr>
  </w:style>
  <w:style w:type="paragraph" w:styleId="43">
    <w:name w:val="List Paragraph"/>
    <w:basedOn w:val="1"/>
    <w:link w:val="44"/>
    <w:qFormat/>
    <w:uiPriority w:val="99"/>
    <w:pPr>
      <w:ind w:firstLine="420" w:firstLineChars="200"/>
    </w:pPr>
    <w:rPr>
      <w:rFonts w:asciiTheme="minorHAnsi" w:hAnsiTheme="minorHAnsi" w:eastAsiaTheme="minorEastAsia" w:cstheme="minorBidi"/>
      <w:szCs w:val="22"/>
    </w:rPr>
  </w:style>
  <w:style w:type="character" w:customStyle="1" w:styleId="44">
    <w:name w:val="列出段落 字符"/>
    <w:link w:val="43"/>
    <w:qFormat/>
    <w:uiPriority w:val="99"/>
    <w:rPr>
      <w:rFonts w:asciiTheme="minorHAnsi" w:hAnsiTheme="minorHAnsi" w:eastAsiaTheme="minorEastAsia" w:cstheme="minorBidi"/>
      <w:kern w:val="2"/>
      <w:sz w:val="21"/>
      <w:szCs w:val="22"/>
    </w:rPr>
  </w:style>
  <w:style w:type="character" w:customStyle="1" w:styleId="45">
    <w:name w:val="表格1 Char"/>
    <w:link w:val="46"/>
    <w:qFormat/>
    <w:uiPriority w:val="0"/>
    <w:rPr>
      <w:rFonts w:eastAsia="方正仿宋_GBK"/>
      <w:color w:val="000000"/>
      <w:sz w:val="21"/>
      <w:szCs w:val="24"/>
    </w:rPr>
  </w:style>
  <w:style w:type="paragraph" w:customStyle="1" w:styleId="46">
    <w:name w:val="表格1"/>
    <w:basedOn w:val="1"/>
    <w:link w:val="45"/>
    <w:qFormat/>
    <w:uiPriority w:val="0"/>
    <w:pPr>
      <w:adjustRightInd w:val="0"/>
      <w:snapToGrid w:val="0"/>
      <w:jc w:val="center"/>
    </w:pPr>
    <w:rPr>
      <w:rFonts w:eastAsia="方正仿宋_GBK"/>
      <w:color w:val="000000"/>
      <w:kern w:val="0"/>
    </w:rPr>
  </w:style>
  <w:style w:type="character" w:customStyle="1" w:styleId="47">
    <w:name w:val="表格题目1 字符"/>
    <w:link w:val="48"/>
    <w:qFormat/>
    <w:locked/>
    <w:uiPriority w:val="0"/>
    <w:rPr>
      <w:rFonts w:ascii="黑体" w:hAnsi="黑体" w:eastAsia="黑体"/>
      <w:color w:val="000000"/>
      <w:szCs w:val="24"/>
      <w:lang w:bidi="en-US"/>
    </w:rPr>
  </w:style>
  <w:style w:type="paragraph" w:customStyle="1" w:styleId="48">
    <w:name w:val="表格题目1"/>
    <w:basedOn w:val="1"/>
    <w:link w:val="47"/>
    <w:qFormat/>
    <w:uiPriority w:val="0"/>
    <w:pPr>
      <w:spacing w:beforeLines="50"/>
      <w:ind w:firstLine="420" w:firstLineChars="200"/>
    </w:pPr>
    <w:rPr>
      <w:rFonts w:ascii="黑体" w:hAnsi="黑体" w:eastAsia="黑体"/>
      <w:color w:val="000000"/>
      <w:kern w:val="0"/>
      <w:sz w:val="20"/>
      <w:lang w:bidi="en-US"/>
    </w:rPr>
  </w:style>
  <w:style w:type="character" w:customStyle="1" w:styleId="49">
    <w:name w:val="正文1 字符"/>
    <w:link w:val="50"/>
    <w:qFormat/>
    <w:locked/>
    <w:uiPriority w:val="0"/>
    <w:rPr>
      <w:rFonts w:ascii="宋体" w:hAnsi="宋体" w:cs="宋体"/>
      <w:color w:val="000000"/>
      <w:sz w:val="24"/>
      <w:szCs w:val="26"/>
    </w:rPr>
  </w:style>
  <w:style w:type="paragraph" w:customStyle="1" w:styleId="50">
    <w:name w:val="正文1"/>
    <w:basedOn w:val="1"/>
    <w:link w:val="49"/>
    <w:qFormat/>
    <w:uiPriority w:val="0"/>
    <w:pPr>
      <w:widowControl/>
      <w:spacing w:line="500" w:lineRule="exact"/>
      <w:ind w:firstLine="480" w:firstLineChars="200"/>
    </w:pPr>
    <w:rPr>
      <w:rFonts w:ascii="宋体" w:hAnsi="宋体" w:cs="宋体"/>
      <w:color w:val="000000"/>
      <w:kern w:val="0"/>
      <w:sz w:val="24"/>
      <w:szCs w:val="26"/>
    </w:rPr>
  </w:style>
  <w:style w:type="character" w:customStyle="1" w:styleId="51">
    <w:name w:val="表格内容 字符"/>
    <w:basedOn w:val="15"/>
    <w:link w:val="52"/>
    <w:qFormat/>
    <w:locked/>
    <w:uiPriority w:val="0"/>
    <w:rPr>
      <w:sz w:val="21"/>
      <w:szCs w:val="21"/>
      <w:lang w:eastAsia="en-US" w:bidi="en-US"/>
    </w:rPr>
  </w:style>
  <w:style w:type="paragraph" w:customStyle="1" w:styleId="52">
    <w:name w:val="表格内容"/>
    <w:basedOn w:val="1"/>
    <w:link w:val="51"/>
    <w:qFormat/>
    <w:uiPriority w:val="0"/>
    <w:pPr>
      <w:widowControl/>
      <w:spacing w:line="300" w:lineRule="exact"/>
      <w:jc w:val="center"/>
    </w:pPr>
    <w:rPr>
      <w:kern w:val="0"/>
      <w:szCs w:val="21"/>
      <w:lang w:eastAsia="en-US" w:bidi="en-US"/>
    </w:rPr>
  </w:style>
  <w:style w:type="character" w:customStyle="1" w:styleId="53">
    <w:name w:val="表格新 字符"/>
    <w:link w:val="54"/>
    <w:qFormat/>
    <w:locked/>
    <w:uiPriority w:val="0"/>
    <w:rPr>
      <w:bCs/>
      <w:kern w:val="2"/>
      <w:sz w:val="21"/>
      <w:szCs w:val="21"/>
    </w:rPr>
  </w:style>
  <w:style w:type="paragraph" w:customStyle="1" w:styleId="54">
    <w:name w:val="表格新"/>
    <w:basedOn w:val="1"/>
    <w:link w:val="53"/>
    <w:qFormat/>
    <w:uiPriority w:val="0"/>
    <w:pPr>
      <w:jc w:val="center"/>
    </w:pPr>
    <w:rPr>
      <w:bCs/>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6B637A-29FF-4CE0-932D-0152236D9B3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31265</Words>
  <Characters>33984</Characters>
  <Lines>255</Lines>
  <Paragraphs>71</Paragraphs>
  <TotalTime>4315</TotalTime>
  <ScaleCrop>false</ScaleCrop>
  <LinksUpToDate>false</LinksUpToDate>
  <CharactersWithSpaces>34082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2023-06-19T03:24:00Z</dcterms:created>
  <dc:creator>lhj</dc:creator>
  <cp:lastModifiedBy>2018</cp:lastModifiedBy>
  <cp:lastPrinted>2023-07-26T09:16:00Z</cp:lastPrinted>
  <dcterms:modified xsi:type="dcterms:W3CDTF">2023-09-01T03:16:50Z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4C6C5A40F20E4E7FA4EF0272070221C0</vt:lpwstr>
  </property>
</Properties>
</file>